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FC1F4D">
      <w:pPr>
        <w:pStyle w:val="6"/>
        <w:spacing w:line="253" w:lineRule="auto"/>
      </w:pPr>
    </w:p>
    <w:p w14:paraId="65DEA787">
      <w:pPr>
        <w:pStyle w:val="6"/>
        <w:spacing w:line="253" w:lineRule="auto"/>
      </w:pPr>
    </w:p>
    <w:p w14:paraId="6F3D0F67">
      <w:pPr>
        <w:pStyle w:val="6"/>
        <w:spacing w:line="253" w:lineRule="auto"/>
      </w:pPr>
    </w:p>
    <w:p w14:paraId="22FC57CC">
      <w:pPr>
        <w:pStyle w:val="6"/>
        <w:spacing w:line="253" w:lineRule="auto"/>
      </w:pPr>
    </w:p>
    <w:p w14:paraId="46E7BA1D">
      <w:pPr>
        <w:pStyle w:val="6"/>
        <w:spacing w:line="253" w:lineRule="auto"/>
      </w:pPr>
    </w:p>
    <w:p w14:paraId="0717760C">
      <w:pPr>
        <w:pStyle w:val="6"/>
        <w:spacing w:line="253" w:lineRule="auto"/>
      </w:pPr>
    </w:p>
    <w:p w14:paraId="46E08F7E">
      <w:pPr>
        <w:pStyle w:val="6"/>
        <w:spacing w:line="253" w:lineRule="auto"/>
      </w:pPr>
    </w:p>
    <w:p w14:paraId="212D6573">
      <w:pPr>
        <w:pStyle w:val="6"/>
        <w:spacing w:line="253" w:lineRule="auto"/>
      </w:pPr>
    </w:p>
    <w:p w14:paraId="0DCF75F5">
      <w:pPr>
        <w:pStyle w:val="6"/>
        <w:spacing w:line="254" w:lineRule="auto"/>
      </w:pPr>
    </w:p>
    <w:p w14:paraId="1D6C6033">
      <w:pPr>
        <w:pStyle w:val="6"/>
        <w:spacing w:line="254" w:lineRule="auto"/>
      </w:pPr>
    </w:p>
    <w:p w14:paraId="0CD6BDEA">
      <w:pPr>
        <w:pStyle w:val="6"/>
        <w:spacing w:line="254" w:lineRule="auto"/>
      </w:pPr>
    </w:p>
    <w:p w14:paraId="5E6EB2BE">
      <w:pPr>
        <w:pStyle w:val="6"/>
        <w:spacing w:line="254" w:lineRule="auto"/>
      </w:pPr>
    </w:p>
    <w:p w14:paraId="465B7ED1">
      <w:pPr>
        <w:pStyle w:val="6"/>
        <w:spacing w:line="254" w:lineRule="auto"/>
      </w:pPr>
    </w:p>
    <w:p w14:paraId="4601DE8F">
      <w:pPr>
        <w:pStyle w:val="6"/>
        <w:spacing w:line="254" w:lineRule="auto"/>
      </w:pPr>
    </w:p>
    <w:p w14:paraId="0319486D">
      <w:pPr>
        <w:pStyle w:val="6"/>
        <w:spacing w:line="254" w:lineRule="auto"/>
      </w:pPr>
    </w:p>
    <w:p w14:paraId="1477A378">
      <w:pPr>
        <w:pStyle w:val="6"/>
        <w:spacing w:line="254" w:lineRule="auto"/>
      </w:pPr>
    </w:p>
    <w:p w14:paraId="22F5C043">
      <w:pPr>
        <w:spacing w:before="156" w:line="221" w:lineRule="auto"/>
        <w:ind w:left="4778"/>
        <w:rPr>
          <w:rFonts w:ascii="宋体" w:hAnsi="宋体" w:eastAsia="宋体" w:cs="宋体"/>
          <w:sz w:val="48"/>
          <w:szCs w:val="48"/>
        </w:rPr>
      </w:pPr>
      <w:r>
        <w:rPr>
          <w:rFonts w:ascii="宋体" w:hAnsi="宋体" w:eastAsia="宋体" w:cs="宋体"/>
          <w:spacing w:val="-11"/>
          <w:sz w:val="48"/>
          <w:szCs w:val="48"/>
        </w:rPr>
        <w:t>（公示版）</w:t>
      </w:r>
    </w:p>
    <w:p w14:paraId="51B8ECD4">
      <w:pPr>
        <w:spacing w:line="221" w:lineRule="auto"/>
        <w:rPr>
          <w:rFonts w:ascii="宋体" w:hAnsi="宋体" w:eastAsia="宋体" w:cs="宋体"/>
          <w:sz w:val="48"/>
          <w:szCs w:val="48"/>
        </w:rPr>
        <w:sectPr>
          <w:headerReference r:id="rId5" w:type="default"/>
          <w:pgSz w:w="11909" w:h="16841"/>
          <w:pgMar w:top="400" w:right="0" w:bottom="0" w:left="0" w:header="0" w:footer="0" w:gutter="0"/>
          <w:cols w:space="720" w:num="1"/>
        </w:sectPr>
      </w:pPr>
    </w:p>
    <w:p w14:paraId="3700E153">
      <w:pPr>
        <w:spacing w:line="16828" w:lineRule="exact"/>
      </w:pPr>
      <w:r>
        <w:rPr>
          <w:position w:val="-336"/>
        </w:rPr>
        <w:drawing>
          <wp:inline distT="0" distB="0" distL="0" distR="0">
            <wp:extent cx="7561580" cy="106857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3"/>
                    <a:stretch>
                      <a:fillRect/>
                    </a:stretch>
                  </pic:blipFill>
                  <pic:spPr>
                    <a:xfrm>
                      <a:off x="0" y="0"/>
                      <a:ext cx="7562088" cy="10685805"/>
                    </a:xfrm>
                    <a:prstGeom prst="rect">
                      <a:avLst/>
                    </a:prstGeom>
                  </pic:spPr>
                </pic:pic>
              </a:graphicData>
            </a:graphic>
          </wp:inline>
        </w:drawing>
      </w:r>
    </w:p>
    <w:p w14:paraId="54BAF384">
      <w:pPr>
        <w:spacing w:line="16828" w:lineRule="exact"/>
        <w:sectPr>
          <w:headerReference r:id="rId6" w:type="default"/>
          <w:footerReference r:id="rId7" w:type="default"/>
          <w:pgSz w:w="11909" w:h="16841"/>
          <w:pgMar w:top="1" w:right="0" w:bottom="1" w:left="0" w:header="0" w:footer="0" w:gutter="0"/>
          <w:cols w:space="720" w:num="1"/>
        </w:sectPr>
      </w:pPr>
    </w:p>
    <w:p w14:paraId="08CE9EF0">
      <w:pPr>
        <w:spacing w:line="16828" w:lineRule="exact"/>
      </w:pPr>
      <w:r>
        <w:rPr>
          <w:position w:val="-336"/>
        </w:rPr>
        <w:drawing>
          <wp:inline distT="0" distB="0" distL="0" distR="0">
            <wp:extent cx="7561580" cy="106857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4"/>
                    <a:stretch>
                      <a:fillRect/>
                    </a:stretch>
                  </pic:blipFill>
                  <pic:spPr>
                    <a:xfrm>
                      <a:off x="0" y="0"/>
                      <a:ext cx="7562088" cy="10685805"/>
                    </a:xfrm>
                    <a:prstGeom prst="rect">
                      <a:avLst/>
                    </a:prstGeom>
                  </pic:spPr>
                </pic:pic>
              </a:graphicData>
            </a:graphic>
          </wp:inline>
        </w:drawing>
      </w:r>
    </w:p>
    <w:p w14:paraId="1555ACBE">
      <w:pPr>
        <w:spacing w:line="16828" w:lineRule="exact"/>
        <w:sectPr>
          <w:pgSz w:w="11909" w:h="16841"/>
          <w:pgMar w:top="1" w:right="0" w:bottom="1" w:left="0" w:header="0" w:footer="0" w:gutter="0"/>
          <w:cols w:space="720" w:num="1"/>
        </w:sectPr>
      </w:pPr>
    </w:p>
    <w:p w14:paraId="1D3FA8D4">
      <w:pPr>
        <w:pStyle w:val="6"/>
        <w:spacing w:line="245" w:lineRule="auto"/>
      </w:pPr>
    </w:p>
    <w:p w14:paraId="16F446ED">
      <w:pPr>
        <w:pStyle w:val="6"/>
        <w:spacing w:line="245" w:lineRule="auto"/>
      </w:pPr>
    </w:p>
    <w:p w14:paraId="2BFF5DFE">
      <w:pPr>
        <w:pStyle w:val="6"/>
        <w:spacing w:line="246" w:lineRule="auto"/>
      </w:pPr>
    </w:p>
    <w:p w14:paraId="75B84D91">
      <w:pPr>
        <w:pStyle w:val="14"/>
        <w:adjustRightInd w:val="0"/>
        <w:snapToGrid w:val="0"/>
        <w:spacing w:before="0" w:beforeAutospacing="0" w:after="0" w:afterAutospacing="0"/>
        <w:jc w:val="center"/>
        <w:outlineLvl w:val="0"/>
        <w:rPr>
          <w:rFonts w:ascii="Times New Roman" w:hAnsi="Times New Roman"/>
          <w:b/>
          <w:bCs/>
          <w:snapToGrid w:val="0"/>
          <w:color w:val="000000"/>
          <w:sz w:val="28"/>
          <w:szCs w:val="28"/>
        </w:rPr>
      </w:pPr>
      <w:bookmarkStart w:id="0" w:name="_Toc95902486"/>
      <w:bookmarkStart w:id="1" w:name="_Toc99551033"/>
      <w:bookmarkStart w:id="2" w:name="_Toc99551039"/>
      <w:bookmarkStart w:id="3" w:name="_Toc95902492"/>
      <w:r>
        <w:rPr>
          <w:rFonts w:ascii="Times New Roman" w:hAnsi="Times New Roman"/>
          <w:b/>
          <w:bCs/>
          <w:snapToGrid w:val="0"/>
          <w:color w:val="000000"/>
          <w:sz w:val="28"/>
          <w:szCs w:val="28"/>
        </w:rPr>
        <w:t>一、建设项目基本情况</w:t>
      </w:r>
      <w:bookmarkEnd w:id="0"/>
      <w:bookmarkEnd w:id="1"/>
    </w:p>
    <w:tbl>
      <w:tblPr>
        <w:tblStyle w:val="16"/>
        <w:tblW w:w="494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91"/>
        <w:gridCol w:w="1073"/>
        <w:gridCol w:w="1620"/>
        <w:gridCol w:w="1702"/>
        <w:gridCol w:w="3066"/>
        <w:gridCol w:w="12"/>
      </w:tblGrid>
      <w:tr w14:paraId="66A16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497" w:hRule="atLeast"/>
          <w:jc w:val="center"/>
        </w:trPr>
        <w:tc>
          <w:tcPr>
            <w:tcW w:w="1348" w:type="pct"/>
            <w:gridSpan w:val="2"/>
            <w:noWrap w:val="0"/>
            <w:tcMar>
              <w:top w:w="16" w:type="dxa"/>
              <w:left w:w="16" w:type="dxa"/>
              <w:right w:w="16" w:type="dxa"/>
            </w:tcMar>
            <w:vAlign w:val="center"/>
          </w:tcPr>
          <w:p w14:paraId="15AD1C9D">
            <w:pPr>
              <w:adjustRightInd w:val="0"/>
              <w:snapToGrid w:val="0"/>
              <w:jc w:val="center"/>
              <w:rPr>
                <w:color w:val="000000"/>
              </w:rPr>
            </w:pPr>
            <w:r>
              <w:rPr>
                <w:color w:val="000000"/>
              </w:rPr>
              <w:t>建设项目名称</w:t>
            </w:r>
          </w:p>
        </w:tc>
        <w:tc>
          <w:tcPr>
            <w:tcW w:w="3644" w:type="pct"/>
            <w:gridSpan w:val="3"/>
            <w:noWrap w:val="0"/>
            <w:vAlign w:val="center"/>
          </w:tcPr>
          <w:p w14:paraId="323BC83B">
            <w:pPr>
              <w:adjustRightInd w:val="0"/>
              <w:snapToGrid w:val="0"/>
              <w:jc w:val="center"/>
              <w:rPr>
                <w:color w:val="000000"/>
              </w:rPr>
            </w:pPr>
            <w:r>
              <w:rPr>
                <w:rFonts w:hint="eastAsia"/>
                <w:color w:val="000000"/>
              </w:rPr>
              <w:t>新型环保高分子材料生产项目</w:t>
            </w:r>
          </w:p>
        </w:tc>
      </w:tr>
      <w:tr w14:paraId="485C7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497" w:hRule="atLeast"/>
          <w:jc w:val="center"/>
        </w:trPr>
        <w:tc>
          <w:tcPr>
            <w:tcW w:w="1348" w:type="pct"/>
            <w:gridSpan w:val="2"/>
            <w:noWrap w:val="0"/>
            <w:tcMar>
              <w:top w:w="16" w:type="dxa"/>
              <w:left w:w="16" w:type="dxa"/>
              <w:right w:w="16" w:type="dxa"/>
            </w:tcMar>
            <w:vAlign w:val="center"/>
          </w:tcPr>
          <w:p w14:paraId="1A0AACA1">
            <w:pPr>
              <w:adjustRightInd w:val="0"/>
              <w:snapToGrid w:val="0"/>
              <w:jc w:val="center"/>
              <w:rPr>
                <w:color w:val="000000"/>
              </w:rPr>
            </w:pPr>
            <w:r>
              <w:rPr>
                <w:color w:val="000000"/>
              </w:rPr>
              <w:t>项目代码</w:t>
            </w:r>
          </w:p>
        </w:tc>
        <w:tc>
          <w:tcPr>
            <w:tcW w:w="3644" w:type="pct"/>
            <w:gridSpan w:val="3"/>
            <w:noWrap w:val="0"/>
            <w:vAlign w:val="center"/>
          </w:tcPr>
          <w:p w14:paraId="192B3394">
            <w:pPr>
              <w:adjustRightInd w:val="0"/>
              <w:snapToGrid w:val="0"/>
              <w:jc w:val="center"/>
              <w:rPr>
                <w:rFonts w:hint="eastAsia"/>
                <w:color w:val="000000"/>
              </w:rPr>
            </w:pPr>
            <w:r>
              <w:rPr>
                <w:rFonts w:hint="eastAsia"/>
                <w:color w:val="000000"/>
              </w:rPr>
              <w:t>2601-500107-04-01-939690</w:t>
            </w:r>
          </w:p>
        </w:tc>
      </w:tr>
      <w:tr w14:paraId="6B6FF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497" w:hRule="atLeast"/>
          <w:jc w:val="center"/>
        </w:trPr>
        <w:tc>
          <w:tcPr>
            <w:tcW w:w="1348" w:type="pct"/>
            <w:gridSpan w:val="2"/>
            <w:noWrap w:val="0"/>
            <w:tcMar>
              <w:top w:w="16" w:type="dxa"/>
              <w:left w:w="16" w:type="dxa"/>
              <w:right w:w="16" w:type="dxa"/>
            </w:tcMar>
            <w:vAlign w:val="center"/>
          </w:tcPr>
          <w:p w14:paraId="6F53BED1">
            <w:pPr>
              <w:adjustRightInd w:val="0"/>
              <w:snapToGrid w:val="0"/>
              <w:jc w:val="center"/>
              <w:rPr>
                <w:color w:val="000000"/>
              </w:rPr>
            </w:pPr>
            <w:r>
              <w:rPr>
                <w:rFonts w:hint="eastAsia"/>
                <w:color w:val="000000"/>
              </w:rPr>
              <w:t>项目申报</w:t>
            </w:r>
            <w:r>
              <w:rPr>
                <w:color w:val="000000"/>
              </w:rPr>
              <w:t>单位联系人</w:t>
            </w:r>
          </w:p>
        </w:tc>
        <w:tc>
          <w:tcPr>
            <w:tcW w:w="924" w:type="pct"/>
            <w:noWrap w:val="0"/>
            <w:vAlign w:val="center"/>
          </w:tcPr>
          <w:p w14:paraId="64A1D0B3">
            <w:pPr>
              <w:adjustRightInd w:val="0"/>
              <w:snapToGrid w:val="0"/>
              <w:jc w:val="center"/>
              <w:rPr>
                <w:color w:val="000000"/>
              </w:rPr>
            </w:pPr>
            <w:r>
              <w:rPr>
                <w:rFonts w:hint="eastAsia"/>
                <w:color w:val="000000"/>
              </w:rPr>
              <w:t>吴玲</w:t>
            </w:r>
          </w:p>
        </w:tc>
        <w:tc>
          <w:tcPr>
            <w:tcW w:w="971" w:type="pct"/>
            <w:noWrap w:val="0"/>
            <w:vAlign w:val="center"/>
          </w:tcPr>
          <w:p w14:paraId="173136DC">
            <w:pPr>
              <w:adjustRightInd w:val="0"/>
              <w:snapToGrid w:val="0"/>
              <w:jc w:val="center"/>
              <w:rPr>
                <w:color w:val="000000"/>
              </w:rPr>
            </w:pPr>
            <w:r>
              <w:rPr>
                <w:color w:val="000000"/>
              </w:rPr>
              <w:t>联系方式</w:t>
            </w:r>
          </w:p>
        </w:tc>
        <w:tc>
          <w:tcPr>
            <w:tcW w:w="1747" w:type="pct"/>
            <w:noWrap w:val="0"/>
            <w:vAlign w:val="center"/>
          </w:tcPr>
          <w:p w14:paraId="0938D586">
            <w:pPr>
              <w:adjustRightInd w:val="0"/>
              <w:snapToGrid w:val="0"/>
              <w:jc w:val="center"/>
              <w:rPr>
                <w:color w:val="000000"/>
              </w:rPr>
            </w:pPr>
            <w:r>
              <w:rPr>
                <w:rFonts w:hint="eastAsia" w:ascii="Times New Roman" w:hAnsi="Times New Roman" w:eastAsia="宋体"/>
                <w:caps w:val="0"/>
                <w:smallCaps w:val="0"/>
                <w:color w:val="auto"/>
                <w:sz w:val="24"/>
                <w:lang w:val="en-US" w:eastAsia="zh-CN"/>
              </w:rPr>
              <w:t>13</w:t>
            </w:r>
            <w:r>
              <w:rPr>
                <w:rFonts w:hint="eastAsia"/>
                <w:caps w:val="0"/>
                <w:smallCaps w:val="0"/>
                <w:color w:val="auto"/>
                <w:sz w:val="24"/>
                <w:lang w:val="en-US" w:eastAsia="zh-CN"/>
              </w:rPr>
              <w:t>*******</w:t>
            </w:r>
            <w:r>
              <w:rPr>
                <w:rFonts w:hint="eastAsia" w:ascii="Times New Roman" w:hAnsi="Times New Roman" w:eastAsia="宋体"/>
                <w:caps w:val="0"/>
                <w:smallCaps w:val="0"/>
                <w:color w:val="auto"/>
                <w:sz w:val="24"/>
                <w:lang w:val="en-US" w:eastAsia="zh-CN"/>
              </w:rPr>
              <w:t>63</w:t>
            </w:r>
          </w:p>
        </w:tc>
      </w:tr>
      <w:tr w14:paraId="6D52E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497" w:hRule="atLeast"/>
          <w:jc w:val="center"/>
        </w:trPr>
        <w:tc>
          <w:tcPr>
            <w:tcW w:w="1348" w:type="pct"/>
            <w:gridSpan w:val="2"/>
            <w:noWrap w:val="0"/>
            <w:tcMar>
              <w:top w:w="16" w:type="dxa"/>
              <w:left w:w="16" w:type="dxa"/>
              <w:right w:w="16" w:type="dxa"/>
            </w:tcMar>
            <w:vAlign w:val="center"/>
          </w:tcPr>
          <w:p w14:paraId="1C838E14">
            <w:pPr>
              <w:adjustRightInd w:val="0"/>
              <w:snapToGrid w:val="0"/>
              <w:jc w:val="center"/>
              <w:rPr>
                <w:color w:val="000000"/>
              </w:rPr>
            </w:pPr>
            <w:r>
              <w:rPr>
                <w:color w:val="000000"/>
              </w:rPr>
              <w:t>建设地点</w:t>
            </w:r>
          </w:p>
        </w:tc>
        <w:tc>
          <w:tcPr>
            <w:tcW w:w="3644" w:type="pct"/>
            <w:gridSpan w:val="3"/>
            <w:noWrap w:val="0"/>
            <w:vAlign w:val="center"/>
          </w:tcPr>
          <w:p w14:paraId="1D13CD3B">
            <w:pPr>
              <w:adjustRightInd w:val="0"/>
              <w:snapToGrid w:val="0"/>
              <w:jc w:val="center"/>
              <w:rPr>
                <w:color w:val="000000"/>
              </w:rPr>
            </w:pPr>
            <w:r>
              <w:rPr>
                <w:rFonts w:hint="eastAsia"/>
                <w:color w:val="000000"/>
              </w:rPr>
              <w:t>九龙坡区西彭镇铝城大道</w:t>
            </w:r>
            <w:bookmarkStart w:id="50" w:name="_GoBack"/>
            <w:bookmarkEnd w:id="50"/>
            <w:r>
              <w:rPr>
                <w:rFonts w:hint="eastAsia"/>
                <w:color w:val="000000"/>
              </w:rPr>
              <w:t>86号附1号</w:t>
            </w:r>
          </w:p>
        </w:tc>
      </w:tr>
      <w:tr w14:paraId="017D9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497" w:hRule="atLeast"/>
          <w:jc w:val="center"/>
        </w:trPr>
        <w:tc>
          <w:tcPr>
            <w:tcW w:w="1348" w:type="pct"/>
            <w:gridSpan w:val="2"/>
            <w:noWrap w:val="0"/>
            <w:tcMar>
              <w:top w:w="16" w:type="dxa"/>
              <w:left w:w="16" w:type="dxa"/>
              <w:right w:w="16" w:type="dxa"/>
            </w:tcMar>
            <w:vAlign w:val="center"/>
          </w:tcPr>
          <w:p w14:paraId="0AE4F55E">
            <w:pPr>
              <w:adjustRightInd w:val="0"/>
              <w:snapToGrid w:val="0"/>
              <w:jc w:val="center"/>
              <w:rPr>
                <w:color w:val="000000"/>
              </w:rPr>
            </w:pPr>
            <w:r>
              <w:rPr>
                <w:color w:val="000000"/>
              </w:rPr>
              <w:t>地理坐标</w:t>
            </w:r>
          </w:p>
        </w:tc>
        <w:tc>
          <w:tcPr>
            <w:tcW w:w="3644" w:type="pct"/>
            <w:gridSpan w:val="3"/>
            <w:noWrap w:val="0"/>
            <w:vAlign w:val="center"/>
          </w:tcPr>
          <w:p w14:paraId="716AED3C">
            <w:pPr>
              <w:widowControl/>
              <w:textAlignment w:val="center"/>
              <w:rPr>
                <w:rFonts w:hint="eastAsia"/>
                <w:color w:val="000000"/>
              </w:rPr>
            </w:pPr>
            <w:r>
              <w:rPr>
                <w:rFonts w:hint="eastAsia"/>
                <w:color w:val="000000"/>
              </w:rPr>
              <w:t>经度</w:t>
            </w:r>
            <w:r>
              <w:rPr>
                <w:color w:val="000000"/>
                <w:u w:val="single"/>
              </w:rPr>
              <w:t>106度</w:t>
            </w:r>
            <w:r>
              <w:rPr>
                <w:rFonts w:hint="eastAsia"/>
                <w:color w:val="000000"/>
                <w:u w:val="single"/>
              </w:rPr>
              <w:t>19</w:t>
            </w:r>
            <w:r>
              <w:rPr>
                <w:color w:val="000000"/>
                <w:u w:val="single"/>
              </w:rPr>
              <w:t>分</w:t>
            </w:r>
            <w:r>
              <w:rPr>
                <w:rFonts w:hint="eastAsia"/>
                <w:color w:val="000000"/>
                <w:u w:val="single"/>
              </w:rPr>
              <w:t>12.571</w:t>
            </w:r>
            <w:r>
              <w:rPr>
                <w:color w:val="000000"/>
                <w:u w:val="single"/>
              </w:rPr>
              <w:t>秒</w:t>
            </w:r>
            <w:r>
              <w:rPr>
                <w:color w:val="000000"/>
              </w:rPr>
              <w:t>，</w:t>
            </w:r>
            <w:r>
              <w:rPr>
                <w:rFonts w:hint="eastAsia"/>
                <w:color w:val="000000"/>
              </w:rPr>
              <w:t>纬度</w:t>
            </w:r>
            <w:r>
              <w:rPr>
                <w:color w:val="000000"/>
                <w:u w:val="single"/>
              </w:rPr>
              <w:t>29度</w:t>
            </w:r>
            <w:r>
              <w:rPr>
                <w:rFonts w:hint="eastAsia"/>
                <w:color w:val="000000"/>
                <w:u w:val="single"/>
              </w:rPr>
              <w:t>16</w:t>
            </w:r>
            <w:r>
              <w:rPr>
                <w:color w:val="000000"/>
                <w:u w:val="single"/>
              </w:rPr>
              <w:t>分</w:t>
            </w:r>
            <w:r>
              <w:rPr>
                <w:rFonts w:hint="eastAsia"/>
                <w:color w:val="000000"/>
                <w:u w:val="single"/>
              </w:rPr>
              <w:t>52.397</w:t>
            </w:r>
            <w:r>
              <w:rPr>
                <w:color w:val="000000"/>
                <w:u w:val="single"/>
              </w:rPr>
              <w:t>秒</w:t>
            </w:r>
          </w:p>
        </w:tc>
      </w:tr>
      <w:tr w14:paraId="5A99D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561" w:hRule="atLeast"/>
          <w:jc w:val="center"/>
        </w:trPr>
        <w:tc>
          <w:tcPr>
            <w:tcW w:w="1348" w:type="pct"/>
            <w:gridSpan w:val="2"/>
            <w:noWrap w:val="0"/>
            <w:tcMar>
              <w:top w:w="16" w:type="dxa"/>
              <w:left w:w="16" w:type="dxa"/>
              <w:right w:w="16" w:type="dxa"/>
            </w:tcMar>
            <w:vAlign w:val="center"/>
          </w:tcPr>
          <w:p w14:paraId="4398A4B5">
            <w:pPr>
              <w:adjustRightInd w:val="0"/>
              <w:snapToGrid w:val="0"/>
              <w:jc w:val="center"/>
              <w:rPr>
                <w:color w:val="000000"/>
              </w:rPr>
            </w:pPr>
            <w:r>
              <w:rPr>
                <w:color w:val="000000"/>
              </w:rPr>
              <w:t>国民经济</w:t>
            </w:r>
          </w:p>
          <w:p w14:paraId="60A4DB96">
            <w:pPr>
              <w:adjustRightInd w:val="0"/>
              <w:snapToGrid w:val="0"/>
              <w:jc w:val="center"/>
              <w:rPr>
                <w:color w:val="000000"/>
              </w:rPr>
            </w:pPr>
            <w:r>
              <w:rPr>
                <w:color w:val="000000"/>
              </w:rPr>
              <w:t>行业类别</w:t>
            </w:r>
          </w:p>
        </w:tc>
        <w:tc>
          <w:tcPr>
            <w:tcW w:w="924" w:type="pct"/>
            <w:noWrap w:val="0"/>
            <w:vAlign w:val="center"/>
          </w:tcPr>
          <w:p w14:paraId="7CE15161">
            <w:pPr>
              <w:adjustRightInd w:val="0"/>
              <w:snapToGrid w:val="0"/>
              <w:jc w:val="center"/>
              <w:rPr>
                <w:rFonts w:hint="eastAsia"/>
                <w:color w:val="000000"/>
              </w:rPr>
            </w:pPr>
            <w:r>
              <w:rPr>
                <w:rFonts w:hint="eastAsia"/>
                <w:color w:val="000000"/>
              </w:rPr>
              <w:t>C2929塑料零件及其他塑料制品制造</w:t>
            </w:r>
          </w:p>
        </w:tc>
        <w:tc>
          <w:tcPr>
            <w:tcW w:w="971" w:type="pct"/>
            <w:noWrap w:val="0"/>
            <w:vAlign w:val="center"/>
          </w:tcPr>
          <w:p w14:paraId="1B6F498C">
            <w:pPr>
              <w:adjustRightInd w:val="0"/>
              <w:snapToGrid w:val="0"/>
              <w:jc w:val="center"/>
              <w:rPr>
                <w:color w:val="000000"/>
              </w:rPr>
            </w:pPr>
            <w:bookmarkStart w:id="4" w:name="_Hlk49843745"/>
            <w:r>
              <w:rPr>
                <w:color w:val="000000"/>
              </w:rPr>
              <w:t>建设项目</w:t>
            </w:r>
          </w:p>
          <w:bookmarkEnd w:id="4"/>
          <w:p w14:paraId="3467F0C0">
            <w:pPr>
              <w:adjustRightInd w:val="0"/>
              <w:snapToGrid w:val="0"/>
              <w:jc w:val="center"/>
              <w:rPr>
                <w:color w:val="000000"/>
              </w:rPr>
            </w:pPr>
            <w:r>
              <w:rPr>
                <w:color w:val="000000"/>
              </w:rPr>
              <w:t>行业类别</w:t>
            </w:r>
          </w:p>
        </w:tc>
        <w:tc>
          <w:tcPr>
            <w:tcW w:w="1747" w:type="pct"/>
            <w:noWrap w:val="0"/>
            <w:vAlign w:val="center"/>
          </w:tcPr>
          <w:p w14:paraId="444B8F4E">
            <w:pPr>
              <w:autoSpaceDE w:val="0"/>
              <w:autoSpaceDN w:val="0"/>
              <w:adjustRightInd w:val="0"/>
              <w:jc w:val="center"/>
              <w:rPr>
                <w:rFonts w:hint="eastAsia"/>
                <w:color w:val="000000"/>
              </w:rPr>
            </w:pPr>
            <w:r>
              <w:rPr>
                <w:rFonts w:hint="eastAsia"/>
                <w:color w:val="000000"/>
              </w:rPr>
              <w:t>二十六、橡胶和塑料制品业</w:t>
            </w:r>
          </w:p>
          <w:p w14:paraId="0F8942D6">
            <w:pPr>
              <w:autoSpaceDE w:val="0"/>
              <w:autoSpaceDN w:val="0"/>
              <w:adjustRightInd w:val="0"/>
              <w:jc w:val="center"/>
              <w:rPr>
                <w:rFonts w:hint="eastAsia"/>
                <w:color w:val="000000"/>
              </w:rPr>
            </w:pPr>
            <w:r>
              <w:rPr>
                <w:rFonts w:hint="eastAsia"/>
                <w:color w:val="000000"/>
              </w:rPr>
              <w:t>53塑料制品业</w:t>
            </w:r>
          </w:p>
        </w:tc>
      </w:tr>
      <w:tr w14:paraId="03A1F4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1219" w:hRule="atLeast"/>
          <w:jc w:val="center"/>
        </w:trPr>
        <w:tc>
          <w:tcPr>
            <w:tcW w:w="1348" w:type="pct"/>
            <w:gridSpan w:val="2"/>
            <w:noWrap w:val="0"/>
            <w:tcMar>
              <w:top w:w="16" w:type="dxa"/>
              <w:left w:w="16" w:type="dxa"/>
              <w:right w:w="16" w:type="dxa"/>
            </w:tcMar>
            <w:vAlign w:val="center"/>
          </w:tcPr>
          <w:p w14:paraId="5621AA75">
            <w:pPr>
              <w:adjustRightInd w:val="0"/>
              <w:snapToGrid w:val="0"/>
              <w:jc w:val="center"/>
              <w:rPr>
                <w:color w:val="000000"/>
              </w:rPr>
            </w:pPr>
            <w:r>
              <w:rPr>
                <w:color w:val="000000"/>
              </w:rPr>
              <w:t>建设性质</w:t>
            </w:r>
          </w:p>
        </w:tc>
        <w:tc>
          <w:tcPr>
            <w:tcW w:w="924" w:type="pct"/>
            <w:noWrap w:val="0"/>
            <w:vAlign w:val="center"/>
          </w:tcPr>
          <w:p w14:paraId="293815C8">
            <w:pPr>
              <w:jc w:val="left"/>
              <w:rPr>
                <w:color w:val="000000"/>
              </w:rPr>
            </w:pPr>
            <w:r>
              <w:rPr>
                <w:color w:val="000000"/>
              </w:rPr>
              <w:sym w:font="Wingdings 2" w:char="0052"/>
            </w:r>
            <w:r>
              <w:rPr>
                <w:color w:val="000000"/>
              </w:rPr>
              <w:t>新建（迁建）</w:t>
            </w:r>
          </w:p>
          <w:p w14:paraId="1BA2BFA0">
            <w:pPr>
              <w:jc w:val="left"/>
              <w:rPr>
                <w:color w:val="000000"/>
              </w:rPr>
            </w:pPr>
            <w:r>
              <w:rPr>
                <w:color w:val="000000"/>
              </w:rPr>
              <w:sym w:font="Wingdings 2" w:char="00A3"/>
            </w:r>
            <w:r>
              <w:rPr>
                <w:color w:val="000000"/>
              </w:rPr>
              <w:t>改建</w:t>
            </w:r>
          </w:p>
          <w:p w14:paraId="52497A5F">
            <w:pPr>
              <w:jc w:val="left"/>
              <w:rPr>
                <w:color w:val="000000"/>
              </w:rPr>
            </w:pPr>
            <w:r>
              <w:rPr>
                <w:rFonts w:hint="eastAsia"/>
                <w:color w:val="000000"/>
              </w:rPr>
              <w:t>□</w:t>
            </w:r>
            <w:r>
              <w:rPr>
                <w:color w:val="000000"/>
              </w:rPr>
              <w:t>扩建</w:t>
            </w:r>
          </w:p>
          <w:p w14:paraId="00A02FB2">
            <w:pPr>
              <w:jc w:val="left"/>
              <w:rPr>
                <w:color w:val="000000"/>
              </w:rPr>
            </w:pPr>
            <w:r>
              <w:rPr>
                <w:rFonts w:hint="eastAsia"/>
                <w:color w:val="000000"/>
              </w:rPr>
              <w:t>□</w:t>
            </w:r>
            <w:r>
              <w:rPr>
                <w:color w:val="000000"/>
              </w:rPr>
              <w:t>技术改造</w:t>
            </w:r>
          </w:p>
        </w:tc>
        <w:tc>
          <w:tcPr>
            <w:tcW w:w="971" w:type="pct"/>
            <w:noWrap w:val="0"/>
            <w:vAlign w:val="center"/>
          </w:tcPr>
          <w:p w14:paraId="44D3C1C3">
            <w:pPr>
              <w:adjustRightInd w:val="0"/>
              <w:snapToGrid w:val="0"/>
              <w:jc w:val="center"/>
              <w:rPr>
                <w:color w:val="000000"/>
              </w:rPr>
            </w:pPr>
            <w:r>
              <w:rPr>
                <w:color w:val="000000"/>
              </w:rPr>
              <w:t>建设项目</w:t>
            </w:r>
          </w:p>
          <w:p w14:paraId="33C4043E">
            <w:pPr>
              <w:adjustRightInd w:val="0"/>
              <w:snapToGrid w:val="0"/>
              <w:jc w:val="center"/>
              <w:rPr>
                <w:color w:val="000000"/>
              </w:rPr>
            </w:pPr>
            <w:r>
              <w:rPr>
                <w:color w:val="000000"/>
              </w:rPr>
              <w:t>申报情形</w:t>
            </w:r>
          </w:p>
        </w:tc>
        <w:tc>
          <w:tcPr>
            <w:tcW w:w="1747" w:type="pct"/>
            <w:noWrap w:val="0"/>
            <w:vAlign w:val="center"/>
          </w:tcPr>
          <w:p w14:paraId="36E6D0D4">
            <w:pPr>
              <w:jc w:val="left"/>
              <w:rPr>
                <w:color w:val="000000"/>
              </w:rPr>
            </w:pPr>
            <w:r>
              <w:rPr>
                <w:color w:val="000000"/>
              </w:rPr>
              <w:sym w:font="Wingdings 2" w:char="0052"/>
            </w:r>
            <w:r>
              <w:rPr>
                <w:color w:val="000000"/>
              </w:rPr>
              <w:t xml:space="preserve">首次申报项目             </w:t>
            </w:r>
          </w:p>
          <w:p w14:paraId="2C7A6F07">
            <w:pPr>
              <w:jc w:val="left"/>
              <w:rPr>
                <w:color w:val="000000"/>
              </w:rPr>
            </w:pPr>
            <w:r>
              <w:rPr>
                <w:rFonts w:hint="eastAsia"/>
                <w:color w:val="000000"/>
              </w:rPr>
              <w:t>□</w:t>
            </w:r>
            <w:r>
              <w:rPr>
                <w:color w:val="000000"/>
              </w:rPr>
              <w:t>不予批准后再次申报项目</w:t>
            </w:r>
          </w:p>
          <w:p w14:paraId="41001E7F">
            <w:pPr>
              <w:jc w:val="left"/>
              <w:rPr>
                <w:color w:val="000000"/>
              </w:rPr>
            </w:pPr>
            <w:r>
              <w:rPr>
                <w:rFonts w:hint="eastAsia"/>
                <w:color w:val="000000"/>
              </w:rPr>
              <w:t>□</w:t>
            </w:r>
            <w:r>
              <w:rPr>
                <w:color w:val="000000"/>
              </w:rPr>
              <w:t xml:space="preserve">超五年重新审核项目     </w:t>
            </w:r>
          </w:p>
          <w:p w14:paraId="1CDC7CED">
            <w:pPr>
              <w:jc w:val="left"/>
              <w:rPr>
                <w:color w:val="000000"/>
              </w:rPr>
            </w:pPr>
            <w:r>
              <w:rPr>
                <w:rFonts w:hint="eastAsia"/>
                <w:color w:val="000000"/>
              </w:rPr>
              <w:t>□</w:t>
            </w:r>
            <w:r>
              <w:rPr>
                <w:color w:val="000000"/>
              </w:rPr>
              <w:t>重大变动重新报批项目</w:t>
            </w:r>
          </w:p>
        </w:tc>
      </w:tr>
      <w:tr w14:paraId="5519A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1127" w:hRule="atLeast"/>
          <w:jc w:val="center"/>
        </w:trPr>
        <w:tc>
          <w:tcPr>
            <w:tcW w:w="1348" w:type="pct"/>
            <w:gridSpan w:val="2"/>
            <w:noWrap w:val="0"/>
            <w:tcMar>
              <w:top w:w="16" w:type="dxa"/>
              <w:left w:w="16" w:type="dxa"/>
              <w:right w:w="16" w:type="dxa"/>
            </w:tcMar>
            <w:vAlign w:val="center"/>
          </w:tcPr>
          <w:p w14:paraId="70D0398E">
            <w:pPr>
              <w:adjustRightInd w:val="0"/>
              <w:snapToGrid w:val="0"/>
              <w:jc w:val="center"/>
              <w:rPr>
                <w:color w:val="000000"/>
              </w:rPr>
            </w:pPr>
            <w:r>
              <w:rPr>
                <w:color w:val="000000"/>
              </w:rPr>
              <w:t>项目审批（核准/</w:t>
            </w:r>
          </w:p>
          <w:p w14:paraId="15279082">
            <w:pPr>
              <w:adjustRightInd w:val="0"/>
              <w:snapToGrid w:val="0"/>
              <w:jc w:val="center"/>
              <w:rPr>
                <w:color w:val="000000"/>
              </w:rPr>
            </w:pPr>
            <w:r>
              <w:rPr>
                <w:color w:val="000000"/>
              </w:rPr>
              <w:t>备案）部门（选填）</w:t>
            </w:r>
          </w:p>
        </w:tc>
        <w:tc>
          <w:tcPr>
            <w:tcW w:w="924" w:type="pct"/>
            <w:noWrap w:val="0"/>
            <w:vAlign w:val="center"/>
          </w:tcPr>
          <w:p w14:paraId="54DBA423">
            <w:pPr>
              <w:adjustRightInd w:val="0"/>
              <w:snapToGrid w:val="0"/>
              <w:jc w:val="center"/>
              <w:rPr>
                <w:rFonts w:hint="eastAsia"/>
                <w:color w:val="000000"/>
              </w:rPr>
            </w:pPr>
            <w:r>
              <w:rPr>
                <w:rFonts w:hint="eastAsia"/>
                <w:color w:val="000000"/>
              </w:rPr>
              <w:t>重庆市九龙坡区发展和改革委员会</w:t>
            </w:r>
          </w:p>
        </w:tc>
        <w:tc>
          <w:tcPr>
            <w:tcW w:w="971" w:type="pct"/>
            <w:noWrap w:val="0"/>
            <w:vAlign w:val="center"/>
          </w:tcPr>
          <w:p w14:paraId="55661EF1">
            <w:pPr>
              <w:adjustRightInd w:val="0"/>
              <w:snapToGrid w:val="0"/>
              <w:jc w:val="center"/>
              <w:rPr>
                <w:color w:val="000000"/>
              </w:rPr>
            </w:pPr>
            <w:r>
              <w:rPr>
                <w:color w:val="000000"/>
              </w:rPr>
              <w:t>项目审批（核准/</w:t>
            </w:r>
          </w:p>
          <w:p w14:paraId="17DD30A3">
            <w:pPr>
              <w:adjustRightInd w:val="0"/>
              <w:snapToGrid w:val="0"/>
              <w:jc w:val="center"/>
              <w:rPr>
                <w:color w:val="000000"/>
              </w:rPr>
            </w:pPr>
            <w:r>
              <w:rPr>
                <w:color w:val="000000"/>
              </w:rPr>
              <w:t>备案）文号（选填）</w:t>
            </w:r>
          </w:p>
        </w:tc>
        <w:tc>
          <w:tcPr>
            <w:tcW w:w="1747" w:type="pct"/>
            <w:noWrap w:val="0"/>
            <w:vAlign w:val="center"/>
          </w:tcPr>
          <w:p w14:paraId="1F7F4A97">
            <w:pPr>
              <w:adjustRightInd w:val="0"/>
              <w:snapToGrid w:val="0"/>
              <w:jc w:val="center"/>
              <w:rPr>
                <w:rFonts w:hint="eastAsia"/>
                <w:color w:val="000000"/>
              </w:rPr>
            </w:pPr>
            <w:r>
              <w:rPr>
                <w:rFonts w:hint="eastAsia"/>
                <w:color w:val="000000"/>
              </w:rPr>
              <w:t>2601-500107-04-01-939690</w:t>
            </w:r>
          </w:p>
        </w:tc>
      </w:tr>
      <w:tr w14:paraId="304DA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728" w:hRule="atLeast"/>
          <w:jc w:val="center"/>
        </w:trPr>
        <w:tc>
          <w:tcPr>
            <w:tcW w:w="1348" w:type="pct"/>
            <w:gridSpan w:val="2"/>
            <w:noWrap w:val="0"/>
            <w:tcMar>
              <w:top w:w="16" w:type="dxa"/>
              <w:left w:w="16" w:type="dxa"/>
              <w:right w:w="16" w:type="dxa"/>
            </w:tcMar>
            <w:vAlign w:val="center"/>
          </w:tcPr>
          <w:p w14:paraId="540AD8F8">
            <w:pPr>
              <w:adjustRightInd w:val="0"/>
              <w:snapToGrid w:val="0"/>
              <w:jc w:val="center"/>
              <w:rPr>
                <w:color w:val="000000"/>
              </w:rPr>
            </w:pPr>
            <w:r>
              <w:rPr>
                <w:color w:val="000000"/>
              </w:rPr>
              <w:t>总投资（万元）</w:t>
            </w:r>
          </w:p>
        </w:tc>
        <w:tc>
          <w:tcPr>
            <w:tcW w:w="924" w:type="pct"/>
            <w:noWrap w:val="0"/>
            <w:vAlign w:val="center"/>
          </w:tcPr>
          <w:p w14:paraId="31A4F05A">
            <w:pPr>
              <w:adjustRightInd w:val="0"/>
              <w:snapToGrid w:val="0"/>
              <w:jc w:val="center"/>
              <w:rPr>
                <w:color w:val="000000"/>
              </w:rPr>
            </w:pPr>
            <w:r>
              <w:rPr>
                <w:rFonts w:hint="eastAsia"/>
                <w:color w:val="000000"/>
              </w:rPr>
              <w:t>500</w:t>
            </w:r>
          </w:p>
        </w:tc>
        <w:tc>
          <w:tcPr>
            <w:tcW w:w="971" w:type="pct"/>
            <w:noWrap w:val="0"/>
            <w:tcMar>
              <w:top w:w="16" w:type="dxa"/>
              <w:left w:w="16" w:type="dxa"/>
              <w:right w:w="16" w:type="dxa"/>
            </w:tcMar>
            <w:vAlign w:val="center"/>
          </w:tcPr>
          <w:p w14:paraId="6A36FDF1">
            <w:pPr>
              <w:adjustRightInd w:val="0"/>
              <w:snapToGrid w:val="0"/>
              <w:jc w:val="center"/>
              <w:rPr>
                <w:color w:val="000000"/>
              </w:rPr>
            </w:pPr>
            <w:r>
              <w:rPr>
                <w:color w:val="000000"/>
              </w:rPr>
              <w:t>环保投资（万元）</w:t>
            </w:r>
          </w:p>
        </w:tc>
        <w:tc>
          <w:tcPr>
            <w:tcW w:w="1747" w:type="pct"/>
            <w:noWrap w:val="0"/>
            <w:vAlign w:val="center"/>
          </w:tcPr>
          <w:p w14:paraId="3088A1A0">
            <w:pPr>
              <w:adjustRightInd w:val="0"/>
              <w:snapToGrid w:val="0"/>
              <w:jc w:val="center"/>
              <w:rPr>
                <w:color w:val="000000"/>
              </w:rPr>
            </w:pPr>
            <w:r>
              <w:rPr>
                <w:rFonts w:hint="eastAsia"/>
                <w:color w:val="000000"/>
              </w:rPr>
              <w:t>30</w:t>
            </w:r>
          </w:p>
        </w:tc>
      </w:tr>
      <w:tr w14:paraId="2B64D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818" w:hRule="atLeast"/>
          <w:jc w:val="center"/>
        </w:trPr>
        <w:tc>
          <w:tcPr>
            <w:tcW w:w="1348" w:type="pct"/>
            <w:gridSpan w:val="2"/>
            <w:noWrap w:val="0"/>
            <w:tcMar>
              <w:top w:w="16" w:type="dxa"/>
              <w:left w:w="16" w:type="dxa"/>
              <w:right w:w="16" w:type="dxa"/>
            </w:tcMar>
            <w:vAlign w:val="center"/>
          </w:tcPr>
          <w:p w14:paraId="7215F324">
            <w:pPr>
              <w:adjustRightInd w:val="0"/>
              <w:snapToGrid w:val="0"/>
              <w:jc w:val="center"/>
              <w:rPr>
                <w:color w:val="000000"/>
              </w:rPr>
            </w:pPr>
            <w:r>
              <w:rPr>
                <w:color w:val="000000"/>
              </w:rPr>
              <w:t>环保投资占比（%）</w:t>
            </w:r>
          </w:p>
        </w:tc>
        <w:tc>
          <w:tcPr>
            <w:tcW w:w="924" w:type="pct"/>
            <w:noWrap w:val="0"/>
            <w:vAlign w:val="center"/>
          </w:tcPr>
          <w:p w14:paraId="6582D21F">
            <w:pPr>
              <w:adjustRightInd w:val="0"/>
              <w:snapToGrid w:val="0"/>
              <w:jc w:val="center"/>
              <w:rPr>
                <w:color w:val="000000"/>
              </w:rPr>
            </w:pPr>
            <w:r>
              <w:rPr>
                <w:rFonts w:hint="eastAsia"/>
                <w:color w:val="000000"/>
              </w:rPr>
              <w:t>6.00</w:t>
            </w:r>
          </w:p>
        </w:tc>
        <w:tc>
          <w:tcPr>
            <w:tcW w:w="971" w:type="pct"/>
            <w:noWrap w:val="0"/>
            <w:tcMar>
              <w:top w:w="16" w:type="dxa"/>
              <w:left w:w="16" w:type="dxa"/>
              <w:right w:w="16" w:type="dxa"/>
            </w:tcMar>
            <w:vAlign w:val="center"/>
          </w:tcPr>
          <w:p w14:paraId="6EFFE47C">
            <w:pPr>
              <w:adjustRightInd w:val="0"/>
              <w:snapToGrid w:val="0"/>
              <w:jc w:val="center"/>
              <w:rPr>
                <w:color w:val="000000"/>
              </w:rPr>
            </w:pPr>
            <w:r>
              <w:rPr>
                <w:rFonts w:hint="eastAsia"/>
                <w:color w:val="000000"/>
              </w:rPr>
              <w:t>施工工期</w:t>
            </w:r>
          </w:p>
        </w:tc>
        <w:tc>
          <w:tcPr>
            <w:tcW w:w="1747" w:type="pct"/>
            <w:noWrap w:val="0"/>
            <w:vAlign w:val="center"/>
          </w:tcPr>
          <w:p w14:paraId="609B7A69">
            <w:pPr>
              <w:adjustRightInd w:val="0"/>
              <w:snapToGrid w:val="0"/>
              <w:jc w:val="center"/>
              <w:rPr>
                <w:color w:val="000000"/>
              </w:rPr>
            </w:pPr>
            <w:r>
              <w:rPr>
                <w:rFonts w:hint="eastAsia"/>
                <w:color w:val="000000"/>
              </w:rPr>
              <w:t>3</w:t>
            </w:r>
            <w:r>
              <w:rPr>
                <w:color w:val="000000"/>
              </w:rPr>
              <w:t>个月</w:t>
            </w:r>
          </w:p>
        </w:tc>
      </w:tr>
      <w:tr w14:paraId="586D7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 w:type="pct"/>
          <w:trHeight w:val="90" w:hRule="atLeast"/>
          <w:jc w:val="center"/>
        </w:trPr>
        <w:tc>
          <w:tcPr>
            <w:tcW w:w="1348" w:type="pct"/>
            <w:gridSpan w:val="2"/>
            <w:noWrap w:val="0"/>
            <w:tcMar>
              <w:top w:w="16" w:type="dxa"/>
              <w:left w:w="16" w:type="dxa"/>
              <w:right w:w="16" w:type="dxa"/>
            </w:tcMar>
            <w:vAlign w:val="center"/>
          </w:tcPr>
          <w:p w14:paraId="4F4A5305">
            <w:pPr>
              <w:adjustRightInd w:val="0"/>
              <w:snapToGrid w:val="0"/>
              <w:jc w:val="center"/>
              <w:rPr>
                <w:color w:val="000000"/>
              </w:rPr>
            </w:pPr>
            <w:r>
              <w:rPr>
                <w:color w:val="000000"/>
              </w:rPr>
              <w:t>是否开工建设</w:t>
            </w:r>
          </w:p>
        </w:tc>
        <w:tc>
          <w:tcPr>
            <w:tcW w:w="924" w:type="pct"/>
            <w:noWrap w:val="0"/>
            <w:vAlign w:val="center"/>
          </w:tcPr>
          <w:p w14:paraId="5EAAE431">
            <w:pPr>
              <w:adjustRightInd w:val="0"/>
              <w:snapToGrid w:val="0"/>
              <w:rPr>
                <w:color w:val="000000"/>
              </w:rPr>
            </w:pPr>
            <w:r>
              <w:rPr>
                <w:color w:val="000000"/>
              </w:rPr>
              <w:sym w:font="Wingdings 2" w:char="0052"/>
            </w:r>
            <w:r>
              <w:rPr>
                <w:color w:val="000000"/>
              </w:rPr>
              <w:t>否</w:t>
            </w:r>
          </w:p>
          <w:p w14:paraId="34749AC9">
            <w:pPr>
              <w:adjustRightInd w:val="0"/>
              <w:snapToGrid w:val="0"/>
              <w:rPr>
                <w:color w:val="000000"/>
              </w:rPr>
            </w:pPr>
            <w:r>
              <w:rPr>
                <w:color w:val="000000"/>
              </w:rPr>
              <w:sym w:font="Wingdings 2" w:char="00A3"/>
            </w:r>
            <w:r>
              <w:rPr>
                <w:color w:val="000000"/>
              </w:rPr>
              <w:t>是</w:t>
            </w:r>
          </w:p>
        </w:tc>
        <w:tc>
          <w:tcPr>
            <w:tcW w:w="971" w:type="pct"/>
            <w:noWrap w:val="0"/>
            <w:tcMar>
              <w:top w:w="16" w:type="dxa"/>
              <w:left w:w="16" w:type="dxa"/>
              <w:right w:w="16" w:type="dxa"/>
            </w:tcMar>
            <w:vAlign w:val="center"/>
          </w:tcPr>
          <w:p w14:paraId="4BB35969">
            <w:pPr>
              <w:adjustRightInd w:val="0"/>
              <w:snapToGrid w:val="0"/>
              <w:jc w:val="center"/>
              <w:rPr>
                <w:color w:val="000000"/>
              </w:rPr>
            </w:pPr>
            <w:r>
              <w:rPr>
                <w:color w:val="000000"/>
                <w:spacing w:val="-6"/>
              </w:rPr>
              <w:t>用地面积（m</w:t>
            </w:r>
            <w:r>
              <w:rPr>
                <w:color w:val="000000"/>
                <w:spacing w:val="-6"/>
                <w:vertAlign w:val="superscript"/>
              </w:rPr>
              <w:t>2</w:t>
            </w:r>
            <w:r>
              <w:rPr>
                <w:color w:val="000000"/>
                <w:spacing w:val="-6"/>
              </w:rPr>
              <w:t>）</w:t>
            </w:r>
          </w:p>
        </w:tc>
        <w:tc>
          <w:tcPr>
            <w:tcW w:w="1747" w:type="pct"/>
            <w:noWrap w:val="0"/>
            <w:vAlign w:val="center"/>
          </w:tcPr>
          <w:p w14:paraId="1554E970">
            <w:pPr>
              <w:adjustRightInd w:val="0"/>
              <w:snapToGrid w:val="0"/>
              <w:jc w:val="center"/>
              <w:rPr>
                <w:color w:val="000000"/>
              </w:rPr>
            </w:pPr>
            <w:r>
              <w:rPr>
                <w:color w:val="000000"/>
              </w:rPr>
              <w:t>13688.1</w:t>
            </w:r>
            <w:r>
              <w:rPr>
                <w:rFonts w:hint="eastAsia"/>
                <w:color w:val="000000"/>
              </w:rPr>
              <w:t>（租赁，不新增用地）</w:t>
            </w:r>
          </w:p>
        </w:tc>
      </w:tr>
      <w:tr w14:paraId="00749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36" w:type="pct"/>
            <w:noWrap w:val="0"/>
            <w:vAlign w:val="center"/>
          </w:tcPr>
          <w:p w14:paraId="35D7A6DB">
            <w:pPr>
              <w:autoSpaceDE w:val="0"/>
              <w:autoSpaceDN w:val="0"/>
              <w:spacing w:line="360" w:lineRule="auto"/>
              <w:jc w:val="center"/>
              <w:rPr>
                <w:color w:val="000000"/>
              </w:rPr>
            </w:pPr>
            <w:r>
              <w:rPr>
                <w:color w:val="000000"/>
                <w:kern w:val="0"/>
              </w:rPr>
              <w:t>专项评价设置情况</w:t>
            </w:r>
          </w:p>
        </w:tc>
        <w:tc>
          <w:tcPr>
            <w:tcW w:w="4263" w:type="pct"/>
            <w:gridSpan w:val="5"/>
            <w:noWrap w:val="0"/>
            <w:vAlign w:val="center"/>
          </w:tcPr>
          <w:p w14:paraId="31746E52">
            <w:pPr>
              <w:pStyle w:val="14"/>
              <w:adjustRightInd w:val="0"/>
              <w:snapToGrid w:val="0"/>
              <w:spacing w:before="0" w:beforeAutospacing="0" w:after="0" w:afterAutospacing="0"/>
              <w:ind w:firstLine="420" w:firstLineChars="200"/>
              <w:jc w:val="center"/>
              <w:rPr>
                <w:rFonts w:hint="eastAsia" w:ascii="Times New Roman" w:hAnsi="Times New Roman"/>
                <w:color w:val="000000"/>
              </w:rPr>
            </w:pPr>
            <w:r>
              <w:rPr>
                <w:rFonts w:hint="eastAsia" w:ascii="Times New Roman" w:hAnsi="Times New Roman"/>
                <w:b/>
                <w:color w:val="000000"/>
                <w:sz w:val="21"/>
                <w:szCs w:val="21"/>
              </w:rPr>
              <w:t>表1-1 专项评价设置原则表</w:t>
            </w:r>
          </w:p>
          <w:tbl>
            <w:tblPr>
              <w:tblStyle w:val="16"/>
              <w:tblW w:w="7253"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023"/>
              <w:gridCol w:w="2530"/>
              <w:gridCol w:w="896"/>
            </w:tblGrid>
            <w:tr w14:paraId="7E61C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22CE0EBF">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专项评价的类别</w:t>
                  </w:r>
                </w:p>
              </w:tc>
              <w:tc>
                <w:tcPr>
                  <w:tcW w:w="2084" w:type="pct"/>
                  <w:noWrap w:val="0"/>
                  <w:vAlign w:val="center"/>
                </w:tcPr>
                <w:p w14:paraId="20DD28B1">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设置原则</w:t>
                  </w:r>
                </w:p>
              </w:tc>
              <w:tc>
                <w:tcPr>
                  <w:tcW w:w="1744" w:type="pct"/>
                  <w:noWrap w:val="0"/>
                  <w:vAlign w:val="center"/>
                </w:tcPr>
                <w:p w14:paraId="30BE978B">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hint="eastAsia" w:ascii="Times New Roman" w:hAnsi="Times New Roman"/>
                      <w:color w:val="000000"/>
                      <w:sz w:val="21"/>
                      <w:szCs w:val="21"/>
                    </w:rPr>
                    <w:t>本项目</w:t>
                  </w:r>
                </w:p>
              </w:tc>
              <w:tc>
                <w:tcPr>
                  <w:tcW w:w="616" w:type="pct"/>
                  <w:noWrap w:val="0"/>
                  <w:vAlign w:val="center"/>
                </w:tcPr>
                <w:p w14:paraId="0DA662FF">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hint="eastAsia" w:ascii="Times New Roman" w:hAnsi="Times New Roman"/>
                      <w:color w:val="000000"/>
                      <w:sz w:val="21"/>
                      <w:szCs w:val="21"/>
                    </w:rPr>
                    <w:t>是否开展专项评价</w:t>
                  </w:r>
                </w:p>
              </w:tc>
            </w:tr>
            <w:tr w14:paraId="15D2B2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20067FD5">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大气</w:t>
                  </w:r>
                </w:p>
              </w:tc>
              <w:tc>
                <w:tcPr>
                  <w:tcW w:w="2084" w:type="pct"/>
                  <w:noWrap w:val="0"/>
                  <w:vAlign w:val="center"/>
                </w:tcPr>
                <w:p w14:paraId="62CCAFDF">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ascii="Times New Roman" w:hAnsi="Times New Roman"/>
                      <w:color w:val="000000"/>
                      <w:sz w:val="21"/>
                      <w:szCs w:val="21"/>
                    </w:rPr>
                    <w:t>排放废气含有毒有害污染物</w:t>
                  </w:r>
                  <w:r>
                    <w:rPr>
                      <w:rFonts w:ascii="Times New Roman" w:hAnsi="Times New Roman"/>
                      <w:color w:val="000000"/>
                      <w:sz w:val="21"/>
                      <w:szCs w:val="21"/>
                      <w:vertAlign w:val="superscript"/>
                    </w:rPr>
                    <w:t>1</w:t>
                  </w:r>
                  <w:r>
                    <w:rPr>
                      <w:rFonts w:ascii="Times New Roman" w:hAnsi="Times New Roman"/>
                      <w:color w:val="000000"/>
                      <w:sz w:val="21"/>
                      <w:szCs w:val="21"/>
                    </w:rPr>
                    <w:t>、二噁英、苯并[a]芘、氰化物、氯气且厂界外500米范围内有环境空气保护目标</w:t>
                  </w:r>
                  <w:r>
                    <w:rPr>
                      <w:rFonts w:ascii="Times New Roman" w:hAnsi="Times New Roman"/>
                      <w:color w:val="000000"/>
                      <w:sz w:val="21"/>
                      <w:szCs w:val="21"/>
                      <w:vertAlign w:val="superscript"/>
                    </w:rPr>
                    <w:t>2</w:t>
                  </w:r>
                  <w:r>
                    <w:rPr>
                      <w:rFonts w:ascii="Times New Roman" w:hAnsi="Times New Roman"/>
                      <w:color w:val="000000"/>
                      <w:sz w:val="21"/>
                      <w:szCs w:val="21"/>
                    </w:rPr>
                    <w:t>的建设项目</w:t>
                  </w:r>
                  <w:r>
                    <w:rPr>
                      <w:rFonts w:hint="eastAsia" w:ascii="Times New Roman" w:hAnsi="Times New Roman"/>
                      <w:color w:val="000000"/>
                      <w:sz w:val="21"/>
                      <w:szCs w:val="21"/>
                    </w:rPr>
                    <w:t>。</w:t>
                  </w:r>
                </w:p>
              </w:tc>
              <w:tc>
                <w:tcPr>
                  <w:tcW w:w="1744" w:type="pct"/>
                  <w:noWrap w:val="0"/>
                  <w:vAlign w:val="center"/>
                </w:tcPr>
                <w:p w14:paraId="6FBE4C5F">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hint="eastAsia" w:ascii="Times New Roman" w:hAnsi="Times New Roman"/>
                      <w:color w:val="000000"/>
                      <w:sz w:val="21"/>
                      <w:szCs w:val="21"/>
                    </w:rPr>
                    <w:t>本项目</w:t>
                  </w:r>
                  <w:r>
                    <w:rPr>
                      <w:rFonts w:ascii="Times New Roman" w:hAnsi="Times New Roman"/>
                      <w:color w:val="000000"/>
                      <w:sz w:val="21"/>
                      <w:szCs w:val="21"/>
                    </w:rPr>
                    <w:t>营运期废气污染物因子主要为</w:t>
                  </w:r>
                  <w:r>
                    <w:rPr>
                      <w:rFonts w:hint="eastAsia" w:ascii="Times New Roman" w:hAnsi="Times New Roman"/>
                      <w:color w:val="000000"/>
                      <w:sz w:val="21"/>
                      <w:szCs w:val="21"/>
                    </w:rPr>
                    <w:t>粉尘、</w:t>
                  </w:r>
                  <w:r>
                    <w:rPr>
                      <w:rFonts w:ascii="Times New Roman" w:hAnsi="Times New Roman"/>
                      <w:color w:val="000000"/>
                      <w:sz w:val="21"/>
                      <w:szCs w:val="21"/>
                    </w:rPr>
                    <w:t>氯化氢、</w:t>
                  </w:r>
                  <w:r>
                    <w:rPr>
                      <w:rFonts w:hint="eastAsia" w:ascii="Times New Roman" w:hAnsi="Times New Roman"/>
                      <w:color w:val="000000"/>
                      <w:sz w:val="21"/>
                      <w:szCs w:val="21"/>
                    </w:rPr>
                    <w:t>氯乙烯、非甲烷总烃、臭气浓度</w:t>
                  </w:r>
                  <w:r>
                    <w:rPr>
                      <w:rFonts w:ascii="Times New Roman" w:hAnsi="Times New Roman"/>
                      <w:color w:val="000000"/>
                      <w:sz w:val="21"/>
                      <w:szCs w:val="21"/>
                    </w:rPr>
                    <w:t>，不属于有毒有害污染物</w:t>
                  </w:r>
                  <w:r>
                    <w:rPr>
                      <w:rFonts w:hint="eastAsia" w:ascii="Times New Roman" w:hAnsi="Times New Roman"/>
                      <w:color w:val="000000"/>
                      <w:sz w:val="21"/>
                      <w:szCs w:val="21"/>
                    </w:rPr>
                    <w:t>。</w:t>
                  </w:r>
                </w:p>
              </w:tc>
              <w:tc>
                <w:tcPr>
                  <w:tcW w:w="616" w:type="pct"/>
                  <w:noWrap w:val="0"/>
                  <w:vAlign w:val="center"/>
                </w:tcPr>
                <w:p w14:paraId="073130CF">
                  <w:pPr>
                    <w:adjustRightInd w:val="0"/>
                    <w:snapToGrid w:val="0"/>
                    <w:jc w:val="center"/>
                    <w:rPr>
                      <w:rFonts w:hint="eastAsia"/>
                      <w:color w:val="000000"/>
                      <w:sz w:val="21"/>
                      <w:szCs w:val="21"/>
                    </w:rPr>
                  </w:pPr>
                  <w:r>
                    <w:rPr>
                      <w:rFonts w:hint="eastAsia"/>
                      <w:color w:val="000000"/>
                      <w:sz w:val="21"/>
                      <w:szCs w:val="21"/>
                    </w:rPr>
                    <w:t>否</w:t>
                  </w:r>
                </w:p>
              </w:tc>
            </w:tr>
            <w:tr w14:paraId="7C6170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1D754D00">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地表水</w:t>
                  </w:r>
                </w:p>
              </w:tc>
              <w:tc>
                <w:tcPr>
                  <w:tcW w:w="2084" w:type="pct"/>
                  <w:noWrap w:val="0"/>
                  <w:vAlign w:val="center"/>
                </w:tcPr>
                <w:p w14:paraId="4BBF54E6">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ascii="Times New Roman" w:hAnsi="Times New Roman"/>
                      <w:color w:val="000000"/>
                      <w:sz w:val="21"/>
                      <w:szCs w:val="21"/>
                    </w:rPr>
                    <w:t>新增工业废水直排建设项目（槽罐车外送污水处理厂的除外）；新增废水直排的污水集中处理厂</w:t>
                  </w:r>
                  <w:r>
                    <w:rPr>
                      <w:rFonts w:hint="eastAsia" w:ascii="Times New Roman" w:hAnsi="Times New Roman"/>
                      <w:color w:val="000000"/>
                      <w:sz w:val="21"/>
                      <w:szCs w:val="21"/>
                    </w:rPr>
                    <w:t>。</w:t>
                  </w:r>
                </w:p>
              </w:tc>
              <w:tc>
                <w:tcPr>
                  <w:tcW w:w="1744" w:type="pct"/>
                  <w:noWrap w:val="0"/>
                  <w:vAlign w:val="center"/>
                </w:tcPr>
                <w:p w14:paraId="2CC31634">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hint="eastAsia" w:ascii="Times New Roman" w:hAnsi="Times New Roman"/>
                      <w:color w:val="000000"/>
                      <w:sz w:val="21"/>
                      <w:szCs w:val="21"/>
                    </w:rPr>
                    <w:t>本项目不属于工业废水直排建设项目。</w:t>
                  </w:r>
                </w:p>
              </w:tc>
              <w:tc>
                <w:tcPr>
                  <w:tcW w:w="616" w:type="pct"/>
                  <w:noWrap w:val="0"/>
                  <w:vAlign w:val="center"/>
                </w:tcPr>
                <w:p w14:paraId="5568481D">
                  <w:pPr>
                    <w:adjustRightInd w:val="0"/>
                    <w:snapToGrid w:val="0"/>
                    <w:jc w:val="center"/>
                    <w:rPr>
                      <w:rFonts w:hint="eastAsia"/>
                      <w:color w:val="000000"/>
                      <w:sz w:val="21"/>
                      <w:szCs w:val="21"/>
                    </w:rPr>
                  </w:pPr>
                  <w:r>
                    <w:rPr>
                      <w:rFonts w:hint="eastAsia"/>
                      <w:color w:val="000000"/>
                      <w:sz w:val="21"/>
                      <w:szCs w:val="21"/>
                    </w:rPr>
                    <w:t>否</w:t>
                  </w:r>
                </w:p>
              </w:tc>
            </w:tr>
            <w:tr w14:paraId="204A1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0807488D">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环境风险</w:t>
                  </w:r>
                </w:p>
              </w:tc>
              <w:tc>
                <w:tcPr>
                  <w:tcW w:w="2084" w:type="pct"/>
                  <w:noWrap w:val="0"/>
                  <w:vAlign w:val="center"/>
                </w:tcPr>
                <w:p w14:paraId="351E1824">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ascii="Times New Roman" w:hAnsi="Times New Roman"/>
                      <w:color w:val="000000"/>
                      <w:sz w:val="21"/>
                      <w:szCs w:val="21"/>
                    </w:rPr>
                    <w:t>有毒有害和易燃易爆危险物质存储量超过临界量</w:t>
                  </w:r>
                  <w:r>
                    <w:rPr>
                      <w:rFonts w:ascii="Times New Roman" w:hAnsi="Times New Roman"/>
                      <w:color w:val="000000"/>
                      <w:sz w:val="21"/>
                      <w:szCs w:val="21"/>
                      <w:vertAlign w:val="superscript"/>
                    </w:rPr>
                    <w:t>3</w:t>
                  </w:r>
                  <w:r>
                    <w:rPr>
                      <w:rFonts w:ascii="Times New Roman" w:hAnsi="Times New Roman"/>
                      <w:color w:val="000000"/>
                      <w:sz w:val="21"/>
                      <w:szCs w:val="21"/>
                    </w:rPr>
                    <w:t>的建设项目</w:t>
                  </w:r>
                  <w:r>
                    <w:rPr>
                      <w:rFonts w:hint="eastAsia" w:ascii="Times New Roman" w:hAnsi="Times New Roman"/>
                      <w:color w:val="000000"/>
                      <w:sz w:val="21"/>
                      <w:szCs w:val="21"/>
                    </w:rPr>
                    <w:t>。</w:t>
                  </w:r>
                </w:p>
              </w:tc>
              <w:tc>
                <w:tcPr>
                  <w:tcW w:w="1744" w:type="pct"/>
                  <w:noWrap w:val="0"/>
                  <w:vAlign w:val="center"/>
                </w:tcPr>
                <w:p w14:paraId="424BD195">
                  <w:pPr>
                    <w:pStyle w:val="14"/>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本项目</w:t>
                  </w:r>
                  <w:r>
                    <w:rPr>
                      <w:rFonts w:ascii="Times New Roman" w:hAnsi="Times New Roman"/>
                      <w:color w:val="000000"/>
                      <w:sz w:val="21"/>
                      <w:szCs w:val="21"/>
                    </w:rPr>
                    <w:t>Q</w:t>
                  </w:r>
                  <w:r>
                    <w:rPr>
                      <w:rFonts w:hint="eastAsia" w:ascii="Times New Roman" w:hAnsi="Times New Roman"/>
                      <w:color w:val="000000"/>
                      <w:sz w:val="21"/>
                      <w:szCs w:val="21"/>
                    </w:rPr>
                    <w:t>值为0.6</w:t>
                  </w:r>
                  <w:r>
                    <w:rPr>
                      <w:rFonts w:ascii="Times New Roman" w:hAnsi="Times New Roman"/>
                      <w:color w:val="000000"/>
                      <w:sz w:val="21"/>
                      <w:szCs w:val="21"/>
                    </w:rPr>
                    <w:t>&lt;1</w:t>
                  </w:r>
                  <w:r>
                    <w:rPr>
                      <w:rFonts w:hint="eastAsia" w:ascii="Times New Roman" w:hAnsi="Times New Roman"/>
                      <w:color w:val="000000"/>
                      <w:sz w:val="21"/>
                      <w:szCs w:val="21"/>
                    </w:rPr>
                    <w:t>，未超过临界量。</w:t>
                  </w:r>
                </w:p>
              </w:tc>
              <w:tc>
                <w:tcPr>
                  <w:tcW w:w="616" w:type="pct"/>
                  <w:noWrap w:val="0"/>
                  <w:vAlign w:val="center"/>
                </w:tcPr>
                <w:p w14:paraId="52217D30">
                  <w:pPr>
                    <w:adjustRightInd w:val="0"/>
                    <w:snapToGrid w:val="0"/>
                    <w:jc w:val="center"/>
                    <w:rPr>
                      <w:rFonts w:hint="eastAsia"/>
                      <w:color w:val="000000"/>
                      <w:sz w:val="21"/>
                      <w:szCs w:val="21"/>
                    </w:rPr>
                  </w:pPr>
                  <w:r>
                    <w:rPr>
                      <w:rFonts w:hint="eastAsia"/>
                      <w:color w:val="000000"/>
                      <w:sz w:val="21"/>
                      <w:szCs w:val="21"/>
                    </w:rPr>
                    <w:t>否</w:t>
                  </w:r>
                </w:p>
              </w:tc>
            </w:tr>
            <w:tr w14:paraId="1687F8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689CA722">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生态</w:t>
                  </w:r>
                </w:p>
              </w:tc>
              <w:tc>
                <w:tcPr>
                  <w:tcW w:w="2084" w:type="pct"/>
                  <w:noWrap w:val="0"/>
                  <w:vAlign w:val="center"/>
                </w:tcPr>
                <w:p w14:paraId="0035CDEB">
                  <w:pPr>
                    <w:autoSpaceDE w:val="0"/>
                    <w:autoSpaceDN w:val="0"/>
                    <w:adjustRightInd w:val="0"/>
                    <w:jc w:val="center"/>
                    <w:rPr>
                      <w:rFonts w:hint="eastAsia"/>
                      <w:color w:val="000000"/>
                      <w:sz w:val="21"/>
                      <w:szCs w:val="21"/>
                    </w:rPr>
                  </w:pPr>
                  <w:r>
                    <w:rPr>
                      <w:color w:val="000000"/>
                      <w:sz w:val="21"/>
                      <w:szCs w:val="21"/>
                    </w:rPr>
                    <w:t>取水口下游500米范围内有重要水生生物的自然产卵场、索饵场、越冬场和洄游通道的新增河道取水的污染类建设项目</w:t>
                  </w:r>
                  <w:r>
                    <w:rPr>
                      <w:rFonts w:hint="eastAsia"/>
                      <w:color w:val="000000"/>
                      <w:sz w:val="21"/>
                      <w:szCs w:val="21"/>
                    </w:rPr>
                    <w:t>。</w:t>
                  </w:r>
                </w:p>
              </w:tc>
              <w:tc>
                <w:tcPr>
                  <w:tcW w:w="1744" w:type="pct"/>
                  <w:noWrap w:val="0"/>
                  <w:vAlign w:val="center"/>
                </w:tcPr>
                <w:p w14:paraId="111F607D">
                  <w:pPr>
                    <w:pStyle w:val="14"/>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不涉及</w:t>
                  </w:r>
                </w:p>
              </w:tc>
              <w:tc>
                <w:tcPr>
                  <w:tcW w:w="616" w:type="pct"/>
                  <w:noWrap w:val="0"/>
                  <w:vAlign w:val="center"/>
                </w:tcPr>
                <w:p w14:paraId="0B3F4928">
                  <w:pPr>
                    <w:adjustRightInd w:val="0"/>
                    <w:snapToGrid w:val="0"/>
                    <w:jc w:val="center"/>
                    <w:rPr>
                      <w:rFonts w:hint="eastAsia"/>
                      <w:color w:val="000000"/>
                      <w:sz w:val="21"/>
                      <w:szCs w:val="21"/>
                    </w:rPr>
                  </w:pPr>
                  <w:r>
                    <w:rPr>
                      <w:rFonts w:hint="eastAsia"/>
                      <w:color w:val="000000"/>
                      <w:sz w:val="21"/>
                      <w:szCs w:val="21"/>
                    </w:rPr>
                    <w:t>否</w:t>
                  </w:r>
                </w:p>
              </w:tc>
            </w:tr>
            <w:tr w14:paraId="5058CF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noWrap w:val="0"/>
                  <w:vAlign w:val="center"/>
                </w:tcPr>
                <w:p w14:paraId="5248224F">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海洋</w:t>
                  </w:r>
                </w:p>
              </w:tc>
              <w:tc>
                <w:tcPr>
                  <w:tcW w:w="2084" w:type="pct"/>
                  <w:noWrap w:val="0"/>
                  <w:vAlign w:val="center"/>
                </w:tcPr>
                <w:p w14:paraId="266068E7">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ascii="Times New Roman" w:hAnsi="Times New Roman"/>
                      <w:color w:val="000000"/>
                      <w:sz w:val="21"/>
                      <w:szCs w:val="21"/>
                    </w:rPr>
                    <w:t>直接向海排放污染物的海洋工程建设项目</w:t>
                  </w:r>
                  <w:r>
                    <w:rPr>
                      <w:rFonts w:hint="eastAsia" w:ascii="Times New Roman" w:hAnsi="Times New Roman"/>
                      <w:color w:val="000000"/>
                      <w:sz w:val="21"/>
                      <w:szCs w:val="21"/>
                    </w:rPr>
                    <w:t>。</w:t>
                  </w:r>
                </w:p>
              </w:tc>
              <w:tc>
                <w:tcPr>
                  <w:tcW w:w="1744" w:type="pct"/>
                  <w:noWrap w:val="0"/>
                  <w:vAlign w:val="center"/>
                </w:tcPr>
                <w:p w14:paraId="03452872">
                  <w:pPr>
                    <w:pStyle w:val="14"/>
                    <w:adjustRightInd w:val="0"/>
                    <w:snapToGrid w:val="0"/>
                    <w:spacing w:before="0" w:beforeAutospacing="0" w:after="0" w:afterAutospacing="0"/>
                    <w:jc w:val="center"/>
                    <w:rPr>
                      <w:rFonts w:hint="eastAsia" w:ascii="Times New Roman" w:hAnsi="Times New Roman"/>
                      <w:color w:val="000000"/>
                      <w:sz w:val="21"/>
                      <w:szCs w:val="21"/>
                    </w:rPr>
                  </w:pPr>
                  <w:r>
                    <w:rPr>
                      <w:rFonts w:hint="eastAsia" w:ascii="Times New Roman" w:hAnsi="Times New Roman"/>
                      <w:color w:val="000000"/>
                      <w:sz w:val="21"/>
                      <w:szCs w:val="21"/>
                    </w:rPr>
                    <w:t>不涉及</w:t>
                  </w:r>
                </w:p>
              </w:tc>
              <w:tc>
                <w:tcPr>
                  <w:tcW w:w="616" w:type="pct"/>
                  <w:noWrap w:val="0"/>
                  <w:vAlign w:val="center"/>
                </w:tcPr>
                <w:p w14:paraId="7427BDCC">
                  <w:pPr>
                    <w:adjustRightInd w:val="0"/>
                    <w:snapToGrid w:val="0"/>
                    <w:jc w:val="center"/>
                    <w:rPr>
                      <w:rFonts w:hint="eastAsia"/>
                      <w:color w:val="000000"/>
                      <w:sz w:val="21"/>
                      <w:szCs w:val="21"/>
                    </w:rPr>
                  </w:pPr>
                  <w:r>
                    <w:rPr>
                      <w:rFonts w:hint="eastAsia"/>
                      <w:color w:val="000000"/>
                      <w:sz w:val="21"/>
                      <w:szCs w:val="21"/>
                    </w:rPr>
                    <w:t>否</w:t>
                  </w:r>
                </w:p>
              </w:tc>
            </w:tr>
            <w:tr w14:paraId="2DEEA1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3B04D666">
                  <w:pPr>
                    <w:autoSpaceDE w:val="0"/>
                    <w:autoSpaceDN w:val="0"/>
                    <w:adjustRightInd w:val="0"/>
                    <w:rPr>
                      <w:color w:val="000000"/>
                      <w:szCs w:val="21"/>
                    </w:rPr>
                  </w:pPr>
                  <w:r>
                    <w:rPr>
                      <w:color w:val="000000"/>
                      <w:sz w:val="21"/>
                      <w:szCs w:val="18"/>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54734608">
            <w:pPr>
              <w:autoSpaceDE w:val="0"/>
              <w:autoSpaceDN w:val="0"/>
              <w:spacing w:line="360" w:lineRule="auto"/>
              <w:rPr>
                <w:rFonts w:hint="eastAsia"/>
                <w:color w:val="000000"/>
                <w:kern w:val="0"/>
              </w:rPr>
            </w:pPr>
            <w:r>
              <w:rPr>
                <w:rFonts w:hint="eastAsia"/>
                <w:color w:val="000000"/>
              </w:rPr>
              <w:t>由上表可知，本项目无需设置专项评价。</w:t>
            </w:r>
          </w:p>
        </w:tc>
      </w:tr>
      <w:tr w14:paraId="2DA11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pct"/>
            <w:noWrap w:val="0"/>
            <w:vAlign w:val="center"/>
          </w:tcPr>
          <w:p w14:paraId="4B966834">
            <w:pPr>
              <w:autoSpaceDE w:val="0"/>
              <w:autoSpaceDN w:val="0"/>
              <w:spacing w:line="360" w:lineRule="auto"/>
              <w:jc w:val="center"/>
              <w:rPr>
                <w:color w:val="000000"/>
                <w:kern w:val="0"/>
              </w:rPr>
            </w:pPr>
            <w:r>
              <w:rPr>
                <w:color w:val="000000"/>
              </w:rPr>
              <w:t>规划情况</w:t>
            </w:r>
          </w:p>
        </w:tc>
        <w:tc>
          <w:tcPr>
            <w:tcW w:w="4263" w:type="pct"/>
            <w:gridSpan w:val="5"/>
            <w:noWrap w:val="0"/>
            <w:vAlign w:val="center"/>
          </w:tcPr>
          <w:p w14:paraId="1B99B161">
            <w:pPr>
              <w:widowControl/>
              <w:overflowPunct w:val="0"/>
              <w:topLinePunct/>
              <w:adjustRightInd w:val="0"/>
              <w:spacing w:line="420" w:lineRule="exact"/>
              <w:rPr>
                <w:b/>
                <w:bCs/>
                <w:color w:val="000000"/>
                <w:lang w:bidi="ar"/>
              </w:rPr>
            </w:pPr>
            <w:r>
              <w:rPr>
                <w:b/>
                <w:bCs/>
                <w:color w:val="000000"/>
                <w:lang w:bidi="ar"/>
              </w:rPr>
              <w:t>规划名称：</w:t>
            </w:r>
            <w:r>
              <w:rPr>
                <w:color w:val="000000"/>
                <w:lang w:bidi="ar"/>
              </w:rPr>
              <w:t>《西部（重庆）科学城九龙新城园区规划》（2024年9月）</w:t>
            </w:r>
          </w:p>
          <w:p w14:paraId="2806CF36">
            <w:pPr>
              <w:widowControl/>
              <w:overflowPunct w:val="0"/>
              <w:topLinePunct/>
              <w:adjustRightInd w:val="0"/>
              <w:spacing w:line="420" w:lineRule="exact"/>
              <w:rPr>
                <w:color w:val="000000"/>
                <w:lang w:bidi="ar"/>
              </w:rPr>
            </w:pPr>
            <w:r>
              <w:rPr>
                <w:b/>
                <w:bCs/>
                <w:color w:val="000000"/>
                <w:lang w:bidi="ar"/>
              </w:rPr>
              <w:t>审查机关：</w:t>
            </w:r>
            <w:r>
              <w:rPr>
                <w:color w:val="000000"/>
                <w:lang w:bidi="ar"/>
              </w:rPr>
              <w:t>重庆市人民政府</w:t>
            </w:r>
          </w:p>
          <w:p w14:paraId="4682B92D">
            <w:pPr>
              <w:widowControl/>
              <w:overflowPunct w:val="0"/>
              <w:topLinePunct/>
              <w:adjustRightInd w:val="0"/>
              <w:spacing w:line="420" w:lineRule="exact"/>
              <w:rPr>
                <w:rFonts w:hint="eastAsia"/>
                <w:color w:val="000000"/>
                <w:kern w:val="0"/>
              </w:rPr>
            </w:pPr>
            <w:r>
              <w:rPr>
                <w:b/>
                <w:bCs/>
                <w:color w:val="000000"/>
                <w:lang w:bidi="ar"/>
              </w:rPr>
              <w:t>审查文件名称及文号：</w:t>
            </w:r>
            <w:r>
              <w:rPr>
                <w:color w:val="000000"/>
                <w:lang w:bidi="ar"/>
              </w:rPr>
              <w:t>《重庆市人民政府关于同意整合设立西部（重庆）科学城九龙新城园区及核准规划建设范围的批复》（渝府〔2024〕68号）</w:t>
            </w:r>
          </w:p>
        </w:tc>
      </w:tr>
      <w:tr w14:paraId="12E898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pct"/>
            <w:noWrap w:val="0"/>
            <w:vAlign w:val="center"/>
          </w:tcPr>
          <w:p w14:paraId="3EC63173">
            <w:pPr>
              <w:adjustRightInd w:val="0"/>
              <w:snapToGrid w:val="0"/>
              <w:spacing w:line="360" w:lineRule="auto"/>
              <w:jc w:val="center"/>
              <w:rPr>
                <w:color w:val="000000"/>
                <w:kern w:val="0"/>
              </w:rPr>
            </w:pPr>
            <w:r>
              <w:rPr>
                <w:color w:val="000000"/>
              </w:rPr>
              <w:t>规划环境影响评价情况</w:t>
            </w:r>
          </w:p>
        </w:tc>
        <w:tc>
          <w:tcPr>
            <w:tcW w:w="4263" w:type="pct"/>
            <w:gridSpan w:val="5"/>
            <w:noWrap w:val="0"/>
            <w:vAlign w:val="center"/>
          </w:tcPr>
          <w:p w14:paraId="212A3BE1">
            <w:pPr>
              <w:widowControl/>
              <w:overflowPunct w:val="0"/>
              <w:topLinePunct/>
              <w:adjustRightInd w:val="0"/>
              <w:spacing w:line="420" w:lineRule="exact"/>
              <w:rPr>
                <w:color w:val="000000"/>
                <w:lang w:bidi="ar"/>
              </w:rPr>
            </w:pPr>
            <w:r>
              <w:rPr>
                <w:b/>
                <w:bCs/>
                <w:color w:val="000000"/>
                <w:lang w:bidi="ar"/>
              </w:rPr>
              <w:t>规划环境影响评价文件名称：</w:t>
            </w:r>
            <w:r>
              <w:rPr>
                <w:color w:val="000000"/>
                <w:lang w:bidi="ar"/>
              </w:rPr>
              <w:t>《西部（重庆）科学城九龙新城园区规划环境影响报告书》；</w:t>
            </w:r>
          </w:p>
          <w:p w14:paraId="75DE6D91">
            <w:pPr>
              <w:widowControl/>
              <w:overflowPunct w:val="0"/>
              <w:topLinePunct/>
              <w:adjustRightInd w:val="0"/>
              <w:spacing w:line="420" w:lineRule="exact"/>
              <w:rPr>
                <w:color w:val="000000"/>
                <w:lang w:bidi="ar"/>
              </w:rPr>
            </w:pPr>
            <w:r>
              <w:rPr>
                <w:b/>
                <w:bCs/>
                <w:color w:val="000000"/>
                <w:lang w:bidi="ar"/>
              </w:rPr>
              <w:t>召集审查机关：</w:t>
            </w:r>
            <w:r>
              <w:rPr>
                <w:color w:val="000000"/>
                <w:lang w:bidi="ar"/>
              </w:rPr>
              <w:t>重庆市生态环境局；</w:t>
            </w:r>
          </w:p>
          <w:p w14:paraId="167D2A8E">
            <w:pPr>
              <w:widowControl/>
              <w:overflowPunct w:val="0"/>
              <w:topLinePunct/>
              <w:adjustRightInd w:val="0"/>
              <w:spacing w:line="420" w:lineRule="exact"/>
              <w:rPr>
                <w:color w:val="000000"/>
                <w:lang w:bidi="ar"/>
              </w:rPr>
            </w:pPr>
            <w:r>
              <w:rPr>
                <w:b/>
                <w:bCs/>
                <w:color w:val="000000"/>
                <w:lang w:bidi="ar"/>
              </w:rPr>
              <w:t>审查文件名称及文号：</w:t>
            </w:r>
            <w:r>
              <w:rPr>
                <w:color w:val="000000"/>
                <w:lang w:bidi="ar"/>
              </w:rPr>
              <w:t>《重庆市生态环境局关于西部（重庆）科学城九龙新城园区规划环境影响报告书审查意见的函》（渝环函〔2025〕421号）。</w:t>
            </w:r>
          </w:p>
          <w:p w14:paraId="40D388B8">
            <w:pPr>
              <w:widowControl/>
              <w:overflowPunct w:val="0"/>
              <w:topLinePunct/>
              <w:adjustRightInd w:val="0"/>
              <w:spacing w:line="420" w:lineRule="exact"/>
              <w:rPr>
                <w:rFonts w:hint="eastAsia"/>
                <w:color w:val="000000"/>
                <w:kern w:val="0"/>
              </w:rPr>
            </w:pPr>
            <w:r>
              <w:rPr>
                <w:b/>
                <w:bCs/>
                <w:color w:val="000000"/>
                <w:lang w:bidi="ar"/>
              </w:rPr>
              <w:t>审查时间：</w:t>
            </w:r>
            <w:r>
              <w:rPr>
                <w:color w:val="000000"/>
                <w:lang w:bidi="ar"/>
              </w:rPr>
              <w:t>2025年10月24日</w:t>
            </w:r>
          </w:p>
        </w:tc>
      </w:tr>
      <w:tr w14:paraId="10CBCD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736" w:type="pct"/>
            <w:noWrap w:val="0"/>
            <w:vAlign w:val="center"/>
          </w:tcPr>
          <w:p w14:paraId="082FFB6A">
            <w:pPr>
              <w:adjustRightInd w:val="0"/>
              <w:snapToGrid w:val="0"/>
              <w:spacing w:line="360" w:lineRule="auto"/>
              <w:jc w:val="center"/>
              <w:rPr>
                <w:color w:val="000000"/>
              </w:rPr>
            </w:pPr>
            <w:r>
              <w:rPr>
                <w:color w:val="000000"/>
                <w:kern w:val="0"/>
              </w:rPr>
              <w:t>规划及规划环境影响评价符合性分析</w:t>
            </w:r>
          </w:p>
        </w:tc>
        <w:tc>
          <w:tcPr>
            <w:tcW w:w="4263" w:type="pct"/>
            <w:gridSpan w:val="5"/>
            <w:noWrap w:val="0"/>
            <w:vAlign w:val="center"/>
          </w:tcPr>
          <w:p w14:paraId="70F4F1D8">
            <w:pPr>
              <w:pStyle w:val="3"/>
              <w:overflowPunct w:val="0"/>
              <w:topLinePunct/>
              <w:adjustRightInd w:val="0"/>
              <w:spacing w:before="0" w:after="0" w:line="420" w:lineRule="exact"/>
              <w:rPr>
                <w:color w:val="000000"/>
                <w:sz w:val="24"/>
                <w:szCs w:val="24"/>
              </w:rPr>
            </w:pPr>
            <w:r>
              <w:rPr>
                <w:color w:val="000000"/>
                <w:sz w:val="24"/>
                <w:szCs w:val="24"/>
              </w:rPr>
              <w:t>1.1与园区规划符合性分析</w:t>
            </w:r>
          </w:p>
          <w:p w14:paraId="3802479D">
            <w:pPr>
              <w:widowControl/>
              <w:overflowPunct w:val="0"/>
              <w:topLinePunct/>
              <w:adjustRightInd w:val="0"/>
              <w:spacing w:line="420" w:lineRule="exact"/>
              <w:ind w:firstLine="420" w:firstLineChars="200"/>
              <w:rPr>
                <w:color w:val="000000"/>
                <w:lang w:bidi="ar"/>
              </w:rPr>
            </w:pPr>
            <w:r>
              <w:rPr>
                <w:color w:val="000000"/>
                <w:lang w:bidi="ar"/>
              </w:rPr>
              <w:t>根据《西部（重庆）科学城九龙新城园区规划》及《重庆市人民政府关于同意整合设立西部（重庆）科学城九龙新城园区及核准规划建设范围的批复》（渝府〔2024〕68号），九龙新城园区共包括五个组团7个区块，即西彭组团（批复文件中西彭区块）、陶家组团（批复文件中陶家区块）、铜罐驿组团（批复文件中铜罐驿区块）、华岩-二郎组团（批复文件中二郎区块和华岩区块）和环杨家坪新经济组团（批复文件中石桥铺区块和黄桷坪区块），规划总面积为34.02km</w:t>
            </w:r>
            <w:r>
              <w:rPr>
                <w:color w:val="000000"/>
                <w:vertAlign w:val="superscript"/>
                <w:lang w:bidi="ar"/>
              </w:rPr>
              <w:t>2</w:t>
            </w:r>
            <w:r>
              <w:rPr>
                <w:color w:val="000000"/>
                <w:lang w:bidi="ar"/>
              </w:rPr>
              <w:t>。</w:t>
            </w:r>
          </w:p>
          <w:p w14:paraId="6ECC3968">
            <w:pPr>
              <w:widowControl/>
              <w:overflowPunct w:val="0"/>
              <w:topLinePunct/>
              <w:adjustRightInd w:val="0"/>
              <w:spacing w:line="420" w:lineRule="exact"/>
              <w:ind w:firstLine="420" w:firstLineChars="200"/>
              <w:rPr>
                <w:color w:val="000000"/>
                <w:lang w:bidi="ar"/>
              </w:rPr>
            </w:pPr>
            <w:r>
              <w:rPr>
                <w:rFonts w:hint="eastAsia"/>
                <w:color w:val="000000"/>
              </w:rPr>
              <w:t>西彭组团规划面积1499.15hm</w:t>
            </w:r>
            <w:r>
              <w:rPr>
                <w:rFonts w:hint="eastAsia"/>
                <w:color w:val="000000"/>
                <w:vertAlign w:val="superscript"/>
              </w:rPr>
              <w:t>2</w:t>
            </w:r>
            <w:r>
              <w:rPr>
                <w:rFonts w:hint="eastAsia"/>
                <w:color w:val="000000"/>
              </w:rPr>
              <w:t>，规划</w:t>
            </w:r>
            <w:r>
              <w:rPr>
                <w:rFonts w:hint="eastAsia"/>
                <w:color w:val="000000"/>
                <w:lang w:bidi="ar"/>
              </w:rPr>
              <w:t>范围</w:t>
            </w:r>
            <w:r>
              <w:rPr>
                <w:rFonts w:hint="eastAsia"/>
                <w:color w:val="000000"/>
              </w:rPr>
              <w:t>东至冬帽路，南至黄磏港，西至成渝环线高速西彭互通，北至西彭体育公园。该组团重点发展有色金属冶炼和压延加工业、通用设备制造业、新材料制造业。</w:t>
            </w:r>
          </w:p>
          <w:p w14:paraId="79DAA17D">
            <w:pPr>
              <w:widowControl/>
              <w:overflowPunct w:val="0"/>
              <w:topLinePunct/>
              <w:adjustRightInd w:val="0"/>
              <w:spacing w:line="420" w:lineRule="exact"/>
              <w:ind w:firstLine="420" w:firstLineChars="200"/>
              <w:rPr>
                <w:color w:val="000000"/>
                <w:lang w:bidi="ar"/>
              </w:rPr>
            </w:pPr>
            <w:r>
              <w:rPr>
                <w:rFonts w:hint="eastAsia"/>
                <w:color w:val="000000"/>
                <w:lang w:bidi="ar"/>
              </w:rPr>
              <w:t>本项目</w:t>
            </w:r>
            <w:r>
              <w:rPr>
                <w:color w:val="000000"/>
                <w:lang w:bidi="ar"/>
              </w:rPr>
              <w:t>为</w:t>
            </w:r>
            <w:r>
              <w:rPr>
                <w:color w:val="000000"/>
              </w:rPr>
              <w:t>C</w:t>
            </w:r>
            <w:r>
              <w:rPr>
                <w:rFonts w:hint="eastAsia"/>
                <w:color w:val="000000"/>
              </w:rPr>
              <w:t>2929塑料零件及其他</w:t>
            </w:r>
            <w:r>
              <w:rPr>
                <w:rFonts w:hint="eastAsia"/>
                <w:color w:val="000000"/>
                <w:lang w:bidi="ar"/>
              </w:rPr>
              <w:t>塑料</w:t>
            </w:r>
            <w:r>
              <w:rPr>
                <w:rFonts w:hint="eastAsia"/>
                <w:color w:val="000000"/>
              </w:rPr>
              <w:t>制品制造</w:t>
            </w:r>
            <w:r>
              <w:rPr>
                <w:color w:val="000000"/>
              </w:rPr>
              <w:t>，</w:t>
            </w:r>
            <w:r>
              <w:rPr>
                <w:color w:val="000000"/>
                <w:lang w:bidi="ar"/>
              </w:rPr>
              <w:t>位于</w:t>
            </w:r>
            <w:r>
              <w:rPr>
                <w:rFonts w:hint="eastAsia"/>
                <w:color w:val="000000"/>
              </w:rPr>
              <w:t>九龙坡区西彭镇铝城大道86号附1号</w:t>
            </w:r>
            <w:r>
              <w:rPr>
                <w:color w:val="000000"/>
                <w:lang w:bidi="ar"/>
              </w:rPr>
              <w:t>，在西部（重庆）科学城九龙新城园区西彭组团范围内；</w:t>
            </w:r>
            <w:r>
              <w:rPr>
                <w:rFonts w:hint="eastAsia"/>
                <w:color w:val="000000"/>
              </w:rPr>
              <w:t>本项目生产的</w:t>
            </w:r>
            <w:r>
              <w:rPr>
                <w:color w:val="000000"/>
              </w:rPr>
              <w:t>电缆料</w:t>
            </w:r>
            <w:r>
              <w:rPr>
                <w:rFonts w:hint="eastAsia"/>
                <w:color w:val="000000"/>
              </w:rPr>
              <w:t>具有环保、高阻燃性、性能均衡等特点</w:t>
            </w:r>
            <w:r>
              <w:rPr>
                <w:color w:val="000000"/>
                <w:lang w:bidi="ar"/>
              </w:rPr>
              <w:t>，属于</w:t>
            </w:r>
            <w:r>
              <w:rPr>
                <w:rFonts w:hint="eastAsia"/>
                <w:color w:val="000000"/>
              </w:rPr>
              <w:t>西彭组团</w:t>
            </w:r>
            <w:r>
              <w:rPr>
                <w:color w:val="000000"/>
                <w:lang w:bidi="ar"/>
              </w:rPr>
              <w:t>主导产业中</w:t>
            </w:r>
            <w:r>
              <w:rPr>
                <w:rFonts w:hint="eastAsia"/>
                <w:color w:val="000000"/>
                <w:lang w:bidi="ar"/>
              </w:rPr>
              <w:t>的</w:t>
            </w:r>
            <w:r>
              <w:rPr>
                <w:rFonts w:hint="eastAsia"/>
                <w:color w:val="000000"/>
              </w:rPr>
              <w:t>新材料制造业</w:t>
            </w:r>
            <w:r>
              <w:rPr>
                <w:color w:val="000000"/>
                <w:lang w:bidi="ar"/>
              </w:rPr>
              <w:t>，符合西部（重庆）科学城九龙新城园区</w:t>
            </w:r>
            <w:r>
              <w:rPr>
                <w:rFonts w:hint="eastAsia"/>
                <w:color w:val="000000"/>
              </w:rPr>
              <w:t>西彭组团</w:t>
            </w:r>
            <w:r>
              <w:rPr>
                <w:color w:val="000000"/>
                <w:lang w:bidi="ar"/>
              </w:rPr>
              <w:t>产业发展定位要求。</w:t>
            </w:r>
          </w:p>
          <w:p w14:paraId="492B57F4">
            <w:pPr>
              <w:pStyle w:val="3"/>
              <w:overflowPunct w:val="0"/>
              <w:topLinePunct/>
              <w:adjustRightInd w:val="0"/>
              <w:spacing w:before="0" w:after="0" w:line="420" w:lineRule="exact"/>
              <w:rPr>
                <w:color w:val="000000"/>
                <w:sz w:val="24"/>
                <w:szCs w:val="24"/>
              </w:rPr>
            </w:pPr>
            <w:r>
              <w:rPr>
                <w:color w:val="000000"/>
                <w:sz w:val="24"/>
                <w:szCs w:val="24"/>
              </w:rPr>
              <w:t>1.2与《西部（重庆）科学城九龙新城园区规划环境影响报告书》符合性分析</w:t>
            </w:r>
          </w:p>
          <w:p w14:paraId="57EEA6A9">
            <w:pPr>
              <w:widowControl/>
              <w:overflowPunct w:val="0"/>
              <w:topLinePunct/>
              <w:adjustRightInd w:val="0"/>
              <w:spacing w:line="420" w:lineRule="exact"/>
              <w:ind w:firstLine="420" w:firstLineChars="200"/>
              <w:rPr>
                <w:color w:val="000000"/>
                <w:lang w:bidi="ar"/>
              </w:rPr>
            </w:pPr>
            <w:r>
              <w:rPr>
                <w:color w:val="000000"/>
                <w:lang w:bidi="ar"/>
              </w:rPr>
              <w:t>根据《西部（重庆）科学城九龙新城园区规划环境影响报告书》，</w:t>
            </w:r>
            <w:r>
              <w:rPr>
                <w:rFonts w:hint="eastAsia"/>
                <w:color w:val="000000"/>
                <w:lang w:bidi="ar"/>
              </w:rPr>
              <w:t>本项目</w:t>
            </w:r>
            <w:r>
              <w:rPr>
                <w:color w:val="000000"/>
                <w:lang w:bidi="ar"/>
              </w:rPr>
              <w:t>位于西部（重庆）科学城九龙新城园区</w:t>
            </w:r>
            <w:r>
              <w:rPr>
                <w:rFonts w:hint="eastAsia"/>
                <w:color w:val="000000"/>
                <w:lang w:bidi="ar"/>
              </w:rPr>
              <w:t>西彭组团</w:t>
            </w:r>
            <w:r>
              <w:rPr>
                <w:color w:val="000000"/>
                <w:lang w:bidi="ar"/>
              </w:rPr>
              <w:t>内，</w:t>
            </w:r>
            <w:r>
              <w:rPr>
                <w:rFonts w:hint="eastAsia"/>
                <w:color w:val="000000"/>
                <w:lang w:bidi="ar"/>
              </w:rPr>
              <w:t>本项目</w:t>
            </w:r>
            <w:r>
              <w:rPr>
                <w:color w:val="000000"/>
                <w:lang w:bidi="ar"/>
              </w:rPr>
              <w:t>与《西部（重庆）科学城九龙新城园区规划环境影响报告书》提出的生态环境准入要求符合性见表1-2。</w:t>
            </w:r>
          </w:p>
          <w:p w14:paraId="0C40268B">
            <w:pPr>
              <w:widowControl/>
              <w:overflowPunct w:val="0"/>
              <w:topLinePunct/>
              <w:adjustRightInd w:val="0"/>
              <w:spacing w:line="420" w:lineRule="exact"/>
              <w:ind w:firstLine="420" w:firstLineChars="200"/>
              <w:rPr>
                <w:color w:val="000000"/>
                <w:lang w:bidi="ar"/>
              </w:rPr>
            </w:pPr>
            <w:r>
              <w:rPr>
                <w:rFonts w:hint="eastAsia"/>
                <w:color w:val="000000"/>
                <w:lang w:bidi="ar"/>
              </w:rPr>
              <w:t>根据表中分析可知</w:t>
            </w:r>
            <w:r>
              <w:rPr>
                <w:color w:val="000000"/>
                <w:lang w:bidi="ar"/>
              </w:rPr>
              <w:t>，</w:t>
            </w:r>
            <w:r>
              <w:rPr>
                <w:rFonts w:hint="eastAsia"/>
                <w:color w:val="000000"/>
                <w:lang w:bidi="ar"/>
              </w:rPr>
              <w:t>本项目</w:t>
            </w:r>
            <w:r>
              <w:rPr>
                <w:color w:val="000000"/>
                <w:lang w:bidi="ar"/>
              </w:rPr>
              <w:t>位于西部（重庆）科学城九龙新城园区</w:t>
            </w:r>
            <w:r>
              <w:rPr>
                <w:rFonts w:hint="eastAsia"/>
                <w:color w:val="000000"/>
                <w:lang w:bidi="ar"/>
              </w:rPr>
              <w:t>西彭组团</w:t>
            </w:r>
            <w:r>
              <w:rPr>
                <w:color w:val="000000"/>
                <w:lang w:bidi="ar"/>
              </w:rPr>
              <w:t>，为</w:t>
            </w:r>
            <w:r>
              <w:rPr>
                <w:rFonts w:hint="eastAsia"/>
                <w:color w:val="000000"/>
              </w:rPr>
              <w:t>塑料制品制造</w:t>
            </w:r>
            <w:r>
              <w:rPr>
                <w:color w:val="000000"/>
                <w:lang w:bidi="ar"/>
              </w:rPr>
              <w:t>项目，属于</w:t>
            </w:r>
            <w:r>
              <w:rPr>
                <w:rFonts w:hint="eastAsia"/>
                <w:color w:val="000000"/>
                <w:lang w:bidi="ar"/>
              </w:rPr>
              <w:t>西彭组团</w:t>
            </w:r>
            <w:r>
              <w:rPr>
                <w:color w:val="000000"/>
                <w:lang w:bidi="ar"/>
              </w:rPr>
              <w:t>主导产业中</w:t>
            </w:r>
            <w:r>
              <w:rPr>
                <w:rFonts w:hint="eastAsia"/>
                <w:color w:val="000000"/>
                <w:lang w:bidi="ar"/>
              </w:rPr>
              <w:t>的</w:t>
            </w:r>
            <w:r>
              <w:rPr>
                <w:rFonts w:hint="eastAsia"/>
                <w:color w:val="000000"/>
                <w:sz w:val="26"/>
                <w:szCs w:val="26"/>
              </w:rPr>
              <w:t>新材料制造业</w:t>
            </w:r>
            <w:r>
              <w:rPr>
                <w:color w:val="000000"/>
                <w:lang w:bidi="ar"/>
              </w:rPr>
              <w:t>，无国家现行产业政策明令禁止或淘汰的产业及工艺项目</w:t>
            </w:r>
            <w:r>
              <w:rPr>
                <w:rFonts w:hint="eastAsia"/>
                <w:color w:val="000000"/>
                <w:lang w:bidi="ar"/>
              </w:rPr>
              <w:t>，</w:t>
            </w:r>
            <w:r>
              <w:rPr>
                <w:color w:val="000000"/>
                <w:lang w:bidi="ar"/>
              </w:rPr>
              <w:t>符合《西部（重庆）科学城九龙新城园区规划环境影响报告书》相关要求。</w:t>
            </w:r>
          </w:p>
          <w:p w14:paraId="01079F8C">
            <w:pPr>
              <w:widowControl/>
              <w:overflowPunct w:val="0"/>
              <w:topLinePunct/>
              <w:adjustRightInd w:val="0"/>
              <w:spacing w:line="420" w:lineRule="exact"/>
              <w:ind w:firstLine="420" w:firstLineChars="200"/>
              <w:rPr>
                <w:rFonts w:hint="eastAsia"/>
                <w:color w:val="000000"/>
              </w:rPr>
            </w:pPr>
          </w:p>
        </w:tc>
      </w:tr>
    </w:tbl>
    <w:p w14:paraId="07B588DA">
      <w:pPr>
        <w:rPr>
          <w:color w:val="000000"/>
        </w:rPr>
      </w:pPr>
    </w:p>
    <w:p w14:paraId="1D2A0397">
      <w:pPr>
        <w:widowControl/>
        <w:overflowPunct w:val="0"/>
        <w:topLinePunct/>
        <w:adjustRightInd w:val="0"/>
        <w:spacing w:line="360" w:lineRule="auto"/>
        <w:jc w:val="center"/>
        <w:rPr>
          <w:b/>
          <w:bCs/>
          <w:color w:val="000000"/>
          <w:sz w:val="22"/>
          <w:szCs w:val="22"/>
          <w:lang w:bidi="ar"/>
        </w:rPr>
        <w:sectPr>
          <w:footerReference r:id="rId8" w:type="default"/>
          <w:pgSz w:w="11905" w:h="16838"/>
          <w:pgMar w:top="1440" w:right="1531" w:bottom="1440" w:left="1531" w:header="851" w:footer="992" w:gutter="0"/>
          <w:pgNumType w:start="1"/>
          <w:cols w:space="720" w:num="1"/>
          <w:docGrid w:type="lines" w:linePitch="312" w:charSpace="0"/>
        </w:sectPr>
      </w:pPr>
    </w:p>
    <w:p w14:paraId="1CD67077">
      <w:pPr>
        <w:widowControl/>
        <w:overflowPunct w:val="0"/>
        <w:topLinePunct/>
        <w:adjustRightInd w:val="0"/>
        <w:spacing w:line="360" w:lineRule="auto"/>
        <w:jc w:val="center"/>
        <w:rPr>
          <w:color w:val="000000"/>
          <w:lang w:bidi="ar"/>
        </w:rPr>
      </w:pPr>
      <w:r>
        <w:rPr>
          <w:b/>
          <w:bCs/>
          <w:color w:val="000000"/>
          <w:sz w:val="22"/>
          <w:szCs w:val="22"/>
          <w:lang w:bidi="ar"/>
        </w:rPr>
        <w:t>表1-2</w:t>
      </w:r>
      <w:r>
        <w:rPr>
          <w:rFonts w:hint="eastAsia"/>
          <w:b/>
          <w:bCs/>
          <w:color w:val="000000"/>
          <w:sz w:val="22"/>
          <w:szCs w:val="22"/>
          <w:lang w:bidi="ar"/>
        </w:rPr>
        <w:t xml:space="preserve">  </w:t>
      </w:r>
      <w:r>
        <w:rPr>
          <w:b/>
          <w:bCs/>
          <w:color w:val="000000"/>
          <w:sz w:val="22"/>
          <w:szCs w:val="22"/>
          <w:lang w:bidi="ar"/>
        </w:rPr>
        <w:t>与规划环评符合性分析</w:t>
      </w:r>
    </w:p>
    <w:tbl>
      <w:tblPr>
        <w:tblStyle w:val="16"/>
        <w:tblW w:w="4989"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28" w:type="dxa"/>
          <w:bottom w:w="0" w:type="dxa"/>
          <w:right w:w="28" w:type="dxa"/>
        </w:tblCellMar>
      </w:tblPr>
      <w:tblGrid>
        <w:gridCol w:w="1097"/>
        <w:gridCol w:w="6947"/>
        <w:gridCol w:w="4977"/>
        <w:gridCol w:w="962"/>
      </w:tblGrid>
      <w:tr w14:paraId="78EF5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noWrap w:val="0"/>
            <w:vAlign w:val="center"/>
          </w:tcPr>
          <w:p w14:paraId="002FD2C3">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管控类别</w:t>
            </w:r>
          </w:p>
        </w:tc>
        <w:tc>
          <w:tcPr>
            <w:tcW w:w="2483" w:type="pct"/>
            <w:noWrap w:val="0"/>
            <w:vAlign w:val="center"/>
          </w:tcPr>
          <w:p w14:paraId="3ACF9C06">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管控要求</w:t>
            </w:r>
          </w:p>
        </w:tc>
        <w:tc>
          <w:tcPr>
            <w:tcW w:w="1779" w:type="pct"/>
            <w:noWrap w:val="0"/>
            <w:vAlign w:val="center"/>
          </w:tcPr>
          <w:p w14:paraId="7E54EB73">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情况</w:t>
            </w:r>
          </w:p>
        </w:tc>
        <w:tc>
          <w:tcPr>
            <w:tcW w:w="344" w:type="pct"/>
            <w:noWrap w:val="0"/>
            <w:vAlign w:val="center"/>
          </w:tcPr>
          <w:p w14:paraId="0D3DA6AC">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符合性</w:t>
            </w:r>
          </w:p>
        </w:tc>
      </w:tr>
      <w:tr w14:paraId="6FAB9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restart"/>
            <w:noWrap w:val="0"/>
            <w:vAlign w:val="center"/>
          </w:tcPr>
          <w:p w14:paraId="47F913E2">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空间布局约束</w:t>
            </w:r>
          </w:p>
        </w:tc>
        <w:tc>
          <w:tcPr>
            <w:tcW w:w="2483" w:type="pct"/>
            <w:noWrap w:val="0"/>
            <w:vAlign w:val="center"/>
          </w:tcPr>
          <w:p w14:paraId="76971F1C">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与优先保护单元重叠区域应严格落实生态环境分区管控中优先保护单元的管控要求，规划实施不得占用优先保护单元</w:t>
            </w:r>
            <w:r>
              <w:rPr>
                <w:rFonts w:hint="eastAsia" w:ascii="Times New Roman" w:hAnsi="Times New Roman" w:cs="Times New Roman"/>
                <w:color w:val="000000"/>
                <w:sz w:val="18"/>
                <w:szCs w:val="18"/>
                <w:lang w:eastAsia="zh-CN"/>
              </w:rPr>
              <w:t>。</w:t>
            </w:r>
          </w:p>
        </w:tc>
        <w:tc>
          <w:tcPr>
            <w:tcW w:w="1779" w:type="pct"/>
            <w:noWrap w:val="0"/>
            <w:vAlign w:val="center"/>
          </w:tcPr>
          <w:p w14:paraId="57F48BB9">
            <w:pPr>
              <w:pStyle w:val="20"/>
              <w:overflowPunct w:val="0"/>
              <w:topLinePunct/>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本项目不涉及</w:t>
            </w:r>
            <w:r>
              <w:rPr>
                <w:rFonts w:ascii="Times New Roman" w:hAnsi="Times New Roman" w:cs="Times New Roman"/>
                <w:color w:val="000000"/>
                <w:sz w:val="18"/>
                <w:szCs w:val="18"/>
                <w:lang w:eastAsia="zh-CN"/>
              </w:rPr>
              <w:t>优先保护单元</w:t>
            </w:r>
            <w:r>
              <w:rPr>
                <w:rFonts w:hint="eastAsia" w:ascii="Times New Roman" w:hAnsi="Times New Roman" w:cs="Times New Roman"/>
                <w:color w:val="000000"/>
                <w:sz w:val="18"/>
                <w:szCs w:val="18"/>
                <w:lang w:eastAsia="zh-CN"/>
              </w:rPr>
              <w:t>。</w:t>
            </w:r>
          </w:p>
        </w:tc>
        <w:tc>
          <w:tcPr>
            <w:tcW w:w="344" w:type="pct"/>
            <w:noWrap w:val="0"/>
            <w:vAlign w:val="center"/>
          </w:tcPr>
          <w:p w14:paraId="3C6A0219">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3CD54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6B938FD7">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54EEE6B5">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涉及环境防护距离的工业企业或项目应通过选址或调整布局原则上将环境防护距离控制在园区边界或用地红线内。园区边界的界定原则按《重庆市生态环境局办公室关于产业园区规划环评及建设项目环评所涉环境防护距离审核相关事宜的通知》执行</w:t>
            </w:r>
            <w:r>
              <w:rPr>
                <w:rFonts w:hint="eastAsia" w:ascii="Times New Roman" w:hAnsi="Times New Roman" w:cs="Times New Roman"/>
                <w:color w:val="000000"/>
                <w:sz w:val="18"/>
                <w:szCs w:val="18"/>
                <w:lang w:eastAsia="zh-CN"/>
              </w:rPr>
              <w:t>。</w:t>
            </w:r>
          </w:p>
        </w:tc>
        <w:tc>
          <w:tcPr>
            <w:tcW w:w="1779" w:type="pct"/>
            <w:noWrap w:val="0"/>
            <w:vAlign w:val="center"/>
          </w:tcPr>
          <w:p w14:paraId="5F1FD7D0">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不涉及环境防护距离</w:t>
            </w:r>
            <w:r>
              <w:rPr>
                <w:rFonts w:hint="eastAsia" w:ascii="Times New Roman" w:hAnsi="Times New Roman" w:cs="Times New Roman"/>
                <w:color w:val="000000"/>
                <w:sz w:val="18"/>
                <w:szCs w:val="18"/>
                <w:lang w:eastAsia="zh-CN"/>
              </w:rPr>
              <w:t>。</w:t>
            </w:r>
          </w:p>
        </w:tc>
        <w:tc>
          <w:tcPr>
            <w:tcW w:w="344" w:type="pct"/>
            <w:noWrap w:val="0"/>
            <w:vAlign w:val="center"/>
          </w:tcPr>
          <w:p w14:paraId="367744F5">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符合</w:t>
            </w:r>
          </w:p>
        </w:tc>
      </w:tr>
      <w:tr w14:paraId="27DA1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4E19BF21">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588FF938">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禁止新建、扩建木质家具制造、报废汽车拆解、平板玻璃制造工业项目</w:t>
            </w:r>
            <w:r>
              <w:rPr>
                <w:rFonts w:hint="eastAsia" w:ascii="Times New Roman" w:hAnsi="Times New Roman" w:cs="Times New Roman"/>
                <w:color w:val="000000"/>
                <w:sz w:val="18"/>
                <w:szCs w:val="18"/>
                <w:lang w:eastAsia="zh-CN"/>
              </w:rPr>
              <w:t>。</w:t>
            </w:r>
          </w:p>
        </w:tc>
        <w:tc>
          <w:tcPr>
            <w:tcW w:w="1779" w:type="pct"/>
            <w:noWrap w:val="0"/>
            <w:vAlign w:val="center"/>
          </w:tcPr>
          <w:p w14:paraId="241D980D">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不属于前述的木质家具制造、报废汽车拆解、平板玻璃制造工业项目</w:t>
            </w:r>
            <w:r>
              <w:rPr>
                <w:rFonts w:hint="eastAsia" w:ascii="Times New Roman" w:hAnsi="Times New Roman" w:cs="Times New Roman"/>
                <w:color w:val="000000"/>
                <w:sz w:val="18"/>
                <w:szCs w:val="18"/>
                <w:lang w:eastAsia="zh-CN"/>
              </w:rPr>
              <w:t>。</w:t>
            </w:r>
          </w:p>
        </w:tc>
        <w:tc>
          <w:tcPr>
            <w:tcW w:w="344" w:type="pct"/>
            <w:noWrap w:val="0"/>
            <w:vAlign w:val="center"/>
          </w:tcPr>
          <w:p w14:paraId="4972DF73">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符合</w:t>
            </w:r>
          </w:p>
        </w:tc>
      </w:tr>
      <w:tr w14:paraId="0A48E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restart"/>
            <w:noWrap w:val="0"/>
            <w:vAlign w:val="center"/>
          </w:tcPr>
          <w:p w14:paraId="384B06DA">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污染物排放管控</w:t>
            </w:r>
          </w:p>
        </w:tc>
        <w:tc>
          <w:tcPr>
            <w:tcW w:w="2483" w:type="pct"/>
            <w:noWrap w:val="0"/>
            <w:vAlign w:val="center"/>
          </w:tcPr>
          <w:p w14:paraId="4623776E">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污染物排放总量不得突破本次规划环评确定的污染物排放总量限值（COD58.37t/a，氨氮18.11/a，NO</w:t>
            </w:r>
            <w:r>
              <w:rPr>
                <w:rFonts w:ascii="Times New Roman" w:hAnsi="Times New Roman" w:cs="Times New Roman"/>
                <w:color w:val="000000"/>
                <w:sz w:val="18"/>
                <w:szCs w:val="18"/>
                <w:vertAlign w:val="subscript"/>
                <w:lang w:eastAsia="zh-CN"/>
              </w:rPr>
              <w:t>X</w:t>
            </w:r>
            <w:r>
              <w:rPr>
                <w:rFonts w:ascii="Times New Roman" w:hAnsi="Times New Roman" w:cs="Times New Roman"/>
                <w:color w:val="000000"/>
                <w:sz w:val="18"/>
                <w:szCs w:val="18"/>
                <w:lang w:eastAsia="zh-CN"/>
              </w:rPr>
              <w:t>117.43t/a）</w:t>
            </w:r>
            <w:r>
              <w:rPr>
                <w:rFonts w:hint="eastAsia" w:ascii="Times New Roman" w:hAnsi="Times New Roman" w:cs="Times New Roman"/>
                <w:color w:val="000000"/>
                <w:sz w:val="18"/>
                <w:szCs w:val="18"/>
                <w:lang w:eastAsia="zh-CN"/>
              </w:rPr>
              <w:t>。</w:t>
            </w:r>
          </w:p>
        </w:tc>
        <w:tc>
          <w:tcPr>
            <w:tcW w:w="1779" w:type="pct"/>
            <w:noWrap w:val="0"/>
            <w:vAlign w:val="center"/>
          </w:tcPr>
          <w:p w14:paraId="6116333B">
            <w:pPr>
              <w:pStyle w:val="20"/>
              <w:overflowPunct w:val="0"/>
              <w:topLinePunct/>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废气通过优化废气治理措施、</w:t>
            </w:r>
            <w:r>
              <w:rPr>
                <w:rFonts w:hint="eastAsia" w:ascii="Times New Roman" w:hAnsi="Times New Roman" w:cs="Times New Roman"/>
                <w:color w:val="000000"/>
                <w:sz w:val="18"/>
                <w:szCs w:val="18"/>
                <w:lang w:eastAsia="zh-CN"/>
              </w:rPr>
              <w:t>产生废水量少</w:t>
            </w:r>
            <w:r>
              <w:rPr>
                <w:rFonts w:ascii="Times New Roman" w:hAnsi="Times New Roman" w:cs="Times New Roman"/>
                <w:color w:val="000000"/>
                <w:sz w:val="18"/>
                <w:szCs w:val="18"/>
                <w:lang w:eastAsia="zh-CN"/>
              </w:rPr>
              <w:t>，废气污染物和废水污染物排放总量均未突破本次规划环评确定的污染物排放总量限值</w:t>
            </w:r>
            <w:r>
              <w:rPr>
                <w:rFonts w:hint="eastAsia" w:ascii="Times New Roman" w:hAnsi="Times New Roman" w:cs="Times New Roman"/>
                <w:color w:val="000000"/>
                <w:sz w:val="18"/>
                <w:szCs w:val="18"/>
                <w:lang w:eastAsia="zh-CN"/>
              </w:rPr>
              <w:t>。</w:t>
            </w:r>
          </w:p>
        </w:tc>
        <w:tc>
          <w:tcPr>
            <w:tcW w:w="344" w:type="pct"/>
            <w:noWrap w:val="0"/>
            <w:vAlign w:val="center"/>
          </w:tcPr>
          <w:p w14:paraId="2E4B5C1C">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28DE0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421AA2B4">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7461BAC1">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禁止新建、扩建排放废水含有五类重金属（铬、镉、汞、砷、铅）、剧毒物质和持久性有机污染物的工业项目</w:t>
            </w:r>
            <w:r>
              <w:rPr>
                <w:rFonts w:hint="eastAsia" w:ascii="Times New Roman" w:hAnsi="Times New Roman" w:cs="Times New Roman"/>
                <w:color w:val="000000"/>
                <w:sz w:val="18"/>
                <w:szCs w:val="18"/>
                <w:lang w:eastAsia="zh-CN"/>
              </w:rPr>
              <w:t>。</w:t>
            </w:r>
          </w:p>
        </w:tc>
        <w:tc>
          <w:tcPr>
            <w:tcW w:w="1779" w:type="pct"/>
            <w:noWrap w:val="0"/>
            <w:vAlign w:val="center"/>
          </w:tcPr>
          <w:p w14:paraId="2315467F">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排放废水不含有五类重金属（铬、镉、汞、砷、铅）、剧毒物质和持久性有机污染物</w:t>
            </w:r>
            <w:r>
              <w:rPr>
                <w:rFonts w:hint="eastAsia" w:ascii="Times New Roman" w:hAnsi="Times New Roman" w:cs="Times New Roman"/>
                <w:color w:val="000000"/>
                <w:sz w:val="18"/>
                <w:szCs w:val="18"/>
                <w:lang w:eastAsia="zh-CN"/>
              </w:rPr>
              <w:t>。</w:t>
            </w:r>
          </w:p>
        </w:tc>
        <w:tc>
          <w:tcPr>
            <w:tcW w:w="344" w:type="pct"/>
            <w:noWrap w:val="0"/>
            <w:vAlign w:val="center"/>
          </w:tcPr>
          <w:p w14:paraId="4E2FFDA0">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符合</w:t>
            </w:r>
          </w:p>
        </w:tc>
      </w:tr>
      <w:tr w14:paraId="1A7D9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3CF6AD98">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5428298C">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小可食品污废水未接入铜罐驿镇污水处理厂前，该企业不得实施增加入河污染物的改建、扩建项目</w:t>
            </w:r>
            <w:r>
              <w:rPr>
                <w:rFonts w:hint="eastAsia" w:ascii="Times New Roman" w:hAnsi="Times New Roman" w:cs="Times New Roman"/>
                <w:color w:val="000000"/>
                <w:sz w:val="18"/>
                <w:szCs w:val="18"/>
                <w:lang w:eastAsia="zh-CN"/>
              </w:rPr>
              <w:t>。</w:t>
            </w:r>
          </w:p>
        </w:tc>
        <w:tc>
          <w:tcPr>
            <w:tcW w:w="1779" w:type="pct"/>
            <w:noWrap w:val="0"/>
            <w:vAlign w:val="center"/>
          </w:tcPr>
          <w:p w14:paraId="5A2F4D7C">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不涉及</w:t>
            </w:r>
          </w:p>
        </w:tc>
        <w:tc>
          <w:tcPr>
            <w:tcW w:w="344" w:type="pct"/>
            <w:noWrap w:val="0"/>
            <w:vAlign w:val="center"/>
          </w:tcPr>
          <w:p w14:paraId="673E289C">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w:t>
            </w:r>
          </w:p>
        </w:tc>
      </w:tr>
      <w:tr w14:paraId="6F9EC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noWrap w:val="0"/>
            <w:vAlign w:val="center"/>
          </w:tcPr>
          <w:p w14:paraId="68DCC490">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环境风险防控</w:t>
            </w:r>
          </w:p>
        </w:tc>
        <w:tc>
          <w:tcPr>
            <w:tcW w:w="2483" w:type="pct"/>
            <w:noWrap w:val="0"/>
            <w:vAlign w:val="center"/>
          </w:tcPr>
          <w:p w14:paraId="6555DC74">
            <w:pPr>
              <w:pStyle w:val="20"/>
              <w:overflowPunct w:val="0"/>
              <w:topLinePunct/>
              <w:rPr>
                <w:rFonts w:hint="eastAsia" w:ascii="Times New Roman" w:hAnsi="Times New Roman" w:cs="Times New Roman"/>
                <w:color w:val="000000"/>
                <w:sz w:val="18"/>
                <w:szCs w:val="18"/>
                <w:lang w:eastAsia="zh-CN"/>
              </w:rPr>
            </w:pPr>
            <w:r>
              <w:rPr>
                <w:rFonts w:ascii="Times New Roman" w:hAnsi="Times New Roman" w:eastAsia="Times New Roman" w:cs="Times New Roman"/>
                <w:color w:val="000000"/>
                <w:sz w:val="18"/>
                <w:szCs w:val="18"/>
                <w:lang w:eastAsia="zh-CN"/>
              </w:rPr>
              <w:t>规划区内禁止新建、改扩建化工项目（安全、环保、节能和智能化改造等</w:t>
            </w:r>
            <w:r>
              <w:rPr>
                <w:rFonts w:hint="eastAsia" w:ascii="Times New Roman" w:hAnsi="Times New Roman" w:cs="Times New Roman"/>
                <w:color w:val="000000"/>
                <w:sz w:val="18"/>
                <w:szCs w:val="18"/>
                <w:lang w:eastAsia="zh-CN"/>
              </w:rPr>
              <w:t>本项目</w:t>
            </w:r>
            <w:r>
              <w:rPr>
                <w:rFonts w:ascii="Times New Roman" w:hAnsi="Times New Roman" w:eastAsia="Times New Roman" w:cs="Times New Roman"/>
                <w:color w:val="000000"/>
                <w:sz w:val="18"/>
                <w:szCs w:val="18"/>
                <w:lang w:eastAsia="zh-CN"/>
              </w:rPr>
              <w:t>除外）；现有化工项目（重庆和友实业股份有限公司）按国家和重庆市相关要求适时搬入合规化工园区；搬迁前应加强企业日常监管，提升环境风险防范能力，严防发生突发环境事件</w:t>
            </w:r>
            <w:r>
              <w:rPr>
                <w:rFonts w:hint="eastAsia" w:ascii="Times New Roman" w:hAnsi="Times New Roman" w:cs="Times New Roman"/>
                <w:color w:val="000000"/>
                <w:sz w:val="18"/>
                <w:szCs w:val="18"/>
                <w:lang w:eastAsia="zh-CN"/>
              </w:rPr>
              <w:t>。</w:t>
            </w:r>
          </w:p>
        </w:tc>
        <w:tc>
          <w:tcPr>
            <w:tcW w:w="1779" w:type="pct"/>
            <w:noWrap w:val="0"/>
            <w:vAlign w:val="center"/>
          </w:tcPr>
          <w:p w14:paraId="403B1B5B">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为塑料制品制造项目</w:t>
            </w:r>
            <w:r>
              <w:rPr>
                <w:rFonts w:hint="eastAsia" w:ascii="Times New Roman" w:hAnsi="Times New Roman" w:cs="Times New Roman"/>
                <w:color w:val="000000"/>
                <w:sz w:val="18"/>
                <w:szCs w:val="18"/>
                <w:lang w:eastAsia="zh-CN"/>
              </w:rPr>
              <w:t>，国民经济行业属于C2929</w:t>
            </w:r>
            <w:r>
              <w:rPr>
                <w:rFonts w:ascii="Times New Roman" w:hAnsi="Times New Roman" w:cs="Times New Roman"/>
                <w:color w:val="000000"/>
                <w:sz w:val="18"/>
                <w:szCs w:val="18"/>
                <w:lang w:eastAsia="zh-CN"/>
              </w:rPr>
              <w:t>，不属于化工项目</w:t>
            </w:r>
            <w:r>
              <w:rPr>
                <w:rFonts w:hint="eastAsia" w:ascii="Times New Roman" w:hAnsi="Times New Roman" w:cs="Times New Roman"/>
                <w:color w:val="000000"/>
                <w:sz w:val="18"/>
                <w:szCs w:val="18"/>
                <w:lang w:eastAsia="zh-CN"/>
              </w:rPr>
              <w:t>。</w:t>
            </w:r>
          </w:p>
        </w:tc>
        <w:tc>
          <w:tcPr>
            <w:tcW w:w="344" w:type="pct"/>
            <w:noWrap w:val="0"/>
            <w:vAlign w:val="center"/>
          </w:tcPr>
          <w:p w14:paraId="60E03614">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5CCDA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restart"/>
            <w:noWrap w:val="0"/>
            <w:vAlign w:val="center"/>
          </w:tcPr>
          <w:p w14:paraId="7CA5E8E9">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资源开发效率要求</w:t>
            </w:r>
          </w:p>
        </w:tc>
        <w:tc>
          <w:tcPr>
            <w:tcW w:w="2483" w:type="pct"/>
            <w:noWrap w:val="0"/>
            <w:vAlign w:val="center"/>
          </w:tcPr>
          <w:p w14:paraId="30E7864B">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禁止新建、扩建燃用煤、重油等高污染燃料的工业项目，重庆和友实业股份有限公司不再新增燃煤总量</w:t>
            </w:r>
            <w:r>
              <w:rPr>
                <w:rFonts w:hint="eastAsia" w:ascii="Times New Roman" w:hAnsi="Times New Roman" w:cs="Times New Roman"/>
                <w:color w:val="000000"/>
                <w:sz w:val="18"/>
                <w:szCs w:val="18"/>
                <w:lang w:eastAsia="zh-CN"/>
              </w:rPr>
              <w:t>。</w:t>
            </w:r>
          </w:p>
        </w:tc>
        <w:tc>
          <w:tcPr>
            <w:tcW w:w="1779" w:type="pct"/>
            <w:noWrap w:val="0"/>
            <w:vAlign w:val="center"/>
          </w:tcPr>
          <w:p w14:paraId="7475E047">
            <w:pPr>
              <w:pStyle w:val="20"/>
              <w:overflowPunct w:val="0"/>
              <w:topLinePunct/>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不涉及煤、重油等高污染燃料</w:t>
            </w:r>
            <w:r>
              <w:rPr>
                <w:rFonts w:hint="eastAsia" w:ascii="Times New Roman" w:hAnsi="Times New Roman" w:cs="Times New Roman"/>
                <w:color w:val="000000"/>
                <w:sz w:val="18"/>
                <w:szCs w:val="18"/>
                <w:lang w:eastAsia="zh-CN"/>
              </w:rPr>
              <w:t>。</w:t>
            </w:r>
          </w:p>
        </w:tc>
        <w:tc>
          <w:tcPr>
            <w:tcW w:w="344" w:type="pct"/>
            <w:noWrap w:val="0"/>
            <w:vAlign w:val="center"/>
          </w:tcPr>
          <w:p w14:paraId="4145F0ED">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0475D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307F20B6">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7D97F55D">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新建和改、扩建的工业项目清洁生产水平应达到国内先进水平</w:t>
            </w:r>
            <w:r>
              <w:rPr>
                <w:rFonts w:hint="eastAsia" w:ascii="Times New Roman" w:hAnsi="Times New Roman" w:cs="Times New Roman"/>
                <w:color w:val="000000"/>
                <w:sz w:val="18"/>
                <w:szCs w:val="18"/>
                <w:lang w:eastAsia="zh-CN"/>
              </w:rPr>
              <w:t>。</w:t>
            </w:r>
          </w:p>
        </w:tc>
        <w:tc>
          <w:tcPr>
            <w:tcW w:w="1779" w:type="pct"/>
            <w:noWrap w:val="0"/>
            <w:vAlign w:val="center"/>
          </w:tcPr>
          <w:p w14:paraId="5CA9CB0A">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清洁生产水平达到国内先进水平</w:t>
            </w:r>
            <w:r>
              <w:rPr>
                <w:rFonts w:hint="eastAsia" w:ascii="Times New Roman" w:hAnsi="Times New Roman" w:cs="Times New Roman"/>
                <w:color w:val="000000"/>
                <w:sz w:val="18"/>
                <w:szCs w:val="18"/>
                <w:lang w:eastAsia="zh-CN"/>
              </w:rPr>
              <w:t>。</w:t>
            </w:r>
          </w:p>
        </w:tc>
        <w:tc>
          <w:tcPr>
            <w:tcW w:w="344" w:type="pct"/>
            <w:noWrap w:val="0"/>
            <w:vAlign w:val="center"/>
          </w:tcPr>
          <w:p w14:paraId="023A7D0A">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2DAAA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92" w:type="pct"/>
            <w:vMerge w:val="continue"/>
            <w:noWrap w:val="0"/>
            <w:vAlign w:val="center"/>
          </w:tcPr>
          <w:p w14:paraId="60D77782">
            <w:pPr>
              <w:pStyle w:val="20"/>
              <w:overflowPunct w:val="0"/>
              <w:topLinePunct/>
              <w:jc w:val="center"/>
              <w:rPr>
                <w:rFonts w:ascii="Times New Roman" w:hAnsi="Times New Roman" w:cs="Times New Roman"/>
                <w:color w:val="000000"/>
                <w:sz w:val="18"/>
                <w:szCs w:val="18"/>
              </w:rPr>
            </w:pPr>
          </w:p>
        </w:tc>
        <w:tc>
          <w:tcPr>
            <w:tcW w:w="2483" w:type="pct"/>
            <w:noWrap w:val="0"/>
            <w:vAlign w:val="center"/>
          </w:tcPr>
          <w:p w14:paraId="67CB86A2">
            <w:pPr>
              <w:pStyle w:val="20"/>
              <w:overflowPunct w:val="0"/>
              <w:topLinePunct/>
              <w:rPr>
                <w:rFonts w:hint="eastAsia"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提高化学原料及化学制品制造业工业企业的节能水平，降低区域的能耗强度。加强重点行业能效管理，升级工艺技术，提高用能设备能效水平</w:t>
            </w:r>
            <w:r>
              <w:rPr>
                <w:rFonts w:hint="eastAsia" w:ascii="Times New Roman" w:hAnsi="Times New Roman" w:cs="Times New Roman"/>
                <w:color w:val="000000"/>
                <w:sz w:val="18"/>
                <w:szCs w:val="18"/>
                <w:lang w:eastAsia="zh-CN"/>
              </w:rPr>
              <w:t>。</w:t>
            </w:r>
          </w:p>
        </w:tc>
        <w:tc>
          <w:tcPr>
            <w:tcW w:w="4959" w:type="dxa"/>
            <w:noWrap w:val="0"/>
            <w:vAlign w:val="center"/>
          </w:tcPr>
          <w:p w14:paraId="7DC9A19F">
            <w:pPr>
              <w:pStyle w:val="20"/>
              <w:overflowPunct w:val="0"/>
              <w:topLinePunct/>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不涉及</w:t>
            </w:r>
          </w:p>
        </w:tc>
        <w:tc>
          <w:tcPr>
            <w:tcW w:w="959" w:type="dxa"/>
            <w:noWrap w:val="0"/>
            <w:vAlign w:val="center"/>
          </w:tcPr>
          <w:p w14:paraId="7C3B691E">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w:t>
            </w:r>
          </w:p>
        </w:tc>
      </w:tr>
    </w:tbl>
    <w:p w14:paraId="677C99CD">
      <w:pPr>
        <w:keepNext/>
        <w:overflowPunct w:val="0"/>
        <w:topLinePunct/>
        <w:adjustRightInd w:val="0"/>
        <w:rPr>
          <w:b/>
          <w:bCs/>
          <w:color w:val="000000"/>
        </w:rPr>
      </w:pPr>
      <w:r>
        <w:rPr>
          <w:b/>
          <w:bCs/>
          <w:color w:val="000000"/>
        </w:rPr>
        <w:t>1.3与园区规划环评审查意见符合性分析</w:t>
      </w:r>
    </w:p>
    <w:p w14:paraId="250D526C">
      <w:pPr>
        <w:pStyle w:val="20"/>
        <w:overflowPunct w:val="0"/>
        <w:topLinePunct/>
        <w:spacing w:line="460" w:lineRule="exact"/>
        <w:ind w:firstLine="480" w:firstLineChars="200"/>
        <w:rPr>
          <w:rFonts w:ascii="Times New Roman" w:hAnsi="Times New Roman" w:cs="Times New Roman"/>
          <w:color w:val="000000"/>
          <w:sz w:val="24"/>
          <w:szCs w:val="24"/>
          <w:lang w:eastAsia="zh-CN" w:bidi="ar"/>
        </w:rPr>
      </w:pPr>
      <w:r>
        <w:rPr>
          <w:rFonts w:hint="eastAsia" w:ascii="Times New Roman" w:hAnsi="Times New Roman" w:cs="Times New Roman"/>
          <w:color w:val="000000"/>
          <w:sz w:val="24"/>
          <w:szCs w:val="24"/>
          <w:lang w:eastAsia="zh-CN" w:bidi="ar"/>
        </w:rPr>
        <w:t>本项目</w:t>
      </w:r>
      <w:r>
        <w:rPr>
          <w:rFonts w:ascii="Times New Roman" w:hAnsi="Times New Roman" w:cs="Times New Roman"/>
          <w:color w:val="000000"/>
          <w:sz w:val="24"/>
          <w:szCs w:val="24"/>
          <w:lang w:eastAsia="zh-CN" w:bidi="ar"/>
        </w:rPr>
        <w:t>与《重庆市生态环境局关于西部（重庆）科学城九龙新城园区规划环境影响报告书审查意见的函》（渝环函〔2025〕421号）符合性分析见表1-3。</w:t>
      </w:r>
    </w:p>
    <w:p w14:paraId="1EF0F584">
      <w:pPr>
        <w:pStyle w:val="20"/>
        <w:overflowPunct w:val="0"/>
        <w:topLinePunct/>
        <w:spacing w:line="460" w:lineRule="exact"/>
        <w:jc w:val="center"/>
        <w:rPr>
          <w:rFonts w:ascii="Times New Roman" w:hAnsi="Times New Roman" w:cs="Times New Roman"/>
          <w:b/>
          <w:bCs/>
          <w:color w:val="000000"/>
          <w:sz w:val="22"/>
          <w:szCs w:val="22"/>
          <w:lang w:eastAsia="zh-CN" w:bidi="ar"/>
        </w:rPr>
      </w:pPr>
      <w:r>
        <w:rPr>
          <w:rFonts w:ascii="Times New Roman" w:hAnsi="Times New Roman" w:cs="Times New Roman"/>
          <w:b/>
          <w:bCs/>
          <w:color w:val="000000"/>
          <w:sz w:val="22"/>
          <w:szCs w:val="22"/>
          <w:lang w:eastAsia="zh-CN" w:bidi="ar"/>
        </w:rPr>
        <w:t>表1-3与园区规划环评审查意见符合性分析</w:t>
      </w:r>
    </w:p>
    <w:tbl>
      <w:tblPr>
        <w:tblStyle w:val="1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28" w:type="dxa"/>
          <w:bottom w:w="0" w:type="dxa"/>
          <w:right w:w="28" w:type="dxa"/>
        </w:tblCellMar>
      </w:tblPr>
      <w:tblGrid>
        <w:gridCol w:w="833"/>
        <w:gridCol w:w="897"/>
        <w:gridCol w:w="827"/>
        <w:gridCol w:w="6939"/>
        <w:gridCol w:w="3780"/>
        <w:gridCol w:w="735"/>
      </w:tblGrid>
      <w:tr w14:paraId="2AC0F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37B62476">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序号</w:t>
            </w:r>
          </w:p>
        </w:tc>
        <w:tc>
          <w:tcPr>
            <w:tcW w:w="320" w:type="pct"/>
            <w:noWrap w:val="0"/>
            <w:vAlign w:val="center"/>
          </w:tcPr>
          <w:p w14:paraId="1BC1339B">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类别</w:t>
            </w:r>
          </w:p>
        </w:tc>
        <w:tc>
          <w:tcPr>
            <w:tcW w:w="2770" w:type="pct"/>
            <w:gridSpan w:val="2"/>
            <w:noWrap w:val="0"/>
            <w:vAlign w:val="center"/>
          </w:tcPr>
          <w:p w14:paraId="73BCC767">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审查意见要求</w:t>
            </w:r>
          </w:p>
        </w:tc>
        <w:tc>
          <w:tcPr>
            <w:tcW w:w="1348" w:type="pct"/>
            <w:noWrap w:val="0"/>
            <w:vAlign w:val="center"/>
          </w:tcPr>
          <w:p w14:paraId="6F2E7AEF">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p>
        </w:tc>
        <w:tc>
          <w:tcPr>
            <w:tcW w:w="262" w:type="pct"/>
            <w:noWrap w:val="0"/>
            <w:vAlign w:val="center"/>
          </w:tcPr>
          <w:p w14:paraId="2231BDD3">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符合性</w:t>
            </w:r>
          </w:p>
        </w:tc>
      </w:tr>
      <w:tr w14:paraId="22F46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14BE6E3B">
            <w:pPr>
              <w:overflowPunct w:val="0"/>
              <w:topLinePunct/>
              <w:jc w:val="center"/>
              <w:rPr>
                <w:rFonts w:eastAsia="Times New Roman"/>
                <w:color w:val="000000"/>
                <w:sz w:val="18"/>
                <w:szCs w:val="18"/>
              </w:rPr>
            </w:pPr>
            <w:r>
              <w:rPr>
                <w:rFonts w:eastAsia="Times New Roman"/>
                <w:color w:val="000000"/>
                <w:sz w:val="18"/>
                <w:szCs w:val="18"/>
              </w:rPr>
              <w:t>1</w:t>
            </w:r>
          </w:p>
        </w:tc>
        <w:tc>
          <w:tcPr>
            <w:tcW w:w="320" w:type="pct"/>
            <w:noWrap w:val="0"/>
            <w:vAlign w:val="center"/>
          </w:tcPr>
          <w:p w14:paraId="49EA3082">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严格生态环境准入</w:t>
            </w:r>
          </w:p>
        </w:tc>
        <w:tc>
          <w:tcPr>
            <w:tcW w:w="2770" w:type="pct"/>
            <w:gridSpan w:val="2"/>
            <w:noWrap w:val="0"/>
            <w:vAlign w:val="center"/>
          </w:tcPr>
          <w:p w14:paraId="1C727C50">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强化规划环评与生态环境分区管控的联动，主要管控措施应符合重庆市及九龙坡区生态环境分区管控要求。严格建设项目环境准入，入驻工业企业需符合国家和重庆市相关产业和环境准入要求以及《报告书》制定的生态环境管控要求。有序推动华岩-二郎组团、环杨家坪新经济组团内环以内工业用地转型升级，后续重点发展研发创新、软件信息等生产性服务业。华岩-二郎组团和环杨家坪新经济组团禁止新增排放重金属（铬、镉、汞、砷、铅等五类重金属）、剧毒物质和持久性有机污染物的工业项目。禁止新建、改扩建化工项目（安全、环保、节能和智能化改造等，</w:t>
            </w: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除外）</w:t>
            </w:r>
            <w:r>
              <w:rPr>
                <w:rFonts w:hint="eastAsia"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现有化工项目按国家和重庆市相关要求适时搬入合规化工园区。</w:t>
            </w:r>
          </w:p>
        </w:tc>
        <w:tc>
          <w:tcPr>
            <w:tcW w:w="1348" w:type="pct"/>
            <w:noWrap w:val="0"/>
            <w:vAlign w:val="center"/>
          </w:tcPr>
          <w:p w14:paraId="5277304F">
            <w:pPr>
              <w:pStyle w:val="20"/>
              <w:overflowPunct w:val="0"/>
              <w:topLinePunct/>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位于西部（重庆）科学城九龙新城园区</w:t>
            </w:r>
            <w:r>
              <w:rPr>
                <w:rFonts w:hint="eastAsia" w:ascii="Times New Roman" w:hAnsi="Times New Roman" w:cs="Times New Roman"/>
                <w:color w:val="000000"/>
                <w:sz w:val="18"/>
                <w:szCs w:val="18"/>
                <w:lang w:eastAsia="zh-CN"/>
              </w:rPr>
              <w:t>西彭</w:t>
            </w:r>
            <w:r>
              <w:rPr>
                <w:rFonts w:ascii="Times New Roman" w:hAnsi="Times New Roman" w:cs="Times New Roman"/>
                <w:color w:val="000000"/>
                <w:sz w:val="18"/>
                <w:szCs w:val="18"/>
                <w:lang w:eastAsia="zh-CN"/>
              </w:rPr>
              <w:t>组团内，符合重庆市及九龙坡生态环境分区管控要求，符合国家和重庆市相关产业和环境准入要求以及《报告书》制定的生态环境管控要求，不属于化工项目</w:t>
            </w:r>
            <w:r>
              <w:rPr>
                <w:rFonts w:hint="eastAsia" w:ascii="Times New Roman" w:hAnsi="Times New Roman" w:cs="Times New Roman"/>
                <w:color w:val="000000"/>
                <w:sz w:val="18"/>
                <w:szCs w:val="18"/>
                <w:lang w:eastAsia="zh-CN"/>
              </w:rPr>
              <w:t>。</w:t>
            </w:r>
          </w:p>
        </w:tc>
        <w:tc>
          <w:tcPr>
            <w:tcW w:w="262" w:type="pct"/>
            <w:noWrap w:val="0"/>
            <w:vAlign w:val="center"/>
          </w:tcPr>
          <w:p w14:paraId="1AA5BEFF">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2F5FF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vMerge w:val="restart"/>
            <w:noWrap w:val="0"/>
            <w:vAlign w:val="center"/>
          </w:tcPr>
          <w:p w14:paraId="258F6ACB">
            <w:pPr>
              <w:overflowPunct w:val="0"/>
              <w:topLinePunct/>
              <w:jc w:val="center"/>
              <w:rPr>
                <w:rFonts w:eastAsia="Times New Roman"/>
                <w:color w:val="000000"/>
                <w:sz w:val="18"/>
                <w:szCs w:val="18"/>
              </w:rPr>
            </w:pPr>
            <w:r>
              <w:rPr>
                <w:rFonts w:eastAsia="Times New Roman"/>
                <w:color w:val="000000"/>
                <w:sz w:val="18"/>
                <w:szCs w:val="18"/>
              </w:rPr>
              <w:t>2</w:t>
            </w:r>
          </w:p>
        </w:tc>
        <w:tc>
          <w:tcPr>
            <w:tcW w:w="320" w:type="pct"/>
            <w:vMerge w:val="restart"/>
            <w:noWrap w:val="0"/>
            <w:vAlign w:val="center"/>
          </w:tcPr>
          <w:p w14:paraId="49884476">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lang w:eastAsia="zh-CN"/>
              </w:rPr>
              <w:t>强化</w:t>
            </w:r>
            <w:r>
              <w:rPr>
                <w:rFonts w:ascii="Times New Roman" w:hAnsi="Times New Roman" w:cs="Times New Roman"/>
                <w:color w:val="000000"/>
                <w:sz w:val="18"/>
                <w:szCs w:val="18"/>
              </w:rPr>
              <w:t>空间布局约束</w:t>
            </w:r>
          </w:p>
        </w:tc>
        <w:tc>
          <w:tcPr>
            <w:tcW w:w="2770" w:type="pct"/>
            <w:gridSpan w:val="2"/>
            <w:noWrap w:val="0"/>
            <w:vAlign w:val="center"/>
          </w:tcPr>
          <w:p w14:paraId="2D0B05F8">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规划区开发建设应符合重庆市、九龙坡区国土空间规划及用途管制要求。规划实施不得占用九龙坡区生态环境分区管控方案中划定的优先保护单元。涉及环境防护距离的工业企业或项目应通过选址或调整布局原则上将环境防护距离控制在园区边界或用地红线内。</w:t>
            </w:r>
          </w:p>
        </w:tc>
        <w:tc>
          <w:tcPr>
            <w:tcW w:w="1348" w:type="pct"/>
            <w:noWrap w:val="0"/>
            <w:vAlign w:val="center"/>
          </w:tcPr>
          <w:p w14:paraId="78DC3042">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符合重庆市、九龙坡区国土空间规划及用途管制要求</w:t>
            </w:r>
            <w:r>
              <w:rPr>
                <w:rFonts w:hint="eastAsia" w:ascii="Times New Roman" w:hAnsi="Times New Roman" w:cs="Times New Roman"/>
                <w:color w:val="000000"/>
                <w:sz w:val="18"/>
                <w:szCs w:val="18"/>
                <w:lang w:eastAsia="zh-CN"/>
              </w:rPr>
              <w:t>；本项目不涉及优先保护单元，满足规划要求；本项目</w:t>
            </w:r>
            <w:r>
              <w:rPr>
                <w:rFonts w:ascii="Times New Roman" w:hAnsi="Times New Roman" w:cs="Times New Roman"/>
                <w:color w:val="000000"/>
                <w:sz w:val="18"/>
                <w:szCs w:val="18"/>
                <w:lang w:eastAsia="zh-CN"/>
              </w:rPr>
              <w:t>不涉及环境防护距离</w:t>
            </w:r>
            <w:r>
              <w:rPr>
                <w:rFonts w:hint="eastAsia" w:ascii="Times New Roman" w:hAnsi="Times New Roman" w:cs="Times New Roman"/>
                <w:color w:val="000000"/>
                <w:sz w:val="18"/>
                <w:szCs w:val="18"/>
                <w:lang w:eastAsia="zh-CN"/>
              </w:rPr>
              <w:t>。</w:t>
            </w:r>
          </w:p>
        </w:tc>
        <w:tc>
          <w:tcPr>
            <w:tcW w:w="262" w:type="pct"/>
            <w:noWrap w:val="0"/>
            <w:vAlign w:val="center"/>
          </w:tcPr>
          <w:p w14:paraId="726C945E">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2E5E3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vMerge w:val="continue"/>
            <w:noWrap w:val="0"/>
            <w:vAlign w:val="center"/>
          </w:tcPr>
          <w:p w14:paraId="2FF0208B">
            <w:pPr>
              <w:overflowPunct w:val="0"/>
              <w:topLinePunct/>
              <w:jc w:val="center"/>
              <w:rPr>
                <w:rFonts w:eastAsia="Times New Roman"/>
                <w:color w:val="000000"/>
                <w:sz w:val="18"/>
                <w:szCs w:val="18"/>
              </w:rPr>
            </w:pPr>
          </w:p>
        </w:tc>
        <w:tc>
          <w:tcPr>
            <w:tcW w:w="320" w:type="pct"/>
            <w:vMerge w:val="continue"/>
            <w:noWrap w:val="0"/>
            <w:vAlign w:val="center"/>
          </w:tcPr>
          <w:p w14:paraId="44A9D668">
            <w:pPr>
              <w:pStyle w:val="20"/>
              <w:overflowPunct w:val="0"/>
              <w:topLinePunct/>
              <w:jc w:val="center"/>
              <w:rPr>
                <w:rFonts w:ascii="Times New Roman" w:hAnsi="Times New Roman" w:cs="Times New Roman"/>
                <w:color w:val="000000"/>
                <w:sz w:val="18"/>
                <w:szCs w:val="18"/>
              </w:rPr>
            </w:pPr>
          </w:p>
        </w:tc>
        <w:tc>
          <w:tcPr>
            <w:tcW w:w="2770" w:type="pct"/>
            <w:gridSpan w:val="2"/>
            <w:noWrap w:val="0"/>
            <w:vAlign w:val="center"/>
          </w:tcPr>
          <w:p w14:paraId="01D03271">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合理规划布局，工业用地紧邻居住用地等环境敏感区一侧宜布局宿舍、办公楼等非生产设施，避免对周边环境敏感目标造成影响。西彭组团与居住用地相邻的规划工业用地（A34、A33地块）及东北侧规划科研用地兼工业用地禁止新布局高噪声和涉及喷漆、重力铸造、酸洗、熔炼等大气污染较大的工业项目，陶家组团与居住用地相邻的规划工业用地（L9-01、L27-02-1地块）禁止新布局高噪声和涉及喷漆、重力铸造、酸洗、熔炼等大气污染较大的工业项目。</w:t>
            </w:r>
          </w:p>
        </w:tc>
        <w:tc>
          <w:tcPr>
            <w:tcW w:w="1348" w:type="pct"/>
            <w:noWrap w:val="0"/>
            <w:vAlign w:val="center"/>
          </w:tcPr>
          <w:p w14:paraId="7465F59E">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位于西部（重庆）科学城九龙新城园区</w:t>
            </w:r>
            <w:r>
              <w:rPr>
                <w:rFonts w:hint="eastAsia" w:ascii="Times New Roman" w:hAnsi="Times New Roman" w:cs="Times New Roman"/>
                <w:color w:val="000000"/>
                <w:sz w:val="18"/>
                <w:szCs w:val="18"/>
                <w:lang w:eastAsia="zh-CN"/>
              </w:rPr>
              <w:t>西彭</w:t>
            </w:r>
            <w:r>
              <w:rPr>
                <w:rFonts w:ascii="Times New Roman" w:hAnsi="Times New Roman" w:cs="Times New Roman"/>
                <w:color w:val="000000"/>
                <w:sz w:val="18"/>
                <w:szCs w:val="18"/>
                <w:lang w:eastAsia="zh-CN"/>
              </w:rPr>
              <w:t>组团</w:t>
            </w:r>
            <w:r>
              <w:rPr>
                <w:rFonts w:hint="eastAsia" w:ascii="Times New Roman" w:hAnsi="Times New Roman" w:cs="Times New Roman"/>
                <w:color w:val="000000"/>
                <w:sz w:val="18"/>
                <w:szCs w:val="18"/>
                <w:lang w:eastAsia="zh-CN"/>
              </w:rPr>
              <w:t>A22地块</w:t>
            </w:r>
            <w:r>
              <w:rPr>
                <w:rFonts w:ascii="Times New Roman" w:hAnsi="Times New Roman" w:cs="Times New Roman"/>
                <w:color w:val="000000"/>
                <w:sz w:val="18"/>
                <w:szCs w:val="18"/>
                <w:lang w:eastAsia="zh-CN"/>
              </w:rPr>
              <w:t>内，不与居住用地紧邻</w:t>
            </w:r>
            <w:r>
              <w:rPr>
                <w:rFonts w:hint="eastAsia" w:ascii="Times New Roman" w:hAnsi="Times New Roman" w:cs="Times New Roman"/>
                <w:color w:val="000000"/>
                <w:sz w:val="18"/>
                <w:szCs w:val="18"/>
                <w:lang w:eastAsia="zh-CN"/>
              </w:rPr>
              <w:t>。</w:t>
            </w:r>
          </w:p>
        </w:tc>
        <w:tc>
          <w:tcPr>
            <w:tcW w:w="262" w:type="pct"/>
            <w:noWrap w:val="0"/>
            <w:vAlign w:val="center"/>
          </w:tcPr>
          <w:p w14:paraId="40DF3047">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符合</w:t>
            </w:r>
          </w:p>
        </w:tc>
      </w:tr>
      <w:tr w14:paraId="2E996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5F0A9918">
            <w:pPr>
              <w:overflowPunct w:val="0"/>
              <w:topLinePunct/>
              <w:jc w:val="center"/>
              <w:rPr>
                <w:rFonts w:eastAsia="Times New Roman"/>
                <w:color w:val="000000"/>
                <w:sz w:val="18"/>
                <w:szCs w:val="18"/>
              </w:rPr>
            </w:pPr>
            <w:r>
              <w:rPr>
                <w:rFonts w:eastAsia="Times New Roman"/>
                <w:color w:val="000000"/>
                <w:sz w:val="18"/>
                <w:szCs w:val="18"/>
              </w:rPr>
              <w:t>3</w:t>
            </w:r>
          </w:p>
        </w:tc>
        <w:tc>
          <w:tcPr>
            <w:tcW w:w="320" w:type="pct"/>
            <w:vMerge w:val="restart"/>
            <w:noWrap w:val="0"/>
            <w:vAlign w:val="center"/>
          </w:tcPr>
          <w:p w14:paraId="5D822EE5">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lang w:eastAsia="zh-CN"/>
              </w:rPr>
              <w:t>加强</w:t>
            </w:r>
            <w:r>
              <w:rPr>
                <w:rFonts w:ascii="Times New Roman" w:hAnsi="Times New Roman" w:cs="Times New Roman"/>
                <w:color w:val="000000"/>
                <w:sz w:val="18"/>
                <w:szCs w:val="18"/>
              </w:rPr>
              <w:t>污染排放管控</w:t>
            </w:r>
          </w:p>
        </w:tc>
        <w:tc>
          <w:tcPr>
            <w:tcW w:w="295" w:type="pct"/>
            <w:noWrap w:val="0"/>
            <w:vAlign w:val="center"/>
          </w:tcPr>
          <w:p w14:paraId="6D4301D6">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水污染排放管控</w:t>
            </w:r>
          </w:p>
        </w:tc>
        <w:tc>
          <w:tcPr>
            <w:tcW w:w="2474" w:type="pct"/>
            <w:noWrap w:val="0"/>
            <w:vAlign w:val="center"/>
          </w:tcPr>
          <w:p w14:paraId="667DFD44">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规划区排水系统采用雨、污分流制。西彭组团、陶家组团、铜罐驿组团禁止新增废水排放五类重金属（铬、镉、汞、砷、铅）、剧毒物质和持久性有机污染物的工业项目。西彭组团（除西南铝企业外）污废水经企业预处理达接管要求后进入西彭工业园区污水处理厂，西彭工业园区污水处理厂提标扩建预计2025年年底前完成；西南铝企业污废水进入自建污水处理站处理。陶家组团污废水经企业预处理达接管要求后排入陶家工业污水处理厂进一步处理，陶家工业污水处理厂配套管网建设预计2025年年底前完成。铜罐驿组团污废水（除重庆和友实业股份有限公司）经企业预处理达接管要求后进入铜罐驿污水处理厂进一步处理；同时加快推进铜罐驿污水处理厂配套管网建设工作，小可食品污废水接入铜罐驿污水处理厂前不得实施增加入河污染物的改、扩建项目；重庆和友实业股份有限公司进入自建污水处理站处理。华岩-二郎组团中华岩区块（成渝铁路以西区域）污废水经企业预处理达接管要求后接入九龙工业园区B3区污水处理厂进一步处理；华岩-二郎组团其他区域依托规划区外大九污水处理厂和彩云湖污水处理厂处理达标后排放。环杨家坪新经济组团污废水经扬声桥污水处理厂、鸡冠石污水处理厂处理达标后排放。</w:t>
            </w:r>
          </w:p>
        </w:tc>
        <w:tc>
          <w:tcPr>
            <w:tcW w:w="1348" w:type="pct"/>
            <w:noWrap w:val="0"/>
            <w:vAlign w:val="center"/>
          </w:tcPr>
          <w:p w14:paraId="290B86A7">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排水系统为雨、污分流，不属于新增废水排放五类重金属（铬、镉、汞、砷、铅）、剧毒物质和持久性有机污染物的工业项目，位于</w:t>
            </w:r>
            <w:r>
              <w:rPr>
                <w:rFonts w:hint="eastAsia" w:ascii="Times New Roman" w:hAnsi="Times New Roman" w:cs="Times New Roman"/>
                <w:color w:val="000000"/>
                <w:sz w:val="18"/>
                <w:szCs w:val="18"/>
                <w:lang w:eastAsia="zh-CN"/>
              </w:rPr>
              <w:t>西彭</w:t>
            </w:r>
            <w:r>
              <w:rPr>
                <w:rFonts w:ascii="Times New Roman" w:hAnsi="Times New Roman" w:cs="Times New Roman"/>
                <w:color w:val="000000"/>
                <w:sz w:val="18"/>
                <w:szCs w:val="18"/>
                <w:lang w:eastAsia="zh-CN"/>
              </w:rPr>
              <w:t>组团，</w:t>
            </w:r>
            <w:r>
              <w:rPr>
                <w:rFonts w:hint="eastAsia" w:ascii="Times New Roman" w:hAnsi="Times New Roman" w:cs="Times New Roman"/>
                <w:color w:val="000000"/>
                <w:sz w:val="18"/>
                <w:szCs w:val="18"/>
                <w:lang w:eastAsia="zh-CN"/>
              </w:rPr>
              <w:t>污水经预处理后进入</w:t>
            </w:r>
            <w:r>
              <w:rPr>
                <w:rFonts w:ascii="Times New Roman" w:hAnsi="Times New Roman" w:cs="Times New Roman"/>
                <w:color w:val="000000"/>
                <w:sz w:val="18"/>
                <w:szCs w:val="18"/>
                <w:lang w:eastAsia="zh-CN"/>
              </w:rPr>
              <w:t>西彭工业园区污水处理厂进一步处理</w:t>
            </w:r>
            <w:r>
              <w:rPr>
                <w:rFonts w:hint="eastAsia" w:ascii="Times New Roman" w:hAnsi="Times New Roman" w:cs="Times New Roman"/>
                <w:color w:val="000000"/>
                <w:sz w:val="18"/>
                <w:szCs w:val="18"/>
                <w:lang w:eastAsia="zh-CN"/>
              </w:rPr>
              <w:t>。</w:t>
            </w:r>
          </w:p>
        </w:tc>
        <w:tc>
          <w:tcPr>
            <w:tcW w:w="262" w:type="pct"/>
            <w:noWrap w:val="0"/>
            <w:vAlign w:val="center"/>
          </w:tcPr>
          <w:p w14:paraId="44CB756E">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3F9F4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2C266B8C">
            <w:pPr>
              <w:overflowPunct w:val="0"/>
              <w:topLinePunct/>
              <w:jc w:val="center"/>
              <w:rPr>
                <w:rFonts w:eastAsia="Times New Roman"/>
                <w:color w:val="000000"/>
                <w:sz w:val="18"/>
                <w:szCs w:val="18"/>
              </w:rPr>
            </w:pPr>
            <w:r>
              <w:rPr>
                <w:rFonts w:eastAsia="Times New Roman"/>
                <w:color w:val="000000"/>
                <w:sz w:val="18"/>
                <w:szCs w:val="18"/>
              </w:rPr>
              <w:t>4</w:t>
            </w:r>
          </w:p>
        </w:tc>
        <w:tc>
          <w:tcPr>
            <w:tcW w:w="320" w:type="pct"/>
            <w:vMerge w:val="continue"/>
            <w:noWrap w:val="0"/>
            <w:vAlign w:val="center"/>
          </w:tcPr>
          <w:p w14:paraId="65775CB8">
            <w:pPr>
              <w:overflowPunct w:val="0"/>
              <w:topLinePunct/>
              <w:jc w:val="center"/>
              <w:rPr>
                <w:color w:val="000000"/>
                <w:sz w:val="18"/>
                <w:szCs w:val="18"/>
              </w:rPr>
            </w:pPr>
          </w:p>
        </w:tc>
        <w:tc>
          <w:tcPr>
            <w:tcW w:w="295" w:type="pct"/>
            <w:noWrap w:val="0"/>
            <w:vAlign w:val="center"/>
          </w:tcPr>
          <w:p w14:paraId="029B3CED">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大气污染物排放管控</w:t>
            </w:r>
          </w:p>
        </w:tc>
        <w:tc>
          <w:tcPr>
            <w:tcW w:w="2474" w:type="pct"/>
            <w:noWrap w:val="0"/>
            <w:vAlign w:val="center"/>
          </w:tcPr>
          <w:p w14:paraId="78B0CE76">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优化能源结构，严格落实清洁能源计划，鼓励使用天然气、电等清洁能源。燃气锅炉应采用低氮燃烧工艺。加强工业企业大气污染综合治理，各入驻企业应采取有效的废气处理措施，确保工艺废气稳定达标排放。严格按照国家及重庆市关于挥发性有机物治理的相关要求落实污染防治措施，涉及挥发性有机物排放的项目应从源头加强控制，优先使用低（无）VOCs含量的原辅料，并按相关要求采用先进高效工艺，减少工艺过程无组织排放。汽车制造业、通用设备制造业企业应根据生产工艺、污染物类型，对工艺废气实施分类收集、分质处理，按照“应收尽收”原则提高废气收集率。严格控制工业企业粉尘无组织排放，加强工业企业废气污染防治，确保厂界达标，减少对周边环境敏感目标的影响。</w:t>
            </w:r>
          </w:p>
        </w:tc>
        <w:tc>
          <w:tcPr>
            <w:tcW w:w="1348" w:type="pct"/>
            <w:noWrap w:val="0"/>
            <w:vAlign w:val="center"/>
          </w:tcPr>
          <w:p w14:paraId="580051D7">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使用清洁能源天然气、电</w:t>
            </w:r>
            <w:r>
              <w:rPr>
                <w:rFonts w:hint="eastAsia" w:ascii="Times New Roman" w:hAnsi="Times New Roman" w:cs="Times New Roman"/>
                <w:color w:val="000000"/>
                <w:sz w:val="18"/>
                <w:szCs w:val="18"/>
                <w:lang w:eastAsia="zh-CN"/>
              </w:rPr>
              <w:t>；项目产生的粉尘经除尘后达标排放，产生有有机废气采取活性炭吸附工艺处理可实现稳定达标排放，</w:t>
            </w:r>
            <w:r>
              <w:rPr>
                <w:rFonts w:ascii="Times New Roman" w:hAnsi="Times New Roman" w:cs="Times New Roman"/>
                <w:color w:val="000000"/>
                <w:sz w:val="18"/>
                <w:szCs w:val="18"/>
                <w:lang w:eastAsia="zh-CN"/>
              </w:rPr>
              <w:t>严格按照国家及重庆市关于挥发性有机物治理的相关要求落实污染防治措施。</w:t>
            </w:r>
          </w:p>
        </w:tc>
        <w:tc>
          <w:tcPr>
            <w:tcW w:w="262" w:type="pct"/>
            <w:noWrap w:val="0"/>
            <w:vAlign w:val="center"/>
          </w:tcPr>
          <w:p w14:paraId="44D89109">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56B39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0CB5AC74">
            <w:pPr>
              <w:overflowPunct w:val="0"/>
              <w:topLinePunct/>
              <w:jc w:val="center"/>
              <w:rPr>
                <w:rFonts w:eastAsia="Times New Roman"/>
                <w:color w:val="000000"/>
                <w:sz w:val="18"/>
                <w:szCs w:val="18"/>
              </w:rPr>
            </w:pPr>
            <w:r>
              <w:rPr>
                <w:rFonts w:eastAsia="Times New Roman"/>
                <w:color w:val="000000"/>
                <w:sz w:val="18"/>
                <w:szCs w:val="18"/>
              </w:rPr>
              <w:t>5</w:t>
            </w:r>
          </w:p>
        </w:tc>
        <w:tc>
          <w:tcPr>
            <w:tcW w:w="320" w:type="pct"/>
            <w:vMerge w:val="continue"/>
            <w:noWrap w:val="0"/>
            <w:vAlign w:val="center"/>
          </w:tcPr>
          <w:p w14:paraId="5026C145">
            <w:pPr>
              <w:overflowPunct w:val="0"/>
              <w:topLinePunct/>
              <w:jc w:val="center"/>
              <w:rPr>
                <w:color w:val="000000"/>
                <w:sz w:val="18"/>
                <w:szCs w:val="18"/>
              </w:rPr>
            </w:pPr>
          </w:p>
        </w:tc>
        <w:tc>
          <w:tcPr>
            <w:tcW w:w="295" w:type="pct"/>
            <w:noWrap w:val="0"/>
            <w:vAlign w:val="center"/>
          </w:tcPr>
          <w:p w14:paraId="721A9B6F">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工业固废排放管控</w:t>
            </w:r>
          </w:p>
        </w:tc>
        <w:tc>
          <w:tcPr>
            <w:tcW w:w="2474" w:type="pct"/>
            <w:noWrap w:val="0"/>
            <w:vAlign w:val="center"/>
          </w:tcPr>
          <w:p w14:paraId="7D93EE1E">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加强一般工业固体废物综合利用和处置，鼓励企业自行回收利用一般工业固体废物，按减量化、资源化、无害化原则妥善收集、处置。危险废物产生单位应严格落实危险废物环境管理制度，做好危险废物管理计划和管理台账，对项目危险废物收集、贮存、运输、利用、处置各环节进行全过程环境监管；严格按照《危险废物贮存污染控制标准》(GB18597-2023</w:t>
            </w:r>
            <w:r>
              <w:rPr>
                <w:rFonts w:hint="eastAsia"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等有关规定，设置危险废物暂存场所；危险废物转移应严格执行《危险废物转移管理办法》（生态环境部公安部交通运输部</w:t>
            </w:r>
            <w:r>
              <w:rPr>
                <w:rFonts w:hint="eastAsia" w:ascii="Times New Roman" w:hAnsi="Times New Roman" w:cs="Times New Roman"/>
                <w:color w:val="000000"/>
                <w:sz w:val="18"/>
                <w:szCs w:val="18"/>
                <w:lang w:eastAsia="zh-CN"/>
              </w:rPr>
              <w:t xml:space="preserve"> </w:t>
            </w:r>
            <w:r>
              <w:rPr>
                <w:rFonts w:ascii="Times New Roman" w:hAnsi="Times New Roman" w:cs="Times New Roman"/>
                <w:color w:val="000000"/>
                <w:sz w:val="18"/>
                <w:szCs w:val="18"/>
                <w:lang w:eastAsia="zh-CN"/>
              </w:rPr>
              <w:t>部令第23号）等相关要求。</w:t>
            </w:r>
          </w:p>
        </w:tc>
        <w:tc>
          <w:tcPr>
            <w:tcW w:w="1348" w:type="pct"/>
            <w:noWrap w:val="0"/>
            <w:vAlign w:val="center"/>
          </w:tcPr>
          <w:p w14:paraId="766A1599">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各类固体废物均能得到妥善处置，厂区内按《危险废物贮存污染控制标准》（GB</w:t>
            </w:r>
            <w:r>
              <w:rPr>
                <w:rFonts w:ascii="Times New Roman" w:hAnsi="Times New Roman" w:eastAsia="Times New Roman" w:cs="Times New Roman"/>
                <w:color w:val="000000"/>
                <w:sz w:val="18"/>
                <w:szCs w:val="18"/>
                <w:lang w:eastAsia="zh-CN"/>
              </w:rPr>
              <w:t>185</w:t>
            </w:r>
            <w:r>
              <w:rPr>
                <w:rFonts w:hint="eastAsia" w:ascii="Times New Roman" w:hAnsi="Times New Roman" w:cs="Times New Roman"/>
                <w:color w:val="000000"/>
                <w:sz w:val="18"/>
                <w:szCs w:val="18"/>
                <w:lang w:eastAsia="zh-CN"/>
              </w:rPr>
              <w:t>97</w:t>
            </w:r>
            <w:r>
              <w:rPr>
                <w:rFonts w:ascii="Times New Roman" w:hAnsi="Times New Roman" w:eastAsia="Times New Roman" w:cs="Times New Roman"/>
                <w:color w:val="000000"/>
                <w:sz w:val="18"/>
                <w:szCs w:val="18"/>
                <w:lang w:eastAsia="zh-CN"/>
              </w:rPr>
              <w:t>-2023</w:t>
            </w:r>
            <w:r>
              <w:rPr>
                <w:rFonts w:ascii="Times New Roman" w:hAnsi="Times New Roman" w:cs="Times New Roman"/>
                <w:color w:val="000000"/>
                <w:sz w:val="18"/>
                <w:szCs w:val="18"/>
                <w:lang w:eastAsia="zh-CN"/>
              </w:rPr>
              <w:t>）有关规定设置危险废物贮存</w:t>
            </w:r>
            <w:r>
              <w:rPr>
                <w:rFonts w:hint="eastAsia" w:ascii="Times New Roman" w:hAnsi="Times New Roman" w:cs="Times New Roman"/>
                <w:color w:val="000000"/>
                <w:sz w:val="18"/>
                <w:szCs w:val="18"/>
                <w:lang w:eastAsia="zh-CN"/>
              </w:rPr>
              <w:t>点</w:t>
            </w:r>
            <w:r>
              <w:rPr>
                <w:rFonts w:ascii="Times New Roman" w:hAnsi="Times New Roman" w:cs="Times New Roman"/>
                <w:color w:val="000000"/>
                <w:sz w:val="18"/>
                <w:szCs w:val="18"/>
                <w:lang w:eastAsia="zh-CN"/>
              </w:rPr>
              <w:t>。</w:t>
            </w:r>
          </w:p>
        </w:tc>
        <w:tc>
          <w:tcPr>
            <w:tcW w:w="262" w:type="pct"/>
            <w:noWrap w:val="0"/>
            <w:vAlign w:val="center"/>
          </w:tcPr>
          <w:p w14:paraId="3242F0C8">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35EF5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42189321">
            <w:pPr>
              <w:overflowPunct w:val="0"/>
              <w:topLinePunct/>
              <w:jc w:val="center"/>
              <w:rPr>
                <w:rFonts w:eastAsia="Times New Roman"/>
                <w:color w:val="000000"/>
                <w:sz w:val="18"/>
                <w:szCs w:val="18"/>
              </w:rPr>
            </w:pPr>
            <w:r>
              <w:rPr>
                <w:rFonts w:eastAsia="Times New Roman"/>
                <w:color w:val="000000"/>
                <w:sz w:val="18"/>
                <w:szCs w:val="18"/>
              </w:rPr>
              <w:t>6</w:t>
            </w:r>
          </w:p>
        </w:tc>
        <w:tc>
          <w:tcPr>
            <w:tcW w:w="320" w:type="pct"/>
            <w:vMerge w:val="continue"/>
            <w:noWrap w:val="0"/>
            <w:vAlign w:val="center"/>
          </w:tcPr>
          <w:p w14:paraId="47010BC0">
            <w:pPr>
              <w:overflowPunct w:val="0"/>
              <w:topLinePunct/>
              <w:jc w:val="center"/>
              <w:rPr>
                <w:color w:val="000000"/>
                <w:sz w:val="18"/>
                <w:szCs w:val="18"/>
              </w:rPr>
            </w:pPr>
          </w:p>
        </w:tc>
        <w:tc>
          <w:tcPr>
            <w:tcW w:w="295" w:type="pct"/>
            <w:noWrap w:val="0"/>
            <w:vAlign w:val="center"/>
          </w:tcPr>
          <w:p w14:paraId="68C95A5F">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噪声污染排放管控</w:t>
            </w:r>
          </w:p>
        </w:tc>
        <w:tc>
          <w:tcPr>
            <w:tcW w:w="2474" w:type="pct"/>
            <w:noWrap w:val="0"/>
            <w:vAlign w:val="center"/>
          </w:tcPr>
          <w:p w14:paraId="0235A96B">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加强交通噪声污染防治</w:t>
            </w:r>
            <w:r>
              <w:rPr>
                <w:rFonts w:hint="eastAsia"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合理规划工业片区运输线路和时间，对车辆实行限速、限时、禁鸣，减轻运输过程对沿线居民的影响。合理布局企业噪声源，高噪声源企业选址和布局尽量远离居住、学校等声环境敏感目标；工业企业应优先选择低噪声设备，采取消声、隔声、减振等措施，确保厂界噪声达标。</w:t>
            </w:r>
          </w:p>
        </w:tc>
        <w:tc>
          <w:tcPr>
            <w:tcW w:w="1348" w:type="pct"/>
            <w:noWrap w:val="0"/>
            <w:vAlign w:val="center"/>
          </w:tcPr>
          <w:p w14:paraId="3803A634">
            <w:pPr>
              <w:pStyle w:val="20"/>
              <w:overflowPunct w:val="0"/>
              <w:topLinePunct/>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选择低噪声设备，采取消声、隔声、减振等措施，厂界噪声达标</w:t>
            </w:r>
            <w:r>
              <w:rPr>
                <w:rFonts w:hint="eastAsia" w:ascii="Times New Roman" w:hAnsi="Times New Roman" w:cs="Times New Roman"/>
                <w:color w:val="000000"/>
                <w:sz w:val="18"/>
                <w:szCs w:val="18"/>
                <w:lang w:eastAsia="zh-CN"/>
              </w:rPr>
              <w:t>。</w:t>
            </w:r>
          </w:p>
        </w:tc>
        <w:tc>
          <w:tcPr>
            <w:tcW w:w="262" w:type="pct"/>
            <w:noWrap w:val="0"/>
            <w:vAlign w:val="center"/>
          </w:tcPr>
          <w:p w14:paraId="1A54D50E">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63A42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439B411A">
            <w:pPr>
              <w:overflowPunct w:val="0"/>
              <w:topLinePunct/>
              <w:jc w:val="center"/>
              <w:rPr>
                <w:rFonts w:eastAsia="Times New Roman"/>
                <w:color w:val="000000"/>
                <w:sz w:val="18"/>
                <w:szCs w:val="18"/>
              </w:rPr>
            </w:pPr>
            <w:r>
              <w:rPr>
                <w:rFonts w:eastAsia="Times New Roman"/>
                <w:color w:val="000000"/>
                <w:sz w:val="18"/>
                <w:szCs w:val="18"/>
              </w:rPr>
              <w:t>7</w:t>
            </w:r>
          </w:p>
        </w:tc>
        <w:tc>
          <w:tcPr>
            <w:tcW w:w="320" w:type="pct"/>
            <w:vMerge w:val="continue"/>
            <w:noWrap w:val="0"/>
            <w:vAlign w:val="center"/>
          </w:tcPr>
          <w:p w14:paraId="0933A253">
            <w:pPr>
              <w:overflowPunct w:val="0"/>
              <w:topLinePunct/>
              <w:jc w:val="center"/>
              <w:rPr>
                <w:color w:val="000000"/>
                <w:sz w:val="18"/>
                <w:szCs w:val="18"/>
              </w:rPr>
            </w:pPr>
          </w:p>
        </w:tc>
        <w:tc>
          <w:tcPr>
            <w:tcW w:w="295" w:type="pct"/>
            <w:noWrap w:val="0"/>
            <w:vAlign w:val="center"/>
          </w:tcPr>
          <w:p w14:paraId="6B06835F">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土壤、地下水污染防控</w:t>
            </w:r>
          </w:p>
        </w:tc>
        <w:tc>
          <w:tcPr>
            <w:tcW w:w="2474" w:type="pct"/>
            <w:noWrap w:val="0"/>
            <w:vAlign w:val="center"/>
          </w:tcPr>
          <w:p w14:paraId="2280CC4F">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规划区应按照《中华人民共和国土壤污染防治法》《地下水管理条例》等相关要求加强区域土壤、地下水环境保护。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稳定达标。规划区应按照《重庆市建设用地土壤污染防治办法》等规定要求，依法开展土壤污染状况调查等工作，未达到土壤污染风险评估报告确定的风险管控、修复目标的地块，禁止开工建设任何与风险管控、修复无关的项目。</w:t>
            </w:r>
          </w:p>
        </w:tc>
        <w:tc>
          <w:tcPr>
            <w:tcW w:w="1348" w:type="pct"/>
            <w:noWrap w:val="0"/>
            <w:vAlign w:val="center"/>
          </w:tcPr>
          <w:p w14:paraId="52E881DE">
            <w:pPr>
              <w:pStyle w:val="20"/>
              <w:overflowPunct w:val="0"/>
              <w:topLinePunct/>
              <w:jc w:val="center"/>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在现有厂区范围内进行建设，厂房地面</w:t>
            </w:r>
            <w:r>
              <w:rPr>
                <w:rFonts w:hint="eastAsia" w:ascii="Times New Roman" w:hAnsi="Times New Roman" w:cs="Times New Roman"/>
                <w:color w:val="000000"/>
                <w:sz w:val="18"/>
                <w:szCs w:val="18"/>
                <w:lang w:eastAsia="zh-CN"/>
              </w:rPr>
              <w:t>拟</w:t>
            </w:r>
            <w:r>
              <w:rPr>
                <w:rFonts w:ascii="Times New Roman" w:hAnsi="Times New Roman" w:cs="Times New Roman"/>
                <w:color w:val="000000"/>
                <w:sz w:val="18"/>
                <w:szCs w:val="18"/>
                <w:lang w:eastAsia="zh-CN"/>
              </w:rPr>
              <w:t>采取</w:t>
            </w:r>
            <w:r>
              <w:rPr>
                <w:rFonts w:hint="eastAsia" w:ascii="Times New Roman" w:hAnsi="Times New Roman" w:cs="Times New Roman"/>
                <w:color w:val="000000"/>
                <w:sz w:val="18"/>
                <w:szCs w:val="18"/>
                <w:lang w:eastAsia="zh-CN"/>
              </w:rPr>
              <w:t>分区</w:t>
            </w:r>
            <w:r>
              <w:rPr>
                <w:rFonts w:ascii="Times New Roman" w:hAnsi="Times New Roman" w:cs="Times New Roman"/>
                <w:color w:val="000000"/>
                <w:sz w:val="18"/>
                <w:szCs w:val="18"/>
                <w:lang w:eastAsia="zh-CN"/>
              </w:rPr>
              <w:t>防渗措施，对地下水、土壤</w:t>
            </w:r>
            <w:r>
              <w:rPr>
                <w:rFonts w:hint="eastAsia" w:ascii="Times New Roman" w:hAnsi="Times New Roman" w:cs="Times New Roman"/>
                <w:color w:val="000000"/>
                <w:sz w:val="18"/>
                <w:szCs w:val="18"/>
                <w:lang w:eastAsia="zh-CN"/>
              </w:rPr>
              <w:t>影响较小</w:t>
            </w:r>
            <w:r>
              <w:rPr>
                <w:rFonts w:ascii="Times New Roman" w:hAnsi="Times New Roman" w:cs="Times New Roman"/>
                <w:color w:val="000000"/>
                <w:sz w:val="18"/>
                <w:szCs w:val="18"/>
                <w:lang w:eastAsia="zh-CN"/>
              </w:rPr>
              <w:t>。</w:t>
            </w:r>
          </w:p>
        </w:tc>
        <w:tc>
          <w:tcPr>
            <w:tcW w:w="262" w:type="pct"/>
            <w:noWrap w:val="0"/>
            <w:vAlign w:val="center"/>
          </w:tcPr>
          <w:p w14:paraId="6CA40313">
            <w:pPr>
              <w:pStyle w:val="20"/>
              <w:overflowPunct w:val="0"/>
              <w:topLinePunct/>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符合</w:t>
            </w:r>
          </w:p>
        </w:tc>
      </w:tr>
      <w:tr w14:paraId="051D2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709873CC">
            <w:pPr>
              <w:overflowPunct w:val="0"/>
              <w:topLinePunct/>
              <w:jc w:val="center"/>
              <w:rPr>
                <w:color w:val="000000"/>
                <w:sz w:val="18"/>
                <w:szCs w:val="18"/>
              </w:rPr>
            </w:pPr>
            <w:r>
              <w:rPr>
                <w:color w:val="000000"/>
                <w:sz w:val="18"/>
                <w:szCs w:val="18"/>
              </w:rPr>
              <w:t>8</w:t>
            </w:r>
          </w:p>
        </w:tc>
        <w:tc>
          <w:tcPr>
            <w:tcW w:w="320" w:type="pct"/>
            <w:vMerge w:val="continue"/>
            <w:noWrap w:val="0"/>
            <w:vAlign w:val="center"/>
          </w:tcPr>
          <w:p w14:paraId="5FF2A978">
            <w:pPr>
              <w:overflowPunct w:val="0"/>
              <w:topLinePunct/>
              <w:jc w:val="center"/>
              <w:rPr>
                <w:color w:val="000000"/>
                <w:sz w:val="18"/>
                <w:szCs w:val="18"/>
              </w:rPr>
            </w:pPr>
          </w:p>
        </w:tc>
        <w:tc>
          <w:tcPr>
            <w:tcW w:w="295" w:type="pct"/>
            <w:noWrap w:val="0"/>
            <w:vAlign w:val="center"/>
          </w:tcPr>
          <w:p w14:paraId="46E25F18">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温室气体排放管控</w:t>
            </w:r>
          </w:p>
        </w:tc>
        <w:tc>
          <w:tcPr>
            <w:tcW w:w="2474" w:type="pct"/>
            <w:noWrap w:val="0"/>
            <w:vAlign w:val="center"/>
          </w:tcPr>
          <w:p w14:paraId="2352A4ED">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按照碳达峰、碳中和相关政策和国家减污降碳协同创新试点、国家碳达峰试点要求，以能源、交通、产业等领域为重点，统筹抓好碳排放控制管理和生态环境保护工作，推动实现减污降碳协同共治。督促规划区企业采用先进的生产工艺，提高能源综合利用效率，从源头减少和控制温室气体排放，促进产业绿色低碳循环发展。</w:t>
            </w:r>
          </w:p>
        </w:tc>
        <w:tc>
          <w:tcPr>
            <w:tcW w:w="1348" w:type="pct"/>
            <w:noWrap w:val="0"/>
            <w:vAlign w:val="center"/>
          </w:tcPr>
          <w:p w14:paraId="5F118577">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本评价要求建设单位在项目建成后积极配合碳减排政策进行减排。</w:t>
            </w:r>
          </w:p>
        </w:tc>
        <w:tc>
          <w:tcPr>
            <w:tcW w:w="262" w:type="pct"/>
            <w:noWrap w:val="0"/>
            <w:vAlign w:val="center"/>
          </w:tcPr>
          <w:p w14:paraId="292C429D">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1AB54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52984034">
            <w:pPr>
              <w:overflowPunct w:val="0"/>
              <w:topLinePunct/>
              <w:jc w:val="center"/>
              <w:rPr>
                <w:color w:val="000000"/>
                <w:sz w:val="18"/>
                <w:szCs w:val="18"/>
              </w:rPr>
            </w:pPr>
            <w:r>
              <w:rPr>
                <w:color w:val="000000"/>
                <w:sz w:val="18"/>
                <w:szCs w:val="18"/>
              </w:rPr>
              <w:t>9</w:t>
            </w:r>
          </w:p>
        </w:tc>
        <w:tc>
          <w:tcPr>
            <w:tcW w:w="320" w:type="pct"/>
            <w:vMerge w:val="continue"/>
            <w:noWrap w:val="0"/>
            <w:vAlign w:val="center"/>
          </w:tcPr>
          <w:p w14:paraId="00248E42">
            <w:pPr>
              <w:overflowPunct w:val="0"/>
              <w:topLinePunct/>
              <w:jc w:val="center"/>
              <w:rPr>
                <w:color w:val="000000"/>
                <w:sz w:val="18"/>
                <w:szCs w:val="18"/>
              </w:rPr>
            </w:pPr>
          </w:p>
        </w:tc>
        <w:tc>
          <w:tcPr>
            <w:tcW w:w="295" w:type="pct"/>
            <w:noWrap w:val="0"/>
            <w:vAlign w:val="center"/>
          </w:tcPr>
          <w:p w14:paraId="204C630D">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环境风险防控</w:t>
            </w:r>
          </w:p>
        </w:tc>
        <w:tc>
          <w:tcPr>
            <w:tcW w:w="2474" w:type="pct"/>
            <w:noWrap w:val="0"/>
            <w:vAlign w:val="center"/>
          </w:tcPr>
          <w:p w14:paraId="5FA6CE13">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规划区应健全环境风险防范体系，按要求修订突发环境事件风险评估和应急预案，并定期开展突发性环境事件应急演练，以提升环境风险防范和事故应急处置能力。加强对企业环境风险源的监督管理，相关企业应严格落实各项环境风险防范措施，防范突发性环境风险事故发生，保障区域环境安全。西彭组团南侧临近长江区域开发建设时应同步在紧邻长江一侧雨水排放口设置雨污切换阀，并配套建设园区级事故池，确保事故废水得到有效收集、处理；西彭组团小冲沟以西尚未开发建设的区域，应禁止引入水环境风险较大或重大的项目。沿江1公里范围内规划仓储用地禁止新引入从事危险化学品储存、运输的仓储物流项目。铜罐驿组团应尽快完成金竹沟闸坝的建设，金竹沟闸坝未建成前，应强化现有重大环境风险源企业的日常环境风险监管，储备足够应急物资，定期开展应急演练，确保事故废水得到有效收集、处理。</w:t>
            </w:r>
          </w:p>
        </w:tc>
        <w:tc>
          <w:tcPr>
            <w:tcW w:w="1348" w:type="pct"/>
            <w:noWrap w:val="0"/>
            <w:vAlign w:val="center"/>
          </w:tcPr>
          <w:p w14:paraId="7441075B">
            <w:pPr>
              <w:pStyle w:val="20"/>
              <w:overflowPunct w:val="0"/>
              <w:topLinePunct/>
              <w:rPr>
                <w:rFonts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本项目位于西彭组团，位于小冲沟以东，与长江距离约1.4km，</w:t>
            </w:r>
            <w:r>
              <w:rPr>
                <w:rFonts w:ascii="Times New Roman" w:hAnsi="Times New Roman" w:cs="Times New Roman"/>
                <w:color w:val="000000"/>
                <w:sz w:val="18"/>
                <w:szCs w:val="18"/>
                <w:lang w:eastAsia="zh-CN"/>
              </w:rPr>
              <w:t>本评价要求建设单位在项目建成后按要求</w:t>
            </w:r>
            <w:r>
              <w:rPr>
                <w:rFonts w:hint="eastAsia" w:ascii="Times New Roman" w:hAnsi="Times New Roman" w:cs="Times New Roman"/>
                <w:color w:val="000000"/>
                <w:sz w:val="18"/>
                <w:szCs w:val="18"/>
                <w:lang w:eastAsia="zh-CN"/>
              </w:rPr>
              <w:t>加强环境风险防范措施，及时编制</w:t>
            </w:r>
            <w:r>
              <w:rPr>
                <w:rFonts w:ascii="Times New Roman" w:hAnsi="Times New Roman" w:cs="Times New Roman"/>
                <w:color w:val="000000"/>
                <w:sz w:val="18"/>
                <w:szCs w:val="18"/>
                <w:lang w:eastAsia="zh-CN"/>
              </w:rPr>
              <w:t>突发环境事件风险评估和应急预案，并定期开展突发性环境事件应急演练，以提升环境风险防范和事故应急处置能力。</w:t>
            </w:r>
          </w:p>
        </w:tc>
        <w:tc>
          <w:tcPr>
            <w:tcW w:w="262" w:type="pct"/>
            <w:noWrap w:val="0"/>
            <w:vAlign w:val="center"/>
          </w:tcPr>
          <w:p w14:paraId="360619B7">
            <w:pPr>
              <w:pStyle w:val="20"/>
              <w:overflowPunct w:val="0"/>
              <w:topLinePunct/>
              <w:jc w:val="center"/>
              <w:rPr>
                <w:rFonts w:ascii="Times New Roman" w:hAnsi="Times New Roman" w:cs="Times New Roman"/>
                <w:color w:val="000000"/>
                <w:sz w:val="18"/>
                <w:szCs w:val="18"/>
              </w:rPr>
            </w:pPr>
            <w:r>
              <w:rPr>
                <w:rFonts w:ascii="Times New Roman" w:hAnsi="Times New Roman" w:cs="Times New Roman"/>
                <w:color w:val="000000"/>
                <w:sz w:val="18"/>
                <w:szCs w:val="18"/>
              </w:rPr>
              <w:t>符合</w:t>
            </w:r>
          </w:p>
        </w:tc>
      </w:tr>
      <w:tr w14:paraId="1F783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c>
          <w:tcPr>
            <w:tcW w:w="297" w:type="pct"/>
            <w:noWrap w:val="0"/>
            <w:vAlign w:val="center"/>
          </w:tcPr>
          <w:p w14:paraId="1E2CF8CD">
            <w:pPr>
              <w:overflowPunct w:val="0"/>
              <w:topLinePunct/>
              <w:jc w:val="center"/>
              <w:rPr>
                <w:color w:val="000000"/>
                <w:sz w:val="18"/>
                <w:szCs w:val="18"/>
              </w:rPr>
            </w:pPr>
            <w:r>
              <w:rPr>
                <w:color w:val="000000"/>
                <w:sz w:val="18"/>
                <w:szCs w:val="18"/>
              </w:rPr>
              <w:t>10</w:t>
            </w:r>
          </w:p>
        </w:tc>
        <w:tc>
          <w:tcPr>
            <w:tcW w:w="320" w:type="pct"/>
            <w:noWrap w:val="0"/>
            <w:vAlign w:val="center"/>
          </w:tcPr>
          <w:p w14:paraId="2E052904">
            <w:pPr>
              <w:overflowPunct w:val="0"/>
              <w:topLinePunct/>
              <w:jc w:val="center"/>
              <w:rPr>
                <w:color w:val="000000"/>
                <w:sz w:val="18"/>
                <w:szCs w:val="18"/>
              </w:rPr>
            </w:pPr>
            <w:r>
              <w:rPr>
                <w:color w:val="000000"/>
                <w:sz w:val="18"/>
                <w:szCs w:val="18"/>
              </w:rPr>
              <w:t>规范环境管理</w:t>
            </w:r>
          </w:p>
        </w:tc>
        <w:tc>
          <w:tcPr>
            <w:tcW w:w="2770" w:type="pct"/>
            <w:gridSpan w:val="2"/>
            <w:noWrap w:val="0"/>
            <w:vAlign w:val="center"/>
          </w:tcPr>
          <w:p w14:paraId="5B577CA0">
            <w:pPr>
              <w:pStyle w:val="20"/>
              <w:overflowPunct w:val="0"/>
              <w:topLinePunc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加强日常环境监管，落实建设项目环境影响评价和固定污染源排污许可制度。规划区应建立环境空气、地表水、地下水、土壤等环境要素的监控体系，落实环境跟踪监测计划，适时开展环境影响跟踪评价。规划在实施过程中，若规划范围、规划期限、规模及结构、布局等方面发生重大调整或修订的，应重新或补充进行规划环境影响评价。</w:t>
            </w:r>
          </w:p>
        </w:tc>
        <w:tc>
          <w:tcPr>
            <w:tcW w:w="1348" w:type="pct"/>
            <w:noWrap w:val="0"/>
            <w:vAlign w:val="center"/>
          </w:tcPr>
          <w:p w14:paraId="0266FAE9">
            <w:pPr>
              <w:pStyle w:val="20"/>
              <w:overflowPunct w:val="0"/>
              <w:topLinePunct/>
              <w:spacing w:before="68" w:line="219" w:lineRule="auto"/>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eastAsia="zh-CN"/>
              </w:rPr>
              <w:t>本项目</w:t>
            </w:r>
            <w:r>
              <w:rPr>
                <w:rFonts w:ascii="Times New Roman" w:hAnsi="Times New Roman" w:cs="Times New Roman"/>
                <w:color w:val="000000"/>
                <w:sz w:val="18"/>
                <w:szCs w:val="18"/>
                <w:lang w:eastAsia="zh-CN"/>
              </w:rPr>
              <w:t>运营后，严格落实各项环境管理制度</w:t>
            </w:r>
            <w:r>
              <w:rPr>
                <w:rFonts w:hint="eastAsia" w:ascii="Times New Roman" w:hAnsi="Times New Roman" w:cs="Times New Roman"/>
                <w:color w:val="000000"/>
                <w:sz w:val="18"/>
                <w:szCs w:val="18"/>
                <w:lang w:eastAsia="zh-CN"/>
              </w:rPr>
              <w:t>。</w:t>
            </w:r>
          </w:p>
        </w:tc>
        <w:tc>
          <w:tcPr>
            <w:tcW w:w="262" w:type="pct"/>
            <w:noWrap w:val="0"/>
            <w:vAlign w:val="center"/>
          </w:tcPr>
          <w:p w14:paraId="4B3FC9A4">
            <w:pPr>
              <w:pStyle w:val="20"/>
              <w:overflowPunct w:val="0"/>
              <w:topLinePunct/>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符合</w:t>
            </w:r>
          </w:p>
        </w:tc>
      </w:tr>
    </w:tbl>
    <w:p w14:paraId="184BE28A">
      <w:pPr>
        <w:pStyle w:val="6"/>
        <w:ind w:firstLine="480" w:firstLineChars="200"/>
        <w:rPr>
          <w:color w:val="000000"/>
        </w:rPr>
      </w:pPr>
      <w:r>
        <w:rPr>
          <w:color w:val="000000"/>
          <w:sz w:val="24"/>
          <w:szCs w:val="32"/>
        </w:rPr>
        <w:t>根据表1-3，</w:t>
      </w:r>
      <w:r>
        <w:rPr>
          <w:rFonts w:hint="eastAsia"/>
          <w:color w:val="000000"/>
          <w:sz w:val="24"/>
          <w:szCs w:val="32"/>
        </w:rPr>
        <w:t>本项目</w:t>
      </w:r>
      <w:r>
        <w:rPr>
          <w:color w:val="000000"/>
          <w:sz w:val="24"/>
          <w:szCs w:val="32"/>
        </w:rPr>
        <w:t>符合园区规划环评审查意见要求。</w:t>
      </w:r>
    </w:p>
    <w:p w14:paraId="6566C29E">
      <w:pPr>
        <w:pStyle w:val="7"/>
        <w:ind w:firstLine="180"/>
        <w:rPr>
          <w:rFonts w:ascii="Times New Roman" w:hAnsi="Times New Roman"/>
          <w:color w:val="000000"/>
        </w:rPr>
        <w:sectPr>
          <w:pgSz w:w="16838" w:h="11905" w:orient="landscape"/>
          <w:pgMar w:top="1531" w:right="1440" w:bottom="1531" w:left="1440" w:header="851" w:footer="992" w:gutter="0"/>
          <w:cols w:space="720" w:num="1"/>
          <w:docGrid w:type="lines" w:linePitch="315" w:charSpace="0"/>
        </w:sectPr>
      </w:pPr>
    </w:p>
    <w:p w14:paraId="48E8EC77">
      <w:pPr>
        <w:rPr>
          <w:color w:val="000000"/>
        </w:rPr>
      </w:pPr>
    </w:p>
    <w:tbl>
      <w:tblPr>
        <w:tblStyle w:val="16"/>
        <w:tblW w:w="48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320"/>
      </w:tblGrid>
      <w:tr w14:paraId="535A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4E39A1E3">
            <w:pPr>
              <w:autoSpaceDE w:val="0"/>
              <w:autoSpaceDN w:val="0"/>
              <w:adjustRightInd w:val="0"/>
              <w:snapToGrid w:val="0"/>
              <w:jc w:val="center"/>
              <w:rPr>
                <w:color w:val="000000"/>
                <w:szCs w:val="21"/>
              </w:rPr>
            </w:pPr>
            <w:r>
              <w:rPr>
                <w:color w:val="000000"/>
                <w:kern w:val="0"/>
                <w:szCs w:val="21"/>
              </w:rPr>
              <w:t>其他符合性分析</w:t>
            </w:r>
          </w:p>
        </w:tc>
        <w:tc>
          <w:tcPr>
            <w:tcW w:w="4740" w:type="pct"/>
            <w:noWrap w:val="0"/>
            <w:vAlign w:val="top"/>
          </w:tcPr>
          <w:p w14:paraId="2EE4877F">
            <w:pPr>
              <w:adjustRightInd w:val="0"/>
              <w:snapToGrid w:val="0"/>
              <w:spacing w:line="360" w:lineRule="auto"/>
              <w:jc w:val="left"/>
              <w:rPr>
                <w:b/>
                <w:bCs/>
                <w:color w:val="000000"/>
              </w:rPr>
            </w:pPr>
            <w:r>
              <w:rPr>
                <w:b/>
                <w:bCs/>
                <w:color w:val="000000"/>
              </w:rPr>
              <w:t>1.</w:t>
            </w:r>
            <w:r>
              <w:rPr>
                <w:rFonts w:hint="eastAsia"/>
                <w:b/>
                <w:bCs/>
                <w:color w:val="000000"/>
              </w:rPr>
              <w:t>4与</w:t>
            </w:r>
            <w:r>
              <w:rPr>
                <w:b/>
                <w:bCs/>
                <w:color w:val="000000"/>
              </w:rPr>
              <w:t>“</w:t>
            </w:r>
            <w:r>
              <w:rPr>
                <w:rFonts w:hint="eastAsia"/>
                <w:b/>
                <w:bCs/>
                <w:color w:val="000000"/>
              </w:rPr>
              <w:t>生态环境分区管控</w:t>
            </w:r>
            <w:r>
              <w:rPr>
                <w:b/>
                <w:bCs/>
                <w:color w:val="000000"/>
              </w:rPr>
              <w:t>”符合性分析</w:t>
            </w:r>
          </w:p>
          <w:p w14:paraId="4A80E7DB">
            <w:pPr>
              <w:adjustRightInd w:val="0"/>
              <w:snapToGrid w:val="0"/>
              <w:spacing w:line="360" w:lineRule="auto"/>
              <w:ind w:firstLine="420" w:firstLineChars="200"/>
              <w:rPr>
                <w:rFonts w:hint="eastAsia"/>
                <w:color w:val="000000"/>
              </w:rPr>
            </w:pPr>
            <w:r>
              <w:rPr>
                <w:rFonts w:hint="eastAsia"/>
                <w:color w:val="000000"/>
              </w:rPr>
              <w:t>本项目</w:t>
            </w:r>
            <w:r>
              <w:rPr>
                <w:color w:val="000000"/>
              </w:rPr>
              <w:t>位于西部（重庆）科学城九龙新城园区</w:t>
            </w:r>
            <w:r>
              <w:rPr>
                <w:rFonts w:hint="eastAsia"/>
                <w:color w:val="000000"/>
              </w:rPr>
              <w:t>西彭</w:t>
            </w:r>
            <w:r>
              <w:rPr>
                <w:color w:val="000000"/>
              </w:rPr>
              <w:t>组团，</w:t>
            </w:r>
            <w:r>
              <w:rPr>
                <w:rFonts w:hint="eastAsia"/>
                <w:color w:val="000000"/>
              </w:rPr>
              <w:t>根据《重庆市生态环境局关于印发&lt;重庆市“三线一单”生态环境分区管控调整方案（2023年）&gt;的通知》（渝环规〔2024〕2号）、《重庆市九龙坡区人民政府关于印发&lt;重庆市九龙坡区“三线一单”生态环境分区管控调整方案（2023年）&gt;的通知》(九龙坡府办发〔2024〕51号)，并</w:t>
            </w:r>
            <w:r>
              <w:rPr>
                <w:color w:val="000000"/>
              </w:rPr>
              <w:t>通过</w:t>
            </w:r>
            <w:r>
              <w:rPr>
                <w:rFonts w:hint="eastAsia"/>
                <w:color w:val="000000"/>
              </w:rPr>
              <w:t>与九龙坡区生态环境管控单元图叠图及</w:t>
            </w:r>
            <w:r>
              <w:rPr>
                <w:color w:val="000000"/>
              </w:rPr>
              <w:t>重庆市生态环境分区管控智检服务平台查询可知，</w:t>
            </w:r>
            <w:r>
              <w:rPr>
                <w:rFonts w:hint="eastAsia"/>
                <w:color w:val="000000"/>
              </w:rPr>
              <w:t>本项目涉及</w:t>
            </w:r>
            <w:r>
              <w:rPr>
                <w:color w:val="000000"/>
              </w:rPr>
              <w:t>九龙坡区工业城镇重点管控单元-九龙西城片区，编码：ZH50010720002。</w:t>
            </w:r>
            <w:r>
              <w:rPr>
                <w:rFonts w:hint="eastAsia"/>
                <w:color w:val="000000"/>
              </w:rPr>
              <w:t>项目与九龙坡区生态环境管控单元位置关系见图1-1。</w:t>
            </w:r>
          </w:p>
          <w:p w14:paraId="602CF6B4">
            <w:pPr>
              <w:pStyle w:val="6"/>
              <w:jc w:val="center"/>
              <w:rPr>
                <w:rFonts w:hint="eastAsia"/>
                <w:color w:val="000000"/>
                <w:sz w:val="24"/>
              </w:rPr>
            </w:pPr>
            <w:r>
              <w:rPr>
                <w:color w:val="000000"/>
                <w:sz w:val="22"/>
                <w:szCs w:val="22"/>
              </w:rPr>
              <mc:AlternateContent>
                <mc:Choice Requires="wps">
                  <w:drawing>
                    <wp:anchor distT="0" distB="0" distL="114300" distR="114300" simplePos="0" relativeHeight="251660288" behindDoc="0" locked="0" layoutInCell="1" allowOverlap="1">
                      <wp:simplePos x="0" y="0"/>
                      <wp:positionH relativeFrom="column">
                        <wp:posOffset>645160</wp:posOffset>
                      </wp:positionH>
                      <wp:positionV relativeFrom="paragraph">
                        <wp:posOffset>2190750</wp:posOffset>
                      </wp:positionV>
                      <wp:extent cx="812165" cy="304800"/>
                      <wp:effectExtent l="5080" t="4445" r="554355" b="586105"/>
                      <wp:wrapNone/>
                      <wp:docPr id="56" name="圆角矩形标注 56"/>
                      <wp:cNvGraphicFramePr/>
                      <a:graphic xmlns:a="http://schemas.openxmlformats.org/drawingml/2006/main">
                        <a:graphicData uri="http://schemas.microsoft.com/office/word/2010/wordprocessingShape">
                          <wps:wsp>
                            <wps:cNvSpPr/>
                            <wps:spPr>
                              <a:xfrm>
                                <a:off x="0" y="0"/>
                                <a:ext cx="812165" cy="304800"/>
                              </a:xfrm>
                              <a:prstGeom prst="wedgeRoundRectCallout">
                                <a:avLst>
                                  <a:gd name="adj1" fmla="val 112315"/>
                                  <a:gd name="adj2" fmla="val 231042"/>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4F872022">
                                  <w:pPr>
                                    <w:rPr>
                                      <w:sz w:val="21"/>
                                      <w:szCs w:val="21"/>
                                    </w:rPr>
                                  </w:pPr>
                                  <w:r>
                                    <w:rPr>
                                      <w:rFonts w:hint="eastAsia"/>
                                      <w:sz w:val="21"/>
                                      <w:szCs w:val="21"/>
                                    </w:rPr>
                                    <w:t>项目位置</w:t>
                                  </w:r>
                                </w:p>
                              </w:txbxContent>
                            </wps:txbx>
                            <wps:bodyPr upright="1"/>
                          </wps:wsp>
                        </a:graphicData>
                      </a:graphic>
                    </wp:anchor>
                  </w:drawing>
                </mc:Choice>
                <mc:Fallback>
                  <w:pict>
                    <v:shape id="_x0000_s1026" o:spid="_x0000_s1026" o:spt="62" type="#_x0000_t62" style="position:absolute;left:0pt;margin-left:50.8pt;margin-top:172.5pt;height:24pt;width:63.95pt;z-index:251660288;mso-width-relative:page;mso-height-relative:page;" fillcolor="#FFFFFF" filled="t" stroked="t" coordsize="21600,21600" o:gfxdata="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E7DhDbAAAACwEA&#10;AA8AAAAAAAAAAQAgAAAAIgAAAGRycy9kb3ducmV2LnhtbFBLAQIUABQAAAAIAIdO4kDn5HEFUAIA&#10;AL4EAAAOAAAAAAAAAAEAIAAAACoBAABkcnMvZTJvRG9jLnhtbFBLBQYAAAAABgAGAFkBAADsBQAA&#10;AAA=&#10;" adj="35060,60705,14400">
                      <v:fill on="t" focussize="0,0"/>
                      <v:stroke color="#000000" joinstyle="miter"/>
                      <v:imagedata o:title=""/>
                      <o:lock v:ext="edit" aspectratio="f"/>
                      <v:textbox>
                        <w:txbxContent>
                          <w:p w14:paraId="4F872022">
                            <w:pPr>
                              <w:rPr>
                                <w:sz w:val="21"/>
                                <w:szCs w:val="21"/>
                              </w:rPr>
                            </w:pPr>
                            <w:r>
                              <w:rPr>
                                <w:rFonts w:hint="eastAsia"/>
                                <w:sz w:val="21"/>
                                <w:szCs w:val="21"/>
                              </w:rPr>
                              <w:t>项目位置</w:t>
                            </w:r>
                          </w:p>
                        </w:txbxContent>
                      </v:textbox>
                    </v:shape>
                  </w:pict>
                </mc:Fallback>
              </mc:AlternateContent>
            </w:r>
            <w:r>
              <w:rPr>
                <w:color w:val="000000"/>
              </w:rPr>
              <w:drawing>
                <wp:inline distT="0" distB="0" distL="114300" distR="114300">
                  <wp:extent cx="5014595" cy="3444240"/>
                  <wp:effectExtent l="0" t="0" r="14605" b="3810"/>
                  <wp:docPr id="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pic:cNvPicPr>
                            <a:picLocks noChangeAspect="1"/>
                          </pic:cNvPicPr>
                        </pic:nvPicPr>
                        <pic:blipFill>
                          <a:blip r:embed="rId15"/>
                          <a:srcRect l="3780" t="4544" r="3532" b="5490"/>
                          <a:stretch>
                            <a:fillRect/>
                          </a:stretch>
                        </pic:blipFill>
                        <pic:spPr>
                          <a:xfrm>
                            <a:off x="0" y="0"/>
                            <a:ext cx="5014595" cy="3444240"/>
                          </a:xfrm>
                          <a:prstGeom prst="rect">
                            <a:avLst/>
                          </a:prstGeom>
                          <a:noFill/>
                          <a:ln>
                            <a:noFill/>
                          </a:ln>
                        </pic:spPr>
                      </pic:pic>
                    </a:graphicData>
                  </a:graphic>
                </wp:inline>
              </w:drawing>
            </w:r>
          </w:p>
          <w:p w14:paraId="637BA38A">
            <w:pPr>
              <w:adjustRightInd w:val="0"/>
              <w:snapToGrid w:val="0"/>
              <w:spacing w:line="360" w:lineRule="auto"/>
              <w:jc w:val="center"/>
              <w:rPr>
                <w:color w:val="000000"/>
              </w:rPr>
            </w:pPr>
            <w:r>
              <w:rPr>
                <w:b/>
                <w:bCs/>
                <w:color w:val="000000"/>
                <w:kern w:val="0"/>
              </w:rPr>
              <w:t>图1-1</w:t>
            </w:r>
            <w:r>
              <w:rPr>
                <w:rFonts w:hint="eastAsia"/>
                <w:b/>
                <w:bCs/>
                <w:color w:val="000000"/>
                <w:kern w:val="0"/>
              </w:rPr>
              <w:t xml:space="preserve">  项目与</w:t>
            </w:r>
            <w:r>
              <w:rPr>
                <w:b/>
                <w:bCs/>
                <w:color w:val="000000"/>
                <w:kern w:val="0"/>
              </w:rPr>
              <w:t>环境管控单元</w:t>
            </w:r>
            <w:r>
              <w:rPr>
                <w:rFonts w:hint="eastAsia"/>
                <w:b/>
                <w:bCs/>
                <w:color w:val="000000"/>
                <w:kern w:val="0"/>
              </w:rPr>
              <w:t>位置关系</w:t>
            </w:r>
            <w:r>
              <w:rPr>
                <w:b/>
                <w:bCs/>
                <w:color w:val="000000"/>
                <w:kern w:val="0"/>
              </w:rPr>
              <w:t>图</w:t>
            </w:r>
          </w:p>
          <w:p w14:paraId="36569847">
            <w:pPr>
              <w:adjustRightInd w:val="0"/>
              <w:snapToGrid w:val="0"/>
              <w:spacing w:line="360" w:lineRule="auto"/>
              <w:ind w:firstLine="420" w:firstLineChars="200"/>
              <w:rPr>
                <w:bCs/>
                <w:color w:val="000000"/>
              </w:rPr>
            </w:pPr>
            <w:r>
              <w:rPr>
                <w:color w:val="000000"/>
              </w:rPr>
              <w:t>本项目</w:t>
            </w:r>
            <w:r>
              <w:rPr>
                <w:rFonts w:hint="eastAsia"/>
                <w:color w:val="000000"/>
              </w:rPr>
              <w:t>“生态环境分区管控检测分析报告”</w:t>
            </w:r>
            <w:r>
              <w:rPr>
                <w:color w:val="000000"/>
              </w:rPr>
              <w:t>见附件</w:t>
            </w:r>
            <w:r>
              <w:rPr>
                <w:rFonts w:hint="eastAsia"/>
                <w:color w:val="000000"/>
              </w:rPr>
              <w:t>4</w:t>
            </w:r>
            <w:r>
              <w:rPr>
                <w:color w:val="000000"/>
              </w:rPr>
              <w:t>。</w:t>
            </w:r>
          </w:p>
          <w:p w14:paraId="2E00A8E0">
            <w:pPr>
              <w:spacing w:before="24"/>
              <w:jc w:val="center"/>
              <w:rPr>
                <w:b/>
                <w:bCs/>
                <w:color w:val="000000"/>
                <w:szCs w:val="32"/>
              </w:rPr>
            </w:pPr>
            <w:r>
              <w:rPr>
                <w:b/>
                <w:bCs/>
                <w:color w:val="000000"/>
                <w:szCs w:val="32"/>
              </w:rPr>
              <w:t>表</w:t>
            </w:r>
            <w:r>
              <w:rPr>
                <w:rFonts w:hint="eastAsia"/>
                <w:b/>
                <w:bCs/>
                <w:color w:val="000000"/>
                <w:szCs w:val="32"/>
              </w:rPr>
              <w:t>1-4</w:t>
            </w:r>
            <w:r>
              <w:rPr>
                <w:b/>
                <w:bCs/>
                <w:color w:val="000000"/>
                <w:szCs w:val="32"/>
              </w:rPr>
              <w:t xml:space="preserve"> </w:t>
            </w:r>
            <w:r>
              <w:rPr>
                <w:rFonts w:hint="eastAsia"/>
                <w:b/>
                <w:bCs/>
                <w:color w:val="000000"/>
                <w:szCs w:val="32"/>
              </w:rPr>
              <w:t xml:space="preserve"> 建设项目与“生态环境分区管控”要求的符合性分析表</w:t>
            </w:r>
          </w:p>
          <w:tbl>
            <w:tblPr>
              <w:tblStyle w:val="16"/>
              <w:tblW w:w="81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61"/>
              <w:gridCol w:w="900"/>
              <w:gridCol w:w="3412"/>
              <w:gridCol w:w="2083"/>
              <w:gridCol w:w="749"/>
            </w:tblGrid>
            <w:tr w14:paraId="287ECE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61" w:type="dxa"/>
                  <w:gridSpan w:val="2"/>
                  <w:noWrap w:val="0"/>
                  <w:vAlign w:val="center"/>
                </w:tcPr>
                <w:p w14:paraId="30C5893C">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环境管控单元编码</w:t>
                  </w:r>
                </w:p>
              </w:tc>
              <w:tc>
                <w:tcPr>
                  <w:tcW w:w="3412" w:type="dxa"/>
                  <w:noWrap w:val="0"/>
                  <w:vAlign w:val="center"/>
                </w:tcPr>
                <w:p w14:paraId="12FDA90F">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环境管控单元名称</w:t>
                  </w:r>
                </w:p>
              </w:tc>
              <w:tc>
                <w:tcPr>
                  <w:tcW w:w="2832" w:type="dxa"/>
                  <w:gridSpan w:val="2"/>
                  <w:noWrap w:val="0"/>
                  <w:vAlign w:val="center"/>
                </w:tcPr>
                <w:p w14:paraId="455BD182">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环境管控单元类型</w:t>
                  </w:r>
                </w:p>
              </w:tc>
            </w:tr>
            <w:tr w14:paraId="2C1333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61" w:type="dxa"/>
                  <w:gridSpan w:val="2"/>
                  <w:noWrap w:val="0"/>
                  <w:vAlign w:val="center"/>
                </w:tcPr>
                <w:p w14:paraId="2EA8C4A7">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ZH50010720002</w:t>
                  </w:r>
                </w:p>
              </w:tc>
              <w:tc>
                <w:tcPr>
                  <w:tcW w:w="3412" w:type="dxa"/>
                  <w:noWrap w:val="0"/>
                  <w:vAlign w:val="center"/>
                </w:tcPr>
                <w:p w14:paraId="7EEFEADE">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九龙坡区工业城镇重点管控单元-九龙西城片区</w:t>
                  </w:r>
                </w:p>
              </w:tc>
              <w:tc>
                <w:tcPr>
                  <w:tcW w:w="2832" w:type="dxa"/>
                  <w:gridSpan w:val="2"/>
                  <w:noWrap w:val="0"/>
                  <w:vAlign w:val="center"/>
                </w:tcPr>
                <w:p w14:paraId="145AD969">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重点管控单元</w:t>
                  </w:r>
                </w:p>
              </w:tc>
            </w:tr>
            <w:tr w14:paraId="5841A3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noWrap w:val="0"/>
                  <w:vAlign w:val="center"/>
                </w:tcPr>
                <w:p w14:paraId="23A58B4D">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管控要求层级</w:t>
                  </w:r>
                </w:p>
              </w:tc>
              <w:tc>
                <w:tcPr>
                  <w:tcW w:w="900" w:type="dxa"/>
                  <w:noWrap w:val="0"/>
                  <w:vAlign w:val="center"/>
                </w:tcPr>
                <w:p w14:paraId="5FE0B875">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管控类型</w:t>
                  </w:r>
                </w:p>
              </w:tc>
              <w:tc>
                <w:tcPr>
                  <w:tcW w:w="3412" w:type="dxa"/>
                  <w:noWrap w:val="0"/>
                  <w:vAlign w:val="center"/>
                </w:tcPr>
                <w:p w14:paraId="68960A15">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管控要求</w:t>
                  </w:r>
                </w:p>
              </w:tc>
              <w:tc>
                <w:tcPr>
                  <w:tcW w:w="2083" w:type="dxa"/>
                  <w:noWrap w:val="0"/>
                  <w:vAlign w:val="center"/>
                </w:tcPr>
                <w:p w14:paraId="39FA56D1">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项目情况</w:t>
                  </w:r>
                </w:p>
              </w:tc>
              <w:tc>
                <w:tcPr>
                  <w:tcW w:w="749" w:type="dxa"/>
                  <w:noWrap w:val="0"/>
                  <w:vAlign w:val="center"/>
                </w:tcPr>
                <w:p w14:paraId="434409F2">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符合性分析</w:t>
                  </w:r>
                </w:p>
              </w:tc>
            </w:tr>
            <w:tr w14:paraId="08A703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restart"/>
                  <w:noWrap w:val="0"/>
                  <w:vAlign w:val="center"/>
                </w:tcPr>
                <w:p w14:paraId="350367FE">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重点管控单元市级</w:t>
                  </w:r>
                  <w:r>
                    <w:rPr>
                      <w:rFonts w:ascii="Times New Roman" w:hAnsi="Times New Roman" w:eastAsia="宋体" w:cs="Times New Roman"/>
                      <w:color w:val="000000"/>
                      <w:sz w:val="18"/>
                      <w:szCs w:val="18"/>
                    </w:rPr>
                    <w:t>总体管控要求</w:t>
                  </w:r>
                </w:p>
              </w:tc>
              <w:tc>
                <w:tcPr>
                  <w:tcW w:w="900" w:type="dxa"/>
                  <w:noWrap w:val="0"/>
                  <w:vAlign w:val="center"/>
                </w:tcPr>
                <w:p w14:paraId="025E111C">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空间布局约束</w:t>
                  </w:r>
                </w:p>
              </w:tc>
              <w:tc>
                <w:tcPr>
                  <w:tcW w:w="3412" w:type="dxa"/>
                  <w:noWrap w:val="0"/>
                  <w:vAlign w:val="top"/>
                </w:tcPr>
                <w:p w14:paraId="2391E7C0">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第一条深入贯彻习近平生态文明思想，筑牢长江上游重要生态屏障，推动优势区域重点发展、生态功能区重点保护、城乡融合发展，优化重点区域、流域、产业的空间布局。</w:t>
                  </w:r>
                </w:p>
                <w:p w14:paraId="460B48A9">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二条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14:paraId="5B907296">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三条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0D4323D7">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四条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14:paraId="791F21D9">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第五条新建、扩建有色金属冶炼、电镀、铅蓄电池等企业应布设在依法合规设立并经过规划环评的产业园区。</w:t>
                  </w:r>
                </w:p>
                <w:p w14:paraId="5B611FC3">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第六条涉及环境防护距离的工业企业或项目应通过选址或调整布局原则上将环境防护距离控制在园区边界或用地红线内，提前合理规划项目地块布置、预防环境风险。</w:t>
                  </w:r>
                </w:p>
                <w:p w14:paraId="123B87EB">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第七条有效规范空间开发秩序，合理控制空间开发强度，切实将各类开发活动限制在资源环境承载能力之内，为构建高效协调可持续的国土空间开发格局奠定坚实基础。</w:t>
                  </w:r>
                </w:p>
              </w:tc>
              <w:tc>
                <w:tcPr>
                  <w:tcW w:w="2083" w:type="dxa"/>
                  <w:noWrap w:val="0"/>
                  <w:vAlign w:val="center"/>
                </w:tcPr>
                <w:p w14:paraId="079B481D">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不属于化工项目，不涉及尾矿库、冶炼渣、磷石膏库。项目位于</w:t>
                  </w:r>
                  <w:r>
                    <w:rPr>
                      <w:rFonts w:ascii="Times New Roman" w:hAnsi="Times New Roman" w:eastAsia="宋体" w:cs="Times New Roman"/>
                      <w:color w:val="000000"/>
                      <w:sz w:val="18"/>
                      <w:szCs w:val="18"/>
                      <w:lang w:bidi="ar"/>
                    </w:rPr>
                    <w:t>西部（重庆）科学城九龙新城园区</w:t>
                  </w:r>
                  <w:r>
                    <w:rPr>
                      <w:rFonts w:hint="eastAsia" w:ascii="Times New Roman" w:hAnsi="Times New Roman" w:eastAsia="宋体" w:cs="Times New Roman"/>
                      <w:color w:val="000000"/>
                      <w:sz w:val="18"/>
                      <w:szCs w:val="18"/>
                      <w:lang w:val="en-US" w:bidi="ar"/>
                    </w:rPr>
                    <w:t>西彭</w:t>
                  </w:r>
                  <w:r>
                    <w:rPr>
                      <w:rFonts w:ascii="Times New Roman" w:hAnsi="Times New Roman" w:eastAsia="宋体" w:cs="Times New Roman"/>
                      <w:color w:val="000000"/>
                      <w:sz w:val="18"/>
                      <w:szCs w:val="18"/>
                      <w:lang w:bidi="ar"/>
                    </w:rPr>
                    <w:t>组团</w:t>
                  </w:r>
                  <w:r>
                    <w:rPr>
                      <w:rFonts w:ascii="Times New Roman" w:hAnsi="Times New Roman" w:eastAsia="宋体" w:cs="Times New Roman"/>
                      <w:color w:val="000000"/>
                      <w:sz w:val="18"/>
                      <w:szCs w:val="18"/>
                    </w:rPr>
                    <w:t>，不属于钢铁、石化、化工、焦化、建材、有色、制浆造纸等高污染项目，不属于石化、现代煤化工，不属于“两高”项目。项目位于工业</w:t>
                  </w:r>
                  <w:r>
                    <w:rPr>
                      <w:rFonts w:ascii="Times New Roman" w:hAnsi="Times New Roman" w:eastAsia="宋体" w:cs="Times New Roman"/>
                      <w:color w:val="000000"/>
                      <w:sz w:val="18"/>
                      <w:szCs w:val="18"/>
                      <w:lang w:val="en-US"/>
                    </w:rPr>
                    <w:t>园区</w:t>
                  </w:r>
                  <w:r>
                    <w:rPr>
                      <w:rFonts w:ascii="Times New Roman" w:hAnsi="Times New Roman" w:eastAsia="宋体" w:cs="Times New Roman"/>
                      <w:color w:val="000000"/>
                      <w:sz w:val="18"/>
                      <w:szCs w:val="18"/>
                    </w:rPr>
                    <w:t>。项目不属于有色金属冶炼、电镀、铅蓄电池等企业，不设置环境防护距离。</w:t>
                  </w:r>
                </w:p>
              </w:tc>
              <w:tc>
                <w:tcPr>
                  <w:tcW w:w="749" w:type="dxa"/>
                  <w:noWrap w:val="0"/>
                  <w:vAlign w:val="center"/>
                </w:tcPr>
                <w:p w14:paraId="467029E5">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2F2941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7576AE8F">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4C5924A6">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污染物排放管控</w:t>
                  </w:r>
                </w:p>
              </w:tc>
              <w:tc>
                <w:tcPr>
                  <w:tcW w:w="3412" w:type="dxa"/>
                  <w:noWrap w:val="0"/>
                  <w:vAlign w:val="top"/>
                </w:tcPr>
                <w:p w14:paraId="1B9796B4">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八条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p w14:paraId="7F7F329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九条严格落实国家及我市大气污染防控相关要求，对大气环境质量未达标地区，对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14:paraId="73E44BCB">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条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14:paraId="2DF8593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一条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1D26475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二条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p w14:paraId="1EDB98D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三条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14:paraId="19F97E8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四条固体废物污染环境防治坚持减量化、资源化和无害化的原则。产生工业固体废物的单位应当建立健全工业固体废物产生、收集、贮存、运输、利用、处置全过程的污染环境防治责任制度，建立工业固体废物管理台账。</w:t>
                  </w:r>
                </w:p>
                <w:p w14:paraId="0DE53A2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五条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083" w:type="dxa"/>
                  <w:noWrap w:val="0"/>
                  <w:vAlign w:val="center"/>
                </w:tcPr>
                <w:p w14:paraId="56EB71B4">
                  <w:pPr>
                    <w:pStyle w:val="21"/>
                    <w:ind w:left="0"/>
                    <w:rPr>
                      <w:rFonts w:hint="eastAsia"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不属于石化、煤化工、燃煤发电（含热电）、钢铁、有色金属冶炼、制浆造纸行业，不属于水泥熟料、平板玻璃、电解铝等行业。项目不属于“两高”行业</w:t>
                  </w:r>
                  <w:r>
                    <w:rPr>
                      <w:rFonts w:hint="eastAsia" w:ascii="Times New Roman" w:hAnsi="Times New Roman" w:eastAsia="宋体" w:cs="Times New Roman"/>
                      <w:color w:val="000000"/>
                      <w:sz w:val="18"/>
                      <w:szCs w:val="18"/>
                    </w:rPr>
                    <w:t>。</w:t>
                  </w:r>
                </w:p>
                <w:p w14:paraId="30BFA21E">
                  <w:pPr>
                    <w:pStyle w:val="21"/>
                    <w:ind w:left="0"/>
                    <w:rPr>
                      <w:rFonts w:ascii="Times New Roman" w:hAnsi="Times New Roman" w:eastAsia="宋体" w:cs="Times New Roman"/>
                      <w:color w:val="000000"/>
                      <w:sz w:val="18"/>
                      <w:szCs w:val="18"/>
                      <w:lang w:val="en-US"/>
                    </w:rPr>
                  </w:pPr>
                  <w:r>
                    <w:rPr>
                      <w:rFonts w:ascii="Times New Roman" w:hAnsi="Times New Roman" w:eastAsia="宋体" w:cs="Times New Roman"/>
                      <w:color w:val="000000"/>
                      <w:sz w:val="18"/>
                      <w:szCs w:val="18"/>
                    </w:rPr>
                    <w:t>项目所在区域大气环境质量达标，</w:t>
                  </w:r>
                  <w:r>
                    <w:rPr>
                      <w:rFonts w:ascii="Times New Roman" w:hAnsi="Times New Roman" w:eastAsia="宋体" w:cs="Times New Roman"/>
                      <w:color w:val="000000"/>
                      <w:sz w:val="18"/>
                      <w:szCs w:val="18"/>
                      <w:lang w:val="en-US"/>
                    </w:rPr>
                    <w:t>本项目废气通过废气治理设施</w:t>
                  </w:r>
                  <w:r>
                    <w:rPr>
                      <w:rFonts w:hint="eastAsia" w:ascii="Times New Roman" w:hAnsi="Times New Roman" w:eastAsia="宋体" w:cs="Times New Roman"/>
                      <w:color w:val="000000"/>
                      <w:sz w:val="18"/>
                      <w:szCs w:val="18"/>
                      <w:lang w:val="en-US"/>
                    </w:rPr>
                    <w:t>处理</w:t>
                  </w:r>
                  <w:r>
                    <w:rPr>
                      <w:rFonts w:ascii="Times New Roman" w:hAnsi="Times New Roman" w:eastAsia="宋体" w:cs="Times New Roman"/>
                      <w:color w:val="000000"/>
                      <w:sz w:val="18"/>
                      <w:szCs w:val="18"/>
                      <w:lang w:val="en-US"/>
                    </w:rPr>
                    <w:t>、废水通过</w:t>
                  </w:r>
                  <w:r>
                    <w:rPr>
                      <w:rFonts w:hint="eastAsia" w:ascii="Times New Roman" w:hAnsi="Times New Roman" w:eastAsia="宋体" w:cs="Times New Roman"/>
                      <w:color w:val="000000"/>
                      <w:sz w:val="18"/>
                      <w:szCs w:val="18"/>
                      <w:lang w:val="en-US"/>
                    </w:rPr>
                    <w:t>预处理</w:t>
                  </w:r>
                  <w:r>
                    <w:rPr>
                      <w:rFonts w:ascii="Times New Roman" w:hAnsi="Times New Roman" w:eastAsia="宋体" w:cs="Times New Roman"/>
                      <w:color w:val="000000"/>
                      <w:sz w:val="18"/>
                      <w:szCs w:val="18"/>
                      <w:lang w:val="en-US"/>
                    </w:rPr>
                    <w:t>，废气和废水污染物</w:t>
                  </w:r>
                  <w:r>
                    <w:rPr>
                      <w:rFonts w:hint="eastAsia" w:ascii="Times New Roman" w:hAnsi="Times New Roman" w:eastAsia="宋体" w:cs="Times New Roman"/>
                      <w:color w:val="000000"/>
                      <w:sz w:val="18"/>
                      <w:szCs w:val="18"/>
                      <w:lang w:val="en-US"/>
                    </w:rPr>
                    <w:t>均达标排放。</w:t>
                  </w:r>
                </w:p>
                <w:p w14:paraId="4EF2CD1B">
                  <w:pPr>
                    <w:pStyle w:val="21"/>
                    <w:ind w:left="0"/>
                    <w:rPr>
                      <w:rFonts w:ascii="Times New Roman" w:hAnsi="Times New Roman" w:eastAsia="宋体" w:cs="Times New Roman"/>
                      <w:color w:val="000000"/>
                      <w:sz w:val="18"/>
                      <w:szCs w:val="18"/>
                      <w:lang w:val="en-US"/>
                    </w:rPr>
                  </w:pPr>
                  <w:r>
                    <w:rPr>
                      <w:rFonts w:ascii="Times New Roman" w:hAnsi="Times New Roman" w:eastAsia="宋体" w:cs="Times New Roman"/>
                      <w:color w:val="000000"/>
                      <w:sz w:val="18"/>
                      <w:szCs w:val="18"/>
                      <w:lang w:val="en-US"/>
                    </w:rPr>
                    <w:t>项目废水经处理后排入西彭工业园区污水处理厂处理，</w:t>
                  </w:r>
                  <w:r>
                    <w:rPr>
                      <w:rFonts w:hint="eastAsia" w:ascii="Times New Roman" w:hAnsi="Times New Roman" w:eastAsia="宋体" w:cs="Times New Roman"/>
                      <w:color w:val="000000"/>
                      <w:sz w:val="18"/>
                      <w:szCs w:val="18"/>
                      <w:lang w:val="en-US"/>
                    </w:rPr>
                    <w:t>出水水质可达《污水综合排放标准》（GB8978-1996）一级标准，西彭工业园区污水处理厂提标扩建工程正在试运行中。提标扩建后，COD、NH</w:t>
                  </w:r>
                  <w:r>
                    <w:rPr>
                      <w:rFonts w:hint="eastAsia" w:ascii="Times New Roman" w:hAnsi="Times New Roman" w:eastAsia="宋体" w:cs="Times New Roman"/>
                      <w:color w:val="000000"/>
                      <w:sz w:val="18"/>
                      <w:szCs w:val="18"/>
                      <w:vertAlign w:val="subscript"/>
                      <w:lang w:val="en-US"/>
                    </w:rPr>
                    <w:t>3</w:t>
                  </w:r>
                  <w:r>
                    <w:rPr>
                      <w:rFonts w:hint="eastAsia" w:ascii="Times New Roman" w:hAnsi="Times New Roman" w:eastAsia="宋体" w:cs="Times New Roman"/>
                      <w:color w:val="000000"/>
                      <w:sz w:val="18"/>
                      <w:szCs w:val="18"/>
                      <w:lang w:val="en-US"/>
                    </w:rPr>
                    <w:t>-N、TP可达《地表水环境质量标准》（GB3838-2002）Ⅳ类标准，其他因子执行《城镇污水处理厂污染物排放标准》（GB18918-2002）一级A标准。</w:t>
                  </w:r>
                </w:p>
                <w:p w14:paraId="41393954">
                  <w:pPr>
                    <w:pStyle w:val="21"/>
                    <w:ind w:left="0"/>
                    <w:rPr>
                      <w:rFonts w:ascii="Times New Roman" w:hAnsi="Times New Roman" w:eastAsia="宋体" w:cs="Times New Roman"/>
                      <w:color w:val="000000"/>
                      <w:sz w:val="18"/>
                      <w:szCs w:val="18"/>
                      <w:lang w:val="en-US"/>
                    </w:rPr>
                  </w:pPr>
                  <w:r>
                    <w:rPr>
                      <w:rFonts w:ascii="Times New Roman" w:hAnsi="Times New Roman" w:eastAsia="宋体" w:cs="Times New Roman"/>
                      <w:color w:val="000000"/>
                      <w:sz w:val="18"/>
                      <w:szCs w:val="18"/>
                      <w:lang w:val="en-US"/>
                    </w:rPr>
                    <w:t>项目不涉及重金属污染物排放</w:t>
                  </w:r>
                  <w:r>
                    <w:rPr>
                      <w:rFonts w:hint="eastAsia" w:ascii="Times New Roman" w:hAnsi="Times New Roman" w:eastAsia="宋体" w:cs="Times New Roman"/>
                      <w:color w:val="000000"/>
                      <w:sz w:val="18"/>
                      <w:szCs w:val="18"/>
                      <w:lang w:val="en-US"/>
                    </w:rPr>
                    <w:t>。</w:t>
                  </w:r>
                </w:p>
                <w:p w14:paraId="722B791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项目应建立健全</w:t>
                  </w:r>
                  <w:r>
                    <w:rPr>
                      <w:rFonts w:ascii="Times New Roman" w:hAnsi="Times New Roman" w:eastAsia="宋体" w:cs="Times New Roman"/>
                      <w:color w:val="000000"/>
                      <w:sz w:val="18"/>
                      <w:szCs w:val="18"/>
                    </w:rPr>
                    <w:t>工业固体废物产生、收集、贮存、运输、利用、处置全过程的污染环境防治责任制度，建立工业固体废物管理台账</w:t>
                  </w:r>
                  <w:r>
                    <w:rPr>
                      <w:rFonts w:hint="eastAsia" w:ascii="Times New Roman" w:hAnsi="Times New Roman" w:eastAsia="宋体" w:cs="Times New Roman"/>
                      <w:color w:val="000000"/>
                      <w:sz w:val="18"/>
                      <w:szCs w:val="18"/>
                    </w:rPr>
                    <w:t>。</w:t>
                  </w:r>
                </w:p>
                <w:p w14:paraId="6A880BA1">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项目生活垃圾分类收集后交环卫部门处置。</w:t>
                  </w:r>
                </w:p>
              </w:tc>
              <w:tc>
                <w:tcPr>
                  <w:tcW w:w="749" w:type="dxa"/>
                  <w:noWrap w:val="0"/>
                  <w:vAlign w:val="center"/>
                </w:tcPr>
                <w:p w14:paraId="46BF4C6A">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630279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7223B457">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19AC7297">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环境风险防控</w:t>
                  </w:r>
                </w:p>
              </w:tc>
              <w:tc>
                <w:tcPr>
                  <w:tcW w:w="3412" w:type="dxa"/>
                  <w:noWrap w:val="0"/>
                  <w:vAlign w:val="top"/>
                </w:tcPr>
                <w:p w14:paraId="21DE10E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六条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14:paraId="449145C0">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第十七条强化化工园区涉水突发环境事件四级环境风险防范体系建设。持续推进重点化工园区（化工集中区）建设有毒有害气体监测预警体系和水质生物毒性预警体系。</w:t>
                  </w:r>
                </w:p>
              </w:tc>
              <w:tc>
                <w:tcPr>
                  <w:tcW w:w="2083" w:type="dxa"/>
                  <w:noWrap w:val="0"/>
                  <w:vAlign w:val="center"/>
                </w:tcPr>
                <w:p w14:paraId="027EB766">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采取相应风险防范措施，建成后应编制环境风险评估报告和应急预案，定期进行应急演练；</w:t>
                  </w:r>
                </w:p>
                <w:p w14:paraId="7512603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不在化工园区。</w:t>
                  </w:r>
                </w:p>
              </w:tc>
              <w:tc>
                <w:tcPr>
                  <w:tcW w:w="749" w:type="dxa"/>
                  <w:noWrap w:val="0"/>
                  <w:vAlign w:val="center"/>
                </w:tcPr>
                <w:p w14:paraId="7F9CD9EE">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58C36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1364A734">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314BC5D1">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资源开发利用效率</w:t>
                  </w:r>
                </w:p>
              </w:tc>
              <w:tc>
                <w:tcPr>
                  <w:tcW w:w="3412" w:type="dxa"/>
                  <w:noWrap w:val="0"/>
                  <w:vAlign w:val="center"/>
                </w:tcPr>
                <w:p w14:paraId="43AAA690">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八条实施能源领域碳达峰碳中和行动，科学有序推动能源生产消费方式绿色低碳变革。实施可再生能源替代，减少化石能源消费。加强产业布局和能耗“双控”政策衔接，促进重点用能领域用能结构优化和能效提升。</w:t>
                  </w:r>
                </w:p>
                <w:p w14:paraId="7FABD66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十九条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14:paraId="7136C19B">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第二十条新建、扩建“两高”项目应采用先进适用的工艺技术和装备，单位产品物耗、能耗、水耗等达到清洁生产先进水平。</w:t>
                  </w:r>
                </w:p>
                <w:p w14:paraId="386474A3">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二十一条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14:paraId="022A3143">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第二十二条加快推进节水配套设施建设，加强再生水、雨水等非常规水多元、梯级和安全利用，逐年提高非常规水利用比例。结合现有污水处理设施提标升级扩能改造，系统规划城镇污水再生利用设施。</w:t>
                  </w:r>
                </w:p>
              </w:tc>
              <w:tc>
                <w:tcPr>
                  <w:tcW w:w="2083" w:type="dxa"/>
                  <w:noWrap w:val="0"/>
                  <w:vAlign w:val="center"/>
                </w:tcPr>
                <w:p w14:paraId="2094EF2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不属于“两高”项目，项目用水量小。</w:t>
                  </w:r>
                </w:p>
              </w:tc>
              <w:tc>
                <w:tcPr>
                  <w:tcW w:w="749" w:type="dxa"/>
                  <w:noWrap w:val="0"/>
                  <w:vAlign w:val="center"/>
                </w:tcPr>
                <w:p w14:paraId="67480A04">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15D59B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restart"/>
                  <w:noWrap w:val="0"/>
                  <w:vAlign w:val="center"/>
                </w:tcPr>
                <w:p w14:paraId="553339A3">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九龙坡区总体管控要求</w:t>
                  </w:r>
                </w:p>
              </w:tc>
              <w:tc>
                <w:tcPr>
                  <w:tcW w:w="900" w:type="dxa"/>
                  <w:noWrap w:val="0"/>
                  <w:vAlign w:val="center"/>
                </w:tcPr>
                <w:p w14:paraId="163FE0FE">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空间布局约束</w:t>
                  </w:r>
                </w:p>
              </w:tc>
              <w:tc>
                <w:tcPr>
                  <w:tcW w:w="3412" w:type="dxa"/>
                  <w:noWrap w:val="0"/>
                  <w:vAlign w:val="center"/>
                </w:tcPr>
                <w:p w14:paraId="4FEEE60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执行重点管控单元市级总体管控要求第一条、第二条、第三条、第四条、第五条和第七条；</w:t>
                  </w:r>
                </w:p>
                <w:p w14:paraId="4A327AC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以完善优势产业链发展为方向，科学合理优化工业用地空间布局，推进产城融合高质量发展。</w:t>
                  </w:r>
                </w:p>
                <w:p w14:paraId="7C458571">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2083" w:type="dxa"/>
                  <w:noWrap w:val="0"/>
                  <w:vAlign w:val="center"/>
                </w:tcPr>
                <w:p w14:paraId="70E7BA4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符合重点管控单元市级总体管控要求；项目不紧邻居住用地、中小学用地。</w:t>
                  </w:r>
                </w:p>
              </w:tc>
              <w:tc>
                <w:tcPr>
                  <w:tcW w:w="749" w:type="dxa"/>
                  <w:noWrap w:val="0"/>
                  <w:vAlign w:val="center"/>
                </w:tcPr>
                <w:p w14:paraId="32BBDD7C">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772B3A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76ACDD8B">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277D4DF2">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污染物排放管控</w:t>
                  </w:r>
                </w:p>
              </w:tc>
              <w:tc>
                <w:tcPr>
                  <w:tcW w:w="3412" w:type="dxa"/>
                  <w:noWrap w:val="0"/>
                  <w:vAlign w:val="center"/>
                </w:tcPr>
                <w:p w14:paraId="134E330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执行重点管控单元市级总体管控要求第八条、第九条、第十一条、第十二条、第十四条、第十五条。</w:t>
                  </w:r>
                </w:p>
                <w:p w14:paraId="41D7D0A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工业涂装、汽车维修、油品储运销等行业为重点，推动重点行业持续提升低（无）VOCs含量、低反应活性的原辅材料替代比例，推进重点监管企业VOCs综合整治。加强对投诉较为集中的重点区域废气排放企业监督检查，加强重点排污企业污染治理设施和在线监控建设和运维。</w:t>
                  </w:r>
                </w:p>
                <w:p w14:paraId="34ECF16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以餐饮</w:t>
                  </w:r>
                  <w:r>
                    <w:rPr>
                      <w:rFonts w:hint="eastAsia" w:ascii="Times New Roman" w:hAnsi="Times New Roman" w:eastAsia="宋体" w:cs="Times New Roman"/>
                      <w:color w:val="000000"/>
                      <w:sz w:val="18"/>
                      <w:szCs w:val="18"/>
                    </w:rPr>
                    <w:t>油雾</w:t>
                  </w:r>
                  <w:r>
                    <w:rPr>
                      <w:rFonts w:ascii="Times New Roman" w:hAnsi="Times New Roman" w:eastAsia="宋体" w:cs="Times New Roman"/>
                      <w:color w:val="000000"/>
                      <w:sz w:val="18"/>
                      <w:szCs w:val="18"/>
                    </w:rPr>
                    <w:t>为重点，强化生活污染防治。</w:t>
                  </w:r>
                </w:p>
                <w:p w14:paraId="5B266629">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加大居民生活</w:t>
                  </w:r>
                  <w:r>
                    <w:rPr>
                      <w:rFonts w:hint="eastAsia" w:ascii="Times New Roman" w:hAnsi="Times New Roman" w:eastAsia="宋体" w:cs="Times New Roman"/>
                      <w:color w:val="000000"/>
                      <w:sz w:val="18"/>
                      <w:szCs w:val="18"/>
                    </w:rPr>
                    <w:t>油雾</w:t>
                  </w:r>
                  <w:r>
                    <w:rPr>
                      <w:rFonts w:ascii="Times New Roman" w:hAnsi="Times New Roman" w:eastAsia="宋体" w:cs="Times New Roman"/>
                      <w:color w:val="000000"/>
                      <w:sz w:val="18"/>
                      <w:szCs w:val="18"/>
                    </w:rPr>
                    <w:t>排放治理，推动具备条件的餐饮单位安装餐饮</w:t>
                  </w:r>
                  <w:r>
                    <w:rPr>
                      <w:rFonts w:hint="eastAsia" w:ascii="Times New Roman" w:hAnsi="Times New Roman" w:eastAsia="宋体" w:cs="Times New Roman"/>
                      <w:color w:val="000000"/>
                      <w:sz w:val="18"/>
                      <w:szCs w:val="18"/>
                    </w:rPr>
                    <w:t>油雾</w:t>
                  </w:r>
                  <w:r>
                    <w:rPr>
                      <w:rFonts w:ascii="Times New Roman" w:hAnsi="Times New Roman" w:eastAsia="宋体" w:cs="Times New Roman"/>
                      <w:color w:val="000000"/>
                      <w:sz w:val="18"/>
                      <w:szCs w:val="18"/>
                    </w:rPr>
                    <w:t>在线监控设施，加强对重点区域无</w:t>
                  </w:r>
                  <w:r>
                    <w:rPr>
                      <w:rFonts w:hint="eastAsia" w:ascii="Times New Roman" w:hAnsi="Times New Roman" w:eastAsia="宋体" w:cs="Times New Roman"/>
                      <w:color w:val="000000"/>
                      <w:sz w:val="18"/>
                      <w:szCs w:val="18"/>
                    </w:rPr>
                    <w:t>油雾</w:t>
                  </w:r>
                  <w:r>
                    <w:rPr>
                      <w:rFonts w:ascii="Times New Roman" w:hAnsi="Times New Roman" w:eastAsia="宋体" w:cs="Times New Roman"/>
                      <w:color w:val="000000"/>
                      <w:sz w:val="18"/>
                      <w:szCs w:val="18"/>
                    </w:rPr>
                    <w:t>净化设施露天摊位的管理。</w:t>
                  </w:r>
                </w:p>
                <w:p w14:paraId="4B28B1B9">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以交通和扬尘污染治理为关键，提升环境空气质量。</w:t>
                  </w:r>
                </w:p>
                <w:p w14:paraId="5C592F0F">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p w14:paraId="7D86D7B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以“三河六溪”污染综合治理为核心，改善次级河流水质。</w:t>
                  </w:r>
                </w:p>
                <w:p w14:paraId="41C59CB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p w14:paraId="1C8DB27A">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以农业种植和水产养殖为重点，强化面源污染防治。</w:t>
                  </w:r>
                </w:p>
                <w:p w14:paraId="113DD6A3">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严格控制化肥农药使用量，推进化肥农药减量增效；加强九龙西城西彭镇高标准农田管护运营；以九龙西城水产养殖污染防治为重点，全面推进池塘水产养殖综合治理，提高养殖尾水治理设施覆盖率。</w:t>
                  </w:r>
                </w:p>
              </w:tc>
              <w:tc>
                <w:tcPr>
                  <w:tcW w:w="2083" w:type="dxa"/>
                  <w:noWrap w:val="0"/>
                  <w:vAlign w:val="center"/>
                </w:tcPr>
                <w:p w14:paraId="7FBFB74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符合重点管控单元市级总体管控要求第八条、第九条、第十一条、第十二条、第十四条、第十五条；项目所在区域属于达标区，严格控制污染物排放总量；</w:t>
                  </w:r>
                  <w:r>
                    <w:rPr>
                      <w:rFonts w:hint="eastAsia" w:ascii="Times New Roman" w:hAnsi="Times New Roman" w:eastAsia="宋体" w:cs="Times New Roman"/>
                      <w:color w:val="000000"/>
                      <w:sz w:val="18"/>
                      <w:szCs w:val="18"/>
                      <w:lang w:val="en-US"/>
                    </w:rPr>
                    <w:t>项目</w:t>
                  </w:r>
                  <w:r>
                    <w:rPr>
                      <w:rFonts w:ascii="Times New Roman" w:hAnsi="Times New Roman" w:eastAsia="宋体" w:cs="Times New Roman"/>
                      <w:bCs/>
                      <w:color w:val="000000"/>
                      <w:sz w:val="18"/>
                      <w:szCs w:val="18"/>
                      <w:lang w:val="en-US"/>
                    </w:rPr>
                    <w:t>产生废气经</w:t>
                  </w:r>
                  <w:r>
                    <w:rPr>
                      <w:rFonts w:hint="eastAsia" w:ascii="Times New Roman" w:hAnsi="Times New Roman" w:eastAsia="宋体" w:cs="Times New Roman"/>
                      <w:bCs/>
                      <w:color w:val="000000"/>
                      <w:sz w:val="18"/>
                      <w:szCs w:val="18"/>
                      <w:lang w:val="en-US"/>
                    </w:rPr>
                    <w:t>除尘、吸附</w:t>
                  </w:r>
                  <w:r>
                    <w:rPr>
                      <w:rFonts w:ascii="Times New Roman" w:hAnsi="Times New Roman" w:eastAsia="宋体" w:cs="Times New Roman"/>
                      <w:bCs/>
                      <w:color w:val="000000"/>
                      <w:sz w:val="18"/>
                      <w:szCs w:val="18"/>
                      <w:lang w:val="en-US"/>
                    </w:rPr>
                    <w:t>处理，废气经处理后通过</w:t>
                  </w:r>
                  <w:r>
                    <w:rPr>
                      <w:rFonts w:hint="eastAsia" w:ascii="Times New Roman" w:hAnsi="Times New Roman" w:eastAsia="宋体" w:cs="Times New Roman"/>
                      <w:bCs/>
                      <w:color w:val="000000"/>
                      <w:sz w:val="18"/>
                      <w:szCs w:val="18"/>
                      <w:lang w:val="en-US"/>
                    </w:rPr>
                    <w:t>1</w:t>
                  </w:r>
                  <w:r>
                    <w:rPr>
                      <w:rFonts w:ascii="Times New Roman" w:hAnsi="Times New Roman" w:eastAsia="宋体" w:cs="Times New Roman"/>
                      <w:bCs/>
                      <w:color w:val="000000"/>
                      <w:sz w:val="18"/>
                      <w:szCs w:val="18"/>
                      <w:lang w:val="en-US"/>
                    </w:rPr>
                    <w:t>5m高排气筒达标排放</w:t>
                  </w:r>
                  <w:r>
                    <w:rPr>
                      <w:rFonts w:ascii="Times New Roman" w:hAnsi="Times New Roman" w:eastAsia="宋体" w:cs="Times New Roman"/>
                      <w:color w:val="000000"/>
                      <w:sz w:val="18"/>
                      <w:szCs w:val="18"/>
                    </w:rPr>
                    <w:t>。</w:t>
                  </w:r>
                </w:p>
              </w:tc>
              <w:tc>
                <w:tcPr>
                  <w:tcW w:w="749" w:type="dxa"/>
                  <w:noWrap w:val="0"/>
                  <w:vAlign w:val="center"/>
                </w:tcPr>
                <w:p w14:paraId="327DA632">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6D45F2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6C4D4872">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4017304D">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环境风险防控</w:t>
                  </w:r>
                </w:p>
              </w:tc>
              <w:tc>
                <w:tcPr>
                  <w:tcW w:w="3412" w:type="dxa"/>
                  <w:noWrap w:val="0"/>
                  <w:vAlign w:val="center"/>
                </w:tcPr>
                <w:p w14:paraId="354F9F7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执行重点管控单元市级总体管控要求第十六条。</w:t>
                  </w:r>
                </w:p>
                <w:p w14:paraId="71FF43BA">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以保障饮用水源安全为目标，完善区域环境风险措施。</w:t>
                  </w:r>
                </w:p>
                <w:p w14:paraId="7AEB3F5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加强长江沿江1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p w14:paraId="0BADD33C">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以保障“一住两公”重点建设用地安全为目标，持续推进污染土壤治理，守牢土地安全利用底线。</w:t>
                  </w:r>
                </w:p>
                <w:p w14:paraId="7B5A0739">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根据土壤污染状况合理确定土地用途，推进工业企业腾退地块土壤污染状况调查评估及治理修复。未依法完成土壤污染状况调查和风险评估的地块，不得开工建设与风险管控和修复无关的项目。</w:t>
                  </w:r>
                </w:p>
              </w:tc>
              <w:tc>
                <w:tcPr>
                  <w:tcW w:w="2083" w:type="dxa"/>
                  <w:noWrap w:val="0"/>
                  <w:vAlign w:val="center"/>
                </w:tcPr>
                <w:p w14:paraId="207B875D">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符合重点管控单元市级总体管控要求第十六条；项目不涉及土壤污染状况调查和风险评估。</w:t>
                  </w:r>
                </w:p>
              </w:tc>
              <w:tc>
                <w:tcPr>
                  <w:tcW w:w="749" w:type="dxa"/>
                  <w:noWrap w:val="0"/>
                  <w:vAlign w:val="center"/>
                </w:tcPr>
                <w:p w14:paraId="3BEEF1A1">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40BE30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34D40975">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4491EA53">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资源利用效率</w:t>
                  </w:r>
                </w:p>
              </w:tc>
              <w:tc>
                <w:tcPr>
                  <w:tcW w:w="3412" w:type="dxa"/>
                  <w:noWrap w:val="0"/>
                  <w:vAlign w:val="center"/>
                </w:tcPr>
                <w:p w14:paraId="6A096D40">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执行重点管控单元市级总体管控要求第十八条、第十九条、第二十条、第二十一条。</w:t>
                  </w:r>
                </w:p>
                <w:p w14:paraId="169736D5">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以促进产业绿色低碳循环发展为导向，推动减污降碳协同共治。</w:t>
                  </w:r>
                </w:p>
                <w:p w14:paraId="68F38C06">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结合九龙新城园区西部片区（原西彭工业园区）近零碳园区建设，深化有色金属冶炼及压延加工业、化学原料及化学制品制造业和汽车制造业等行业减污降碳。</w:t>
                  </w:r>
                </w:p>
                <w:p w14:paraId="1DE3D83B">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提升工业、城镇生活、农业节水能力，推进再生水循环利用，提高水资源利用效率。</w:t>
                  </w:r>
                </w:p>
                <w:p w14:paraId="17B1B861">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2083" w:type="dxa"/>
                  <w:noWrap w:val="0"/>
                  <w:vAlign w:val="center"/>
                </w:tcPr>
                <w:p w14:paraId="19A0E48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项目符合重点管控单元市级总体管控要求第十八条、第十九条、第二十条、第二十一条；项目用水量少。</w:t>
                  </w:r>
                </w:p>
              </w:tc>
              <w:tc>
                <w:tcPr>
                  <w:tcW w:w="749" w:type="dxa"/>
                  <w:noWrap w:val="0"/>
                  <w:vAlign w:val="center"/>
                </w:tcPr>
                <w:p w14:paraId="3CF5531F">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2CD58C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restart"/>
                  <w:noWrap w:val="0"/>
                  <w:vAlign w:val="center"/>
                </w:tcPr>
                <w:p w14:paraId="301EB730">
                  <w:pPr>
                    <w:widowControl/>
                    <w:jc w:val="left"/>
                    <w:rPr>
                      <w:color w:val="000000"/>
                      <w:kern w:val="0"/>
                      <w:sz w:val="18"/>
                      <w:szCs w:val="18"/>
                      <w:lang w:bidi="ar"/>
                    </w:rPr>
                  </w:pPr>
                  <w:r>
                    <w:rPr>
                      <w:color w:val="000000"/>
                      <w:sz w:val="18"/>
                      <w:szCs w:val="18"/>
                    </w:rPr>
                    <w:t>单元管控要求-</w:t>
                  </w:r>
                  <w:r>
                    <w:rPr>
                      <w:color w:val="000000"/>
                      <w:kern w:val="0"/>
                      <w:sz w:val="18"/>
                      <w:szCs w:val="18"/>
                      <w:lang w:bidi="ar"/>
                    </w:rPr>
                    <w:t>九龙坡区工业城镇重点管控单元-九龙西城片区（ZH50010</w:t>
                  </w:r>
                </w:p>
                <w:p w14:paraId="438DF318">
                  <w:pPr>
                    <w:widowControl/>
                    <w:adjustRightInd w:val="0"/>
                    <w:snapToGrid w:val="0"/>
                    <w:jc w:val="left"/>
                    <w:rPr>
                      <w:color w:val="000000"/>
                      <w:sz w:val="18"/>
                      <w:szCs w:val="18"/>
                    </w:rPr>
                  </w:pPr>
                  <w:r>
                    <w:rPr>
                      <w:color w:val="000000"/>
                      <w:kern w:val="0"/>
                      <w:sz w:val="18"/>
                      <w:szCs w:val="18"/>
                      <w:lang w:bidi="ar"/>
                    </w:rPr>
                    <w:t>720002）</w:t>
                  </w:r>
                </w:p>
              </w:tc>
              <w:tc>
                <w:tcPr>
                  <w:tcW w:w="900" w:type="dxa"/>
                  <w:noWrap w:val="0"/>
                  <w:vAlign w:val="center"/>
                </w:tcPr>
                <w:p w14:paraId="7871A30A">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空间布局约束</w:t>
                  </w:r>
                </w:p>
              </w:tc>
              <w:tc>
                <w:tcPr>
                  <w:tcW w:w="3412" w:type="dxa"/>
                  <w:noWrap w:val="0"/>
                  <w:vAlign w:val="center"/>
                </w:tcPr>
                <w:p w14:paraId="199ACF38">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紧邻现状及规划居住用地、中小学用地等的工业用地后续引入项目时应考虑以污染较轻的项目为主，禁止新建涉及喷漆、酸洗、熔炼等异味较大的生产工艺项目。2.推动九龙西城新能源、装备制造、新材料等产业往下游延伸；西彭工业园区禁止新建、扩建木质家具制造、报废汽车拆解、平板玻璃制造工业项目。3.重庆奇爽实业（集团）有限公司、红蜻蜓（重庆）植物油脂有限公司、重庆小可食品有限公司、重庆豆奇食品有限公司不再扩大用地规模、不新增污染物排放。</w:t>
                  </w:r>
                </w:p>
              </w:tc>
              <w:tc>
                <w:tcPr>
                  <w:tcW w:w="2083" w:type="dxa"/>
                  <w:noWrap w:val="0"/>
                  <w:vAlign w:val="center"/>
                </w:tcPr>
                <w:p w14:paraId="543319F6">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项目不紧邻居住用地、中小学用地，</w:t>
                  </w:r>
                  <w:r>
                    <w:rPr>
                      <w:rFonts w:ascii="Times New Roman" w:hAnsi="Times New Roman" w:eastAsia="宋体" w:cs="Times New Roman"/>
                      <w:color w:val="000000"/>
                      <w:sz w:val="18"/>
                      <w:szCs w:val="18"/>
                      <w:lang w:val="en-US"/>
                    </w:rPr>
                    <w:t>不涉及前述</w:t>
                  </w:r>
                  <w:r>
                    <w:rPr>
                      <w:rFonts w:ascii="Times New Roman" w:hAnsi="Times New Roman" w:eastAsia="宋体" w:cs="Times New Roman"/>
                      <w:color w:val="000000"/>
                      <w:sz w:val="18"/>
                      <w:szCs w:val="18"/>
                    </w:rPr>
                    <w:t>喷漆、酸洗、熔炼等异味较大的生产工艺项目；</w:t>
                  </w:r>
                </w:p>
                <w:p w14:paraId="509DEA53">
                  <w:pPr>
                    <w:pStyle w:val="21"/>
                    <w:ind w:left="0"/>
                    <w:rPr>
                      <w:rFonts w:ascii="Times New Roman" w:hAnsi="Times New Roman" w:eastAsia="宋体" w:cs="Times New Roman"/>
                      <w:color w:val="000000"/>
                      <w:sz w:val="18"/>
                      <w:szCs w:val="18"/>
                      <w:lang w:val="en-US"/>
                    </w:rPr>
                  </w:pPr>
                  <w:r>
                    <w:rPr>
                      <w:rFonts w:hint="eastAsia" w:ascii="Times New Roman" w:hAnsi="Times New Roman" w:eastAsia="宋体" w:cs="Times New Roman"/>
                      <w:color w:val="000000"/>
                      <w:sz w:val="18"/>
                      <w:szCs w:val="18"/>
                      <w:lang w:val="en-US"/>
                    </w:rPr>
                    <w:t>本项目塑料制品生产项目，属于</w:t>
                  </w:r>
                  <w:r>
                    <w:rPr>
                      <w:rFonts w:ascii="Times New Roman" w:hAnsi="Times New Roman" w:eastAsia="宋体" w:cs="Times New Roman"/>
                      <w:color w:val="000000"/>
                      <w:sz w:val="18"/>
                      <w:szCs w:val="18"/>
                    </w:rPr>
                    <w:t>新材料</w:t>
                  </w:r>
                  <w:r>
                    <w:rPr>
                      <w:rFonts w:hint="eastAsia" w:ascii="Times New Roman" w:hAnsi="Times New Roman" w:eastAsia="宋体" w:cs="Times New Roman"/>
                      <w:color w:val="000000"/>
                      <w:sz w:val="18"/>
                      <w:szCs w:val="18"/>
                      <w:lang w:val="en-US"/>
                    </w:rPr>
                    <w:t>产业，不属于</w:t>
                  </w:r>
                  <w:r>
                    <w:rPr>
                      <w:rFonts w:ascii="Times New Roman" w:hAnsi="Times New Roman" w:eastAsia="宋体" w:cs="Times New Roman"/>
                      <w:color w:val="000000"/>
                      <w:sz w:val="18"/>
                      <w:szCs w:val="18"/>
                    </w:rPr>
                    <w:t>质家具制造、报废汽车拆解、平板玻璃制造工业项目</w:t>
                  </w:r>
                  <w:r>
                    <w:rPr>
                      <w:rFonts w:ascii="Times New Roman" w:hAnsi="Times New Roman" w:eastAsia="宋体" w:cs="Times New Roman"/>
                      <w:color w:val="000000"/>
                      <w:sz w:val="18"/>
                      <w:szCs w:val="18"/>
                      <w:lang w:val="en-US"/>
                    </w:rPr>
                    <w:t>；</w:t>
                  </w:r>
                </w:p>
              </w:tc>
              <w:tc>
                <w:tcPr>
                  <w:tcW w:w="749" w:type="dxa"/>
                  <w:noWrap w:val="0"/>
                  <w:vAlign w:val="center"/>
                </w:tcPr>
                <w:p w14:paraId="5A8B74EC">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2BA423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678CB392">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0E37D965">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污染物排放管控</w:t>
                  </w:r>
                </w:p>
              </w:tc>
              <w:tc>
                <w:tcPr>
                  <w:tcW w:w="3412" w:type="dxa"/>
                  <w:noWrap w:val="0"/>
                  <w:vAlign w:val="center"/>
                </w:tcPr>
                <w:p w14:paraId="4205048A">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推动重点行业持续提升低（无）VOCs含量、低反应活性的原辅材料替代比例，推进重点监管企业VOCs综合整治，加强重点排污企业污染治理设施和在线监控建设和运维。2.推进西彭工业园区污水处理厂提标扩建工程。新改建铜罐驿沿江片区、西彭镇和陶家镇等区域污水管网，改造管网错混接点；推进铜罐驿污水处理厂配套管网建设工作。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4.加强施工扬尘监管，逐步推进建筑面积2万平方米以上的工地安装在线监控系统。</w:t>
                  </w:r>
                </w:p>
              </w:tc>
              <w:tc>
                <w:tcPr>
                  <w:tcW w:w="2083" w:type="dxa"/>
                  <w:noWrap w:val="0"/>
                  <w:vAlign w:val="center"/>
                </w:tcPr>
                <w:p w14:paraId="697BFA6A">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使用的原辅材料</w:t>
                  </w:r>
                  <w:r>
                    <w:rPr>
                      <w:rFonts w:ascii="Times New Roman" w:hAnsi="Times New Roman" w:eastAsia="宋体" w:cs="Times New Roman"/>
                      <w:color w:val="000000"/>
                      <w:sz w:val="18"/>
                      <w:szCs w:val="18"/>
                      <w:lang w:val="en-US"/>
                    </w:rPr>
                    <w:t>为</w:t>
                  </w:r>
                  <w:r>
                    <w:rPr>
                      <w:rFonts w:hint="eastAsia" w:ascii="Times New Roman" w:hAnsi="Times New Roman" w:eastAsia="宋体" w:cs="Times New Roman"/>
                      <w:color w:val="000000"/>
                      <w:sz w:val="18"/>
                      <w:szCs w:val="18"/>
                      <w:lang w:val="en-US"/>
                    </w:rPr>
                    <w:t>塑料</w:t>
                  </w:r>
                  <w:r>
                    <w:rPr>
                      <w:rFonts w:ascii="Times New Roman" w:hAnsi="Times New Roman" w:eastAsia="宋体" w:cs="Times New Roman"/>
                      <w:color w:val="000000"/>
                      <w:sz w:val="18"/>
                      <w:szCs w:val="18"/>
                    </w:rPr>
                    <w:t>，</w:t>
                  </w:r>
                  <w:r>
                    <w:rPr>
                      <w:rFonts w:ascii="Times New Roman" w:hAnsi="Times New Roman" w:eastAsia="宋体" w:cs="Times New Roman"/>
                      <w:color w:val="000000"/>
                      <w:sz w:val="18"/>
                      <w:szCs w:val="18"/>
                      <w:lang w:val="en-US"/>
                    </w:rPr>
                    <w:t>挥发性废气主要为</w:t>
                  </w:r>
                  <w:r>
                    <w:rPr>
                      <w:rFonts w:hint="eastAsia" w:ascii="Times New Roman" w:hAnsi="Times New Roman" w:eastAsia="宋体" w:cs="Times New Roman"/>
                      <w:color w:val="000000"/>
                      <w:sz w:val="18"/>
                      <w:szCs w:val="18"/>
                      <w:lang w:val="en-US"/>
                    </w:rPr>
                    <w:t>非甲烷总烃</w:t>
                  </w:r>
                  <w:r>
                    <w:rPr>
                      <w:rFonts w:ascii="Times New Roman" w:hAnsi="Times New Roman" w:eastAsia="宋体" w:cs="Times New Roman"/>
                      <w:color w:val="000000"/>
                      <w:sz w:val="18"/>
                      <w:szCs w:val="18"/>
                      <w:lang w:val="en-US"/>
                    </w:rPr>
                    <w:t>，</w:t>
                  </w:r>
                  <w:r>
                    <w:rPr>
                      <w:rFonts w:hint="eastAsia" w:ascii="Times New Roman" w:hAnsi="Times New Roman" w:eastAsia="宋体" w:cs="Times New Roman"/>
                      <w:color w:val="000000"/>
                      <w:sz w:val="18"/>
                      <w:szCs w:val="18"/>
                      <w:lang w:val="en-US"/>
                    </w:rPr>
                    <w:t>项目</w:t>
                  </w:r>
                  <w:r>
                    <w:rPr>
                      <w:rFonts w:ascii="Times New Roman" w:hAnsi="Times New Roman" w:eastAsia="宋体" w:cs="Times New Roman"/>
                      <w:bCs/>
                      <w:color w:val="000000"/>
                      <w:sz w:val="18"/>
                      <w:szCs w:val="18"/>
                      <w:lang w:val="en-US"/>
                    </w:rPr>
                    <w:t>产生废气</w:t>
                  </w:r>
                  <w:r>
                    <w:rPr>
                      <w:rFonts w:hint="eastAsia" w:ascii="Times New Roman" w:hAnsi="Times New Roman" w:eastAsia="宋体" w:cs="Times New Roman"/>
                      <w:bCs/>
                      <w:color w:val="000000"/>
                      <w:sz w:val="18"/>
                      <w:szCs w:val="18"/>
                      <w:lang w:val="en-US"/>
                    </w:rPr>
                    <w:t>主要</w:t>
                  </w:r>
                  <w:r>
                    <w:rPr>
                      <w:rFonts w:ascii="Times New Roman" w:hAnsi="Times New Roman" w:eastAsia="宋体" w:cs="Times New Roman"/>
                      <w:bCs/>
                      <w:color w:val="000000"/>
                      <w:sz w:val="18"/>
                      <w:szCs w:val="18"/>
                      <w:lang w:val="en-US"/>
                    </w:rPr>
                    <w:t>经</w:t>
                  </w:r>
                  <w:r>
                    <w:rPr>
                      <w:rFonts w:hint="eastAsia" w:ascii="Times New Roman" w:hAnsi="Times New Roman" w:eastAsia="宋体" w:cs="Times New Roman"/>
                      <w:bCs/>
                      <w:color w:val="000000"/>
                      <w:sz w:val="18"/>
                      <w:szCs w:val="18"/>
                      <w:lang w:val="en-US"/>
                    </w:rPr>
                    <w:t>活性炭</w:t>
                  </w:r>
                  <w:r>
                    <w:rPr>
                      <w:rFonts w:ascii="Times New Roman" w:hAnsi="Times New Roman" w:eastAsia="宋体" w:cs="Times New Roman"/>
                      <w:bCs/>
                      <w:color w:val="000000"/>
                      <w:sz w:val="18"/>
                      <w:szCs w:val="18"/>
                      <w:lang w:val="en-US"/>
                    </w:rPr>
                    <w:t>处理，废气经处理后通过</w:t>
                  </w:r>
                  <w:r>
                    <w:rPr>
                      <w:rFonts w:hint="eastAsia" w:ascii="Times New Roman" w:hAnsi="Times New Roman" w:eastAsia="宋体" w:cs="Times New Roman"/>
                      <w:bCs/>
                      <w:color w:val="000000"/>
                      <w:sz w:val="18"/>
                      <w:szCs w:val="18"/>
                      <w:lang w:val="en-US"/>
                    </w:rPr>
                    <w:t>1</w:t>
                  </w:r>
                  <w:r>
                    <w:rPr>
                      <w:rFonts w:ascii="Times New Roman" w:hAnsi="Times New Roman" w:eastAsia="宋体" w:cs="Times New Roman"/>
                      <w:bCs/>
                      <w:color w:val="000000"/>
                      <w:sz w:val="18"/>
                      <w:szCs w:val="18"/>
                      <w:lang w:val="en-US"/>
                    </w:rPr>
                    <w:t>5m高排气筒达标排放</w:t>
                  </w:r>
                  <w:r>
                    <w:rPr>
                      <w:rFonts w:ascii="Times New Roman" w:hAnsi="Times New Roman" w:eastAsia="宋体" w:cs="Times New Roman"/>
                      <w:color w:val="000000"/>
                      <w:sz w:val="18"/>
                      <w:szCs w:val="18"/>
                    </w:rPr>
                    <w:t>。</w:t>
                  </w:r>
                </w:p>
              </w:tc>
              <w:tc>
                <w:tcPr>
                  <w:tcW w:w="749" w:type="dxa"/>
                  <w:noWrap w:val="0"/>
                  <w:vAlign w:val="center"/>
                </w:tcPr>
                <w:p w14:paraId="4FABCA1B">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3E53AA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2FC6DD23">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49E00548">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环境风险防控</w:t>
                  </w:r>
                </w:p>
              </w:tc>
              <w:tc>
                <w:tcPr>
                  <w:tcW w:w="3412" w:type="dxa"/>
                  <w:noWrap w:val="0"/>
                  <w:vAlign w:val="center"/>
                </w:tcPr>
                <w:p w14:paraId="408B826E">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西彭组团和铜罐驿组团沿江1km范围内规划仓储用地禁止新引入从事危险化学品储存、运输的仓储物流项目。2.禁止新建、扩建化工项目。3.推进铜罐驿组团金竹沟闸坝的修建。4.西彭工业园区应与下游饮用水水源取水口运营单位建立水源地突发环境事件应急联动机制。5.禁止新建、扩建排放废水含有五类重金属（铬、镉、汞、砷、铅）、剧毒物质和持久性有机污染物的工业项目。</w:t>
                  </w:r>
                </w:p>
              </w:tc>
              <w:tc>
                <w:tcPr>
                  <w:tcW w:w="2083" w:type="dxa"/>
                  <w:noWrap w:val="0"/>
                  <w:vAlign w:val="center"/>
                </w:tcPr>
                <w:p w14:paraId="1390FA44">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位于</w:t>
                  </w:r>
                  <w:r>
                    <w:rPr>
                      <w:rFonts w:hint="eastAsia" w:ascii="Times New Roman" w:hAnsi="Times New Roman" w:eastAsia="宋体" w:cs="Times New Roman"/>
                      <w:color w:val="000000"/>
                      <w:sz w:val="18"/>
                      <w:szCs w:val="18"/>
                      <w:lang w:val="en-US"/>
                    </w:rPr>
                    <w:t>西彭</w:t>
                  </w:r>
                  <w:r>
                    <w:rPr>
                      <w:rFonts w:ascii="Times New Roman" w:hAnsi="Times New Roman" w:eastAsia="宋体" w:cs="Times New Roman"/>
                      <w:color w:val="000000"/>
                      <w:sz w:val="18"/>
                      <w:szCs w:val="18"/>
                    </w:rPr>
                    <w:t>组团，</w:t>
                  </w:r>
                  <w:r>
                    <w:rPr>
                      <w:rFonts w:hint="eastAsia" w:ascii="Times New Roman" w:hAnsi="Times New Roman" w:eastAsia="宋体" w:cs="Times New Roman"/>
                      <w:color w:val="000000"/>
                      <w:sz w:val="18"/>
                      <w:szCs w:val="18"/>
                      <w:lang w:val="en-US"/>
                    </w:rPr>
                    <w:t>与长江距离约为1.4km，</w:t>
                  </w:r>
                  <w:r>
                    <w:rPr>
                      <w:rFonts w:ascii="Times New Roman" w:hAnsi="Times New Roman" w:eastAsia="宋体" w:cs="Times New Roman"/>
                      <w:color w:val="000000"/>
                      <w:sz w:val="18"/>
                      <w:szCs w:val="18"/>
                      <w:lang w:val="en-US"/>
                    </w:rPr>
                    <w:t>用地性质为工业用地，不属于</w:t>
                  </w:r>
                  <w:r>
                    <w:rPr>
                      <w:rFonts w:ascii="Times New Roman" w:hAnsi="Times New Roman" w:eastAsia="宋体" w:cs="Times New Roman"/>
                      <w:color w:val="000000"/>
                      <w:sz w:val="18"/>
                      <w:szCs w:val="18"/>
                    </w:rPr>
                    <w:t>仓储用地；不属于排放废水含有五类重金属（铬、镉、汞、砷、铅）、剧毒物质和持久性有机污染物的工业项目。</w:t>
                  </w:r>
                </w:p>
              </w:tc>
              <w:tc>
                <w:tcPr>
                  <w:tcW w:w="749" w:type="dxa"/>
                  <w:noWrap w:val="0"/>
                  <w:vAlign w:val="center"/>
                </w:tcPr>
                <w:p w14:paraId="56F01820">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r w14:paraId="2D1CFB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61" w:type="dxa"/>
                  <w:vMerge w:val="continue"/>
                  <w:noWrap w:val="0"/>
                  <w:vAlign w:val="center"/>
                </w:tcPr>
                <w:p w14:paraId="42048510">
                  <w:pPr>
                    <w:pStyle w:val="21"/>
                    <w:ind w:left="0"/>
                    <w:jc w:val="center"/>
                    <w:rPr>
                      <w:rFonts w:ascii="Times New Roman" w:hAnsi="Times New Roman" w:eastAsia="宋体" w:cs="Times New Roman"/>
                      <w:color w:val="000000"/>
                      <w:sz w:val="18"/>
                      <w:szCs w:val="18"/>
                    </w:rPr>
                  </w:pPr>
                </w:p>
              </w:tc>
              <w:tc>
                <w:tcPr>
                  <w:tcW w:w="900" w:type="dxa"/>
                  <w:noWrap w:val="0"/>
                  <w:vAlign w:val="center"/>
                </w:tcPr>
                <w:p w14:paraId="1CBBF4DE">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资源开发效率要求</w:t>
                  </w:r>
                </w:p>
              </w:tc>
              <w:tc>
                <w:tcPr>
                  <w:tcW w:w="3412" w:type="dxa"/>
                  <w:noWrap w:val="0"/>
                  <w:vAlign w:val="center"/>
                </w:tcPr>
                <w:p w14:paraId="5F55FCAD">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禁止新建、扩建燃用煤、重油等高污染燃料的工业项目，重庆和友实业股份有限公司不再新增燃煤总量。2.新建和改、扩建的工业项目清洁生产水平应达到国内先进水平。3.提高有色金属冶炼及压延加工业、化学原料及化学制品制造业和汽车制造业等工业企业的节能水平，降低区域的能耗强度。加强重点行业能效管理，升级工艺技术，提高用能设备能效水平。4.加强工业节水改造，限制高耗水行业发展，加强重点监控用水单位监管。加强城镇节水，开展公共建筑节水改造、城镇供水管网漏损治理工程。</w:t>
                  </w:r>
                </w:p>
              </w:tc>
              <w:tc>
                <w:tcPr>
                  <w:tcW w:w="2083" w:type="dxa"/>
                  <w:noWrap w:val="0"/>
                  <w:vAlign w:val="center"/>
                </w:tcPr>
                <w:p w14:paraId="15250B8A">
                  <w:pPr>
                    <w:pStyle w:val="21"/>
                    <w:ind w:left="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val="en-US"/>
                    </w:rPr>
                    <w:t>本项目</w:t>
                  </w:r>
                  <w:r>
                    <w:rPr>
                      <w:rFonts w:ascii="Times New Roman" w:hAnsi="Times New Roman" w:eastAsia="宋体" w:cs="Times New Roman"/>
                      <w:color w:val="000000"/>
                      <w:sz w:val="18"/>
                      <w:szCs w:val="18"/>
                    </w:rPr>
                    <w:t>使用电能</w:t>
                  </w:r>
                  <w:r>
                    <w:rPr>
                      <w:rFonts w:ascii="Times New Roman" w:hAnsi="Times New Roman" w:eastAsia="宋体" w:cs="Times New Roman"/>
                      <w:color w:val="000000"/>
                      <w:sz w:val="18"/>
                      <w:szCs w:val="18"/>
                      <w:lang w:val="en-US"/>
                    </w:rPr>
                    <w:t>和天然气</w:t>
                  </w:r>
                  <w:r>
                    <w:rPr>
                      <w:rFonts w:ascii="Times New Roman" w:hAnsi="Times New Roman" w:eastAsia="宋体" w:cs="Times New Roman"/>
                      <w:color w:val="000000"/>
                      <w:sz w:val="18"/>
                      <w:szCs w:val="18"/>
                    </w:rPr>
                    <w:t>，不使用煤、重油等高污染燃料；项目清洁生产水平达到国内先进水平；项目不属于高耗水行业。</w:t>
                  </w:r>
                </w:p>
              </w:tc>
              <w:tc>
                <w:tcPr>
                  <w:tcW w:w="749" w:type="dxa"/>
                  <w:noWrap w:val="0"/>
                  <w:vAlign w:val="center"/>
                </w:tcPr>
                <w:p w14:paraId="7C228106">
                  <w:pPr>
                    <w:pStyle w:val="21"/>
                    <w:ind w:left="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符合</w:t>
                  </w:r>
                </w:p>
              </w:tc>
            </w:tr>
          </w:tbl>
          <w:p w14:paraId="672FF556">
            <w:pPr>
              <w:spacing w:line="360" w:lineRule="auto"/>
              <w:ind w:firstLine="420" w:firstLineChars="200"/>
              <w:rPr>
                <w:color w:val="000000"/>
              </w:rPr>
            </w:pPr>
            <w:r>
              <w:rPr>
                <w:color w:val="000000"/>
              </w:rPr>
              <w:t>从上表可知，本项目符合</w:t>
            </w:r>
            <w:r>
              <w:rPr>
                <w:rFonts w:hint="eastAsia"/>
                <w:color w:val="000000"/>
              </w:rPr>
              <w:t>重庆市、九龙坡区以及项目所在单元生态环境分区管控</w:t>
            </w:r>
            <w:r>
              <w:rPr>
                <w:color w:val="000000"/>
              </w:rPr>
              <w:t>要求。</w:t>
            </w:r>
          </w:p>
          <w:p w14:paraId="08F53478">
            <w:pPr>
              <w:spacing w:line="360" w:lineRule="auto"/>
              <w:jc w:val="left"/>
              <w:rPr>
                <w:color w:val="000000"/>
              </w:rPr>
            </w:pPr>
            <w:r>
              <w:rPr>
                <w:b/>
                <w:bCs/>
                <w:color w:val="000000"/>
              </w:rPr>
              <w:t>1.</w:t>
            </w:r>
            <w:r>
              <w:rPr>
                <w:rFonts w:hint="eastAsia"/>
                <w:b/>
                <w:bCs/>
                <w:color w:val="000000"/>
              </w:rPr>
              <w:t>5 产业政策符合性分析</w:t>
            </w:r>
          </w:p>
          <w:p w14:paraId="0A30EAD6">
            <w:pPr>
              <w:spacing w:line="360" w:lineRule="auto"/>
              <w:jc w:val="left"/>
              <w:rPr>
                <w:rFonts w:hint="eastAsia"/>
                <w:b/>
                <w:bCs/>
                <w:color w:val="000000"/>
              </w:rPr>
            </w:pPr>
            <w:r>
              <w:rPr>
                <w:rFonts w:hint="eastAsia"/>
                <w:b/>
                <w:bCs/>
                <w:color w:val="000000"/>
              </w:rPr>
              <w:t xml:space="preserve">1.5.1 </w:t>
            </w:r>
            <w:r>
              <w:rPr>
                <w:b/>
                <w:bCs/>
                <w:color w:val="000000"/>
              </w:rPr>
              <w:t>《产业结构调整指导目录（20</w:t>
            </w:r>
            <w:r>
              <w:rPr>
                <w:rFonts w:hint="eastAsia"/>
                <w:b/>
                <w:bCs/>
                <w:color w:val="000000"/>
              </w:rPr>
              <w:t>24</w:t>
            </w:r>
            <w:r>
              <w:rPr>
                <w:b/>
                <w:bCs/>
                <w:color w:val="000000"/>
              </w:rPr>
              <w:t>年修订）》</w:t>
            </w:r>
            <w:r>
              <w:rPr>
                <w:rFonts w:hint="eastAsia"/>
                <w:b/>
                <w:bCs/>
                <w:color w:val="000000"/>
              </w:rPr>
              <w:t>符合性</w:t>
            </w:r>
          </w:p>
          <w:p w14:paraId="7306DF5F">
            <w:pPr>
              <w:spacing w:line="360" w:lineRule="auto"/>
              <w:ind w:firstLine="420" w:firstLineChars="200"/>
              <w:rPr>
                <w:color w:val="000000"/>
              </w:rPr>
            </w:pPr>
            <w:r>
              <w:rPr>
                <w:rFonts w:hint="eastAsia"/>
                <w:color w:val="000000"/>
              </w:rPr>
              <w:t>本项目为塑料制品生产项目，不属于《产业结构调整指导目录（2024年修订）》中规定的鼓励类、淘汰类和禁止类建设项目，根据《促进产业结构调整暂行规定》，第十三条“不属于鼓励类、限制类和淘汰类，且符合国家有关法律、法规和政策规定的，为允许类。允许类不列入《产业结构调整指导目录》。”本项目不在现行国家产业政策中规定的限制和淘汰类建设项目之列，属于允许类建设项目</w:t>
            </w:r>
            <w:r>
              <w:rPr>
                <w:color w:val="000000"/>
              </w:rPr>
              <w:t>。</w:t>
            </w:r>
          </w:p>
          <w:p w14:paraId="5B07A3E4">
            <w:pPr>
              <w:spacing w:line="360" w:lineRule="auto"/>
              <w:ind w:firstLine="420" w:firstLineChars="200"/>
              <w:rPr>
                <w:rFonts w:hint="eastAsia"/>
                <w:color w:val="000000"/>
                <w:lang w:bidi="ar"/>
              </w:rPr>
            </w:pPr>
            <w:r>
              <w:rPr>
                <w:rFonts w:hint="eastAsia"/>
                <w:color w:val="000000"/>
                <w:lang w:bidi="ar"/>
              </w:rPr>
              <w:t>因此，本项目符合国家现行产业政策。</w:t>
            </w:r>
          </w:p>
          <w:p w14:paraId="1A14115E">
            <w:pPr>
              <w:spacing w:line="360" w:lineRule="auto"/>
              <w:jc w:val="left"/>
              <w:rPr>
                <w:rFonts w:hint="eastAsia"/>
                <w:b/>
                <w:bCs/>
                <w:color w:val="000000"/>
              </w:rPr>
            </w:pPr>
            <w:r>
              <w:rPr>
                <w:rFonts w:hint="eastAsia"/>
                <w:b/>
                <w:bCs/>
                <w:color w:val="000000"/>
              </w:rPr>
              <w:t>1.5.2与《重庆市发展和改革委员会关于印发重庆市产业投资准入工作手册的通知》（渝发改投资〔2022〕1436号）符合性分析</w:t>
            </w:r>
          </w:p>
          <w:p w14:paraId="1F5346F7">
            <w:pPr>
              <w:spacing w:line="360" w:lineRule="auto"/>
              <w:ind w:firstLine="420" w:firstLineChars="200"/>
              <w:jc w:val="left"/>
              <w:rPr>
                <w:rFonts w:hint="eastAsia"/>
                <w:color w:val="000000"/>
              </w:rPr>
            </w:pPr>
            <w:r>
              <w:rPr>
                <w:rFonts w:hint="eastAsia"/>
                <w:color w:val="000000"/>
              </w:rPr>
              <w:t>本项目与《重庆市发展和改革委员会关于印发重庆市产业投资准入工作手册的通知》（渝发改投资〔2022〕1436号）符合性分析见表1-5。</w:t>
            </w:r>
          </w:p>
          <w:p w14:paraId="567E4EA5">
            <w:pPr>
              <w:pStyle w:val="23"/>
              <w:widowControl w:val="0"/>
              <w:snapToGrid/>
              <w:spacing w:before="0" w:after="0" w:line="360" w:lineRule="auto"/>
              <w:ind w:right="0"/>
              <w:contextualSpacing/>
              <w:rPr>
                <w:rFonts w:ascii="Times New Roman"/>
                <w:color w:val="000000"/>
                <w:sz w:val="24"/>
                <w:szCs w:val="24"/>
              </w:rPr>
            </w:pPr>
            <w:r>
              <w:rPr>
                <w:rFonts w:hint="eastAsia" w:ascii="Times New Roman"/>
                <w:color w:val="000000"/>
                <w:sz w:val="24"/>
                <w:szCs w:val="24"/>
              </w:rPr>
              <w:t>表1-5  与《重庆市产业投资准入工作手册》符合性对照表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
              <w:gridCol w:w="523"/>
              <w:gridCol w:w="4757"/>
              <w:gridCol w:w="2430"/>
            </w:tblGrid>
            <w:tr w14:paraId="7B6DA8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499" w:type="pct"/>
                  <w:gridSpan w:val="3"/>
                  <w:noWrap w:val="0"/>
                  <w:vAlign w:val="center"/>
                </w:tcPr>
                <w:p w14:paraId="177E4AE0">
                  <w:pPr>
                    <w:pStyle w:val="24"/>
                    <w:rPr>
                      <w:b/>
                      <w:bCs/>
                      <w:color w:val="000000"/>
                      <w:sz w:val="21"/>
                    </w:rPr>
                  </w:pPr>
                  <w:r>
                    <w:rPr>
                      <w:b/>
                      <w:bCs/>
                      <w:color w:val="000000"/>
                      <w:sz w:val="21"/>
                    </w:rPr>
                    <w:t>准入要求</w:t>
                  </w:r>
                </w:p>
              </w:tc>
              <w:tc>
                <w:tcPr>
                  <w:tcW w:w="1500" w:type="pct"/>
                  <w:noWrap w:val="0"/>
                  <w:vAlign w:val="center"/>
                </w:tcPr>
                <w:p w14:paraId="2461D4AD">
                  <w:pPr>
                    <w:pStyle w:val="24"/>
                    <w:rPr>
                      <w:b/>
                      <w:bCs/>
                      <w:color w:val="000000"/>
                      <w:sz w:val="21"/>
                    </w:rPr>
                  </w:pPr>
                  <w:r>
                    <w:rPr>
                      <w:b/>
                      <w:bCs/>
                      <w:color w:val="000000"/>
                      <w:sz w:val="21"/>
                    </w:rPr>
                    <w:t>符合性分析</w:t>
                  </w:r>
                </w:p>
              </w:tc>
            </w:tr>
            <w:tr w14:paraId="5B8CBE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restart"/>
                  <w:noWrap w:val="0"/>
                  <w:vAlign w:val="center"/>
                </w:tcPr>
                <w:p w14:paraId="22908F11">
                  <w:pPr>
                    <w:pStyle w:val="24"/>
                    <w:rPr>
                      <w:color w:val="000000"/>
                      <w:sz w:val="21"/>
                    </w:rPr>
                  </w:pPr>
                  <w:r>
                    <w:rPr>
                      <w:color w:val="000000"/>
                      <w:sz w:val="21"/>
                    </w:rPr>
                    <w:t>不予准入类</w:t>
                  </w:r>
                </w:p>
              </w:tc>
              <w:tc>
                <w:tcPr>
                  <w:tcW w:w="323" w:type="pct"/>
                  <w:vMerge w:val="restart"/>
                  <w:noWrap w:val="0"/>
                  <w:vAlign w:val="center"/>
                </w:tcPr>
                <w:p w14:paraId="01E4DB7D">
                  <w:pPr>
                    <w:pStyle w:val="24"/>
                    <w:ind w:left="-105" w:leftChars="-50" w:right="-105" w:rightChars="-50"/>
                    <w:rPr>
                      <w:color w:val="000000"/>
                      <w:sz w:val="21"/>
                    </w:rPr>
                  </w:pPr>
                  <w:r>
                    <w:rPr>
                      <w:color w:val="000000"/>
                      <w:sz w:val="21"/>
                    </w:rPr>
                    <w:t>全市范围内不予准入</w:t>
                  </w:r>
                </w:p>
              </w:tc>
              <w:tc>
                <w:tcPr>
                  <w:tcW w:w="2934" w:type="pct"/>
                  <w:noWrap w:val="0"/>
                  <w:vAlign w:val="center"/>
                </w:tcPr>
                <w:p w14:paraId="23180612">
                  <w:pPr>
                    <w:pStyle w:val="24"/>
                    <w:jc w:val="left"/>
                    <w:rPr>
                      <w:color w:val="000000"/>
                      <w:sz w:val="21"/>
                    </w:rPr>
                  </w:pPr>
                  <w:r>
                    <w:rPr>
                      <w:rFonts w:hint="eastAsia"/>
                      <w:color w:val="000000"/>
                      <w:sz w:val="21"/>
                    </w:rPr>
                    <w:t>1．国家产业结构调整指导目录中的淘汰类项目。</w:t>
                  </w:r>
                </w:p>
              </w:tc>
              <w:tc>
                <w:tcPr>
                  <w:tcW w:w="1500" w:type="pct"/>
                  <w:noWrap w:val="0"/>
                  <w:vAlign w:val="center"/>
                </w:tcPr>
                <w:p w14:paraId="05914A04">
                  <w:pPr>
                    <w:pStyle w:val="24"/>
                    <w:jc w:val="left"/>
                    <w:rPr>
                      <w:color w:val="000000"/>
                      <w:sz w:val="21"/>
                    </w:rPr>
                  </w:pPr>
                  <w:r>
                    <w:rPr>
                      <w:rFonts w:hint="eastAsia"/>
                      <w:color w:val="000000"/>
                      <w:sz w:val="21"/>
                      <w:lang w:val="en-US"/>
                    </w:rPr>
                    <w:t>符合。</w:t>
                  </w:r>
                  <w:r>
                    <w:rPr>
                      <w:rFonts w:hint="eastAsia"/>
                      <w:color w:val="000000"/>
                      <w:sz w:val="21"/>
                    </w:rPr>
                    <w:t>本项目不属于淘汰类项目</w:t>
                  </w:r>
                  <w:r>
                    <w:rPr>
                      <w:color w:val="000000"/>
                      <w:sz w:val="21"/>
                    </w:rPr>
                    <w:t>。</w:t>
                  </w:r>
                </w:p>
              </w:tc>
            </w:tr>
            <w:tr w14:paraId="62D020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41" w:type="pct"/>
                  <w:vMerge w:val="continue"/>
                  <w:noWrap w:val="0"/>
                  <w:vAlign w:val="center"/>
                </w:tcPr>
                <w:p w14:paraId="58ED7DC4">
                  <w:pPr>
                    <w:pStyle w:val="24"/>
                    <w:rPr>
                      <w:color w:val="000000"/>
                      <w:sz w:val="21"/>
                    </w:rPr>
                  </w:pPr>
                </w:p>
              </w:tc>
              <w:tc>
                <w:tcPr>
                  <w:tcW w:w="323" w:type="pct"/>
                  <w:vMerge w:val="continue"/>
                  <w:noWrap w:val="0"/>
                  <w:vAlign w:val="center"/>
                </w:tcPr>
                <w:p w14:paraId="52D9D2D2">
                  <w:pPr>
                    <w:pStyle w:val="24"/>
                    <w:ind w:left="-105" w:leftChars="-50" w:right="-105" w:rightChars="-50"/>
                    <w:rPr>
                      <w:color w:val="000000"/>
                      <w:sz w:val="21"/>
                    </w:rPr>
                  </w:pPr>
                </w:p>
              </w:tc>
              <w:tc>
                <w:tcPr>
                  <w:tcW w:w="2934" w:type="pct"/>
                  <w:noWrap w:val="0"/>
                  <w:vAlign w:val="center"/>
                </w:tcPr>
                <w:p w14:paraId="139FF287">
                  <w:pPr>
                    <w:pStyle w:val="24"/>
                    <w:jc w:val="left"/>
                    <w:rPr>
                      <w:rFonts w:hint="eastAsia"/>
                      <w:color w:val="000000"/>
                      <w:sz w:val="21"/>
                    </w:rPr>
                  </w:pPr>
                  <w:r>
                    <w:rPr>
                      <w:rFonts w:hint="eastAsia"/>
                      <w:color w:val="000000"/>
                      <w:sz w:val="21"/>
                    </w:rPr>
                    <w:t>2．天然林商业性采伐。</w:t>
                  </w:r>
                </w:p>
              </w:tc>
              <w:tc>
                <w:tcPr>
                  <w:tcW w:w="1500" w:type="pct"/>
                  <w:noWrap w:val="0"/>
                  <w:vAlign w:val="center"/>
                </w:tcPr>
                <w:p w14:paraId="1652E87B">
                  <w:pPr>
                    <w:pStyle w:val="24"/>
                    <w:jc w:val="left"/>
                    <w:rPr>
                      <w:rFonts w:hint="eastAsia"/>
                      <w:color w:val="000000"/>
                      <w:sz w:val="21"/>
                    </w:rPr>
                  </w:pPr>
                  <w:r>
                    <w:rPr>
                      <w:rFonts w:hint="eastAsia"/>
                      <w:color w:val="000000"/>
                      <w:sz w:val="21"/>
                      <w:lang w:val="en-US"/>
                    </w:rPr>
                    <w:t>符合。</w:t>
                  </w:r>
                  <w:r>
                    <w:rPr>
                      <w:rFonts w:hint="eastAsia"/>
                      <w:color w:val="000000"/>
                      <w:sz w:val="21"/>
                    </w:rPr>
                    <w:t>本项目</w:t>
                  </w:r>
                  <w:r>
                    <w:rPr>
                      <w:rFonts w:hint="eastAsia"/>
                      <w:color w:val="000000"/>
                      <w:sz w:val="21"/>
                      <w:lang w:val="en-US"/>
                    </w:rPr>
                    <w:t>不进行</w:t>
                  </w:r>
                  <w:r>
                    <w:rPr>
                      <w:rFonts w:hint="eastAsia"/>
                      <w:color w:val="000000"/>
                      <w:sz w:val="21"/>
                    </w:rPr>
                    <w:t>天然林商业性采伐</w:t>
                  </w:r>
                  <w:r>
                    <w:rPr>
                      <w:color w:val="000000"/>
                      <w:sz w:val="21"/>
                    </w:rPr>
                    <w:t>。</w:t>
                  </w:r>
                </w:p>
              </w:tc>
            </w:tr>
            <w:tr w14:paraId="45223A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372A6F9B">
                  <w:pPr>
                    <w:pStyle w:val="24"/>
                    <w:rPr>
                      <w:color w:val="000000"/>
                      <w:sz w:val="21"/>
                    </w:rPr>
                  </w:pPr>
                </w:p>
              </w:tc>
              <w:tc>
                <w:tcPr>
                  <w:tcW w:w="323" w:type="pct"/>
                  <w:vMerge w:val="continue"/>
                  <w:noWrap w:val="0"/>
                  <w:vAlign w:val="center"/>
                </w:tcPr>
                <w:p w14:paraId="4F64FEE6">
                  <w:pPr>
                    <w:pStyle w:val="24"/>
                    <w:ind w:left="-105" w:leftChars="-50" w:right="-105" w:rightChars="-50"/>
                    <w:rPr>
                      <w:color w:val="000000"/>
                      <w:sz w:val="21"/>
                    </w:rPr>
                  </w:pPr>
                </w:p>
              </w:tc>
              <w:tc>
                <w:tcPr>
                  <w:tcW w:w="2934" w:type="pct"/>
                  <w:noWrap w:val="0"/>
                  <w:vAlign w:val="center"/>
                </w:tcPr>
                <w:p w14:paraId="691A4E73">
                  <w:pPr>
                    <w:pStyle w:val="24"/>
                    <w:jc w:val="left"/>
                    <w:rPr>
                      <w:rFonts w:hint="eastAsia"/>
                      <w:color w:val="000000"/>
                      <w:sz w:val="21"/>
                    </w:rPr>
                  </w:pPr>
                  <w:r>
                    <w:rPr>
                      <w:rFonts w:hint="eastAsia"/>
                      <w:color w:val="000000"/>
                      <w:sz w:val="21"/>
                    </w:rPr>
                    <w:t>3．法律法规和相关政策明令不予准入的其他项目。</w:t>
                  </w:r>
                </w:p>
              </w:tc>
              <w:tc>
                <w:tcPr>
                  <w:tcW w:w="1500" w:type="pct"/>
                  <w:noWrap w:val="0"/>
                  <w:vAlign w:val="center"/>
                </w:tcPr>
                <w:p w14:paraId="5A6B435A">
                  <w:pPr>
                    <w:pStyle w:val="24"/>
                    <w:jc w:val="left"/>
                    <w:rPr>
                      <w:rFonts w:hint="eastAsia"/>
                      <w:color w:val="000000"/>
                      <w:sz w:val="21"/>
                      <w:lang w:val="en-US"/>
                    </w:rPr>
                  </w:pPr>
                  <w:r>
                    <w:rPr>
                      <w:rFonts w:hint="eastAsia"/>
                      <w:color w:val="000000"/>
                      <w:sz w:val="21"/>
                      <w:lang w:val="en-US"/>
                    </w:rPr>
                    <w:t>符合。本项目不属于</w:t>
                  </w:r>
                  <w:r>
                    <w:rPr>
                      <w:rFonts w:hint="eastAsia"/>
                      <w:color w:val="000000"/>
                      <w:sz w:val="21"/>
                    </w:rPr>
                    <w:t>法律法规和相关政策明令不予准入的其他项目。</w:t>
                  </w:r>
                </w:p>
              </w:tc>
            </w:tr>
            <w:tr w14:paraId="3630C7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4611AB1D">
                  <w:pPr>
                    <w:pStyle w:val="24"/>
                    <w:rPr>
                      <w:color w:val="000000"/>
                      <w:sz w:val="21"/>
                    </w:rPr>
                  </w:pPr>
                </w:p>
              </w:tc>
              <w:tc>
                <w:tcPr>
                  <w:tcW w:w="323" w:type="pct"/>
                  <w:vMerge w:val="restart"/>
                  <w:noWrap w:val="0"/>
                  <w:vAlign w:val="center"/>
                </w:tcPr>
                <w:p w14:paraId="2165093C">
                  <w:pPr>
                    <w:pStyle w:val="24"/>
                    <w:ind w:left="-105" w:leftChars="-50" w:right="-105" w:rightChars="-50"/>
                    <w:rPr>
                      <w:color w:val="000000"/>
                      <w:sz w:val="21"/>
                    </w:rPr>
                  </w:pPr>
                  <w:r>
                    <w:rPr>
                      <w:color w:val="000000"/>
                      <w:sz w:val="21"/>
                    </w:rPr>
                    <w:t>重点区域范围内不予准入</w:t>
                  </w:r>
                </w:p>
              </w:tc>
              <w:tc>
                <w:tcPr>
                  <w:tcW w:w="2934" w:type="pct"/>
                  <w:noWrap w:val="0"/>
                  <w:vAlign w:val="center"/>
                </w:tcPr>
                <w:p w14:paraId="13F4ABC2">
                  <w:pPr>
                    <w:pStyle w:val="24"/>
                    <w:jc w:val="left"/>
                    <w:rPr>
                      <w:color w:val="000000"/>
                      <w:sz w:val="21"/>
                    </w:rPr>
                  </w:pPr>
                  <w:r>
                    <w:rPr>
                      <w:rFonts w:hint="eastAsia"/>
                      <w:color w:val="000000"/>
                      <w:sz w:val="21"/>
                    </w:rPr>
                    <w:t>1．外环绕城高速公路以内长江、嘉陵江水域采砂。</w:t>
                  </w:r>
                </w:p>
              </w:tc>
              <w:tc>
                <w:tcPr>
                  <w:tcW w:w="1500" w:type="pct"/>
                  <w:noWrap w:val="0"/>
                  <w:vAlign w:val="center"/>
                </w:tcPr>
                <w:p w14:paraId="5BEBE584">
                  <w:pPr>
                    <w:pStyle w:val="24"/>
                    <w:jc w:val="left"/>
                    <w:rPr>
                      <w:color w:val="000000"/>
                      <w:sz w:val="21"/>
                      <w:lang w:val="en-US"/>
                    </w:rPr>
                  </w:pPr>
                  <w:r>
                    <w:rPr>
                      <w:rFonts w:hint="eastAsia"/>
                      <w:color w:val="000000"/>
                      <w:sz w:val="21"/>
                      <w:lang w:val="en-US"/>
                    </w:rPr>
                    <w:t>符合。本项目不进行</w:t>
                  </w:r>
                  <w:r>
                    <w:rPr>
                      <w:rFonts w:hint="eastAsia"/>
                      <w:color w:val="000000"/>
                      <w:sz w:val="21"/>
                    </w:rPr>
                    <w:t>采砂。</w:t>
                  </w:r>
                </w:p>
              </w:tc>
            </w:tr>
            <w:tr w14:paraId="128A4A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4C86758D">
                  <w:pPr>
                    <w:pStyle w:val="24"/>
                    <w:rPr>
                      <w:color w:val="000000"/>
                      <w:sz w:val="21"/>
                    </w:rPr>
                  </w:pPr>
                </w:p>
              </w:tc>
              <w:tc>
                <w:tcPr>
                  <w:tcW w:w="323" w:type="pct"/>
                  <w:vMerge w:val="continue"/>
                  <w:noWrap w:val="0"/>
                  <w:vAlign w:val="center"/>
                </w:tcPr>
                <w:p w14:paraId="02CFFEAC">
                  <w:pPr>
                    <w:pStyle w:val="24"/>
                    <w:rPr>
                      <w:color w:val="000000"/>
                      <w:sz w:val="21"/>
                    </w:rPr>
                  </w:pPr>
                </w:p>
              </w:tc>
              <w:tc>
                <w:tcPr>
                  <w:tcW w:w="2934" w:type="pct"/>
                  <w:noWrap w:val="0"/>
                  <w:vAlign w:val="center"/>
                </w:tcPr>
                <w:p w14:paraId="379899C3">
                  <w:pPr>
                    <w:pStyle w:val="24"/>
                    <w:jc w:val="left"/>
                    <w:rPr>
                      <w:rFonts w:hint="eastAsia"/>
                      <w:color w:val="000000"/>
                      <w:sz w:val="21"/>
                    </w:rPr>
                  </w:pPr>
                  <w:r>
                    <w:rPr>
                      <w:rFonts w:hint="eastAsia"/>
                      <w:color w:val="000000"/>
                      <w:sz w:val="21"/>
                    </w:rPr>
                    <w:t>2．二十五度以上陡坡地开垦种植农作物。</w:t>
                  </w:r>
                </w:p>
              </w:tc>
              <w:tc>
                <w:tcPr>
                  <w:tcW w:w="1500" w:type="pct"/>
                  <w:noWrap w:val="0"/>
                  <w:vAlign w:val="center"/>
                </w:tcPr>
                <w:p w14:paraId="5D69D007">
                  <w:pPr>
                    <w:pStyle w:val="24"/>
                    <w:jc w:val="left"/>
                    <w:rPr>
                      <w:rFonts w:hint="eastAsia"/>
                      <w:color w:val="000000"/>
                      <w:sz w:val="21"/>
                      <w:lang w:val="en-US"/>
                    </w:rPr>
                  </w:pPr>
                  <w:r>
                    <w:rPr>
                      <w:rFonts w:hint="eastAsia"/>
                      <w:color w:val="000000"/>
                      <w:sz w:val="21"/>
                      <w:lang w:val="en-US"/>
                    </w:rPr>
                    <w:t>符合。本项目不</w:t>
                  </w:r>
                  <w:r>
                    <w:rPr>
                      <w:rFonts w:hint="eastAsia"/>
                      <w:color w:val="000000"/>
                      <w:sz w:val="21"/>
                    </w:rPr>
                    <w:t>开垦种植农作物。</w:t>
                  </w:r>
                </w:p>
              </w:tc>
            </w:tr>
            <w:tr w14:paraId="0E92AA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7DF5089D">
                  <w:pPr>
                    <w:pStyle w:val="24"/>
                    <w:rPr>
                      <w:color w:val="000000"/>
                      <w:sz w:val="21"/>
                    </w:rPr>
                  </w:pPr>
                </w:p>
              </w:tc>
              <w:tc>
                <w:tcPr>
                  <w:tcW w:w="323" w:type="pct"/>
                  <w:vMerge w:val="continue"/>
                  <w:noWrap w:val="0"/>
                  <w:vAlign w:val="center"/>
                </w:tcPr>
                <w:p w14:paraId="17890204">
                  <w:pPr>
                    <w:pStyle w:val="24"/>
                    <w:rPr>
                      <w:color w:val="000000"/>
                      <w:sz w:val="21"/>
                    </w:rPr>
                  </w:pPr>
                </w:p>
              </w:tc>
              <w:tc>
                <w:tcPr>
                  <w:tcW w:w="2934" w:type="pct"/>
                  <w:noWrap w:val="0"/>
                  <w:vAlign w:val="center"/>
                </w:tcPr>
                <w:p w14:paraId="23AC8CB2">
                  <w:pPr>
                    <w:pStyle w:val="24"/>
                    <w:jc w:val="left"/>
                    <w:rPr>
                      <w:rFonts w:hint="eastAsia"/>
                      <w:color w:val="000000"/>
                      <w:sz w:val="21"/>
                    </w:rPr>
                  </w:pPr>
                  <w:r>
                    <w:rPr>
                      <w:rFonts w:hint="eastAsia"/>
                      <w:color w:val="000000"/>
                      <w:sz w:val="21"/>
                    </w:rPr>
                    <w:t>3．在自然保护区核心区、缓冲区的岸线和河段范围内投资建设旅游和生产经营项目。</w:t>
                  </w:r>
                </w:p>
              </w:tc>
              <w:tc>
                <w:tcPr>
                  <w:tcW w:w="1500" w:type="pct"/>
                  <w:noWrap w:val="0"/>
                  <w:vAlign w:val="center"/>
                </w:tcPr>
                <w:p w14:paraId="3F7F111E">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自然保护区核心区、缓冲区。</w:t>
                  </w:r>
                </w:p>
              </w:tc>
            </w:tr>
            <w:tr w14:paraId="196634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58D81911">
                  <w:pPr>
                    <w:pStyle w:val="24"/>
                    <w:rPr>
                      <w:color w:val="000000"/>
                      <w:sz w:val="21"/>
                    </w:rPr>
                  </w:pPr>
                </w:p>
              </w:tc>
              <w:tc>
                <w:tcPr>
                  <w:tcW w:w="323" w:type="pct"/>
                  <w:vMerge w:val="continue"/>
                  <w:noWrap w:val="0"/>
                  <w:vAlign w:val="center"/>
                </w:tcPr>
                <w:p w14:paraId="2F85063A">
                  <w:pPr>
                    <w:pStyle w:val="24"/>
                    <w:rPr>
                      <w:color w:val="000000"/>
                      <w:sz w:val="21"/>
                    </w:rPr>
                  </w:pPr>
                </w:p>
              </w:tc>
              <w:tc>
                <w:tcPr>
                  <w:tcW w:w="2934" w:type="pct"/>
                  <w:noWrap w:val="0"/>
                  <w:vAlign w:val="center"/>
                </w:tcPr>
                <w:p w14:paraId="7C3E480C">
                  <w:pPr>
                    <w:pStyle w:val="24"/>
                    <w:jc w:val="left"/>
                    <w:rPr>
                      <w:rFonts w:hint="eastAsia"/>
                      <w:color w:val="000000"/>
                      <w:sz w:val="21"/>
                    </w:rPr>
                  </w:pPr>
                  <w:r>
                    <w:rPr>
                      <w:rFonts w:hint="eastAsia"/>
                      <w:color w:val="000000"/>
                      <w:sz w:val="21"/>
                    </w:rP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500" w:type="pct"/>
                  <w:noWrap w:val="0"/>
                  <w:vAlign w:val="center"/>
                </w:tcPr>
                <w:p w14:paraId="371C7D8D">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饮用水水源</w:t>
                  </w:r>
                  <w:r>
                    <w:rPr>
                      <w:rFonts w:hint="eastAsia"/>
                      <w:color w:val="000000"/>
                      <w:sz w:val="21"/>
                      <w:lang w:val="en-US"/>
                    </w:rPr>
                    <w:t>一级、二级</w:t>
                  </w:r>
                  <w:r>
                    <w:rPr>
                      <w:rFonts w:hint="eastAsia"/>
                      <w:color w:val="000000"/>
                      <w:sz w:val="21"/>
                    </w:rPr>
                    <w:t>保护区。</w:t>
                  </w:r>
                </w:p>
              </w:tc>
            </w:tr>
            <w:tr w14:paraId="6DD8EF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75C7818F">
                  <w:pPr>
                    <w:pStyle w:val="24"/>
                    <w:rPr>
                      <w:color w:val="000000"/>
                      <w:sz w:val="21"/>
                    </w:rPr>
                  </w:pPr>
                </w:p>
              </w:tc>
              <w:tc>
                <w:tcPr>
                  <w:tcW w:w="323" w:type="pct"/>
                  <w:vMerge w:val="continue"/>
                  <w:noWrap w:val="0"/>
                  <w:vAlign w:val="center"/>
                </w:tcPr>
                <w:p w14:paraId="401B73D6">
                  <w:pPr>
                    <w:pStyle w:val="24"/>
                    <w:rPr>
                      <w:color w:val="000000"/>
                      <w:sz w:val="21"/>
                    </w:rPr>
                  </w:pPr>
                </w:p>
              </w:tc>
              <w:tc>
                <w:tcPr>
                  <w:tcW w:w="2934" w:type="pct"/>
                  <w:noWrap w:val="0"/>
                  <w:vAlign w:val="center"/>
                </w:tcPr>
                <w:p w14:paraId="03E6BF97">
                  <w:pPr>
                    <w:pStyle w:val="24"/>
                    <w:jc w:val="left"/>
                    <w:rPr>
                      <w:rFonts w:hint="eastAsia"/>
                      <w:color w:val="000000"/>
                      <w:sz w:val="21"/>
                    </w:rPr>
                  </w:pPr>
                  <w:r>
                    <w:rPr>
                      <w:rFonts w:hint="eastAsia"/>
                      <w:color w:val="000000"/>
                      <w:sz w:val="21"/>
                    </w:rPr>
                    <w:t>5．长江干流岸线3公里范围内和重要支流岸线1公里范围内新建、改建、扩建尾矿库、冶炼渣库和磷石膏库（以提升安全、生态环境保护水平为目的的改建除外）。</w:t>
                  </w:r>
                </w:p>
              </w:tc>
              <w:tc>
                <w:tcPr>
                  <w:tcW w:w="1500" w:type="pct"/>
                  <w:noWrap w:val="0"/>
                  <w:vAlign w:val="center"/>
                </w:tcPr>
                <w:p w14:paraId="28AE63AB">
                  <w:pPr>
                    <w:pStyle w:val="24"/>
                    <w:jc w:val="left"/>
                    <w:rPr>
                      <w:rFonts w:hint="eastAsia"/>
                      <w:color w:val="000000"/>
                      <w:sz w:val="21"/>
                      <w:lang w:val="en-US"/>
                    </w:rPr>
                  </w:pPr>
                  <w:r>
                    <w:rPr>
                      <w:rFonts w:hint="eastAsia"/>
                      <w:color w:val="000000"/>
                      <w:sz w:val="21"/>
                      <w:lang w:val="en-US"/>
                    </w:rPr>
                    <w:t>符合。本项目不设置</w:t>
                  </w:r>
                  <w:r>
                    <w:rPr>
                      <w:rFonts w:hint="eastAsia"/>
                      <w:color w:val="000000"/>
                      <w:sz w:val="21"/>
                    </w:rPr>
                    <w:t>尾矿库、冶炼渣库和磷石膏库。</w:t>
                  </w:r>
                </w:p>
              </w:tc>
            </w:tr>
            <w:tr w14:paraId="05C183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1BB8BFB7">
                  <w:pPr>
                    <w:pStyle w:val="24"/>
                    <w:rPr>
                      <w:color w:val="000000"/>
                      <w:sz w:val="21"/>
                    </w:rPr>
                  </w:pPr>
                </w:p>
              </w:tc>
              <w:tc>
                <w:tcPr>
                  <w:tcW w:w="323" w:type="pct"/>
                  <w:vMerge w:val="continue"/>
                  <w:noWrap w:val="0"/>
                  <w:vAlign w:val="center"/>
                </w:tcPr>
                <w:p w14:paraId="592E19F3">
                  <w:pPr>
                    <w:pStyle w:val="24"/>
                    <w:rPr>
                      <w:color w:val="000000"/>
                      <w:sz w:val="21"/>
                    </w:rPr>
                  </w:pPr>
                </w:p>
              </w:tc>
              <w:tc>
                <w:tcPr>
                  <w:tcW w:w="2934" w:type="pct"/>
                  <w:noWrap w:val="0"/>
                  <w:vAlign w:val="center"/>
                </w:tcPr>
                <w:p w14:paraId="34317F59">
                  <w:pPr>
                    <w:pStyle w:val="24"/>
                    <w:jc w:val="left"/>
                    <w:rPr>
                      <w:rFonts w:hint="eastAsia"/>
                      <w:color w:val="000000"/>
                      <w:sz w:val="21"/>
                    </w:rPr>
                  </w:pPr>
                  <w:r>
                    <w:rPr>
                      <w:rFonts w:hint="eastAsia"/>
                      <w:color w:val="000000"/>
                      <w:sz w:val="21"/>
                    </w:rPr>
                    <w:t>6．在风景名胜区核心景区的岸线和河段范围内投资建设与风景名胜资源保护无关的项目。</w:t>
                  </w:r>
                </w:p>
              </w:tc>
              <w:tc>
                <w:tcPr>
                  <w:tcW w:w="1500" w:type="pct"/>
                  <w:noWrap w:val="0"/>
                  <w:vAlign w:val="center"/>
                </w:tcPr>
                <w:p w14:paraId="156ACE4A">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风景名胜区。</w:t>
                  </w:r>
                </w:p>
              </w:tc>
            </w:tr>
            <w:tr w14:paraId="7D3BD5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296757B3">
                  <w:pPr>
                    <w:pStyle w:val="24"/>
                    <w:rPr>
                      <w:color w:val="000000"/>
                      <w:sz w:val="21"/>
                    </w:rPr>
                  </w:pPr>
                </w:p>
              </w:tc>
              <w:tc>
                <w:tcPr>
                  <w:tcW w:w="323" w:type="pct"/>
                  <w:vMerge w:val="continue"/>
                  <w:noWrap w:val="0"/>
                  <w:vAlign w:val="center"/>
                </w:tcPr>
                <w:p w14:paraId="778BB041">
                  <w:pPr>
                    <w:pStyle w:val="24"/>
                    <w:rPr>
                      <w:color w:val="000000"/>
                      <w:sz w:val="21"/>
                    </w:rPr>
                  </w:pPr>
                </w:p>
              </w:tc>
              <w:tc>
                <w:tcPr>
                  <w:tcW w:w="2934" w:type="pct"/>
                  <w:noWrap w:val="0"/>
                  <w:vAlign w:val="center"/>
                </w:tcPr>
                <w:p w14:paraId="0B7FBE82">
                  <w:pPr>
                    <w:pStyle w:val="24"/>
                    <w:jc w:val="left"/>
                    <w:rPr>
                      <w:rFonts w:hint="eastAsia"/>
                      <w:color w:val="000000"/>
                      <w:sz w:val="21"/>
                    </w:rPr>
                  </w:pPr>
                  <w:r>
                    <w:rPr>
                      <w:rFonts w:hint="eastAsia"/>
                      <w:color w:val="000000"/>
                      <w:sz w:val="21"/>
                    </w:rPr>
                    <w:t>7．在国家湿地公园的岸线和河段范围内挖沙、采矿，以及任何不符合主体功能定位的投资建设项目。</w:t>
                  </w:r>
                </w:p>
              </w:tc>
              <w:tc>
                <w:tcPr>
                  <w:tcW w:w="1500" w:type="pct"/>
                  <w:noWrap w:val="0"/>
                  <w:vAlign w:val="center"/>
                </w:tcPr>
                <w:p w14:paraId="02F8BDB9">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国家湿地公园。</w:t>
                  </w:r>
                </w:p>
              </w:tc>
            </w:tr>
            <w:tr w14:paraId="37B431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53998332">
                  <w:pPr>
                    <w:pStyle w:val="24"/>
                    <w:rPr>
                      <w:color w:val="000000"/>
                      <w:sz w:val="21"/>
                    </w:rPr>
                  </w:pPr>
                </w:p>
              </w:tc>
              <w:tc>
                <w:tcPr>
                  <w:tcW w:w="323" w:type="pct"/>
                  <w:vMerge w:val="continue"/>
                  <w:noWrap w:val="0"/>
                  <w:vAlign w:val="center"/>
                </w:tcPr>
                <w:p w14:paraId="6369B3F5">
                  <w:pPr>
                    <w:pStyle w:val="24"/>
                    <w:rPr>
                      <w:color w:val="000000"/>
                      <w:sz w:val="21"/>
                    </w:rPr>
                  </w:pPr>
                </w:p>
              </w:tc>
              <w:tc>
                <w:tcPr>
                  <w:tcW w:w="2934" w:type="pct"/>
                  <w:noWrap w:val="0"/>
                  <w:vAlign w:val="center"/>
                </w:tcPr>
                <w:p w14:paraId="53C78980">
                  <w:pPr>
                    <w:pStyle w:val="24"/>
                    <w:jc w:val="left"/>
                    <w:rPr>
                      <w:rFonts w:hint="eastAsia"/>
                      <w:color w:val="000000"/>
                      <w:sz w:val="21"/>
                    </w:rPr>
                  </w:pPr>
                  <w:r>
                    <w:rPr>
                      <w:rFonts w:hint="eastAsia"/>
                      <w:color w:val="000000"/>
                      <w:sz w:val="21"/>
                    </w:rPr>
                    <w:t>8．在《长江岸线保护和开发利用总体规划》划定的岸线保护区和保留区内投资建设除事关公共安全及公众利益的防洪护岸、河道治理、供水、生态环境保护、航道整治、国家重要基础设施以外的项目。</w:t>
                  </w:r>
                </w:p>
              </w:tc>
              <w:tc>
                <w:tcPr>
                  <w:tcW w:w="1500" w:type="pct"/>
                  <w:noWrap w:val="0"/>
                  <w:vAlign w:val="center"/>
                </w:tcPr>
                <w:p w14:paraId="5A7206F3">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划定的岸线保护区和保留区。</w:t>
                  </w:r>
                </w:p>
              </w:tc>
            </w:tr>
            <w:tr w14:paraId="638F9F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4597FABE">
                  <w:pPr>
                    <w:pStyle w:val="24"/>
                    <w:rPr>
                      <w:color w:val="000000"/>
                      <w:sz w:val="21"/>
                    </w:rPr>
                  </w:pPr>
                </w:p>
              </w:tc>
              <w:tc>
                <w:tcPr>
                  <w:tcW w:w="323" w:type="pct"/>
                  <w:vMerge w:val="continue"/>
                  <w:noWrap w:val="0"/>
                  <w:vAlign w:val="center"/>
                </w:tcPr>
                <w:p w14:paraId="6CD05BDE">
                  <w:pPr>
                    <w:pStyle w:val="24"/>
                    <w:rPr>
                      <w:color w:val="000000"/>
                      <w:sz w:val="21"/>
                    </w:rPr>
                  </w:pPr>
                </w:p>
              </w:tc>
              <w:tc>
                <w:tcPr>
                  <w:tcW w:w="2934" w:type="pct"/>
                  <w:noWrap w:val="0"/>
                  <w:vAlign w:val="center"/>
                </w:tcPr>
                <w:p w14:paraId="10364F41">
                  <w:pPr>
                    <w:pStyle w:val="24"/>
                    <w:jc w:val="left"/>
                    <w:rPr>
                      <w:rFonts w:hint="eastAsia"/>
                      <w:color w:val="000000"/>
                      <w:sz w:val="21"/>
                    </w:rPr>
                  </w:pPr>
                  <w:r>
                    <w:rPr>
                      <w:rFonts w:hint="eastAsia"/>
                      <w:color w:val="000000"/>
                      <w:sz w:val="21"/>
                    </w:rPr>
                    <w:t>9．在《全国重要江河湖泊水功能区划》划定的河段及湖泊保护区、保留区内投资建设不利于水资源及自然生态保护的项目。</w:t>
                  </w:r>
                </w:p>
              </w:tc>
              <w:tc>
                <w:tcPr>
                  <w:tcW w:w="1500" w:type="pct"/>
                  <w:noWrap w:val="0"/>
                  <w:vAlign w:val="center"/>
                </w:tcPr>
                <w:p w14:paraId="13D7EC1A">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划定的河段及湖泊保护区、保留区。</w:t>
                  </w:r>
                </w:p>
              </w:tc>
            </w:tr>
            <w:tr w14:paraId="521A79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restart"/>
                  <w:noWrap w:val="0"/>
                  <w:vAlign w:val="center"/>
                </w:tcPr>
                <w:p w14:paraId="10D5B1B8">
                  <w:pPr>
                    <w:pStyle w:val="24"/>
                    <w:rPr>
                      <w:color w:val="000000"/>
                      <w:sz w:val="21"/>
                    </w:rPr>
                  </w:pPr>
                  <w:r>
                    <w:rPr>
                      <w:color w:val="000000"/>
                      <w:sz w:val="21"/>
                    </w:rPr>
                    <w:t>限制准入类</w:t>
                  </w:r>
                </w:p>
              </w:tc>
              <w:tc>
                <w:tcPr>
                  <w:tcW w:w="323" w:type="pct"/>
                  <w:vMerge w:val="restart"/>
                  <w:noWrap w:val="0"/>
                  <w:vAlign w:val="center"/>
                </w:tcPr>
                <w:p w14:paraId="4405A9FB">
                  <w:pPr>
                    <w:pStyle w:val="24"/>
                    <w:ind w:left="-105" w:leftChars="-50" w:right="-105" w:rightChars="-50"/>
                    <w:rPr>
                      <w:color w:val="000000"/>
                      <w:sz w:val="21"/>
                    </w:rPr>
                  </w:pPr>
                  <w:r>
                    <w:rPr>
                      <w:rFonts w:hint="eastAsia"/>
                      <w:color w:val="000000"/>
                      <w:sz w:val="21"/>
                    </w:rPr>
                    <w:t>全市范围内限制准入的产业</w:t>
                  </w:r>
                </w:p>
              </w:tc>
              <w:tc>
                <w:tcPr>
                  <w:tcW w:w="2934" w:type="pct"/>
                  <w:noWrap w:val="0"/>
                  <w:vAlign w:val="center"/>
                </w:tcPr>
                <w:p w14:paraId="2D2C686D">
                  <w:pPr>
                    <w:pStyle w:val="24"/>
                    <w:jc w:val="left"/>
                    <w:rPr>
                      <w:color w:val="000000"/>
                      <w:sz w:val="21"/>
                    </w:rPr>
                  </w:pPr>
                  <w:r>
                    <w:rPr>
                      <w:rFonts w:hint="eastAsia"/>
                      <w:color w:val="000000"/>
                      <w:sz w:val="21"/>
                    </w:rPr>
                    <w:t>1．新建、扩建不符合国家产能置换要求的严重过剩产能行业的项目。新建、扩建不符合要求的高耗能高排放项目。</w:t>
                  </w:r>
                </w:p>
              </w:tc>
              <w:tc>
                <w:tcPr>
                  <w:tcW w:w="1500" w:type="pct"/>
                  <w:noWrap w:val="0"/>
                  <w:vAlign w:val="center"/>
                </w:tcPr>
                <w:p w14:paraId="62923BFB">
                  <w:pPr>
                    <w:pStyle w:val="24"/>
                    <w:jc w:val="left"/>
                    <w:rPr>
                      <w:color w:val="000000"/>
                      <w:sz w:val="21"/>
                    </w:rPr>
                  </w:pPr>
                  <w:r>
                    <w:rPr>
                      <w:rFonts w:hint="eastAsia"/>
                      <w:color w:val="000000"/>
                      <w:sz w:val="21"/>
                      <w:lang w:val="en-US"/>
                    </w:rPr>
                    <w:t>符合。本项目不属于</w:t>
                  </w:r>
                  <w:r>
                    <w:rPr>
                      <w:rFonts w:hint="eastAsia"/>
                      <w:color w:val="000000"/>
                      <w:sz w:val="21"/>
                    </w:rPr>
                    <w:t>严重过剩产能行业的项目，</w:t>
                  </w:r>
                  <w:r>
                    <w:rPr>
                      <w:rFonts w:hint="eastAsia"/>
                      <w:color w:val="000000"/>
                      <w:sz w:val="21"/>
                      <w:lang w:val="en-US"/>
                    </w:rPr>
                    <w:t>也不属于</w:t>
                  </w:r>
                  <w:r>
                    <w:rPr>
                      <w:rFonts w:hint="eastAsia"/>
                      <w:color w:val="000000"/>
                      <w:sz w:val="21"/>
                    </w:rPr>
                    <w:t>高耗能高排放项目。</w:t>
                  </w:r>
                </w:p>
              </w:tc>
            </w:tr>
            <w:tr w14:paraId="6D0BFD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1C5CE9FA">
                  <w:pPr>
                    <w:pStyle w:val="24"/>
                    <w:rPr>
                      <w:color w:val="000000"/>
                      <w:sz w:val="21"/>
                    </w:rPr>
                  </w:pPr>
                </w:p>
              </w:tc>
              <w:tc>
                <w:tcPr>
                  <w:tcW w:w="323" w:type="pct"/>
                  <w:vMerge w:val="continue"/>
                  <w:noWrap w:val="0"/>
                  <w:vAlign w:val="center"/>
                </w:tcPr>
                <w:p w14:paraId="730E2B7D">
                  <w:pPr>
                    <w:pStyle w:val="24"/>
                    <w:ind w:left="-105" w:leftChars="-50" w:right="-105" w:rightChars="-50"/>
                    <w:rPr>
                      <w:color w:val="000000"/>
                      <w:sz w:val="21"/>
                    </w:rPr>
                  </w:pPr>
                </w:p>
              </w:tc>
              <w:tc>
                <w:tcPr>
                  <w:tcW w:w="2934" w:type="pct"/>
                  <w:noWrap w:val="0"/>
                  <w:vAlign w:val="center"/>
                </w:tcPr>
                <w:p w14:paraId="4AA166DC">
                  <w:pPr>
                    <w:pStyle w:val="24"/>
                    <w:jc w:val="left"/>
                    <w:rPr>
                      <w:color w:val="000000"/>
                      <w:sz w:val="21"/>
                    </w:rPr>
                  </w:pPr>
                  <w:r>
                    <w:rPr>
                      <w:rFonts w:hint="eastAsia"/>
                      <w:color w:val="000000"/>
                      <w:sz w:val="21"/>
                    </w:rPr>
                    <w:t>2．新建、扩建不符合国家石化、现代煤化工等产业布局规划的项目。</w:t>
                  </w:r>
                </w:p>
              </w:tc>
              <w:tc>
                <w:tcPr>
                  <w:tcW w:w="1500" w:type="pct"/>
                  <w:noWrap w:val="0"/>
                  <w:vAlign w:val="center"/>
                </w:tcPr>
                <w:p w14:paraId="62C72E71">
                  <w:pPr>
                    <w:pStyle w:val="24"/>
                    <w:jc w:val="left"/>
                    <w:rPr>
                      <w:color w:val="000000"/>
                      <w:sz w:val="21"/>
                      <w:lang w:val="en-US"/>
                    </w:rPr>
                  </w:pPr>
                  <w:r>
                    <w:rPr>
                      <w:rFonts w:hint="eastAsia"/>
                      <w:color w:val="000000"/>
                      <w:sz w:val="21"/>
                      <w:lang w:val="en-US"/>
                    </w:rPr>
                    <w:t>符合。本项目不属于</w:t>
                  </w:r>
                  <w:r>
                    <w:rPr>
                      <w:rFonts w:hint="eastAsia"/>
                      <w:color w:val="000000"/>
                      <w:sz w:val="21"/>
                    </w:rPr>
                    <w:t>国家石化、现代煤化工</w:t>
                  </w:r>
                  <w:r>
                    <w:rPr>
                      <w:rFonts w:hint="eastAsia"/>
                      <w:color w:val="000000"/>
                      <w:sz w:val="21"/>
                      <w:lang w:val="en-US"/>
                    </w:rPr>
                    <w:t>。</w:t>
                  </w:r>
                </w:p>
              </w:tc>
            </w:tr>
            <w:tr w14:paraId="127976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09711FB2">
                  <w:pPr>
                    <w:pStyle w:val="24"/>
                    <w:rPr>
                      <w:color w:val="000000"/>
                      <w:sz w:val="21"/>
                    </w:rPr>
                  </w:pPr>
                </w:p>
              </w:tc>
              <w:tc>
                <w:tcPr>
                  <w:tcW w:w="323" w:type="pct"/>
                  <w:vMerge w:val="continue"/>
                  <w:noWrap w:val="0"/>
                  <w:vAlign w:val="center"/>
                </w:tcPr>
                <w:p w14:paraId="1B7863A5">
                  <w:pPr>
                    <w:pStyle w:val="24"/>
                    <w:ind w:left="-105" w:leftChars="-50" w:right="-105" w:rightChars="-50"/>
                    <w:rPr>
                      <w:color w:val="000000"/>
                      <w:sz w:val="21"/>
                    </w:rPr>
                  </w:pPr>
                </w:p>
              </w:tc>
              <w:tc>
                <w:tcPr>
                  <w:tcW w:w="2934" w:type="pct"/>
                  <w:noWrap w:val="0"/>
                  <w:vAlign w:val="center"/>
                </w:tcPr>
                <w:p w14:paraId="410DB0E5">
                  <w:pPr>
                    <w:pStyle w:val="24"/>
                    <w:jc w:val="left"/>
                    <w:rPr>
                      <w:color w:val="000000"/>
                      <w:sz w:val="21"/>
                    </w:rPr>
                  </w:pPr>
                  <w:r>
                    <w:rPr>
                      <w:rFonts w:hint="eastAsia"/>
                      <w:color w:val="000000"/>
                      <w:sz w:val="21"/>
                    </w:rPr>
                    <w:t>3．在合规园区外新建、扩建钢铁、石化、化工、焦化、建材、有色、制浆造纸等高污染项目。</w:t>
                  </w:r>
                </w:p>
              </w:tc>
              <w:tc>
                <w:tcPr>
                  <w:tcW w:w="1500" w:type="pct"/>
                  <w:noWrap w:val="0"/>
                  <w:vAlign w:val="center"/>
                </w:tcPr>
                <w:p w14:paraId="5EB83CDA">
                  <w:pPr>
                    <w:pStyle w:val="24"/>
                    <w:jc w:val="left"/>
                    <w:rPr>
                      <w:rFonts w:hint="eastAsia"/>
                      <w:color w:val="000000"/>
                      <w:sz w:val="21"/>
                    </w:rPr>
                  </w:pPr>
                  <w:r>
                    <w:rPr>
                      <w:rFonts w:hint="eastAsia"/>
                      <w:color w:val="000000"/>
                      <w:sz w:val="21"/>
                      <w:lang w:val="en-US"/>
                    </w:rPr>
                    <w:t>符合。本项目不属于</w:t>
                  </w:r>
                  <w:r>
                    <w:rPr>
                      <w:rFonts w:hint="eastAsia"/>
                      <w:color w:val="000000"/>
                      <w:sz w:val="21"/>
                    </w:rPr>
                    <w:t>钢铁、石化</w:t>
                  </w:r>
                  <w:r>
                    <w:rPr>
                      <w:rFonts w:hint="eastAsia"/>
                      <w:color w:val="000000"/>
                      <w:sz w:val="21"/>
                      <w:lang w:val="en-US"/>
                    </w:rPr>
                    <w:t>等</w:t>
                  </w:r>
                  <w:r>
                    <w:rPr>
                      <w:rFonts w:hint="eastAsia"/>
                      <w:color w:val="000000"/>
                      <w:sz w:val="21"/>
                    </w:rPr>
                    <w:t>高污染项目</w:t>
                  </w:r>
                  <w:r>
                    <w:rPr>
                      <w:rFonts w:hint="eastAsia"/>
                      <w:color w:val="000000"/>
                      <w:sz w:val="21"/>
                      <w:lang w:val="en-US"/>
                    </w:rPr>
                    <w:t>。</w:t>
                  </w:r>
                </w:p>
              </w:tc>
            </w:tr>
            <w:tr w14:paraId="2E0A14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075F71FC">
                  <w:pPr>
                    <w:pStyle w:val="24"/>
                    <w:rPr>
                      <w:color w:val="000000"/>
                      <w:sz w:val="21"/>
                    </w:rPr>
                  </w:pPr>
                </w:p>
              </w:tc>
              <w:tc>
                <w:tcPr>
                  <w:tcW w:w="323" w:type="pct"/>
                  <w:vMerge w:val="continue"/>
                  <w:noWrap w:val="0"/>
                  <w:vAlign w:val="center"/>
                </w:tcPr>
                <w:p w14:paraId="4AB0188C">
                  <w:pPr>
                    <w:pStyle w:val="24"/>
                    <w:ind w:left="-105" w:leftChars="-50" w:right="-105" w:rightChars="-50"/>
                    <w:rPr>
                      <w:color w:val="000000"/>
                      <w:sz w:val="21"/>
                    </w:rPr>
                  </w:pPr>
                </w:p>
              </w:tc>
              <w:tc>
                <w:tcPr>
                  <w:tcW w:w="2934" w:type="pct"/>
                  <w:noWrap w:val="0"/>
                  <w:vAlign w:val="center"/>
                </w:tcPr>
                <w:p w14:paraId="12520004">
                  <w:pPr>
                    <w:pStyle w:val="24"/>
                    <w:jc w:val="left"/>
                    <w:rPr>
                      <w:color w:val="000000"/>
                      <w:sz w:val="21"/>
                    </w:rPr>
                  </w:pPr>
                  <w:r>
                    <w:rPr>
                      <w:rFonts w:hint="eastAsia"/>
                      <w:color w:val="000000"/>
                      <w:sz w:val="21"/>
                    </w:rPr>
                    <w:t>4．《汽车产业投资管理规定》（国家发展和改革委员会令第22号）明确禁止建设的汽车投资项目。</w:t>
                  </w:r>
                </w:p>
              </w:tc>
              <w:tc>
                <w:tcPr>
                  <w:tcW w:w="1500" w:type="pct"/>
                  <w:noWrap w:val="0"/>
                  <w:vAlign w:val="center"/>
                </w:tcPr>
                <w:p w14:paraId="30859A1D">
                  <w:pPr>
                    <w:pStyle w:val="24"/>
                    <w:jc w:val="left"/>
                    <w:rPr>
                      <w:rFonts w:hint="eastAsia"/>
                      <w:color w:val="000000"/>
                      <w:sz w:val="21"/>
                      <w:lang w:val="en-US"/>
                    </w:rPr>
                  </w:pPr>
                  <w:r>
                    <w:rPr>
                      <w:rFonts w:hint="eastAsia"/>
                      <w:color w:val="000000"/>
                      <w:sz w:val="21"/>
                      <w:lang w:val="en-US"/>
                    </w:rPr>
                    <w:t>符合。本项目不属于</w:t>
                  </w:r>
                  <w:r>
                    <w:rPr>
                      <w:rFonts w:hint="eastAsia"/>
                      <w:color w:val="000000"/>
                      <w:sz w:val="21"/>
                    </w:rPr>
                    <w:t>汽车投资项目。</w:t>
                  </w:r>
                </w:p>
              </w:tc>
            </w:tr>
            <w:tr w14:paraId="25228A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4D038331">
                  <w:pPr>
                    <w:pStyle w:val="24"/>
                    <w:rPr>
                      <w:color w:val="000000"/>
                      <w:sz w:val="21"/>
                    </w:rPr>
                  </w:pPr>
                </w:p>
              </w:tc>
              <w:tc>
                <w:tcPr>
                  <w:tcW w:w="323" w:type="pct"/>
                  <w:vMerge w:val="restart"/>
                  <w:noWrap w:val="0"/>
                  <w:vAlign w:val="center"/>
                </w:tcPr>
                <w:p w14:paraId="58BF36CC">
                  <w:pPr>
                    <w:pStyle w:val="24"/>
                    <w:ind w:left="-105" w:leftChars="-50" w:right="-105" w:rightChars="-50"/>
                    <w:rPr>
                      <w:color w:val="000000"/>
                      <w:sz w:val="21"/>
                    </w:rPr>
                  </w:pPr>
                  <w:r>
                    <w:rPr>
                      <w:rFonts w:hint="eastAsia"/>
                      <w:color w:val="000000"/>
                      <w:sz w:val="21"/>
                    </w:rPr>
                    <w:t>重点区域范围内限制准入的产业</w:t>
                  </w:r>
                </w:p>
              </w:tc>
              <w:tc>
                <w:tcPr>
                  <w:tcW w:w="2934" w:type="pct"/>
                  <w:noWrap w:val="0"/>
                  <w:vAlign w:val="center"/>
                </w:tcPr>
                <w:p w14:paraId="318709F5">
                  <w:pPr>
                    <w:pStyle w:val="24"/>
                    <w:jc w:val="left"/>
                    <w:rPr>
                      <w:color w:val="000000"/>
                      <w:sz w:val="21"/>
                    </w:rPr>
                  </w:pPr>
                  <w:r>
                    <w:rPr>
                      <w:rFonts w:hint="eastAsia"/>
                      <w:color w:val="000000"/>
                      <w:sz w:val="21"/>
                    </w:rPr>
                    <w:t>1．长江干支流、重要湖泊岸线1公里范围内新建、扩建化工园区和化工项目，长江、嘉陵江、乌江岸线1公里范围内布局新建纸浆制造、印染等存在环境风险的项目。</w:t>
                  </w:r>
                </w:p>
              </w:tc>
              <w:tc>
                <w:tcPr>
                  <w:tcW w:w="1500" w:type="pct"/>
                  <w:noWrap w:val="0"/>
                  <w:vAlign w:val="center"/>
                </w:tcPr>
                <w:p w14:paraId="38176881">
                  <w:pPr>
                    <w:pStyle w:val="24"/>
                    <w:jc w:val="left"/>
                    <w:rPr>
                      <w:color w:val="000000"/>
                      <w:sz w:val="21"/>
                      <w:lang w:val="en-US"/>
                    </w:rPr>
                  </w:pPr>
                  <w:r>
                    <w:rPr>
                      <w:rFonts w:hint="eastAsia"/>
                      <w:color w:val="000000"/>
                      <w:sz w:val="21"/>
                      <w:lang w:val="en-US"/>
                    </w:rPr>
                    <w:t>符合。本项目不属于</w:t>
                  </w:r>
                  <w:r>
                    <w:rPr>
                      <w:rFonts w:hint="eastAsia"/>
                      <w:color w:val="000000"/>
                      <w:sz w:val="21"/>
                    </w:rPr>
                    <w:t>化工园区和化工项目，</w:t>
                  </w:r>
                  <w:r>
                    <w:rPr>
                      <w:rFonts w:hint="eastAsia"/>
                      <w:color w:val="000000"/>
                      <w:sz w:val="21"/>
                      <w:lang w:val="en-US"/>
                    </w:rPr>
                    <w:t>也不属于</w:t>
                  </w:r>
                  <w:r>
                    <w:rPr>
                      <w:rFonts w:hint="eastAsia"/>
                      <w:color w:val="000000"/>
                      <w:sz w:val="21"/>
                    </w:rPr>
                    <w:t>存在环境风险的项目</w:t>
                  </w:r>
                  <w:r>
                    <w:rPr>
                      <w:rFonts w:hint="eastAsia"/>
                      <w:color w:val="000000"/>
                      <w:sz w:val="21"/>
                      <w:lang w:val="en-US"/>
                    </w:rPr>
                    <w:t>。</w:t>
                  </w:r>
                </w:p>
              </w:tc>
            </w:tr>
            <w:tr w14:paraId="74FD77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noWrap w:val="0"/>
                  <w:vAlign w:val="center"/>
                </w:tcPr>
                <w:p w14:paraId="053FE936">
                  <w:pPr>
                    <w:pStyle w:val="24"/>
                    <w:rPr>
                      <w:color w:val="000000"/>
                      <w:sz w:val="21"/>
                    </w:rPr>
                  </w:pPr>
                </w:p>
              </w:tc>
              <w:tc>
                <w:tcPr>
                  <w:tcW w:w="323" w:type="pct"/>
                  <w:vMerge w:val="continue"/>
                  <w:noWrap w:val="0"/>
                  <w:vAlign w:val="center"/>
                </w:tcPr>
                <w:p w14:paraId="64D5A6B7">
                  <w:pPr>
                    <w:pStyle w:val="24"/>
                    <w:rPr>
                      <w:color w:val="000000"/>
                      <w:sz w:val="21"/>
                    </w:rPr>
                  </w:pPr>
                </w:p>
              </w:tc>
              <w:tc>
                <w:tcPr>
                  <w:tcW w:w="2934" w:type="pct"/>
                  <w:noWrap w:val="0"/>
                  <w:vAlign w:val="center"/>
                </w:tcPr>
                <w:p w14:paraId="2690A9D3">
                  <w:pPr>
                    <w:pStyle w:val="24"/>
                    <w:jc w:val="left"/>
                    <w:rPr>
                      <w:color w:val="000000"/>
                      <w:sz w:val="21"/>
                    </w:rPr>
                  </w:pPr>
                  <w:r>
                    <w:rPr>
                      <w:rFonts w:hint="eastAsia"/>
                      <w:color w:val="000000"/>
                      <w:sz w:val="21"/>
                    </w:rPr>
                    <w:t>2．在水产种质资源保护区的岸线和河段范围内新建围湖造田等投资建设项目。</w:t>
                  </w:r>
                </w:p>
              </w:tc>
              <w:tc>
                <w:tcPr>
                  <w:tcW w:w="1500" w:type="pct"/>
                  <w:noWrap w:val="0"/>
                  <w:vAlign w:val="center"/>
                </w:tcPr>
                <w:p w14:paraId="2491C20C">
                  <w:pPr>
                    <w:pStyle w:val="24"/>
                    <w:jc w:val="left"/>
                    <w:rPr>
                      <w:rFonts w:hint="eastAsia"/>
                      <w:color w:val="000000"/>
                      <w:sz w:val="21"/>
                      <w:lang w:val="en-US"/>
                    </w:rPr>
                  </w:pPr>
                  <w:r>
                    <w:rPr>
                      <w:rFonts w:hint="eastAsia"/>
                      <w:color w:val="000000"/>
                      <w:sz w:val="21"/>
                      <w:lang w:val="en-US"/>
                    </w:rPr>
                    <w:t>符合。本项目不涉及</w:t>
                  </w:r>
                  <w:r>
                    <w:rPr>
                      <w:rFonts w:hint="eastAsia"/>
                      <w:color w:val="000000"/>
                      <w:sz w:val="21"/>
                    </w:rPr>
                    <w:t>水产种质资源保护区。</w:t>
                  </w:r>
                </w:p>
              </w:tc>
            </w:tr>
          </w:tbl>
          <w:p w14:paraId="636ECEE1">
            <w:pPr>
              <w:spacing w:line="360" w:lineRule="auto"/>
              <w:ind w:firstLine="420" w:firstLineChars="200"/>
              <w:rPr>
                <w:rFonts w:hint="eastAsia"/>
                <w:color w:val="000000"/>
                <w:lang w:bidi="ar"/>
              </w:rPr>
            </w:pPr>
            <w:r>
              <w:rPr>
                <w:rFonts w:hint="eastAsia"/>
                <w:color w:val="000000"/>
              </w:rPr>
              <w:t>根据上述分析，本项目符合《重庆市发展和改革委员会关于印发重庆市产业投资准入工作手册的通知》（渝发改投资〔2022〕1436号）要求。</w:t>
            </w:r>
          </w:p>
          <w:p w14:paraId="404BDDC6">
            <w:pPr>
              <w:spacing w:line="360" w:lineRule="auto"/>
              <w:jc w:val="left"/>
              <w:rPr>
                <w:color w:val="000000"/>
              </w:rPr>
            </w:pPr>
            <w:r>
              <w:rPr>
                <w:b/>
                <w:bCs/>
                <w:color w:val="000000"/>
              </w:rPr>
              <w:t>1.</w:t>
            </w:r>
            <w:r>
              <w:rPr>
                <w:rFonts w:hint="eastAsia"/>
                <w:b/>
                <w:bCs/>
                <w:color w:val="000000"/>
              </w:rPr>
              <w:t>5.3 与四川省、重庆市长江经济带发展负面清单实施细则（试行，2022年版）符合性分析</w:t>
            </w:r>
          </w:p>
          <w:p w14:paraId="2D96672A">
            <w:pPr>
              <w:spacing w:line="360" w:lineRule="auto"/>
              <w:ind w:firstLine="420" w:firstLineChars="200"/>
              <w:contextualSpacing/>
              <w:outlineLvl w:val="0"/>
              <w:rPr>
                <w:rFonts w:hint="eastAsia"/>
                <w:color w:val="000000"/>
                <w:lang w:bidi="ar"/>
              </w:rPr>
            </w:pPr>
            <w:r>
              <w:rPr>
                <w:rFonts w:hint="eastAsia"/>
                <w:color w:val="000000"/>
              </w:rPr>
              <w:t>根据</w:t>
            </w:r>
            <w:r>
              <w:rPr>
                <w:color w:val="000000"/>
              </w:rPr>
              <w:t>《</w:t>
            </w:r>
            <w:r>
              <w:rPr>
                <w:rFonts w:hint="eastAsia"/>
                <w:color w:val="000000"/>
              </w:rPr>
              <w:t>四川省推动长江经济带发展领导小组办公室 重庆市推动长江经济带发展领导小组办公室关于印发&lt;四川省、重庆市长江经济带发展负面清单实施细则（试行，2022年版）&gt;的通知</w:t>
            </w:r>
            <w:r>
              <w:rPr>
                <w:color w:val="000000"/>
              </w:rPr>
              <w:t>》（</w:t>
            </w:r>
            <w:r>
              <w:rPr>
                <w:rFonts w:hint="eastAsia"/>
                <w:color w:val="000000"/>
              </w:rPr>
              <w:t>川</w:t>
            </w:r>
            <w:r>
              <w:rPr>
                <w:color w:val="000000"/>
              </w:rPr>
              <w:t>长</w:t>
            </w:r>
            <w:r>
              <w:rPr>
                <w:rFonts w:hint="eastAsia"/>
                <w:color w:val="000000"/>
              </w:rPr>
              <w:t>江</w:t>
            </w:r>
            <w:r>
              <w:rPr>
                <w:color w:val="000000"/>
              </w:rPr>
              <w:t>办</w:t>
            </w:r>
            <w:r>
              <w:rPr>
                <w:rFonts w:hint="eastAsia"/>
                <w:color w:val="000000"/>
              </w:rPr>
              <w:t>〔20</w:t>
            </w:r>
            <w:r>
              <w:rPr>
                <w:color w:val="000000"/>
              </w:rPr>
              <w:t>22</w:t>
            </w:r>
            <w:r>
              <w:rPr>
                <w:rFonts w:hint="eastAsia"/>
                <w:color w:val="000000"/>
              </w:rPr>
              <w:t>〕</w:t>
            </w:r>
            <w:r>
              <w:rPr>
                <w:color w:val="000000"/>
              </w:rPr>
              <w:t>17号），项目符合性见下表</w:t>
            </w:r>
            <w:r>
              <w:rPr>
                <w:rFonts w:hint="eastAsia"/>
                <w:color w:val="000000"/>
                <w:lang w:bidi="ar"/>
              </w:rPr>
              <w:t>。</w:t>
            </w:r>
          </w:p>
          <w:p w14:paraId="0BBE3855">
            <w:pPr>
              <w:pStyle w:val="25"/>
              <w:ind w:firstLine="0" w:firstLineChars="0"/>
              <w:jc w:val="center"/>
              <w:rPr>
                <w:rFonts w:hint="eastAsia"/>
                <w:b/>
                <w:bCs/>
                <w:color w:val="000000"/>
              </w:rPr>
            </w:pPr>
          </w:p>
          <w:p w14:paraId="44DBB657">
            <w:pPr>
              <w:pStyle w:val="25"/>
              <w:ind w:firstLine="0" w:firstLineChars="0"/>
              <w:jc w:val="center"/>
              <w:rPr>
                <w:rFonts w:cs="Times New Roman"/>
                <w:b/>
                <w:bCs/>
                <w:color w:val="000000"/>
              </w:rPr>
            </w:pPr>
            <w:r>
              <w:rPr>
                <w:rFonts w:cs="Times New Roman"/>
                <w:b/>
                <w:bCs/>
                <w:color w:val="000000"/>
              </w:rPr>
              <w:t>表</w:t>
            </w:r>
            <w:r>
              <w:rPr>
                <w:rFonts w:cs="Times New Roman"/>
                <w:color w:val="000000"/>
              </w:rPr>
              <w:t>1-6</w:t>
            </w:r>
            <w:r>
              <w:rPr>
                <w:rFonts w:cs="Times New Roman"/>
                <w:b/>
                <w:bCs/>
                <w:color w:val="000000"/>
              </w:rPr>
              <w:t xml:space="preserve"> 长江经济带发展负面清单指南符合性分析</w:t>
            </w:r>
          </w:p>
          <w:tbl>
            <w:tblPr>
              <w:tblStyle w:val="16"/>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66"/>
              <w:gridCol w:w="4780"/>
              <w:gridCol w:w="2032"/>
              <w:gridCol w:w="723"/>
            </w:tblGrid>
            <w:tr w14:paraId="19452D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trPr>
              <w:tc>
                <w:tcPr>
                  <w:tcW w:w="350" w:type="pct"/>
                  <w:tcBorders>
                    <w:top w:val="single" w:color="000000" w:sz="4" w:space="0"/>
                    <w:bottom w:val="single" w:color="000000" w:sz="4" w:space="0"/>
                    <w:right w:val="single" w:color="000000" w:sz="4" w:space="0"/>
                  </w:tcBorders>
                  <w:noWrap w:val="0"/>
                  <w:vAlign w:val="center"/>
                </w:tcPr>
                <w:p w14:paraId="096B780A">
                  <w:pPr>
                    <w:topLinePunct/>
                    <w:jc w:val="center"/>
                    <w:rPr>
                      <w:color w:val="000000"/>
                      <w:sz w:val="21"/>
                      <w:szCs w:val="21"/>
                    </w:rPr>
                  </w:pPr>
                  <w:r>
                    <w:rPr>
                      <w:color w:val="000000"/>
                      <w:sz w:val="21"/>
                      <w:szCs w:val="21"/>
                    </w:rPr>
                    <w:t>序号</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7285E35B">
                  <w:pPr>
                    <w:topLinePunct/>
                    <w:jc w:val="center"/>
                    <w:rPr>
                      <w:color w:val="000000"/>
                      <w:sz w:val="21"/>
                      <w:szCs w:val="21"/>
                    </w:rPr>
                  </w:pPr>
                  <w:r>
                    <w:rPr>
                      <w:color w:val="000000"/>
                      <w:sz w:val="21"/>
                      <w:szCs w:val="21"/>
                    </w:rPr>
                    <w:t>负面清单</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12B3A5FE">
                  <w:pPr>
                    <w:topLinePunct/>
                    <w:jc w:val="center"/>
                    <w:rPr>
                      <w:color w:val="000000"/>
                      <w:sz w:val="21"/>
                      <w:szCs w:val="21"/>
                    </w:rPr>
                  </w:pPr>
                  <w:r>
                    <w:rPr>
                      <w:color w:val="000000"/>
                      <w:sz w:val="21"/>
                      <w:szCs w:val="21"/>
                    </w:rPr>
                    <w:t>项目情况</w:t>
                  </w:r>
                </w:p>
              </w:tc>
              <w:tc>
                <w:tcPr>
                  <w:tcW w:w="446" w:type="pct"/>
                  <w:tcBorders>
                    <w:top w:val="single" w:color="000000" w:sz="4" w:space="0"/>
                    <w:left w:val="nil"/>
                    <w:bottom w:val="single" w:color="000000" w:sz="4" w:space="0"/>
                  </w:tcBorders>
                  <w:noWrap w:val="0"/>
                  <w:vAlign w:val="center"/>
                </w:tcPr>
                <w:p w14:paraId="063DD0E0">
                  <w:pPr>
                    <w:topLinePunct/>
                    <w:jc w:val="center"/>
                    <w:rPr>
                      <w:color w:val="000000"/>
                      <w:sz w:val="21"/>
                      <w:szCs w:val="21"/>
                    </w:rPr>
                  </w:pPr>
                  <w:r>
                    <w:rPr>
                      <w:color w:val="000000"/>
                      <w:sz w:val="21"/>
                      <w:szCs w:val="21"/>
                    </w:rPr>
                    <w:t>符合性</w:t>
                  </w:r>
                </w:p>
              </w:tc>
            </w:tr>
            <w:tr w14:paraId="082E9F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5657E6F9">
                  <w:pPr>
                    <w:topLinePunct/>
                    <w:jc w:val="center"/>
                    <w:rPr>
                      <w:color w:val="000000"/>
                      <w:sz w:val="21"/>
                      <w:szCs w:val="21"/>
                    </w:rPr>
                  </w:pPr>
                  <w:r>
                    <w:rPr>
                      <w:color w:val="000000"/>
                      <w:sz w:val="21"/>
                      <w:szCs w:val="21"/>
                    </w:rPr>
                    <w:t>1</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45DF4514">
                  <w:pPr>
                    <w:topLinePunct/>
                    <w:rPr>
                      <w:color w:val="000000"/>
                      <w:sz w:val="21"/>
                      <w:szCs w:val="21"/>
                    </w:rPr>
                  </w:pPr>
                  <w:r>
                    <w:rPr>
                      <w:rFonts w:hint="eastAsia"/>
                      <w:color w:val="000000"/>
                      <w:sz w:val="21"/>
                      <w:szCs w:val="21"/>
                    </w:rPr>
                    <w:t>第五条禁止新建、改建和扩建不符合全国港口布局规划，以及《四川省内河水运发展规划》《泸州—宜宾—乐山港口群布局规划》《重庆港总体规划(2035年)》等省级港口布局规划及市级港口总体规划的码头项目。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A43AD64">
                  <w:pPr>
                    <w:topLinePunct/>
                    <w:rPr>
                      <w:color w:val="000000"/>
                      <w:sz w:val="21"/>
                      <w:szCs w:val="21"/>
                    </w:rPr>
                  </w:pPr>
                  <w:r>
                    <w:rPr>
                      <w:rFonts w:hint="eastAsia"/>
                      <w:color w:val="000000"/>
                      <w:sz w:val="21"/>
                      <w:szCs w:val="21"/>
                    </w:rPr>
                    <w:t>本项目不属于码头项目。</w:t>
                  </w:r>
                </w:p>
              </w:tc>
              <w:tc>
                <w:tcPr>
                  <w:tcW w:w="446" w:type="pct"/>
                  <w:tcBorders>
                    <w:top w:val="single" w:color="000000" w:sz="4" w:space="0"/>
                    <w:left w:val="nil"/>
                    <w:bottom w:val="single" w:color="000000" w:sz="4" w:space="0"/>
                  </w:tcBorders>
                  <w:noWrap w:val="0"/>
                  <w:vAlign w:val="center"/>
                </w:tcPr>
                <w:p w14:paraId="0703F757">
                  <w:pPr>
                    <w:topLinePunct/>
                    <w:jc w:val="center"/>
                    <w:rPr>
                      <w:color w:val="000000"/>
                      <w:sz w:val="21"/>
                      <w:szCs w:val="21"/>
                    </w:rPr>
                  </w:pPr>
                  <w:r>
                    <w:rPr>
                      <w:color w:val="000000"/>
                      <w:sz w:val="21"/>
                      <w:szCs w:val="21"/>
                    </w:rPr>
                    <w:t>符合</w:t>
                  </w:r>
                </w:p>
              </w:tc>
            </w:tr>
            <w:tr w14:paraId="524BCAF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6DAEACB3">
                  <w:pPr>
                    <w:topLinePunct/>
                    <w:jc w:val="center"/>
                    <w:rPr>
                      <w:color w:val="000000"/>
                      <w:sz w:val="21"/>
                      <w:szCs w:val="21"/>
                    </w:rPr>
                  </w:pPr>
                  <w:r>
                    <w:rPr>
                      <w:color w:val="000000"/>
                      <w:sz w:val="21"/>
                      <w:szCs w:val="21"/>
                    </w:rPr>
                    <w:t>2</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0D1C2A89">
                  <w:pPr>
                    <w:topLinePunct/>
                    <w:rPr>
                      <w:color w:val="000000"/>
                      <w:sz w:val="21"/>
                      <w:szCs w:val="21"/>
                    </w:rPr>
                  </w:pPr>
                  <w:r>
                    <w:rPr>
                      <w:rFonts w:hint="eastAsia"/>
                      <w:color w:val="000000"/>
                      <w:sz w:val="21"/>
                      <w:szCs w:val="21"/>
                    </w:rPr>
                    <w:t>第六条禁止新建、改建和扩建不符合《长江干线过江通道布局规划(2020—2035年)》的过长江通道项目(含桥梁、隧道)，国家发展改革委同意过长江通道线位调整的除外。</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F06832A">
                  <w:pPr>
                    <w:topLinePunct/>
                    <w:rPr>
                      <w:color w:val="000000"/>
                      <w:sz w:val="21"/>
                      <w:szCs w:val="21"/>
                    </w:rPr>
                  </w:pPr>
                  <w:r>
                    <w:rPr>
                      <w:rFonts w:hint="eastAsia"/>
                      <w:color w:val="000000"/>
                      <w:sz w:val="21"/>
                      <w:szCs w:val="21"/>
                    </w:rPr>
                    <w:t>本项目不属于过长江通道项目。</w:t>
                  </w:r>
                </w:p>
              </w:tc>
              <w:tc>
                <w:tcPr>
                  <w:tcW w:w="446" w:type="pct"/>
                  <w:tcBorders>
                    <w:top w:val="single" w:color="000000" w:sz="4" w:space="0"/>
                    <w:left w:val="nil"/>
                    <w:bottom w:val="single" w:color="000000" w:sz="4" w:space="0"/>
                  </w:tcBorders>
                  <w:noWrap w:val="0"/>
                  <w:vAlign w:val="center"/>
                </w:tcPr>
                <w:p w14:paraId="357C6767">
                  <w:pPr>
                    <w:topLinePunct/>
                    <w:jc w:val="center"/>
                    <w:rPr>
                      <w:color w:val="000000"/>
                      <w:sz w:val="21"/>
                      <w:szCs w:val="21"/>
                    </w:rPr>
                  </w:pPr>
                  <w:r>
                    <w:rPr>
                      <w:color w:val="000000"/>
                      <w:sz w:val="21"/>
                      <w:szCs w:val="21"/>
                    </w:rPr>
                    <w:t>符合</w:t>
                  </w:r>
                </w:p>
              </w:tc>
            </w:tr>
            <w:tr w14:paraId="27C9F93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261" w:hRule="atLeast"/>
              </w:trPr>
              <w:tc>
                <w:tcPr>
                  <w:tcW w:w="350" w:type="pct"/>
                  <w:tcBorders>
                    <w:top w:val="single" w:color="000000" w:sz="4" w:space="0"/>
                    <w:bottom w:val="single" w:color="000000" w:sz="4" w:space="0"/>
                    <w:right w:val="single" w:color="000000" w:sz="4" w:space="0"/>
                  </w:tcBorders>
                  <w:noWrap w:val="0"/>
                  <w:vAlign w:val="center"/>
                </w:tcPr>
                <w:p w14:paraId="685430EA">
                  <w:pPr>
                    <w:topLinePunct/>
                    <w:jc w:val="center"/>
                    <w:rPr>
                      <w:color w:val="000000"/>
                      <w:sz w:val="21"/>
                      <w:szCs w:val="21"/>
                    </w:rPr>
                  </w:pPr>
                  <w:r>
                    <w:rPr>
                      <w:color w:val="000000"/>
                      <w:sz w:val="21"/>
                      <w:szCs w:val="21"/>
                    </w:rPr>
                    <w:t>3</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6A23E7BA">
                  <w:pPr>
                    <w:topLinePunct/>
                    <w:rPr>
                      <w:color w:val="000000"/>
                      <w:sz w:val="21"/>
                      <w:szCs w:val="21"/>
                    </w:rPr>
                  </w:pPr>
                  <w:r>
                    <w:rPr>
                      <w:rFonts w:hint="eastAsia"/>
                      <w:color w:val="000000"/>
                      <w:sz w:val="21"/>
                      <w:szCs w:val="21"/>
                    </w:rPr>
                    <w:t>第七条禁止在自然保护区核心区、缓冲区的岸线和河段范围内投资建设旅游和生产经营项目。自然保护区的内部未分区的，依照核心区和缓冲区的规定管控。</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078F069A">
                  <w:pPr>
                    <w:topLinePunct/>
                    <w:rPr>
                      <w:color w:val="000000"/>
                      <w:sz w:val="21"/>
                      <w:szCs w:val="21"/>
                    </w:rPr>
                  </w:pPr>
                  <w:r>
                    <w:rPr>
                      <w:rFonts w:hint="eastAsia"/>
                      <w:color w:val="000000"/>
                      <w:sz w:val="21"/>
                      <w:szCs w:val="21"/>
                    </w:rPr>
                    <w:t>本项目不涉及自然保护区。</w:t>
                  </w:r>
                </w:p>
              </w:tc>
              <w:tc>
                <w:tcPr>
                  <w:tcW w:w="446" w:type="pct"/>
                  <w:tcBorders>
                    <w:top w:val="single" w:color="000000" w:sz="4" w:space="0"/>
                    <w:left w:val="nil"/>
                    <w:bottom w:val="single" w:color="000000" w:sz="4" w:space="0"/>
                  </w:tcBorders>
                  <w:noWrap w:val="0"/>
                  <w:vAlign w:val="center"/>
                </w:tcPr>
                <w:p w14:paraId="22AD0F09">
                  <w:pPr>
                    <w:topLinePunct/>
                    <w:jc w:val="center"/>
                    <w:rPr>
                      <w:color w:val="000000"/>
                      <w:sz w:val="21"/>
                      <w:szCs w:val="21"/>
                    </w:rPr>
                  </w:pPr>
                  <w:r>
                    <w:rPr>
                      <w:color w:val="000000"/>
                      <w:sz w:val="21"/>
                      <w:szCs w:val="21"/>
                    </w:rPr>
                    <w:t>符合</w:t>
                  </w:r>
                </w:p>
              </w:tc>
            </w:tr>
            <w:tr w14:paraId="23C7B7C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30" w:hRule="atLeast"/>
              </w:trPr>
              <w:tc>
                <w:tcPr>
                  <w:tcW w:w="350" w:type="pct"/>
                  <w:tcBorders>
                    <w:top w:val="single" w:color="000000" w:sz="4" w:space="0"/>
                    <w:bottom w:val="single" w:color="000000" w:sz="4" w:space="0"/>
                    <w:right w:val="single" w:color="000000" w:sz="4" w:space="0"/>
                  </w:tcBorders>
                  <w:noWrap w:val="0"/>
                  <w:vAlign w:val="center"/>
                </w:tcPr>
                <w:p w14:paraId="53F961D2">
                  <w:pPr>
                    <w:topLinePunct/>
                    <w:jc w:val="center"/>
                    <w:rPr>
                      <w:color w:val="000000"/>
                      <w:sz w:val="21"/>
                      <w:szCs w:val="21"/>
                    </w:rPr>
                  </w:pPr>
                  <w:r>
                    <w:rPr>
                      <w:color w:val="000000"/>
                      <w:sz w:val="21"/>
                      <w:szCs w:val="21"/>
                    </w:rPr>
                    <w:t>4</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1658582E">
                  <w:pPr>
                    <w:topLinePunct/>
                    <w:rPr>
                      <w:color w:val="000000"/>
                      <w:sz w:val="21"/>
                      <w:szCs w:val="21"/>
                    </w:rPr>
                  </w:pPr>
                  <w:r>
                    <w:rPr>
                      <w:rFonts w:hint="eastAsia"/>
                      <w:color w:val="000000"/>
                      <w:sz w:val="21"/>
                      <w:szCs w:val="21"/>
                    </w:rPr>
                    <w:t>第八条禁止违反风景名胜区规划，在风景名胜区内设立各类开发区。禁止在风景名胜区核心景区的岸线和河段范围内建设宾馆、招待所、培训中心、疗养院以及与风景名胜资源保护无关的项目。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3D82860A">
                  <w:pPr>
                    <w:topLinePunct/>
                    <w:rPr>
                      <w:color w:val="000000"/>
                      <w:sz w:val="21"/>
                      <w:szCs w:val="21"/>
                    </w:rPr>
                  </w:pPr>
                  <w:r>
                    <w:rPr>
                      <w:rFonts w:hint="eastAsia"/>
                      <w:color w:val="000000"/>
                      <w:sz w:val="21"/>
                      <w:szCs w:val="21"/>
                    </w:rPr>
                    <w:t>本项目不涉及风景名胜区。</w:t>
                  </w:r>
                </w:p>
              </w:tc>
              <w:tc>
                <w:tcPr>
                  <w:tcW w:w="446" w:type="pct"/>
                  <w:tcBorders>
                    <w:top w:val="single" w:color="000000" w:sz="4" w:space="0"/>
                    <w:left w:val="nil"/>
                    <w:bottom w:val="single" w:color="000000" w:sz="4" w:space="0"/>
                  </w:tcBorders>
                  <w:noWrap w:val="0"/>
                  <w:vAlign w:val="center"/>
                </w:tcPr>
                <w:p w14:paraId="7FBA1FFA">
                  <w:pPr>
                    <w:topLinePunct/>
                    <w:jc w:val="center"/>
                    <w:rPr>
                      <w:color w:val="000000"/>
                      <w:sz w:val="21"/>
                      <w:szCs w:val="21"/>
                    </w:rPr>
                  </w:pPr>
                  <w:r>
                    <w:rPr>
                      <w:color w:val="000000"/>
                      <w:sz w:val="21"/>
                      <w:szCs w:val="21"/>
                    </w:rPr>
                    <w:t>符合</w:t>
                  </w:r>
                </w:p>
              </w:tc>
            </w:tr>
            <w:tr w14:paraId="176729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226" w:hRule="atLeast"/>
              </w:trPr>
              <w:tc>
                <w:tcPr>
                  <w:tcW w:w="350" w:type="pct"/>
                  <w:tcBorders>
                    <w:top w:val="single" w:color="000000" w:sz="4" w:space="0"/>
                    <w:bottom w:val="single" w:color="000000" w:sz="4" w:space="0"/>
                    <w:right w:val="single" w:color="000000" w:sz="4" w:space="0"/>
                  </w:tcBorders>
                  <w:noWrap w:val="0"/>
                  <w:vAlign w:val="center"/>
                </w:tcPr>
                <w:p w14:paraId="4CBF52A4">
                  <w:pPr>
                    <w:topLinePunct/>
                    <w:jc w:val="center"/>
                    <w:rPr>
                      <w:color w:val="000000"/>
                      <w:sz w:val="21"/>
                      <w:szCs w:val="21"/>
                    </w:rPr>
                  </w:pPr>
                  <w:r>
                    <w:rPr>
                      <w:color w:val="000000"/>
                      <w:sz w:val="21"/>
                      <w:szCs w:val="21"/>
                    </w:rPr>
                    <w:t>5</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615073F0">
                  <w:pPr>
                    <w:topLinePunct/>
                    <w:rPr>
                      <w:color w:val="000000"/>
                      <w:sz w:val="21"/>
                      <w:szCs w:val="21"/>
                    </w:rPr>
                  </w:pPr>
                  <w:r>
                    <w:rPr>
                      <w:rFonts w:hint="eastAsia"/>
                      <w:color w:val="000000"/>
                      <w:sz w:val="21"/>
                      <w:szCs w:val="21"/>
                    </w:rPr>
                    <w:t>第九条禁止在饮用水水源准保护区的岸线和河段范围内新建、扩建对水体污染严重的建设项目，禁止改建增加排污量的建设项目。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447ABE05">
                  <w:pPr>
                    <w:topLinePunct/>
                    <w:rPr>
                      <w:color w:val="000000"/>
                      <w:sz w:val="21"/>
                      <w:szCs w:val="21"/>
                    </w:rPr>
                  </w:pPr>
                  <w:r>
                    <w:rPr>
                      <w:rFonts w:hint="eastAsia"/>
                      <w:color w:val="000000"/>
                      <w:sz w:val="21"/>
                      <w:szCs w:val="21"/>
                    </w:rPr>
                    <w:t>本项目不涉及饮用水水源准保护区的岸线和河段。</w:t>
                  </w:r>
                </w:p>
              </w:tc>
              <w:tc>
                <w:tcPr>
                  <w:tcW w:w="446" w:type="pct"/>
                  <w:tcBorders>
                    <w:top w:val="single" w:color="000000" w:sz="4" w:space="0"/>
                    <w:left w:val="nil"/>
                    <w:bottom w:val="single" w:color="000000" w:sz="4" w:space="0"/>
                  </w:tcBorders>
                  <w:noWrap w:val="0"/>
                  <w:vAlign w:val="center"/>
                </w:tcPr>
                <w:p w14:paraId="0570B99D">
                  <w:pPr>
                    <w:topLinePunct/>
                    <w:jc w:val="center"/>
                    <w:rPr>
                      <w:color w:val="000000"/>
                      <w:sz w:val="21"/>
                      <w:szCs w:val="21"/>
                    </w:rPr>
                  </w:pPr>
                  <w:r>
                    <w:rPr>
                      <w:color w:val="000000"/>
                      <w:sz w:val="21"/>
                      <w:szCs w:val="21"/>
                    </w:rPr>
                    <w:t>符合</w:t>
                  </w:r>
                </w:p>
              </w:tc>
            </w:tr>
            <w:tr w14:paraId="0136C40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2D903AD5">
                  <w:pPr>
                    <w:topLinePunct/>
                    <w:jc w:val="center"/>
                    <w:rPr>
                      <w:color w:val="000000"/>
                      <w:sz w:val="21"/>
                      <w:szCs w:val="21"/>
                    </w:rPr>
                  </w:pPr>
                  <w:r>
                    <w:rPr>
                      <w:color w:val="000000"/>
                      <w:sz w:val="21"/>
                      <w:szCs w:val="21"/>
                    </w:rPr>
                    <w:t>6</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1CF39A26">
                  <w:pPr>
                    <w:topLinePunct/>
                    <w:rPr>
                      <w:color w:val="000000"/>
                      <w:sz w:val="21"/>
                      <w:szCs w:val="21"/>
                    </w:rPr>
                  </w:pPr>
                  <w:r>
                    <w:rPr>
                      <w:rFonts w:hint="eastAsia"/>
                      <w:color w:val="000000"/>
                      <w:sz w:val="21"/>
                      <w:szCs w:val="21"/>
                    </w:rPr>
                    <w:t>第十条饮用水水源二级保护区的岸线和河段范围内，除遵守准保护区规定外，禁止新建、改建、扩建排放污染物的投资建设项目；禁止从事对水体有污染的水产养殖等活动。</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00CD7376">
                  <w:pPr>
                    <w:topLinePunct/>
                    <w:rPr>
                      <w:color w:val="000000"/>
                      <w:sz w:val="21"/>
                      <w:szCs w:val="21"/>
                    </w:rPr>
                  </w:pPr>
                  <w:r>
                    <w:rPr>
                      <w:rFonts w:hint="eastAsia"/>
                      <w:color w:val="000000"/>
                      <w:sz w:val="21"/>
                      <w:szCs w:val="21"/>
                    </w:rPr>
                    <w:t>本项目不涉及饮用水水源二级保护区的岸线和河段。</w:t>
                  </w:r>
                </w:p>
              </w:tc>
              <w:tc>
                <w:tcPr>
                  <w:tcW w:w="446" w:type="pct"/>
                  <w:tcBorders>
                    <w:top w:val="single" w:color="000000" w:sz="4" w:space="0"/>
                    <w:left w:val="nil"/>
                    <w:bottom w:val="single" w:color="000000" w:sz="4" w:space="0"/>
                  </w:tcBorders>
                  <w:noWrap w:val="0"/>
                  <w:vAlign w:val="center"/>
                </w:tcPr>
                <w:p w14:paraId="62138975">
                  <w:pPr>
                    <w:topLinePunct/>
                    <w:jc w:val="center"/>
                    <w:rPr>
                      <w:rFonts w:hint="eastAsia"/>
                      <w:color w:val="000000"/>
                      <w:sz w:val="21"/>
                      <w:szCs w:val="21"/>
                    </w:rPr>
                  </w:pPr>
                  <w:r>
                    <w:rPr>
                      <w:rFonts w:hint="eastAsia"/>
                      <w:color w:val="000000"/>
                      <w:sz w:val="21"/>
                      <w:szCs w:val="21"/>
                    </w:rPr>
                    <w:t>符合</w:t>
                  </w:r>
                </w:p>
              </w:tc>
            </w:tr>
            <w:tr w14:paraId="56A5157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36EF4EAA">
                  <w:pPr>
                    <w:topLinePunct/>
                    <w:jc w:val="center"/>
                    <w:rPr>
                      <w:color w:val="000000"/>
                      <w:sz w:val="21"/>
                      <w:szCs w:val="21"/>
                    </w:rPr>
                  </w:pPr>
                  <w:r>
                    <w:rPr>
                      <w:color w:val="000000"/>
                      <w:sz w:val="21"/>
                      <w:szCs w:val="21"/>
                    </w:rPr>
                    <w:t>7</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12A839B8">
                  <w:pPr>
                    <w:topLinePunct/>
                    <w:rPr>
                      <w:color w:val="000000"/>
                      <w:sz w:val="21"/>
                      <w:szCs w:val="21"/>
                    </w:rPr>
                  </w:pPr>
                  <w:r>
                    <w:rPr>
                      <w:rFonts w:hint="eastAsia"/>
                      <w:color w:val="000000"/>
                      <w:sz w:val="21"/>
                      <w:szCs w:val="21"/>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24F59739">
                  <w:pPr>
                    <w:topLinePunct/>
                    <w:rPr>
                      <w:color w:val="000000"/>
                      <w:sz w:val="21"/>
                      <w:szCs w:val="21"/>
                    </w:rPr>
                  </w:pPr>
                  <w:r>
                    <w:rPr>
                      <w:rFonts w:hint="eastAsia"/>
                      <w:color w:val="000000"/>
                      <w:sz w:val="21"/>
                      <w:szCs w:val="21"/>
                    </w:rPr>
                    <w:t>本项目不涉及饮用水水源一级保护区的岸线和河段。</w:t>
                  </w:r>
                </w:p>
              </w:tc>
              <w:tc>
                <w:tcPr>
                  <w:tcW w:w="446" w:type="pct"/>
                  <w:tcBorders>
                    <w:top w:val="single" w:color="000000" w:sz="4" w:space="0"/>
                    <w:left w:val="nil"/>
                    <w:bottom w:val="single" w:color="000000" w:sz="4" w:space="0"/>
                  </w:tcBorders>
                  <w:noWrap w:val="0"/>
                  <w:vAlign w:val="center"/>
                </w:tcPr>
                <w:p w14:paraId="44676A25">
                  <w:pPr>
                    <w:topLinePunct/>
                    <w:jc w:val="center"/>
                    <w:rPr>
                      <w:color w:val="000000"/>
                      <w:sz w:val="21"/>
                      <w:szCs w:val="21"/>
                    </w:rPr>
                  </w:pPr>
                  <w:r>
                    <w:rPr>
                      <w:rFonts w:hint="eastAsia"/>
                      <w:color w:val="000000"/>
                      <w:sz w:val="21"/>
                      <w:szCs w:val="21"/>
                    </w:rPr>
                    <w:t>符合</w:t>
                  </w:r>
                </w:p>
              </w:tc>
            </w:tr>
            <w:tr w14:paraId="0D40CD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6E0D4C08">
                  <w:pPr>
                    <w:topLinePunct/>
                    <w:jc w:val="center"/>
                    <w:rPr>
                      <w:color w:val="000000"/>
                      <w:sz w:val="21"/>
                      <w:szCs w:val="21"/>
                    </w:rPr>
                  </w:pPr>
                  <w:r>
                    <w:rPr>
                      <w:color w:val="000000"/>
                      <w:sz w:val="21"/>
                      <w:szCs w:val="21"/>
                    </w:rPr>
                    <w:t>8</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6FC32BFD">
                  <w:pPr>
                    <w:topLinePunct/>
                    <w:rPr>
                      <w:color w:val="000000"/>
                      <w:sz w:val="21"/>
                      <w:szCs w:val="21"/>
                    </w:rPr>
                  </w:pPr>
                  <w:r>
                    <w:rPr>
                      <w:rFonts w:hint="eastAsia"/>
                      <w:color w:val="000000"/>
                      <w:sz w:val="21"/>
                      <w:szCs w:val="21"/>
                    </w:rPr>
                    <w:t>第十二条禁止在水产种质资源保护区岸线和河段范围内新建围湖造田、围湖造地或挖沙采石等投资建设项目。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1FE5DD84">
                  <w:pPr>
                    <w:topLinePunct/>
                    <w:rPr>
                      <w:color w:val="000000"/>
                      <w:sz w:val="21"/>
                      <w:szCs w:val="21"/>
                    </w:rPr>
                  </w:pPr>
                  <w:r>
                    <w:rPr>
                      <w:rFonts w:hint="eastAsia"/>
                      <w:color w:val="000000"/>
                      <w:sz w:val="21"/>
                      <w:szCs w:val="21"/>
                    </w:rPr>
                    <w:t>本项目不涉及水产种质资源保护区岸线和河段。</w:t>
                  </w:r>
                </w:p>
              </w:tc>
              <w:tc>
                <w:tcPr>
                  <w:tcW w:w="446" w:type="pct"/>
                  <w:tcBorders>
                    <w:top w:val="single" w:color="000000" w:sz="4" w:space="0"/>
                    <w:left w:val="nil"/>
                    <w:bottom w:val="single" w:color="000000" w:sz="4" w:space="0"/>
                  </w:tcBorders>
                  <w:noWrap w:val="0"/>
                  <w:vAlign w:val="center"/>
                </w:tcPr>
                <w:p w14:paraId="2070DF46">
                  <w:pPr>
                    <w:topLinePunct/>
                    <w:jc w:val="center"/>
                    <w:rPr>
                      <w:color w:val="000000"/>
                      <w:sz w:val="21"/>
                      <w:szCs w:val="21"/>
                    </w:rPr>
                  </w:pPr>
                  <w:r>
                    <w:rPr>
                      <w:rFonts w:hint="eastAsia"/>
                      <w:color w:val="000000"/>
                      <w:sz w:val="21"/>
                      <w:szCs w:val="21"/>
                    </w:rPr>
                    <w:t>符合</w:t>
                  </w:r>
                </w:p>
              </w:tc>
            </w:tr>
            <w:tr w14:paraId="7361C88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30E19505">
                  <w:pPr>
                    <w:topLinePunct/>
                    <w:jc w:val="center"/>
                    <w:rPr>
                      <w:color w:val="000000"/>
                      <w:sz w:val="21"/>
                      <w:szCs w:val="21"/>
                    </w:rPr>
                  </w:pPr>
                  <w:r>
                    <w:rPr>
                      <w:color w:val="000000"/>
                      <w:sz w:val="21"/>
                      <w:szCs w:val="21"/>
                    </w:rPr>
                    <w:t>9</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289684FD">
                  <w:pPr>
                    <w:rPr>
                      <w:color w:val="000000"/>
                      <w:sz w:val="21"/>
                      <w:szCs w:val="21"/>
                    </w:rPr>
                  </w:pPr>
                  <w:r>
                    <w:rPr>
                      <w:rFonts w:hint="eastAsia"/>
                      <w:color w:val="000000"/>
                      <w:sz w:val="21"/>
                      <w:szCs w:val="21"/>
                    </w:rPr>
                    <w:t>第十三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5568C3D5">
                  <w:pPr>
                    <w:topLinePunct/>
                    <w:rPr>
                      <w:color w:val="000000"/>
                      <w:sz w:val="21"/>
                      <w:szCs w:val="21"/>
                    </w:rPr>
                  </w:pPr>
                  <w:r>
                    <w:rPr>
                      <w:rFonts w:hint="eastAsia"/>
                      <w:color w:val="000000"/>
                      <w:sz w:val="21"/>
                      <w:szCs w:val="21"/>
                    </w:rPr>
                    <w:t>本项目不涉及国家湿地公园的岸线和河段。</w:t>
                  </w:r>
                </w:p>
              </w:tc>
              <w:tc>
                <w:tcPr>
                  <w:tcW w:w="446" w:type="pct"/>
                  <w:tcBorders>
                    <w:top w:val="single" w:color="000000" w:sz="4" w:space="0"/>
                    <w:left w:val="nil"/>
                    <w:bottom w:val="single" w:color="000000" w:sz="4" w:space="0"/>
                  </w:tcBorders>
                  <w:noWrap w:val="0"/>
                  <w:vAlign w:val="center"/>
                </w:tcPr>
                <w:p w14:paraId="35190041">
                  <w:pPr>
                    <w:topLinePunct/>
                    <w:jc w:val="center"/>
                    <w:rPr>
                      <w:color w:val="000000"/>
                      <w:sz w:val="21"/>
                      <w:szCs w:val="21"/>
                    </w:rPr>
                  </w:pPr>
                  <w:r>
                    <w:rPr>
                      <w:rFonts w:hint="eastAsia"/>
                      <w:color w:val="000000"/>
                      <w:sz w:val="21"/>
                      <w:szCs w:val="21"/>
                    </w:rPr>
                    <w:t>符合</w:t>
                  </w:r>
                </w:p>
              </w:tc>
            </w:tr>
            <w:tr w14:paraId="0CF1D01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42C3EB1D">
                  <w:pPr>
                    <w:topLinePunct/>
                    <w:jc w:val="center"/>
                    <w:rPr>
                      <w:color w:val="000000"/>
                      <w:sz w:val="21"/>
                      <w:szCs w:val="21"/>
                    </w:rPr>
                  </w:pPr>
                  <w:r>
                    <w:rPr>
                      <w:color w:val="000000"/>
                      <w:sz w:val="21"/>
                      <w:szCs w:val="21"/>
                    </w:rPr>
                    <w:t>10</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429B4AE5">
                  <w:pPr>
                    <w:topLinePunct/>
                    <w:rPr>
                      <w:color w:val="000000"/>
                      <w:sz w:val="21"/>
                      <w:szCs w:val="21"/>
                    </w:rPr>
                  </w:pPr>
                  <w:r>
                    <w:rPr>
                      <w:rFonts w:hint="eastAsia"/>
                      <w:color w:val="000000"/>
                      <w:sz w:val="21"/>
                      <w:szCs w:val="21"/>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9741D87">
                  <w:pPr>
                    <w:topLinePunct/>
                    <w:rPr>
                      <w:color w:val="000000"/>
                      <w:sz w:val="21"/>
                      <w:szCs w:val="21"/>
                    </w:rPr>
                  </w:pPr>
                  <w:r>
                    <w:rPr>
                      <w:rFonts w:hint="eastAsia"/>
                      <w:color w:val="000000"/>
                      <w:sz w:val="21"/>
                      <w:szCs w:val="21"/>
                    </w:rPr>
                    <w:t>本项目不涉及长江流域河湖岸线。</w:t>
                  </w:r>
                </w:p>
              </w:tc>
              <w:tc>
                <w:tcPr>
                  <w:tcW w:w="446" w:type="pct"/>
                  <w:tcBorders>
                    <w:top w:val="single" w:color="000000" w:sz="4" w:space="0"/>
                    <w:left w:val="nil"/>
                    <w:bottom w:val="single" w:color="000000" w:sz="4" w:space="0"/>
                  </w:tcBorders>
                  <w:noWrap w:val="0"/>
                  <w:vAlign w:val="center"/>
                </w:tcPr>
                <w:p w14:paraId="461346DB">
                  <w:pPr>
                    <w:topLinePunct/>
                    <w:jc w:val="center"/>
                    <w:rPr>
                      <w:rFonts w:hint="eastAsia"/>
                      <w:color w:val="000000"/>
                      <w:sz w:val="21"/>
                      <w:szCs w:val="21"/>
                    </w:rPr>
                  </w:pPr>
                  <w:r>
                    <w:rPr>
                      <w:rFonts w:hint="eastAsia"/>
                      <w:color w:val="000000"/>
                      <w:sz w:val="21"/>
                      <w:szCs w:val="21"/>
                    </w:rPr>
                    <w:t>符合</w:t>
                  </w:r>
                </w:p>
              </w:tc>
            </w:tr>
            <w:tr w14:paraId="0D29442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5A795B89">
                  <w:pPr>
                    <w:topLinePunct/>
                    <w:jc w:val="center"/>
                    <w:rPr>
                      <w:color w:val="000000"/>
                      <w:sz w:val="21"/>
                      <w:szCs w:val="21"/>
                    </w:rPr>
                  </w:pPr>
                  <w:r>
                    <w:rPr>
                      <w:rFonts w:hint="eastAsia"/>
                      <w:color w:val="000000"/>
                      <w:sz w:val="21"/>
                      <w:szCs w:val="21"/>
                    </w:rPr>
                    <w:t>1</w:t>
                  </w:r>
                  <w:r>
                    <w:rPr>
                      <w:color w:val="000000"/>
                      <w:sz w:val="21"/>
                      <w:szCs w:val="21"/>
                    </w:rPr>
                    <w:t>1</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2CCD2FB3">
                  <w:pPr>
                    <w:topLinePunct/>
                    <w:rPr>
                      <w:color w:val="000000"/>
                      <w:sz w:val="21"/>
                      <w:szCs w:val="21"/>
                    </w:rPr>
                  </w:pPr>
                  <w:r>
                    <w:rPr>
                      <w:rFonts w:hint="eastAsia"/>
                      <w:color w:val="000000"/>
                      <w:sz w:val="21"/>
                      <w:szCs w:val="21"/>
                    </w:rPr>
                    <w:t>第十五条禁止在《全国重要江河湖泊水功能区划》划定的河段及湖泊保护区、保留区内投资建设不利于水资源及自然生态保护的项目。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C7349F8">
                  <w:pPr>
                    <w:topLinePunct/>
                    <w:rPr>
                      <w:color w:val="000000"/>
                      <w:sz w:val="21"/>
                      <w:szCs w:val="21"/>
                    </w:rPr>
                  </w:pPr>
                  <w:r>
                    <w:rPr>
                      <w:rFonts w:hint="eastAsia"/>
                      <w:color w:val="000000"/>
                      <w:sz w:val="21"/>
                      <w:szCs w:val="21"/>
                    </w:rPr>
                    <w:t>本项目不涉及《全国重要江河湖泊水功能区划》划定的河段及湖泊保护区、保留区。</w:t>
                  </w:r>
                </w:p>
              </w:tc>
              <w:tc>
                <w:tcPr>
                  <w:tcW w:w="446" w:type="pct"/>
                  <w:tcBorders>
                    <w:top w:val="single" w:color="000000" w:sz="4" w:space="0"/>
                    <w:left w:val="nil"/>
                    <w:bottom w:val="single" w:color="000000" w:sz="4" w:space="0"/>
                  </w:tcBorders>
                  <w:noWrap w:val="0"/>
                  <w:vAlign w:val="center"/>
                </w:tcPr>
                <w:p w14:paraId="7DE1EC2E">
                  <w:pPr>
                    <w:topLinePunct/>
                    <w:jc w:val="center"/>
                    <w:rPr>
                      <w:rFonts w:hint="eastAsia"/>
                      <w:color w:val="000000"/>
                      <w:sz w:val="21"/>
                      <w:szCs w:val="21"/>
                    </w:rPr>
                  </w:pPr>
                  <w:r>
                    <w:rPr>
                      <w:rFonts w:hint="eastAsia"/>
                      <w:color w:val="000000"/>
                      <w:sz w:val="21"/>
                      <w:szCs w:val="21"/>
                    </w:rPr>
                    <w:t>符合</w:t>
                  </w:r>
                </w:p>
              </w:tc>
            </w:tr>
            <w:tr w14:paraId="0D6BB4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1194E552">
                  <w:pPr>
                    <w:topLinePunct/>
                    <w:jc w:val="center"/>
                    <w:rPr>
                      <w:rFonts w:hint="eastAsia"/>
                      <w:color w:val="000000"/>
                      <w:sz w:val="21"/>
                      <w:szCs w:val="21"/>
                    </w:rPr>
                  </w:pPr>
                  <w:r>
                    <w:rPr>
                      <w:rFonts w:hint="eastAsia"/>
                      <w:color w:val="000000"/>
                      <w:sz w:val="21"/>
                      <w:szCs w:val="21"/>
                    </w:rPr>
                    <w:t>1</w:t>
                  </w:r>
                  <w:r>
                    <w:rPr>
                      <w:color w:val="000000"/>
                      <w:sz w:val="21"/>
                      <w:szCs w:val="21"/>
                    </w:rPr>
                    <w:t>2</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1D6FFAD4">
                  <w:pPr>
                    <w:topLinePunct/>
                    <w:rPr>
                      <w:rFonts w:hint="eastAsia"/>
                      <w:color w:val="000000"/>
                      <w:sz w:val="21"/>
                      <w:szCs w:val="21"/>
                    </w:rPr>
                  </w:pPr>
                  <w:r>
                    <w:rPr>
                      <w:rFonts w:hint="eastAsia"/>
                      <w:color w:val="000000"/>
                      <w:sz w:val="21"/>
                      <w:szCs w:val="21"/>
                    </w:rPr>
                    <w:t>第十六条禁止在长江流域江河、湖泊新设、改设或者扩大排污口，经有管辖权的生态环境主管部门或者长江流域生态环境监督管理机构同意的除外。</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0DA50742">
                  <w:pPr>
                    <w:topLinePunct/>
                    <w:rPr>
                      <w:rFonts w:hint="eastAsia"/>
                      <w:color w:val="000000"/>
                      <w:sz w:val="21"/>
                      <w:szCs w:val="21"/>
                    </w:rPr>
                  </w:pPr>
                  <w:r>
                    <w:rPr>
                      <w:rFonts w:hint="eastAsia"/>
                      <w:color w:val="000000"/>
                      <w:sz w:val="21"/>
                      <w:szCs w:val="21"/>
                    </w:rPr>
                    <w:t>本项目不新设、改设或者扩大排污口。</w:t>
                  </w:r>
                </w:p>
              </w:tc>
              <w:tc>
                <w:tcPr>
                  <w:tcW w:w="446" w:type="pct"/>
                  <w:tcBorders>
                    <w:top w:val="single" w:color="000000" w:sz="4" w:space="0"/>
                    <w:left w:val="nil"/>
                    <w:bottom w:val="single" w:color="000000" w:sz="4" w:space="0"/>
                  </w:tcBorders>
                  <w:noWrap w:val="0"/>
                  <w:vAlign w:val="center"/>
                </w:tcPr>
                <w:p w14:paraId="0C03C537">
                  <w:pPr>
                    <w:topLinePunct/>
                    <w:jc w:val="center"/>
                    <w:rPr>
                      <w:rFonts w:hint="eastAsia"/>
                      <w:color w:val="000000"/>
                      <w:sz w:val="21"/>
                      <w:szCs w:val="21"/>
                    </w:rPr>
                  </w:pPr>
                  <w:r>
                    <w:rPr>
                      <w:rFonts w:hint="eastAsia"/>
                      <w:color w:val="000000"/>
                      <w:sz w:val="21"/>
                      <w:szCs w:val="21"/>
                    </w:rPr>
                    <w:t>符合</w:t>
                  </w:r>
                </w:p>
              </w:tc>
            </w:tr>
            <w:tr w14:paraId="5CE44BA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10E909C7">
                  <w:pPr>
                    <w:topLinePunct/>
                    <w:jc w:val="center"/>
                    <w:rPr>
                      <w:rFonts w:hint="eastAsia"/>
                      <w:color w:val="000000"/>
                      <w:sz w:val="21"/>
                      <w:szCs w:val="21"/>
                    </w:rPr>
                  </w:pPr>
                  <w:r>
                    <w:rPr>
                      <w:rFonts w:hint="eastAsia"/>
                      <w:color w:val="000000"/>
                      <w:sz w:val="21"/>
                      <w:szCs w:val="21"/>
                    </w:rPr>
                    <w:t>1</w:t>
                  </w:r>
                  <w:r>
                    <w:rPr>
                      <w:color w:val="000000"/>
                      <w:sz w:val="21"/>
                      <w:szCs w:val="21"/>
                    </w:rPr>
                    <w:t>3</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2A720792">
                  <w:pPr>
                    <w:topLinePunct/>
                    <w:rPr>
                      <w:rFonts w:hint="eastAsia"/>
                      <w:color w:val="000000"/>
                      <w:sz w:val="21"/>
                      <w:szCs w:val="21"/>
                    </w:rPr>
                  </w:pPr>
                  <w:r>
                    <w:rPr>
                      <w:rFonts w:hint="eastAsia"/>
                      <w:color w:val="000000"/>
                      <w:sz w:val="21"/>
                      <w:szCs w:val="21"/>
                    </w:rPr>
                    <w:t>第十七条禁止在长江干流、大渡河、岷江、赤水河、沱江、嘉陵江、乌江、汉江和51个（四川省45个、重庆市6个)水生生物保护区开展生产性捕捞。</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2B2256C4">
                  <w:pPr>
                    <w:topLinePunct/>
                    <w:rPr>
                      <w:rFonts w:hint="eastAsia"/>
                      <w:color w:val="000000"/>
                      <w:sz w:val="21"/>
                      <w:szCs w:val="21"/>
                    </w:rPr>
                  </w:pPr>
                  <w:r>
                    <w:rPr>
                      <w:rFonts w:hint="eastAsia"/>
                      <w:color w:val="000000"/>
                      <w:sz w:val="21"/>
                      <w:szCs w:val="21"/>
                    </w:rPr>
                    <w:t>本项目不属于生产性捕捞。</w:t>
                  </w:r>
                </w:p>
              </w:tc>
              <w:tc>
                <w:tcPr>
                  <w:tcW w:w="446" w:type="pct"/>
                  <w:tcBorders>
                    <w:top w:val="single" w:color="000000" w:sz="4" w:space="0"/>
                    <w:left w:val="nil"/>
                    <w:bottom w:val="single" w:color="000000" w:sz="4" w:space="0"/>
                  </w:tcBorders>
                  <w:noWrap w:val="0"/>
                  <w:vAlign w:val="center"/>
                </w:tcPr>
                <w:p w14:paraId="2DC8E68E">
                  <w:pPr>
                    <w:topLinePunct/>
                    <w:jc w:val="center"/>
                    <w:rPr>
                      <w:rFonts w:hint="eastAsia"/>
                      <w:color w:val="000000"/>
                      <w:sz w:val="21"/>
                      <w:szCs w:val="21"/>
                    </w:rPr>
                  </w:pPr>
                  <w:r>
                    <w:rPr>
                      <w:rFonts w:hint="eastAsia"/>
                      <w:color w:val="000000"/>
                      <w:sz w:val="21"/>
                      <w:szCs w:val="21"/>
                    </w:rPr>
                    <w:t>符合</w:t>
                  </w:r>
                </w:p>
              </w:tc>
            </w:tr>
            <w:tr w14:paraId="30A92E8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64FE6916">
                  <w:pPr>
                    <w:topLinePunct/>
                    <w:jc w:val="center"/>
                    <w:rPr>
                      <w:rFonts w:hint="eastAsia"/>
                      <w:color w:val="000000"/>
                      <w:sz w:val="21"/>
                      <w:szCs w:val="21"/>
                    </w:rPr>
                  </w:pPr>
                  <w:r>
                    <w:rPr>
                      <w:rFonts w:hint="eastAsia"/>
                      <w:color w:val="000000"/>
                      <w:sz w:val="21"/>
                      <w:szCs w:val="21"/>
                    </w:rPr>
                    <w:t>1</w:t>
                  </w:r>
                  <w:r>
                    <w:rPr>
                      <w:color w:val="000000"/>
                      <w:sz w:val="21"/>
                      <w:szCs w:val="21"/>
                    </w:rPr>
                    <w:t>4</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421789F3">
                  <w:pPr>
                    <w:topLinePunct/>
                    <w:rPr>
                      <w:rFonts w:hint="eastAsia"/>
                      <w:color w:val="000000"/>
                      <w:sz w:val="21"/>
                      <w:szCs w:val="21"/>
                    </w:rPr>
                  </w:pPr>
                  <w:r>
                    <w:rPr>
                      <w:rFonts w:hint="eastAsia"/>
                      <w:color w:val="000000"/>
                      <w:sz w:val="21"/>
                      <w:szCs w:val="21"/>
                    </w:rPr>
                    <w:t>第十八条禁止在长江干支流、重要湖泊岸线一公里范围内新建、扩建化工园区和化工项目。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0FDEFE04">
                  <w:pPr>
                    <w:topLinePunct/>
                    <w:rPr>
                      <w:rFonts w:hint="eastAsia"/>
                      <w:color w:val="000000"/>
                      <w:sz w:val="21"/>
                      <w:szCs w:val="21"/>
                    </w:rPr>
                  </w:pPr>
                  <w:r>
                    <w:rPr>
                      <w:rFonts w:hint="eastAsia"/>
                      <w:color w:val="000000"/>
                      <w:sz w:val="21"/>
                      <w:szCs w:val="21"/>
                    </w:rPr>
                    <w:t>本项目不属于化工项目。</w:t>
                  </w:r>
                </w:p>
              </w:tc>
              <w:tc>
                <w:tcPr>
                  <w:tcW w:w="446" w:type="pct"/>
                  <w:tcBorders>
                    <w:top w:val="single" w:color="000000" w:sz="4" w:space="0"/>
                    <w:left w:val="nil"/>
                    <w:bottom w:val="single" w:color="000000" w:sz="4" w:space="0"/>
                  </w:tcBorders>
                  <w:noWrap w:val="0"/>
                  <w:vAlign w:val="center"/>
                </w:tcPr>
                <w:p w14:paraId="2BF1CDAC">
                  <w:pPr>
                    <w:topLinePunct/>
                    <w:jc w:val="center"/>
                    <w:rPr>
                      <w:rFonts w:hint="eastAsia"/>
                      <w:color w:val="000000"/>
                      <w:sz w:val="21"/>
                      <w:szCs w:val="21"/>
                    </w:rPr>
                  </w:pPr>
                  <w:r>
                    <w:rPr>
                      <w:rFonts w:hint="eastAsia"/>
                      <w:color w:val="000000"/>
                      <w:sz w:val="21"/>
                      <w:szCs w:val="21"/>
                    </w:rPr>
                    <w:t>符合</w:t>
                  </w:r>
                </w:p>
              </w:tc>
            </w:tr>
            <w:tr w14:paraId="7ACEE1B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45B41CEB">
                  <w:pPr>
                    <w:topLinePunct/>
                    <w:jc w:val="center"/>
                    <w:rPr>
                      <w:rFonts w:hint="eastAsia"/>
                      <w:color w:val="000000"/>
                      <w:sz w:val="21"/>
                      <w:szCs w:val="21"/>
                    </w:rPr>
                  </w:pPr>
                  <w:r>
                    <w:rPr>
                      <w:rFonts w:hint="eastAsia"/>
                      <w:color w:val="000000"/>
                      <w:sz w:val="21"/>
                      <w:szCs w:val="21"/>
                    </w:rPr>
                    <w:t>1</w:t>
                  </w:r>
                  <w:r>
                    <w:rPr>
                      <w:color w:val="000000"/>
                      <w:sz w:val="21"/>
                      <w:szCs w:val="21"/>
                    </w:rPr>
                    <w:t>5</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05D3164B">
                  <w:pPr>
                    <w:topLinePunct/>
                    <w:rPr>
                      <w:rFonts w:hint="eastAsia"/>
                      <w:color w:val="000000"/>
                      <w:sz w:val="21"/>
                      <w:szCs w:val="21"/>
                    </w:rPr>
                  </w:pPr>
                  <w:r>
                    <w:rPr>
                      <w:rFonts w:hint="eastAsia"/>
                      <w:color w:val="000000"/>
                      <w:sz w:val="21"/>
                      <w:szCs w:val="21"/>
                    </w:rPr>
                    <w:t>第十九条禁止在长江干流岸线三公里范围内和重要支流岸线一公里范围内新建、改建、扩建尾矿库、冶炼渣库、磷石膏库，以提升安全、生态环境保护水平为目的的改建除外。</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50358729">
                  <w:pPr>
                    <w:topLinePunct/>
                    <w:rPr>
                      <w:rFonts w:hint="eastAsia"/>
                      <w:color w:val="000000"/>
                      <w:sz w:val="21"/>
                      <w:szCs w:val="21"/>
                    </w:rPr>
                  </w:pPr>
                  <w:r>
                    <w:rPr>
                      <w:rFonts w:hint="eastAsia"/>
                      <w:color w:val="000000"/>
                      <w:sz w:val="21"/>
                      <w:szCs w:val="21"/>
                    </w:rPr>
                    <w:t>本项目不属于尾矿库、冶炼渣库、磷石膏库项目。</w:t>
                  </w:r>
                </w:p>
              </w:tc>
              <w:tc>
                <w:tcPr>
                  <w:tcW w:w="446" w:type="pct"/>
                  <w:tcBorders>
                    <w:top w:val="single" w:color="000000" w:sz="4" w:space="0"/>
                    <w:left w:val="nil"/>
                    <w:bottom w:val="single" w:color="000000" w:sz="4" w:space="0"/>
                  </w:tcBorders>
                  <w:noWrap w:val="0"/>
                  <w:vAlign w:val="center"/>
                </w:tcPr>
                <w:p w14:paraId="42DB20D0">
                  <w:pPr>
                    <w:topLinePunct/>
                    <w:jc w:val="center"/>
                    <w:rPr>
                      <w:rFonts w:hint="eastAsia"/>
                      <w:color w:val="000000"/>
                      <w:sz w:val="21"/>
                      <w:szCs w:val="21"/>
                    </w:rPr>
                  </w:pPr>
                  <w:r>
                    <w:rPr>
                      <w:rFonts w:hint="eastAsia"/>
                      <w:color w:val="000000"/>
                      <w:sz w:val="21"/>
                      <w:szCs w:val="21"/>
                    </w:rPr>
                    <w:t>符合</w:t>
                  </w:r>
                </w:p>
              </w:tc>
            </w:tr>
            <w:tr w14:paraId="217BCB0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0685516B">
                  <w:pPr>
                    <w:topLinePunct/>
                    <w:jc w:val="center"/>
                    <w:rPr>
                      <w:rFonts w:hint="eastAsia"/>
                      <w:color w:val="000000"/>
                      <w:sz w:val="21"/>
                      <w:szCs w:val="21"/>
                    </w:rPr>
                  </w:pPr>
                  <w:r>
                    <w:rPr>
                      <w:rFonts w:hint="eastAsia"/>
                      <w:color w:val="000000"/>
                      <w:sz w:val="21"/>
                      <w:szCs w:val="21"/>
                    </w:rPr>
                    <w:t>1</w:t>
                  </w:r>
                  <w:r>
                    <w:rPr>
                      <w:color w:val="000000"/>
                      <w:sz w:val="21"/>
                      <w:szCs w:val="21"/>
                    </w:rPr>
                    <w:t>6</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0E68212A">
                  <w:pPr>
                    <w:topLinePunct/>
                    <w:rPr>
                      <w:rFonts w:hint="eastAsia"/>
                      <w:color w:val="000000"/>
                      <w:sz w:val="21"/>
                      <w:szCs w:val="21"/>
                    </w:rPr>
                  </w:pPr>
                  <w:r>
                    <w:rPr>
                      <w:rFonts w:hint="eastAsia"/>
                      <w:color w:val="000000"/>
                      <w:sz w:val="21"/>
                      <w:szCs w:val="21"/>
                    </w:rPr>
                    <w:t>第二十条禁止在生态保护红线区域、永久基本农田集中区域和其他需要特别保护的区域内选址建设尾矿库、冶炼渣库、磷石膏库。</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38DA4E76">
                  <w:pPr>
                    <w:topLinePunct/>
                    <w:rPr>
                      <w:rFonts w:hint="eastAsia"/>
                      <w:color w:val="000000"/>
                      <w:sz w:val="21"/>
                      <w:szCs w:val="21"/>
                    </w:rPr>
                  </w:pPr>
                  <w:r>
                    <w:rPr>
                      <w:rFonts w:hint="eastAsia"/>
                      <w:color w:val="000000"/>
                      <w:sz w:val="21"/>
                      <w:szCs w:val="21"/>
                    </w:rPr>
                    <w:t>本项目不属于尾矿库、冶炼渣库、磷石膏库项目。</w:t>
                  </w:r>
                </w:p>
              </w:tc>
              <w:tc>
                <w:tcPr>
                  <w:tcW w:w="446" w:type="pct"/>
                  <w:tcBorders>
                    <w:top w:val="single" w:color="000000" w:sz="4" w:space="0"/>
                    <w:left w:val="nil"/>
                    <w:bottom w:val="single" w:color="000000" w:sz="4" w:space="0"/>
                  </w:tcBorders>
                  <w:noWrap w:val="0"/>
                  <w:vAlign w:val="center"/>
                </w:tcPr>
                <w:p w14:paraId="7AE1176A">
                  <w:pPr>
                    <w:topLinePunct/>
                    <w:jc w:val="center"/>
                    <w:rPr>
                      <w:rFonts w:hint="eastAsia"/>
                      <w:color w:val="000000"/>
                      <w:sz w:val="21"/>
                      <w:szCs w:val="21"/>
                    </w:rPr>
                  </w:pPr>
                  <w:r>
                    <w:rPr>
                      <w:rFonts w:hint="eastAsia"/>
                      <w:color w:val="000000"/>
                      <w:sz w:val="21"/>
                      <w:szCs w:val="21"/>
                    </w:rPr>
                    <w:t>符合</w:t>
                  </w:r>
                </w:p>
              </w:tc>
            </w:tr>
            <w:tr w14:paraId="414545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4428FFAB">
                  <w:pPr>
                    <w:topLinePunct/>
                    <w:jc w:val="center"/>
                    <w:rPr>
                      <w:rFonts w:hint="eastAsia"/>
                      <w:color w:val="000000"/>
                      <w:sz w:val="21"/>
                      <w:szCs w:val="21"/>
                    </w:rPr>
                  </w:pPr>
                  <w:r>
                    <w:rPr>
                      <w:rFonts w:hint="eastAsia"/>
                      <w:color w:val="000000"/>
                      <w:sz w:val="21"/>
                      <w:szCs w:val="21"/>
                    </w:rPr>
                    <w:t>1</w:t>
                  </w:r>
                  <w:r>
                    <w:rPr>
                      <w:color w:val="000000"/>
                      <w:sz w:val="21"/>
                      <w:szCs w:val="21"/>
                    </w:rPr>
                    <w:t>7</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54D91053">
                  <w:pPr>
                    <w:topLinePunct/>
                    <w:rPr>
                      <w:rFonts w:hint="eastAsia"/>
                      <w:color w:val="000000"/>
                      <w:sz w:val="21"/>
                      <w:szCs w:val="21"/>
                    </w:rPr>
                  </w:pPr>
                  <w:r>
                    <w:rPr>
                      <w:rFonts w:hint="eastAsia"/>
                      <w:color w:val="000000"/>
                      <w:sz w:val="21"/>
                      <w:szCs w:val="21"/>
                    </w:rPr>
                    <w:t>第二十一条禁止在合规园区外新建、扩建钢铁、石化、化工、焦化、建材、有色、制浆造纸等高污染项目。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841BEB8">
                  <w:pPr>
                    <w:topLinePunct/>
                    <w:rPr>
                      <w:rFonts w:hint="eastAsia"/>
                      <w:color w:val="000000"/>
                      <w:sz w:val="21"/>
                      <w:szCs w:val="21"/>
                    </w:rPr>
                  </w:pPr>
                  <w:r>
                    <w:rPr>
                      <w:rFonts w:hint="eastAsia"/>
                      <w:color w:val="000000"/>
                      <w:sz w:val="21"/>
                      <w:szCs w:val="21"/>
                    </w:rPr>
                    <w:t>本项目不属于钢铁、石化、化工、焦化、建材、有色、制浆造纸等高污染项目。</w:t>
                  </w:r>
                </w:p>
              </w:tc>
              <w:tc>
                <w:tcPr>
                  <w:tcW w:w="446" w:type="pct"/>
                  <w:tcBorders>
                    <w:top w:val="single" w:color="000000" w:sz="4" w:space="0"/>
                    <w:left w:val="nil"/>
                    <w:bottom w:val="single" w:color="000000" w:sz="4" w:space="0"/>
                  </w:tcBorders>
                  <w:noWrap w:val="0"/>
                  <w:vAlign w:val="center"/>
                </w:tcPr>
                <w:p w14:paraId="2CE593D9">
                  <w:pPr>
                    <w:topLinePunct/>
                    <w:jc w:val="center"/>
                    <w:rPr>
                      <w:rFonts w:hint="eastAsia"/>
                      <w:color w:val="000000"/>
                      <w:sz w:val="21"/>
                      <w:szCs w:val="21"/>
                    </w:rPr>
                  </w:pPr>
                  <w:r>
                    <w:rPr>
                      <w:rFonts w:hint="eastAsia"/>
                      <w:color w:val="000000"/>
                      <w:sz w:val="21"/>
                      <w:szCs w:val="21"/>
                    </w:rPr>
                    <w:t>符合</w:t>
                  </w:r>
                </w:p>
              </w:tc>
            </w:tr>
            <w:tr w14:paraId="1FA8803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805" w:hRule="atLeast"/>
              </w:trPr>
              <w:tc>
                <w:tcPr>
                  <w:tcW w:w="350" w:type="pct"/>
                  <w:tcBorders>
                    <w:top w:val="single" w:color="000000" w:sz="4" w:space="0"/>
                    <w:bottom w:val="single" w:color="000000" w:sz="4" w:space="0"/>
                    <w:right w:val="single" w:color="000000" w:sz="4" w:space="0"/>
                  </w:tcBorders>
                  <w:noWrap w:val="0"/>
                  <w:vAlign w:val="center"/>
                </w:tcPr>
                <w:p w14:paraId="3479A83A">
                  <w:pPr>
                    <w:topLinePunct/>
                    <w:jc w:val="center"/>
                    <w:rPr>
                      <w:rFonts w:hint="eastAsia"/>
                      <w:color w:val="000000"/>
                      <w:sz w:val="21"/>
                      <w:szCs w:val="21"/>
                    </w:rPr>
                  </w:pPr>
                  <w:r>
                    <w:rPr>
                      <w:rFonts w:hint="eastAsia"/>
                      <w:color w:val="000000"/>
                      <w:sz w:val="21"/>
                      <w:szCs w:val="21"/>
                    </w:rPr>
                    <w:t>1</w:t>
                  </w:r>
                  <w:r>
                    <w:rPr>
                      <w:color w:val="000000"/>
                      <w:sz w:val="21"/>
                      <w:szCs w:val="21"/>
                    </w:rPr>
                    <w:t>8</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74E095FC">
                  <w:pPr>
                    <w:topLinePunct/>
                    <w:rPr>
                      <w:rFonts w:hint="eastAsia"/>
                      <w:color w:val="000000"/>
                      <w:sz w:val="21"/>
                      <w:szCs w:val="21"/>
                    </w:rPr>
                  </w:pPr>
                  <w:r>
                    <w:rPr>
                      <w:rFonts w:hint="eastAsia"/>
                      <w:color w:val="000000"/>
                      <w:sz w:val="21"/>
                      <w:szCs w:val="21"/>
                    </w:rPr>
                    <w:t>第二十二条禁止新建、扩建不符合国家石化、现代煤化工等产业布局规划的项目。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16295EC6">
                  <w:pPr>
                    <w:topLinePunct/>
                    <w:rPr>
                      <w:rFonts w:hint="eastAsia"/>
                      <w:color w:val="000000"/>
                      <w:sz w:val="21"/>
                      <w:szCs w:val="21"/>
                    </w:rPr>
                  </w:pPr>
                  <w:r>
                    <w:rPr>
                      <w:rFonts w:hint="eastAsia"/>
                      <w:color w:val="000000"/>
                      <w:sz w:val="21"/>
                      <w:szCs w:val="21"/>
                    </w:rPr>
                    <w:t>本项目不属于石化、现代煤化工项目。</w:t>
                  </w:r>
                </w:p>
              </w:tc>
              <w:tc>
                <w:tcPr>
                  <w:tcW w:w="446" w:type="pct"/>
                  <w:tcBorders>
                    <w:top w:val="single" w:color="000000" w:sz="4" w:space="0"/>
                    <w:left w:val="nil"/>
                    <w:bottom w:val="single" w:color="000000" w:sz="4" w:space="0"/>
                  </w:tcBorders>
                  <w:noWrap w:val="0"/>
                  <w:vAlign w:val="center"/>
                </w:tcPr>
                <w:p w14:paraId="5539693A">
                  <w:pPr>
                    <w:topLinePunct/>
                    <w:jc w:val="center"/>
                    <w:rPr>
                      <w:rFonts w:hint="eastAsia"/>
                      <w:color w:val="000000"/>
                      <w:sz w:val="21"/>
                      <w:szCs w:val="21"/>
                    </w:rPr>
                  </w:pPr>
                  <w:r>
                    <w:rPr>
                      <w:rFonts w:hint="eastAsia"/>
                      <w:color w:val="000000"/>
                      <w:sz w:val="21"/>
                      <w:szCs w:val="21"/>
                    </w:rPr>
                    <w:t>符合</w:t>
                  </w:r>
                </w:p>
              </w:tc>
            </w:tr>
            <w:tr w14:paraId="471DF5D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2B0C26A3">
                  <w:pPr>
                    <w:topLinePunct/>
                    <w:jc w:val="center"/>
                    <w:rPr>
                      <w:rFonts w:hint="eastAsia"/>
                      <w:color w:val="000000"/>
                      <w:sz w:val="21"/>
                      <w:szCs w:val="21"/>
                    </w:rPr>
                  </w:pPr>
                  <w:r>
                    <w:rPr>
                      <w:rFonts w:hint="eastAsia"/>
                      <w:color w:val="000000"/>
                      <w:sz w:val="21"/>
                      <w:szCs w:val="21"/>
                    </w:rPr>
                    <w:t>1</w:t>
                  </w:r>
                  <w:r>
                    <w:rPr>
                      <w:color w:val="000000"/>
                      <w:sz w:val="21"/>
                      <w:szCs w:val="21"/>
                    </w:rPr>
                    <w:t>9</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6724EB21">
                  <w:pPr>
                    <w:topLinePunct/>
                    <w:rPr>
                      <w:rFonts w:hint="eastAsia"/>
                      <w:color w:val="000000"/>
                      <w:sz w:val="21"/>
                      <w:szCs w:val="21"/>
                    </w:rPr>
                  </w:pPr>
                  <w:r>
                    <w:rPr>
                      <w:rFonts w:hint="eastAsia"/>
                      <w:color w:val="000000"/>
                      <w:sz w:val="21"/>
                      <w:szCs w:val="21"/>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44C3884F">
                  <w:pPr>
                    <w:topLinePunct/>
                    <w:rPr>
                      <w:rFonts w:hint="eastAsia"/>
                      <w:color w:val="000000"/>
                      <w:sz w:val="21"/>
                      <w:szCs w:val="21"/>
                    </w:rPr>
                  </w:pPr>
                  <w:r>
                    <w:rPr>
                      <w:rFonts w:hint="eastAsia"/>
                      <w:color w:val="000000"/>
                      <w:sz w:val="21"/>
                      <w:szCs w:val="21"/>
                    </w:rPr>
                    <w:t>本项目不属于明令禁止的落后产能项目，也不属于限制类项目。</w:t>
                  </w:r>
                </w:p>
              </w:tc>
              <w:tc>
                <w:tcPr>
                  <w:tcW w:w="446" w:type="pct"/>
                  <w:tcBorders>
                    <w:top w:val="single" w:color="000000" w:sz="4" w:space="0"/>
                    <w:left w:val="nil"/>
                    <w:bottom w:val="single" w:color="000000" w:sz="4" w:space="0"/>
                  </w:tcBorders>
                  <w:noWrap w:val="0"/>
                  <w:vAlign w:val="center"/>
                </w:tcPr>
                <w:p w14:paraId="4716E575">
                  <w:pPr>
                    <w:topLinePunct/>
                    <w:jc w:val="center"/>
                    <w:rPr>
                      <w:rFonts w:hint="eastAsia"/>
                      <w:color w:val="000000"/>
                      <w:sz w:val="21"/>
                      <w:szCs w:val="21"/>
                    </w:rPr>
                  </w:pPr>
                  <w:r>
                    <w:rPr>
                      <w:rFonts w:hint="eastAsia"/>
                      <w:color w:val="000000"/>
                      <w:sz w:val="21"/>
                      <w:szCs w:val="21"/>
                    </w:rPr>
                    <w:t>符合</w:t>
                  </w:r>
                </w:p>
              </w:tc>
            </w:tr>
            <w:tr w14:paraId="29E8614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28E0ABF0">
                  <w:pPr>
                    <w:topLinePunct/>
                    <w:jc w:val="center"/>
                    <w:rPr>
                      <w:rFonts w:hint="eastAsia"/>
                      <w:color w:val="000000"/>
                      <w:sz w:val="21"/>
                      <w:szCs w:val="21"/>
                    </w:rPr>
                  </w:pPr>
                  <w:r>
                    <w:rPr>
                      <w:rFonts w:hint="eastAsia"/>
                      <w:color w:val="000000"/>
                      <w:sz w:val="21"/>
                      <w:szCs w:val="21"/>
                    </w:rPr>
                    <w:t>2</w:t>
                  </w:r>
                  <w:r>
                    <w:rPr>
                      <w:color w:val="000000"/>
                      <w:sz w:val="21"/>
                      <w:szCs w:val="21"/>
                    </w:rPr>
                    <w:t>0</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6481CD5F">
                  <w:pPr>
                    <w:topLinePunct/>
                    <w:rPr>
                      <w:rFonts w:hint="eastAsia"/>
                      <w:color w:val="000000"/>
                      <w:sz w:val="21"/>
                      <w:szCs w:val="21"/>
                    </w:rPr>
                  </w:pPr>
                  <w:r>
                    <w:rPr>
                      <w:rFonts w:hint="eastAsia"/>
                      <w:color w:val="000000"/>
                      <w:sz w:val="21"/>
                      <w:szCs w:val="21"/>
                    </w:rPr>
                    <w:t>第二十四条禁止新建、扩建不符合国家产能置换要求的严重过剩产能行业的项目。对于不符合国家产能置换要求的严重过剩产能行业，不得以其他任何名义、任何方式备案新增产能项目。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7DD98094">
                  <w:pPr>
                    <w:topLinePunct/>
                    <w:rPr>
                      <w:rFonts w:hint="eastAsia"/>
                      <w:color w:val="000000"/>
                      <w:sz w:val="21"/>
                      <w:szCs w:val="21"/>
                    </w:rPr>
                  </w:pPr>
                  <w:r>
                    <w:rPr>
                      <w:rFonts w:hint="eastAsia"/>
                      <w:color w:val="000000"/>
                      <w:sz w:val="21"/>
                      <w:szCs w:val="21"/>
                    </w:rPr>
                    <w:t>本项目不属于国家产能置换要求的严重过剩产能行业的项目。</w:t>
                  </w:r>
                </w:p>
              </w:tc>
              <w:tc>
                <w:tcPr>
                  <w:tcW w:w="446" w:type="pct"/>
                  <w:tcBorders>
                    <w:top w:val="single" w:color="000000" w:sz="4" w:space="0"/>
                    <w:left w:val="nil"/>
                    <w:bottom w:val="single" w:color="000000" w:sz="4" w:space="0"/>
                  </w:tcBorders>
                  <w:noWrap w:val="0"/>
                  <w:vAlign w:val="center"/>
                </w:tcPr>
                <w:p w14:paraId="062AF311">
                  <w:pPr>
                    <w:topLinePunct/>
                    <w:jc w:val="center"/>
                    <w:rPr>
                      <w:rFonts w:hint="eastAsia"/>
                      <w:color w:val="000000"/>
                      <w:sz w:val="21"/>
                      <w:szCs w:val="21"/>
                    </w:rPr>
                  </w:pPr>
                  <w:r>
                    <w:rPr>
                      <w:rFonts w:hint="eastAsia"/>
                      <w:color w:val="000000"/>
                      <w:sz w:val="21"/>
                      <w:szCs w:val="21"/>
                    </w:rPr>
                    <w:t>符合</w:t>
                  </w:r>
                </w:p>
              </w:tc>
            </w:tr>
            <w:tr w14:paraId="49D70F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75C95D13">
                  <w:pPr>
                    <w:topLinePunct/>
                    <w:jc w:val="center"/>
                    <w:rPr>
                      <w:rFonts w:hint="eastAsia"/>
                      <w:color w:val="000000"/>
                      <w:sz w:val="21"/>
                      <w:szCs w:val="21"/>
                    </w:rPr>
                  </w:pPr>
                  <w:r>
                    <w:rPr>
                      <w:rFonts w:hint="eastAsia"/>
                      <w:color w:val="000000"/>
                      <w:sz w:val="21"/>
                      <w:szCs w:val="21"/>
                    </w:rPr>
                    <w:t>2</w:t>
                  </w:r>
                  <w:r>
                    <w:rPr>
                      <w:color w:val="000000"/>
                      <w:sz w:val="21"/>
                      <w:szCs w:val="21"/>
                    </w:rPr>
                    <w:t>1</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055B8607">
                  <w:pPr>
                    <w:topLinePunct/>
                    <w:rPr>
                      <w:color w:val="000000"/>
                      <w:sz w:val="21"/>
                      <w:szCs w:val="21"/>
                    </w:rPr>
                  </w:pPr>
                  <w:r>
                    <w:rPr>
                      <w:rFonts w:hint="eastAsia"/>
                      <w:color w:val="000000"/>
                      <w:sz w:val="21"/>
                      <w:szCs w:val="21"/>
                    </w:rPr>
                    <w:t>第二十五条禁止建设以下燃油汽车投资项目（不在中国境内销售产品的投资项目除外):</w:t>
                  </w:r>
                </w:p>
                <w:p w14:paraId="7731092C">
                  <w:pPr>
                    <w:topLinePunct/>
                    <w:rPr>
                      <w:rFonts w:hint="eastAsia"/>
                      <w:color w:val="000000"/>
                      <w:sz w:val="21"/>
                      <w:szCs w:val="21"/>
                    </w:rPr>
                  </w:pPr>
                  <w:r>
                    <w:rPr>
                      <w:rFonts w:hint="eastAsia"/>
                      <w:color w:val="000000"/>
                      <w:sz w:val="21"/>
                      <w:szCs w:val="21"/>
                    </w:rPr>
                    <w:t>（一）新建独立燃油汽车企业；</w:t>
                  </w:r>
                </w:p>
                <w:p w14:paraId="060D9014">
                  <w:pPr>
                    <w:topLinePunct/>
                    <w:rPr>
                      <w:rFonts w:hint="eastAsia"/>
                      <w:color w:val="000000"/>
                      <w:sz w:val="21"/>
                      <w:szCs w:val="21"/>
                    </w:rPr>
                  </w:pPr>
                  <w:r>
                    <w:rPr>
                      <w:rFonts w:hint="eastAsia"/>
                      <w:color w:val="000000"/>
                      <w:sz w:val="21"/>
                      <w:szCs w:val="21"/>
                    </w:rPr>
                    <w:t>（二）现有汽车企业跨乘用车、商用车类别建设燃油汽车生产能力﹔</w:t>
                  </w:r>
                </w:p>
                <w:p w14:paraId="227D2C21">
                  <w:pPr>
                    <w:topLinePunct/>
                    <w:rPr>
                      <w:rFonts w:hint="eastAsia"/>
                      <w:color w:val="000000"/>
                      <w:sz w:val="21"/>
                      <w:szCs w:val="21"/>
                    </w:rPr>
                  </w:pPr>
                  <w:r>
                    <w:rPr>
                      <w:rFonts w:hint="eastAsia"/>
                      <w:color w:val="000000"/>
                      <w:sz w:val="21"/>
                      <w:szCs w:val="21"/>
                    </w:rPr>
                    <w:t>（三）外省现有燃油汽车企业整体搬迁至本省（列入国家级区域发展规划或不改变企业股权结构的项目除外);</w:t>
                  </w:r>
                </w:p>
                <w:p w14:paraId="2497BFE2">
                  <w:pPr>
                    <w:topLinePunct/>
                    <w:rPr>
                      <w:rFonts w:hint="eastAsia"/>
                      <w:color w:val="000000"/>
                      <w:sz w:val="21"/>
                      <w:szCs w:val="21"/>
                    </w:rPr>
                  </w:pPr>
                  <w:r>
                    <w:rPr>
                      <w:rFonts w:hint="eastAsia"/>
                      <w:color w:val="000000"/>
                      <w:sz w:val="21"/>
                      <w:szCs w:val="21"/>
                    </w:rPr>
                    <w:t>（四）对行业管理部门特别公示的燃油汽车企业进行投资（企业原有股东投资或将该企业转为非独立法人的投资项目除外)。</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2EDA14A2">
                  <w:pPr>
                    <w:topLinePunct/>
                    <w:rPr>
                      <w:rFonts w:hint="eastAsia"/>
                      <w:color w:val="000000"/>
                      <w:sz w:val="21"/>
                      <w:szCs w:val="21"/>
                    </w:rPr>
                  </w:pPr>
                  <w:r>
                    <w:rPr>
                      <w:rFonts w:hint="eastAsia"/>
                      <w:color w:val="000000"/>
                      <w:sz w:val="21"/>
                      <w:szCs w:val="21"/>
                    </w:rPr>
                    <w:t>本项目不属于汽车投资项目。</w:t>
                  </w:r>
                </w:p>
              </w:tc>
              <w:tc>
                <w:tcPr>
                  <w:tcW w:w="446" w:type="pct"/>
                  <w:tcBorders>
                    <w:top w:val="single" w:color="000000" w:sz="4" w:space="0"/>
                    <w:left w:val="nil"/>
                    <w:bottom w:val="single" w:color="000000" w:sz="4" w:space="0"/>
                  </w:tcBorders>
                  <w:noWrap w:val="0"/>
                  <w:vAlign w:val="center"/>
                </w:tcPr>
                <w:p w14:paraId="2D5EDA9D">
                  <w:pPr>
                    <w:topLinePunct/>
                    <w:jc w:val="center"/>
                    <w:rPr>
                      <w:rFonts w:hint="eastAsia"/>
                      <w:color w:val="000000"/>
                      <w:sz w:val="21"/>
                      <w:szCs w:val="21"/>
                    </w:rPr>
                  </w:pPr>
                  <w:r>
                    <w:rPr>
                      <w:rFonts w:hint="eastAsia"/>
                      <w:color w:val="000000"/>
                      <w:sz w:val="21"/>
                      <w:szCs w:val="21"/>
                    </w:rPr>
                    <w:t>符合</w:t>
                  </w:r>
                </w:p>
              </w:tc>
            </w:tr>
            <w:tr w14:paraId="3C012E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350" w:type="pct"/>
                  <w:tcBorders>
                    <w:top w:val="single" w:color="000000" w:sz="4" w:space="0"/>
                    <w:bottom w:val="single" w:color="000000" w:sz="4" w:space="0"/>
                    <w:right w:val="single" w:color="000000" w:sz="4" w:space="0"/>
                  </w:tcBorders>
                  <w:noWrap w:val="0"/>
                  <w:vAlign w:val="center"/>
                </w:tcPr>
                <w:p w14:paraId="7349DC86">
                  <w:pPr>
                    <w:topLinePunct/>
                    <w:jc w:val="center"/>
                    <w:rPr>
                      <w:rFonts w:hint="eastAsia"/>
                      <w:color w:val="000000"/>
                      <w:sz w:val="21"/>
                      <w:szCs w:val="21"/>
                    </w:rPr>
                  </w:pPr>
                  <w:r>
                    <w:rPr>
                      <w:rFonts w:hint="eastAsia"/>
                      <w:color w:val="000000"/>
                      <w:sz w:val="21"/>
                      <w:szCs w:val="21"/>
                    </w:rPr>
                    <w:t>2</w:t>
                  </w:r>
                  <w:r>
                    <w:rPr>
                      <w:color w:val="000000"/>
                      <w:sz w:val="21"/>
                      <w:szCs w:val="21"/>
                    </w:rPr>
                    <w:t>2</w:t>
                  </w:r>
                </w:p>
              </w:tc>
              <w:tc>
                <w:tcPr>
                  <w:tcW w:w="2949" w:type="pct"/>
                  <w:tcBorders>
                    <w:top w:val="single" w:color="000000" w:sz="4" w:space="0"/>
                    <w:left w:val="single" w:color="000000" w:sz="4" w:space="0"/>
                    <w:bottom w:val="single" w:color="000000" w:sz="4" w:space="0"/>
                    <w:right w:val="single" w:color="000000" w:sz="4" w:space="0"/>
                  </w:tcBorders>
                  <w:noWrap w:val="0"/>
                  <w:vAlign w:val="center"/>
                </w:tcPr>
                <w:p w14:paraId="71D56D38">
                  <w:pPr>
                    <w:topLinePunct/>
                    <w:rPr>
                      <w:rFonts w:hint="eastAsia"/>
                      <w:color w:val="000000"/>
                      <w:sz w:val="21"/>
                      <w:szCs w:val="21"/>
                    </w:rPr>
                  </w:pPr>
                  <w:r>
                    <w:rPr>
                      <w:rFonts w:hint="eastAsia"/>
                      <w:color w:val="000000"/>
                      <w:sz w:val="21"/>
                      <w:szCs w:val="21"/>
                    </w:rPr>
                    <w:t>第二十六条禁止新建、扩建不符合要求的高耗能、高排放、低水平项目。</w:t>
                  </w:r>
                </w:p>
              </w:tc>
              <w:tc>
                <w:tcPr>
                  <w:tcW w:w="1253" w:type="pct"/>
                  <w:tcBorders>
                    <w:top w:val="single" w:color="000000" w:sz="4" w:space="0"/>
                    <w:left w:val="single" w:color="000000" w:sz="4" w:space="0"/>
                    <w:bottom w:val="single" w:color="000000" w:sz="4" w:space="0"/>
                    <w:right w:val="single" w:color="auto" w:sz="4" w:space="0"/>
                  </w:tcBorders>
                  <w:noWrap w:val="0"/>
                  <w:vAlign w:val="center"/>
                </w:tcPr>
                <w:p w14:paraId="6E136535">
                  <w:pPr>
                    <w:topLinePunct/>
                    <w:rPr>
                      <w:rFonts w:hint="eastAsia"/>
                      <w:color w:val="000000"/>
                      <w:sz w:val="21"/>
                      <w:szCs w:val="21"/>
                    </w:rPr>
                  </w:pPr>
                  <w:r>
                    <w:rPr>
                      <w:rFonts w:hint="eastAsia"/>
                      <w:color w:val="000000"/>
                      <w:sz w:val="21"/>
                      <w:szCs w:val="21"/>
                    </w:rPr>
                    <w:t>本项目不属于高耗能、高排放、低水平项目。</w:t>
                  </w:r>
                </w:p>
              </w:tc>
              <w:tc>
                <w:tcPr>
                  <w:tcW w:w="446" w:type="pct"/>
                  <w:tcBorders>
                    <w:top w:val="single" w:color="000000" w:sz="4" w:space="0"/>
                    <w:left w:val="nil"/>
                    <w:bottom w:val="single" w:color="000000" w:sz="4" w:space="0"/>
                  </w:tcBorders>
                  <w:noWrap w:val="0"/>
                  <w:vAlign w:val="center"/>
                </w:tcPr>
                <w:p w14:paraId="3AD7DFB1">
                  <w:pPr>
                    <w:topLinePunct/>
                    <w:jc w:val="center"/>
                    <w:rPr>
                      <w:rFonts w:hint="eastAsia"/>
                      <w:color w:val="000000"/>
                      <w:sz w:val="21"/>
                      <w:szCs w:val="21"/>
                    </w:rPr>
                  </w:pPr>
                  <w:r>
                    <w:rPr>
                      <w:rFonts w:hint="eastAsia"/>
                      <w:color w:val="000000"/>
                      <w:sz w:val="21"/>
                      <w:szCs w:val="21"/>
                    </w:rPr>
                    <w:t>符合</w:t>
                  </w:r>
                </w:p>
              </w:tc>
            </w:tr>
          </w:tbl>
          <w:p w14:paraId="1E57E232">
            <w:pPr>
              <w:pStyle w:val="25"/>
              <w:ind w:firstLine="480"/>
              <w:rPr>
                <w:rFonts w:cs="Times New Roman"/>
                <w:color w:val="000000"/>
                <w:lang w:bidi="ar"/>
              </w:rPr>
            </w:pPr>
            <w:r>
              <w:rPr>
                <w:rFonts w:hint="eastAsia" w:cs="Times New Roman"/>
                <w:color w:val="000000"/>
                <w:lang w:bidi="ar"/>
              </w:rPr>
              <w:t>经分析，</w:t>
            </w:r>
            <w:r>
              <w:rPr>
                <w:rFonts w:hint="eastAsia"/>
                <w:color w:val="000000"/>
              </w:rPr>
              <w:t>项目符合《四川省、重庆市长江经济带发展负面清单实施细则（试行，2022年版）</w:t>
            </w:r>
            <w:r>
              <w:rPr>
                <w:color w:val="000000"/>
              </w:rPr>
              <w:t>》</w:t>
            </w:r>
            <w:r>
              <w:rPr>
                <w:rFonts w:hint="eastAsia"/>
                <w:color w:val="000000"/>
              </w:rPr>
              <w:t>的要求</w:t>
            </w:r>
            <w:r>
              <w:rPr>
                <w:rFonts w:hint="eastAsia" w:cs="Times New Roman"/>
                <w:color w:val="000000"/>
                <w:lang w:bidi="ar"/>
              </w:rPr>
              <w:t>。</w:t>
            </w:r>
          </w:p>
          <w:p w14:paraId="40D08F95">
            <w:pPr>
              <w:spacing w:line="360" w:lineRule="auto"/>
              <w:jc w:val="left"/>
              <w:rPr>
                <w:b/>
                <w:color w:val="000000"/>
                <w:kern w:val="0"/>
              </w:rPr>
            </w:pPr>
            <w:bookmarkStart w:id="5" w:name="_Toc99551038"/>
            <w:bookmarkStart w:id="6" w:name="_Toc95902491"/>
            <w:r>
              <w:rPr>
                <w:b/>
                <w:color w:val="000000"/>
                <w:kern w:val="0"/>
                <w:lang w:bidi="ar"/>
              </w:rPr>
              <w:t>1.</w:t>
            </w:r>
            <w:r>
              <w:rPr>
                <w:rFonts w:hint="eastAsia"/>
                <w:b/>
                <w:color w:val="000000"/>
                <w:kern w:val="0"/>
                <w:lang w:bidi="ar"/>
              </w:rPr>
              <w:t>5.4</w:t>
            </w:r>
            <w:r>
              <w:rPr>
                <w:b/>
                <w:color w:val="000000"/>
                <w:kern w:val="0"/>
                <w:lang w:bidi="ar"/>
              </w:rPr>
              <w:t>项目与《中华人民共和国长江保护法》（2021年3月1日施行）的符合性分析</w:t>
            </w:r>
            <w:bookmarkEnd w:id="5"/>
            <w:bookmarkEnd w:id="6"/>
          </w:p>
          <w:p w14:paraId="7E7DE3CC">
            <w:pPr>
              <w:widowControl/>
              <w:autoSpaceDN w:val="0"/>
              <w:spacing w:line="360" w:lineRule="auto"/>
              <w:ind w:firstLine="420" w:firstLineChars="200"/>
              <w:contextualSpacing/>
              <w:jc w:val="left"/>
              <w:rPr>
                <w:color w:val="000000"/>
                <w:lang w:bidi="ar"/>
              </w:rPr>
            </w:pPr>
            <w:r>
              <w:rPr>
                <w:bCs/>
                <w:color w:val="000000"/>
                <w:kern w:val="0"/>
                <w:lang w:bidi="ar"/>
              </w:rPr>
              <w:t>《中华人民共和国长江保护法》：“禁止在长江干支流岸线一公里范围内新建、扩建化工园区和化工项目。禁止在长江干流岸线三公里范围内和重要支流岸线一公里范围内新建、改建、扩建尾矿库；但是以提升安全、生态环境保护水平为目的的改建除外。....本法所称长江支流，是指直接或者间接流入长江干流的河流，支流可以分为一级支流、二级支流等；”</w:t>
            </w:r>
            <w:r>
              <w:rPr>
                <w:bCs/>
                <w:color w:val="000000"/>
                <w:lang w:bidi="ar"/>
              </w:rPr>
              <w:t>，</w:t>
            </w:r>
            <w:r>
              <w:rPr>
                <w:color w:val="000000"/>
                <w:lang w:bidi="ar"/>
              </w:rPr>
              <w:t>本项目不属于化工项目，不涉及尾矿库，符合其要求。</w:t>
            </w:r>
          </w:p>
          <w:p w14:paraId="725B142E">
            <w:pPr>
              <w:spacing w:line="360" w:lineRule="auto"/>
              <w:jc w:val="left"/>
              <w:rPr>
                <w:b/>
                <w:color w:val="000000"/>
                <w:kern w:val="0"/>
              </w:rPr>
            </w:pPr>
            <w:r>
              <w:rPr>
                <w:b/>
                <w:color w:val="000000"/>
                <w:kern w:val="0"/>
                <w:lang w:bidi="ar"/>
              </w:rPr>
              <w:t>1.</w:t>
            </w:r>
            <w:r>
              <w:rPr>
                <w:rFonts w:hint="eastAsia"/>
                <w:b/>
                <w:color w:val="000000"/>
                <w:kern w:val="0"/>
                <w:lang w:bidi="ar"/>
              </w:rPr>
              <w:t>6</w:t>
            </w:r>
            <w:r>
              <w:rPr>
                <w:b/>
                <w:color w:val="000000"/>
                <w:kern w:val="0"/>
                <w:lang w:bidi="ar"/>
              </w:rPr>
              <w:t>项目与</w:t>
            </w:r>
            <w:r>
              <w:rPr>
                <w:rFonts w:hint="eastAsia"/>
                <w:b/>
                <w:color w:val="000000"/>
                <w:kern w:val="0"/>
                <w:lang w:bidi="ar"/>
              </w:rPr>
              <w:t>环保政策</w:t>
            </w:r>
            <w:r>
              <w:rPr>
                <w:b/>
                <w:color w:val="000000"/>
                <w:kern w:val="0"/>
                <w:lang w:bidi="ar"/>
              </w:rPr>
              <w:t>符合性分析</w:t>
            </w:r>
          </w:p>
          <w:p w14:paraId="56813D43">
            <w:pPr>
              <w:spacing w:line="360" w:lineRule="auto"/>
              <w:jc w:val="left"/>
              <w:rPr>
                <w:b/>
                <w:bCs/>
                <w:color w:val="000000"/>
              </w:rPr>
            </w:pPr>
            <w:r>
              <w:rPr>
                <w:rFonts w:hint="eastAsia"/>
                <w:b/>
                <w:bCs/>
                <w:color w:val="000000"/>
              </w:rPr>
              <w:t>1.6.1 项目与《重庆市环境保护条例》（2025年修正）符合性</w:t>
            </w:r>
          </w:p>
          <w:p w14:paraId="2321C917">
            <w:pPr>
              <w:spacing w:line="360" w:lineRule="auto"/>
              <w:ind w:firstLine="420" w:firstLineChars="200"/>
              <w:jc w:val="left"/>
              <w:rPr>
                <w:rFonts w:hint="eastAsia"/>
                <w:color w:val="000000"/>
              </w:rPr>
            </w:pPr>
            <w:r>
              <w:rPr>
                <w:rFonts w:hint="eastAsia"/>
                <w:color w:val="000000"/>
              </w:rPr>
              <w:t>项目《重庆市环境保护条例》（2025年修正）符合性分析见下表。</w:t>
            </w:r>
          </w:p>
          <w:p w14:paraId="67D9C8BF">
            <w:pPr>
              <w:spacing w:line="360" w:lineRule="auto"/>
              <w:jc w:val="center"/>
              <w:rPr>
                <w:rFonts w:hint="eastAsia"/>
                <w:b/>
                <w:color w:val="000000"/>
                <w:szCs w:val="32"/>
              </w:rPr>
            </w:pPr>
            <w:r>
              <w:rPr>
                <w:rFonts w:hint="eastAsia"/>
                <w:b/>
                <w:color w:val="000000"/>
                <w:szCs w:val="32"/>
              </w:rPr>
              <w:t>表1-7  与《重庆市环境保护条例》（2025年修正）符合性分析</w:t>
            </w:r>
          </w:p>
          <w:tbl>
            <w:tblPr>
              <w:tblStyle w:val="16"/>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01"/>
              <w:gridCol w:w="2957"/>
              <w:gridCol w:w="943"/>
            </w:tblGrid>
            <w:tr w14:paraId="36645E7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592" w:type="pct"/>
                  <w:noWrap w:val="0"/>
                  <w:vAlign w:val="center"/>
                </w:tcPr>
                <w:p w14:paraId="4106EAE8">
                  <w:pPr>
                    <w:autoSpaceDE w:val="0"/>
                    <w:autoSpaceDN w:val="0"/>
                    <w:adjustRightInd w:val="0"/>
                    <w:snapToGrid w:val="0"/>
                    <w:jc w:val="center"/>
                    <w:rPr>
                      <w:b/>
                      <w:bCs/>
                      <w:color w:val="000000"/>
                      <w:sz w:val="21"/>
                      <w:szCs w:val="21"/>
                    </w:rPr>
                  </w:pPr>
                  <w:r>
                    <w:rPr>
                      <w:rFonts w:hint="eastAsia"/>
                      <w:b/>
                      <w:bCs/>
                      <w:color w:val="000000"/>
                      <w:sz w:val="21"/>
                      <w:szCs w:val="21"/>
                    </w:rPr>
                    <w:t>相关要求</w:t>
                  </w:r>
                </w:p>
              </w:tc>
              <w:tc>
                <w:tcPr>
                  <w:tcW w:w="1825" w:type="pct"/>
                  <w:noWrap w:val="0"/>
                  <w:vAlign w:val="center"/>
                </w:tcPr>
                <w:p w14:paraId="694D2404">
                  <w:pPr>
                    <w:autoSpaceDE w:val="0"/>
                    <w:autoSpaceDN w:val="0"/>
                    <w:adjustRightInd w:val="0"/>
                    <w:snapToGrid w:val="0"/>
                    <w:jc w:val="center"/>
                    <w:rPr>
                      <w:b/>
                      <w:bCs/>
                      <w:color w:val="000000"/>
                      <w:sz w:val="21"/>
                      <w:szCs w:val="21"/>
                    </w:rPr>
                  </w:pPr>
                  <w:r>
                    <w:rPr>
                      <w:rFonts w:hint="eastAsia"/>
                      <w:b/>
                      <w:bCs/>
                      <w:color w:val="000000"/>
                      <w:sz w:val="21"/>
                      <w:szCs w:val="21"/>
                    </w:rPr>
                    <w:t>本项目情况</w:t>
                  </w:r>
                </w:p>
              </w:tc>
              <w:tc>
                <w:tcPr>
                  <w:tcW w:w="582" w:type="pct"/>
                  <w:noWrap w:val="0"/>
                  <w:vAlign w:val="center"/>
                </w:tcPr>
                <w:p w14:paraId="0E42AA1F">
                  <w:pPr>
                    <w:autoSpaceDE w:val="0"/>
                    <w:autoSpaceDN w:val="0"/>
                    <w:adjustRightInd w:val="0"/>
                    <w:snapToGrid w:val="0"/>
                    <w:jc w:val="center"/>
                    <w:rPr>
                      <w:b/>
                      <w:bCs/>
                      <w:color w:val="000000"/>
                      <w:sz w:val="21"/>
                      <w:szCs w:val="21"/>
                    </w:rPr>
                  </w:pPr>
                  <w:r>
                    <w:rPr>
                      <w:rFonts w:hint="eastAsia"/>
                      <w:b/>
                      <w:bCs/>
                      <w:color w:val="000000"/>
                      <w:sz w:val="21"/>
                      <w:szCs w:val="21"/>
                    </w:rPr>
                    <w:t>符合性</w:t>
                  </w:r>
                </w:p>
              </w:tc>
            </w:tr>
            <w:tr w14:paraId="332C602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592" w:type="pct"/>
                  <w:noWrap w:val="0"/>
                  <w:vAlign w:val="center"/>
                </w:tcPr>
                <w:p w14:paraId="5B982884">
                  <w:pPr>
                    <w:autoSpaceDE w:val="0"/>
                    <w:autoSpaceDN w:val="0"/>
                    <w:adjustRightInd w:val="0"/>
                    <w:snapToGrid w:val="0"/>
                    <w:rPr>
                      <w:rFonts w:hint="eastAsia"/>
                      <w:color w:val="000000"/>
                      <w:sz w:val="21"/>
                      <w:szCs w:val="21"/>
                    </w:rPr>
                  </w:pPr>
                  <w:r>
                    <w:rPr>
                      <w:rFonts w:hint="eastAsia"/>
                      <w:color w:val="000000"/>
                      <w:sz w:val="21"/>
                      <w:szCs w:val="21"/>
                    </w:rPr>
                    <w:t>第五十二条 产生危险废物的单位，应当按照国家规定处置危险废物，不得擅自倾倒、堆放。确需贮存的，应当采取符合国家环境保护标准的防护措施。</w:t>
                  </w:r>
                </w:p>
                <w:p w14:paraId="45E94C8C">
                  <w:pPr>
                    <w:autoSpaceDE w:val="0"/>
                    <w:autoSpaceDN w:val="0"/>
                    <w:adjustRightInd w:val="0"/>
                    <w:snapToGrid w:val="0"/>
                    <w:rPr>
                      <w:rFonts w:hint="eastAsia"/>
                      <w:color w:val="000000"/>
                      <w:sz w:val="21"/>
                      <w:szCs w:val="21"/>
                    </w:rPr>
                  </w:pPr>
                  <w:r>
                    <w:rPr>
                      <w:rFonts w:hint="eastAsia"/>
                      <w:color w:val="000000"/>
                      <w:sz w:val="21"/>
                      <w:szCs w:val="21"/>
                    </w:rPr>
                    <w:t>产生危险废物的单位，应当按照国家有关规定制定危险废物管理计划并报送单位所在地的区县（自治县）生态环境主管部门备案</w:t>
                  </w:r>
                </w:p>
              </w:tc>
              <w:tc>
                <w:tcPr>
                  <w:tcW w:w="1825" w:type="pct"/>
                  <w:noWrap w:val="0"/>
                  <w:vAlign w:val="center"/>
                </w:tcPr>
                <w:p w14:paraId="30C7A121">
                  <w:pPr>
                    <w:autoSpaceDE w:val="0"/>
                    <w:autoSpaceDN w:val="0"/>
                    <w:adjustRightInd w:val="0"/>
                    <w:snapToGrid w:val="0"/>
                    <w:rPr>
                      <w:rFonts w:hint="eastAsia"/>
                      <w:color w:val="000000"/>
                      <w:sz w:val="21"/>
                      <w:szCs w:val="21"/>
                    </w:rPr>
                  </w:pPr>
                  <w:r>
                    <w:rPr>
                      <w:rFonts w:hint="eastAsia"/>
                      <w:color w:val="000000"/>
                      <w:sz w:val="21"/>
                      <w:szCs w:val="21"/>
                    </w:rPr>
                    <w:t>本项目危险废物拟交有相应危险废物资质的单位收集和处置，不</w:t>
                  </w:r>
                  <w:r>
                    <w:rPr>
                      <w:rFonts w:hint="eastAsia" w:cs="Arial"/>
                      <w:color w:val="000000"/>
                      <w:sz w:val="21"/>
                      <w:szCs w:val="21"/>
                      <w:shd w:val="clear" w:color="auto" w:fill="FFFFFF"/>
                    </w:rPr>
                    <w:t>擅自倾倒、堆放。</w:t>
                  </w:r>
                </w:p>
              </w:tc>
              <w:tc>
                <w:tcPr>
                  <w:tcW w:w="582" w:type="pct"/>
                  <w:noWrap w:val="0"/>
                  <w:vAlign w:val="center"/>
                </w:tcPr>
                <w:p w14:paraId="50124308">
                  <w:pPr>
                    <w:autoSpaceDE w:val="0"/>
                    <w:autoSpaceDN w:val="0"/>
                    <w:adjustRightInd w:val="0"/>
                    <w:snapToGrid w:val="0"/>
                    <w:jc w:val="center"/>
                    <w:rPr>
                      <w:rFonts w:hint="eastAsia"/>
                      <w:color w:val="000000"/>
                      <w:sz w:val="21"/>
                      <w:szCs w:val="21"/>
                    </w:rPr>
                  </w:pPr>
                  <w:r>
                    <w:rPr>
                      <w:rFonts w:hint="eastAsia"/>
                      <w:color w:val="000000"/>
                      <w:sz w:val="21"/>
                      <w:szCs w:val="21"/>
                    </w:rPr>
                    <w:t>符合</w:t>
                  </w:r>
                </w:p>
              </w:tc>
            </w:tr>
            <w:tr w14:paraId="26D7C72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592" w:type="pct"/>
                  <w:noWrap w:val="0"/>
                  <w:vAlign w:val="center"/>
                </w:tcPr>
                <w:p w14:paraId="5EE38412">
                  <w:pPr>
                    <w:autoSpaceDE w:val="0"/>
                    <w:autoSpaceDN w:val="0"/>
                    <w:adjustRightInd w:val="0"/>
                    <w:snapToGrid w:val="0"/>
                    <w:rPr>
                      <w:rFonts w:hint="eastAsia" w:cs="Arial"/>
                      <w:color w:val="000000"/>
                      <w:sz w:val="21"/>
                      <w:szCs w:val="21"/>
                      <w:shd w:val="clear" w:color="auto" w:fill="FFFFFF"/>
                    </w:rPr>
                  </w:pPr>
                  <w:r>
                    <w:rPr>
                      <w:rFonts w:hint="eastAsia" w:cs="Arial"/>
                      <w:color w:val="000000"/>
                      <w:sz w:val="21"/>
                      <w:szCs w:val="21"/>
                      <w:shd w:val="clear" w:color="auto" w:fill="FFFFFF"/>
                    </w:rPr>
                    <w:t>第六十三条 排放噪声、产生振动，应当符合噪声排放标准以及相关的环境振动控制标准和有关法律、法规、规章的要求。</w:t>
                  </w:r>
                </w:p>
              </w:tc>
              <w:tc>
                <w:tcPr>
                  <w:tcW w:w="1825" w:type="pct"/>
                  <w:noWrap w:val="0"/>
                  <w:vAlign w:val="center"/>
                </w:tcPr>
                <w:p w14:paraId="0B04F4A0">
                  <w:pPr>
                    <w:autoSpaceDE w:val="0"/>
                    <w:autoSpaceDN w:val="0"/>
                    <w:adjustRightInd w:val="0"/>
                    <w:snapToGrid w:val="0"/>
                    <w:rPr>
                      <w:color w:val="000000"/>
                      <w:sz w:val="21"/>
                      <w:szCs w:val="21"/>
                    </w:rPr>
                  </w:pPr>
                  <w:r>
                    <w:rPr>
                      <w:rFonts w:hint="eastAsia"/>
                      <w:color w:val="000000"/>
                      <w:sz w:val="21"/>
                      <w:szCs w:val="21"/>
                    </w:rPr>
                    <w:t>根据预测，本项目建成后厂界噪声能达标排放。</w:t>
                  </w:r>
                </w:p>
              </w:tc>
              <w:tc>
                <w:tcPr>
                  <w:tcW w:w="582" w:type="pct"/>
                  <w:noWrap w:val="0"/>
                  <w:vAlign w:val="center"/>
                </w:tcPr>
                <w:p w14:paraId="4911CF34">
                  <w:pPr>
                    <w:autoSpaceDE w:val="0"/>
                    <w:autoSpaceDN w:val="0"/>
                    <w:adjustRightInd w:val="0"/>
                    <w:snapToGrid w:val="0"/>
                    <w:jc w:val="center"/>
                    <w:rPr>
                      <w:rFonts w:hint="eastAsia"/>
                      <w:color w:val="000000"/>
                      <w:sz w:val="21"/>
                      <w:szCs w:val="21"/>
                    </w:rPr>
                  </w:pPr>
                  <w:r>
                    <w:rPr>
                      <w:rFonts w:hint="eastAsia"/>
                      <w:color w:val="000000"/>
                      <w:sz w:val="21"/>
                      <w:szCs w:val="21"/>
                    </w:rPr>
                    <w:t>符合</w:t>
                  </w:r>
                </w:p>
              </w:tc>
            </w:tr>
          </w:tbl>
          <w:p w14:paraId="5E725F9F">
            <w:pPr>
              <w:widowControl/>
              <w:autoSpaceDN w:val="0"/>
              <w:spacing w:line="360" w:lineRule="auto"/>
              <w:ind w:firstLine="420" w:firstLineChars="200"/>
              <w:contextualSpacing/>
              <w:jc w:val="left"/>
              <w:rPr>
                <w:color w:val="000000"/>
                <w:lang w:bidi="ar"/>
              </w:rPr>
            </w:pPr>
            <w:r>
              <w:rPr>
                <w:rFonts w:hint="eastAsia"/>
                <w:color w:val="000000"/>
              </w:rPr>
              <w:t>根据分析，本项目符合《重庆市环境保护条例》（2025年修正）相关要求。</w:t>
            </w:r>
          </w:p>
          <w:p w14:paraId="7E51B3E9">
            <w:pPr>
              <w:spacing w:line="360" w:lineRule="auto"/>
              <w:jc w:val="left"/>
              <w:rPr>
                <w:rFonts w:hint="eastAsia"/>
                <w:b/>
                <w:bCs/>
                <w:color w:val="000000"/>
              </w:rPr>
            </w:pPr>
            <w:r>
              <w:rPr>
                <w:rFonts w:hint="eastAsia"/>
                <w:b/>
                <w:bCs/>
                <w:color w:val="000000"/>
              </w:rPr>
              <w:t>1.6.2 与《重庆市人民政府关于印发重庆市生态环境保护“十四五”规划（2021 —2025年）的通知》（渝府发〔2022〕11号）的符合性分析</w:t>
            </w:r>
          </w:p>
          <w:p w14:paraId="7C38B121">
            <w:pPr>
              <w:jc w:val="center"/>
              <w:rPr>
                <w:rFonts w:hint="eastAsia"/>
                <w:b/>
                <w:color w:val="000000"/>
                <w:szCs w:val="32"/>
              </w:rPr>
            </w:pPr>
            <w:r>
              <w:rPr>
                <w:rFonts w:hint="eastAsia"/>
                <w:b/>
                <w:color w:val="000000"/>
                <w:szCs w:val="32"/>
              </w:rPr>
              <w:t>表1-8 与《重庆市人民政府关于印发重庆市生态环境保护“十四五”规划（2021 —2025年）的通知》符合性</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4821"/>
              <w:gridCol w:w="2233"/>
              <w:gridCol w:w="628"/>
            </w:tblGrid>
            <w:tr w14:paraId="0A6C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3CDD7C0A">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序号</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7BF41AC0">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《重庆市生态环境保护“十四五”规划（2021-2025年）》相关要求</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129C921">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项目情况</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3849CBB6">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符合性</w:t>
                  </w:r>
                </w:p>
              </w:tc>
            </w:tr>
            <w:tr w14:paraId="18DD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77D8EC6A">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1</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3574B495">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生态保护红线内，自然保护地核心保护区原则上禁止人为活动，其他区域严格禁止开发性、生产性建设活动，在符合现行法律法规前提下，除国家重大战略项目外，仅允许对生态功能不造成破坏的有限人为活动。</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9EF8F9C">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位于西部（重庆）科学城九龙新城园区</w:t>
                  </w:r>
                  <w:r>
                    <w:rPr>
                      <w:rFonts w:hint="eastAsia" w:ascii="Times New Roman" w:hAnsi="Times New Roman"/>
                      <w:color w:val="000000"/>
                      <w:kern w:val="2"/>
                      <w:sz w:val="21"/>
                      <w:szCs w:val="21"/>
                      <w:lang w:bidi="ar"/>
                    </w:rPr>
                    <w:t>西彭组团</w:t>
                  </w:r>
                  <w:r>
                    <w:rPr>
                      <w:rFonts w:ascii="Times New Roman" w:hAnsi="Times New Roman"/>
                      <w:color w:val="000000"/>
                      <w:kern w:val="2"/>
                      <w:sz w:val="21"/>
                      <w:szCs w:val="21"/>
                      <w:lang w:bidi="ar"/>
                    </w:rPr>
                    <w:t>，不在生态保护红线、自然保护地内</w:t>
                  </w:r>
                  <w:r>
                    <w:rPr>
                      <w:rFonts w:hint="eastAsia" w:ascii="Times New Roman" w:hAnsi="Times New Roman"/>
                      <w:color w:val="000000"/>
                      <w:kern w:val="2"/>
                      <w:sz w:val="21"/>
                      <w:szCs w:val="21"/>
                      <w:lang w:bidi="ar"/>
                    </w:rPr>
                    <w:t>。</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1D9649A9">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159B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17612CE1">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2</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50CC1087">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w:t>
                  </w:r>
                </w:p>
                <w:p w14:paraId="36239CB9">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CE3251A">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属于</w:t>
                  </w:r>
                  <w:r>
                    <w:rPr>
                      <w:rFonts w:hint="eastAsia" w:ascii="Times New Roman" w:hAnsi="Times New Roman"/>
                      <w:color w:val="000000"/>
                      <w:kern w:val="2"/>
                      <w:sz w:val="21"/>
                      <w:szCs w:val="21"/>
                      <w:lang w:bidi="ar"/>
                    </w:rPr>
                    <w:t>塑料制品生产</w:t>
                  </w:r>
                  <w:r>
                    <w:rPr>
                      <w:rFonts w:ascii="Times New Roman" w:hAnsi="Times New Roman"/>
                      <w:color w:val="000000"/>
                      <w:kern w:val="2"/>
                      <w:sz w:val="21"/>
                      <w:szCs w:val="21"/>
                      <w:lang w:bidi="ar"/>
                    </w:rPr>
                    <w:t>项目，</w:t>
                  </w:r>
                  <w:r>
                    <w:rPr>
                      <w:rFonts w:hint="eastAsia" w:ascii="Times New Roman" w:hAnsi="Times New Roman"/>
                      <w:color w:val="000000"/>
                      <w:kern w:val="2"/>
                      <w:sz w:val="21"/>
                      <w:szCs w:val="21"/>
                      <w:lang w:bidi="ar"/>
                    </w:rPr>
                    <w:t>生产</w:t>
                  </w:r>
                  <w:r>
                    <w:rPr>
                      <w:rFonts w:ascii="Times New Roman" w:hAnsi="Times New Roman"/>
                      <w:color w:val="000000"/>
                      <w:kern w:val="2"/>
                      <w:sz w:val="21"/>
                      <w:szCs w:val="21"/>
                      <w:lang w:bidi="ar"/>
                    </w:rPr>
                    <w:t>过程中产生的</w:t>
                  </w:r>
                  <w:r>
                    <w:rPr>
                      <w:rFonts w:hint="eastAsia" w:ascii="Times New Roman" w:hAnsi="Times New Roman"/>
                      <w:color w:val="000000"/>
                      <w:kern w:val="2"/>
                      <w:sz w:val="21"/>
                      <w:szCs w:val="21"/>
                      <w:lang w:bidi="ar"/>
                    </w:rPr>
                    <w:t>粉尘及</w:t>
                  </w:r>
                  <w:r>
                    <w:rPr>
                      <w:rFonts w:ascii="Times New Roman" w:hAnsi="Times New Roman"/>
                      <w:color w:val="000000"/>
                      <w:kern w:val="2"/>
                      <w:sz w:val="21"/>
                      <w:szCs w:val="21"/>
                      <w:lang w:bidi="ar"/>
                    </w:rPr>
                    <w:t>有机废气</w:t>
                  </w:r>
                  <w:r>
                    <w:rPr>
                      <w:rFonts w:hint="eastAsia" w:ascii="Times New Roman" w:hAnsi="Times New Roman"/>
                      <w:color w:val="000000"/>
                      <w:kern w:val="2"/>
                      <w:sz w:val="21"/>
                      <w:szCs w:val="21"/>
                      <w:lang w:bidi="ar"/>
                    </w:rPr>
                    <w:t>主要</w:t>
                  </w:r>
                  <w:r>
                    <w:rPr>
                      <w:rFonts w:ascii="Times New Roman" w:hAnsi="Times New Roman"/>
                      <w:color w:val="000000"/>
                      <w:kern w:val="2"/>
                      <w:sz w:val="21"/>
                      <w:szCs w:val="21"/>
                      <w:lang w:bidi="ar"/>
                    </w:rPr>
                    <w:t>经</w:t>
                  </w:r>
                  <w:r>
                    <w:rPr>
                      <w:rFonts w:hint="eastAsia" w:ascii="Times New Roman" w:hAnsi="Times New Roman"/>
                      <w:color w:val="000000"/>
                      <w:kern w:val="2"/>
                      <w:sz w:val="21"/>
                      <w:szCs w:val="21"/>
                      <w:lang w:bidi="ar"/>
                    </w:rPr>
                    <w:t>布袋除尘器除尘、活性炭吸附</w:t>
                  </w:r>
                  <w:r>
                    <w:rPr>
                      <w:rFonts w:ascii="Times New Roman" w:hAnsi="Times New Roman"/>
                      <w:bCs/>
                      <w:color w:val="000000"/>
                      <w:kern w:val="2"/>
                      <w:sz w:val="21"/>
                      <w:szCs w:val="21"/>
                    </w:rPr>
                    <w:t>处理工艺</w:t>
                  </w:r>
                  <w:r>
                    <w:rPr>
                      <w:rFonts w:ascii="Times New Roman" w:hAnsi="Times New Roman"/>
                      <w:color w:val="000000"/>
                      <w:kern w:val="2"/>
                      <w:sz w:val="21"/>
                      <w:szCs w:val="21"/>
                      <w:lang w:bidi="ar"/>
                    </w:rPr>
                    <w:t>处理后</w:t>
                  </w:r>
                  <w:r>
                    <w:rPr>
                      <w:rFonts w:hint="eastAsia" w:ascii="Times New Roman" w:hAnsi="Times New Roman"/>
                      <w:bCs/>
                      <w:color w:val="000000"/>
                      <w:kern w:val="2"/>
                      <w:sz w:val="21"/>
                      <w:szCs w:val="21"/>
                    </w:rPr>
                    <w:t>1</w:t>
                  </w:r>
                  <w:r>
                    <w:rPr>
                      <w:rFonts w:ascii="Times New Roman" w:hAnsi="Times New Roman"/>
                      <w:bCs/>
                      <w:color w:val="000000"/>
                      <w:kern w:val="2"/>
                      <w:sz w:val="21"/>
                      <w:szCs w:val="21"/>
                    </w:rPr>
                    <w:t>5m高排气筒达标排放</w:t>
                  </w:r>
                  <w:r>
                    <w:rPr>
                      <w:rFonts w:hint="eastAsia" w:ascii="Times New Roman" w:hAnsi="Times New Roman"/>
                      <w:bCs/>
                      <w:color w:val="000000"/>
                      <w:kern w:val="2"/>
                      <w:sz w:val="21"/>
                      <w:szCs w:val="21"/>
                    </w:rPr>
                    <w:t>。</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77761688">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31DC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445ECCF7">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3</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421636A5">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5A0479A">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位于</w:t>
                  </w:r>
                  <w:r>
                    <w:rPr>
                      <w:rFonts w:ascii="Times New Roman" w:hAnsi="Times New Roman"/>
                      <w:color w:val="000000"/>
                      <w:sz w:val="21"/>
                      <w:szCs w:val="21"/>
                      <w:lang w:bidi="ar"/>
                    </w:rPr>
                    <w:t>西部（重庆）科学城九龙新城园区</w:t>
                  </w:r>
                  <w:r>
                    <w:rPr>
                      <w:rFonts w:hint="eastAsia" w:ascii="Times New Roman" w:hAnsi="Times New Roman"/>
                      <w:color w:val="000000"/>
                      <w:sz w:val="21"/>
                      <w:szCs w:val="21"/>
                      <w:lang w:bidi="ar"/>
                    </w:rPr>
                    <w:t>西彭</w:t>
                  </w:r>
                  <w:r>
                    <w:rPr>
                      <w:rFonts w:ascii="Times New Roman" w:hAnsi="Times New Roman"/>
                      <w:color w:val="000000"/>
                      <w:sz w:val="21"/>
                      <w:szCs w:val="21"/>
                      <w:lang w:bidi="ar"/>
                    </w:rPr>
                    <w:t>组团</w:t>
                  </w:r>
                  <w:r>
                    <w:rPr>
                      <w:rFonts w:ascii="Times New Roman" w:hAnsi="Times New Roman"/>
                      <w:color w:val="000000"/>
                      <w:kern w:val="2"/>
                      <w:sz w:val="21"/>
                      <w:szCs w:val="21"/>
                      <w:lang w:bidi="ar"/>
                    </w:rPr>
                    <w:t>，位于3类声环境功能区，项目厂界外50m范围内</w:t>
                  </w:r>
                  <w:r>
                    <w:rPr>
                      <w:rFonts w:hint="eastAsia" w:ascii="Times New Roman" w:hAnsi="Times New Roman"/>
                      <w:color w:val="000000"/>
                      <w:kern w:val="2"/>
                      <w:sz w:val="21"/>
                      <w:szCs w:val="21"/>
                      <w:lang w:bidi="ar"/>
                    </w:rPr>
                    <w:t>无声环境保护目标</w:t>
                  </w:r>
                  <w:r>
                    <w:rPr>
                      <w:rFonts w:ascii="Times New Roman" w:hAnsi="Times New Roman"/>
                      <w:color w:val="000000"/>
                      <w:kern w:val="2"/>
                      <w:sz w:val="21"/>
                      <w:szCs w:val="21"/>
                      <w:lang w:bidi="ar"/>
                    </w:rPr>
                    <w:t>，根据噪声预测结果，厂</w:t>
                  </w:r>
                  <w:r>
                    <w:rPr>
                      <w:rFonts w:hint="eastAsia" w:ascii="Times New Roman" w:hAnsi="Times New Roman"/>
                      <w:color w:val="000000"/>
                      <w:kern w:val="2"/>
                      <w:sz w:val="21"/>
                      <w:szCs w:val="21"/>
                      <w:lang w:bidi="ar"/>
                    </w:rPr>
                    <w:t>界</w:t>
                  </w:r>
                  <w:r>
                    <w:rPr>
                      <w:rFonts w:ascii="Times New Roman" w:hAnsi="Times New Roman"/>
                      <w:color w:val="000000"/>
                      <w:kern w:val="2"/>
                      <w:sz w:val="21"/>
                      <w:szCs w:val="21"/>
                      <w:lang w:bidi="ar"/>
                    </w:rPr>
                    <w:t>噪声达标。</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3BBA7D0C">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3274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02595CDF">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4</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2FCC1882">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加强环境风险评估。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57269F45">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实施后严格落实企业突发环境事件风险评估制度。</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07BDAF2E">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51E5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4921FE4D">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5</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21744FD9">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鼓励资源化综合利用危险废物。持续开展打击危险废物环境违法犯罪专项行动，严肃查处违规堆存、随意倾倒、非法填埋、非法转移、非法买卖危险废物等违法行为。加强危险废物处置场、危险废物经营单位和自行利用处置设施的环境监管，确保规范运行。探索建立危险废物“一物一码”管理体系，加快危险废物信息化管理系统建设，实现从产生到处置全过程信息追踪。</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E59527F">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现有工程</w:t>
                  </w:r>
                  <w:r>
                    <w:rPr>
                      <w:rFonts w:ascii="Times New Roman" w:hAnsi="Times New Roman"/>
                      <w:color w:val="000000"/>
                      <w:kern w:val="2"/>
                      <w:sz w:val="21"/>
                      <w:szCs w:val="21"/>
                      <w:lang w:bidi="ar"/>
                    </w:rPr>
                    <w:t>危险废物贮存点严格落实《危险废物贮存污染控制标准》（GB18597-2023），危险废物的转移按照《危险废物转移管理办法》进行，定期由有资质的废物处理单位处置。</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2A566622">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598B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7B909D7C">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6</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7747DCF8">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禁止在长江干支流岸线1公里范围内新建、扩建化工园区和化工项目。鼓励现有工业项目、化工项目分别搬入工业集聚区、化工产业集聚区。</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42BACF2">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不属于化工园区和化工项目。</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2816C553">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r w14:paraId="6AD2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01945723">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7</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0F227F7E">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持续推进重金属环境风险防控。挖掘减排潜力，推进实施一批重金属减排项目。严格执行建设项目重金属排放“等量替换”或“减量替换”制度，无排放指标替换来源的项目不予审批。全面深化涉铅、镉、铬等重金属排放行业污染排查整治，对纳入整治清单的企业实施限期整改。继续对全市有色金属矿采选业、有色金属冶炼业、铅蓄电池制造业、皮革及其制品业、化学原料及化学制品制造业、电镀行业等重点行业执行重点重金属污染物特别排放限值，督促企业达标排放。</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F3697A2">
                  <w:pPr>
                    <w:pStyle w:val="14"/>
                    <w:widowControl w:val="0"/>
                    <w:adjustRightInd w:val="0"/>
                    <w:snapToGrid w:val="0"/>
                    <w:spacing w:before="0" w:beforeAutospacing="0" w:after="0" w:afterAutospacing="0"/>
                    <w:jc w:val="center"/>
                    <w:rPr>
                      <w:rFonts w:ascii="Times New Roman" w:hAnsi="Times New Roman"/>
                      <w:color w:val="000000"/>
                      <w:kern w:val="2"/>
                      <w:sz w:val="21"/>
                      <w:szCs w:val="21"/>
                      <w:lang w:bidi="ar"/>
                    </w:rPr>
                  </w:pPr>
                  <w:r>
                    <w:rPr>
                      <w:rFonts w:hint="eastAsia" w:ascii="Times New Roman" w:hAnsi="Times New Roman"/>
                      <w:color w:val="000000"/>
                      <w:kern w:val="2"/>
                      <w:sz w:val="21"/>
                      <w:szCs w:val="21"/>
                      <w:lang w:bidi="ar"/>
                    </w:rPr>
                    <w:t>本项目</w:t>
                  </w:r>
                  <w:r>
                    <w:rPr>
                      <w:rFonts w:ascii="Times New Roman" w:hAnsi="Times New Roman"/>
                      <w:color w:val="000000"/>
                      <w:kern w:val="2"/>
                      <w:sz w:val="21"/>
                      <w:szCs w:val="21"/>
                      <w:lang w:bidi="ar"/>
                    </w:rPr>
                    <w:t>不涉及重金属</w:t>
                  </w:r>
                </w:p>
                <w:p w14:paraId="6EC0BB8F">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排放。</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7F26347D">
                  <w:pPr>
                    <w:pStyle w:val="14"/>
                    <w:widowControl w:val="0"/>
                    <w:adjustRightInd w:val="0"/>
                    <w:snapToGrid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lang w:bidi="ar"/>
                    </w:rPr>
                    <w:t>符合</w:t>
                  </w:r>
                </w:p>
              </w:tc>
            </w:tr>
          </w:tbl>
          <w:p w14:paraId="4A7117C5">
            <w:pPr>
              <w:widowControl/>
              <w:autoSpaceDN w:val="0"/>
              <w:spacing w:line="360" w:lineRule="auto"/>
              <w:ind w:firstLine="420" w:firstLineChars="200"/>
              <w:contextualSpacing/>
              <w:jc w:val="left"/>
              <w:rPr>
                <w:rFonts w:hint="eastAsia"/>
                <w:color w:val="000000"/>
              </w:rPr>
            </w:pPr>
            <w:r>
              <w:rPr>
                <w:rFonts w:hint="eastAsia"/>
                <w:color w:val="000000"/>
              </w:rPr>
              <w:t>根据分析，本项目符合《重庆市人民政府关于印发重庆市生态环境保护“十四五”规划（2021 —2025年）的通知》相关要求。</w:t>
            </w:r>
          </w:p>
          <w:p w14:paraId="64193A8E">
            <w:pPr>
              <w:spacing w:line="360" w:lineRule="auto"/>
              <w:jc w:val="left"/>
              <w:rPr>
                <w:rFonts w:hint="eastAsia"/>
                <w:b/>
                <w:bCs/>
                <w:color w:val="000000"/>
              </w:rPr>
            </w:pPr>
            <w:r>
              <w:rPr>
                <w:rFonts w:hint="eastAsia"/>
                <w:b/>
                <w:bCs/>
                <w:color w:val="000000"/>
              </w:rPr>
              <w:t>1.6.3与《挥发性有机物无组织排放控制标准》（GB37822-2019）的符合性</w:t>
            </w:r>
          </w:p>
          <w:p w14:paraId="64FEFB04">
            <w:pPr>
              <w:spacing w:line="360" w:lineRule="auto"/>
              <w:ind w:firstLine="420" w:firstLineChars="200"/>
              <w:rPr>
                <w:rFonts w:hint="eastAsia"/>
                <w:color w:val="000000"/>
              </w:rPr>
            </w:pPr>
            <w:r>
              <w:rPr>
                <w:rFonts w:hint="eastAsia"/>
                <w:color w:val="000000"/>
              </w:rPr>
              <w:t>项目与《挥发性</w:t>
            </w:r>
            <w:r>
              <w:rPr>
                <w:rFonts w:hint="eastAsia"/>
                <w:color w:val="000000"/>
                <w:szCs w:val="32"/>
              </w:rPr>
              <w:t>有机物</w:t>
            </w:r>
            <w:r>
              <w:rPr>
                <w:rFonts w:hint="eastAsia"/>
                <w:color w:val="000000"/>
              </w:rPr>
              <w:t>无组织排放控制标准》（GB37822-2019）的符合性分析见</w:t>
            </w:r>
            <w:r>
              <w:rPr>
                <w:rFonts w:hint="eastAsia"/>
                <w:color w:val="000000"/>
              </w:rPr>
              <w:fldChar w:fldCharType="begin"/>
            </w:r>
            <w:r>
              <w:rPr>
                <w:color w:val="000000"/>
              </w:rPr>
              <w:instrText xml:space="preserve"> REF _Ref17397 \h  \* MERGEFORMAT</w:instrText>
            </w:r>
            <w:r>
              <w:rPr>
                <w:rFonts w:hint="eastAsia"/>
                <w:color w:val="000000"/>
              </w:rPr>
              <w:fldChar w:fldCharType="separate"/>
            </w:r>
            <w:r>
              <w:rPr>
                <w:color w:val="000000"/>
              </w:rPr>
              <w:t>表1-</w:t>
            </w:r>
            <w:r>
              <w:rPr>
                <w:rFonts w:hint="eastAsia"/>
                <w:color w:val="000000"/>
              </w:rPr>
              <w:t>9</w:t>
            </w:r>
            <w:r>
              <w:rPr>
                <w:rFonts w:hint="eastAsia"/>
                <w:color w:val="000000"/>
              </w:rPr>
              <w:fldChar w:fldCharType="end"/>
            </w:r>
            <w:r>
              <w:rPr>
                <w:rFonts w:hint="eastAsia"/>
                <w:color w:val="000000"/>
              </w:rPr>
              <w:t>。</w:t>
            </w:r>
          </w:p>
          <w:p w14:paraId="76F320BB">
            <w:pPr>
              <w:jc w:val="center"/>
              <w:rPr>
                <w:rFonts w:hint="eastAsia"/>
                <w:b/>
                <w:color w:val="000000"/>
                <w:szCs w:val="32"/>
              </w:rPr>
            </w:pPr>
            <w:bookmarkStart w:id="7" w:name="_Ref17397"/>
            <w:r>
              <w:rPr>
                <w:rFonts w:hint="eastAsia"/>
                <w:b/>
                <w:color w:val="000000"/>
                <w:szCs w:val="32"/>
              </w:rPr>
              <w:t>表1-</w:t>
            </w:r>
            <w:bookmarkEnd w:id="7"/>
            <w:r>
              <w:rPr>
                <w:rFonts w:hint="eastAsia"/>
                <w:b/>
                <w:color w:val="000000"/>
                <w:szCs w:val="32"/>
              </w:rPr>
              <w:t>9  与《挥发性有机物无组织排放控制标准》（GB37822-2019）符合性</w:t>
            </w:r>
          </w:p>
          <w:tbl>
            <w:tblPr>
              <w:tblStyle w:val="16"/>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92"/>
              <w:gridCol w:w="5598"/>
              <w:gridCol w:w="1144"/>
              <w:gridCol w:w="470"/>
            </w:tblGrid>
            <w:tr w14:paraId="1661B7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trPr>
              <w:tc>
                <w:tcPr>
                  <w:tcW w:w="550" w:type="pct"/>
                  <w:noWrap w:val="0"/>
                  <w:vAlign w:val="center"/>
                </w:tcPr>
                <w:p w14:paraId="538FBC1C">
                  <w:pPr>
                    <w:pStyle w:val="26"/>
                    <w:spacing w:before="31"/>
                    <w:rPr>
                      <w:b/>
                      <w:bCs/>
                      <w:color w:val="000000"/>
                    </w:rPr>
                  </w:pPr>
                  <w:r>
                    <w:rPr>
                      <w:rFonts w:hint="eastAsia"/>
                      <w:b/>
                      <w:bCs/>
                      <w:color w:val="000000"/>
                    </w:rPr>
                    <w:t>类别</w:t>
                  </w:r>
                </w:p>
              </w:tc>
              <w:tc>
                <w:tcPr>
                  <w:tcW w:w="3452" w:type="pct"/>
                  <w:noWrap w:val="0"/>
                  <w:vAlign w:val="center"/>
                </w:tcPr>
                <w:p w14:paraId="2377C493">
                  <w:pPr>
                    <w:pStyle w:val="26"/>
                    <w:spacing w:before="31"/>
                    <w:rPr>
                      <w:b/>
                      <w:bCs/>
                      <w:color w:val="000000"/>
                    </w:rPr>
                  </w:pPr>
                  <w:r>
                    <w:rPr>
                      <w:rFonts w:hint="eastAsia"/>
                      <w:b/>
                      <w:bCs/>
                      <w:color w:val="000000"/>
                    </w:rPr>
                    <w:t>与</w:t>
                  </w:r>
                  <w:r>
                    <w:rPr>
                      <w:b/>
                      <w:bCs/>
                      <w:color w:val="000000"/>
                    </w:rPr>
                    <w:t>项目相关要求</w:t>
                  </w:r>
                </w:p>
              </w:tc>
              <w:tc>
                <w:tcPr>
                  <w:tcW w:w="706" w:type="pct"/>
                  <w:noWrap w:val="0"/>
                  <w:vAlign w:val="center"/>
                </w:tcPr>
                <w:p w14:paraId="7A0B572F">
                  <w:pPr>
                    <w:pStyle w:val="26"/>
                    <w:spacing w:before="31"/>
                    <w:rPr>
                      <w:b/>
                      <w:bCs/>
                      <w:color w:val="000000"/>
                    </w:rPr>
                  </w:pPr>
                  <w:r>
                    <w:rPr>
                      <w:rFonts w:hint="eastAsia"/>
                      <w:b/>
                      <w:bCs/>
                      <w:color w:val="000000"/>
                    </w:rPr>
                    <w:t>本项目</w:t>
                  </w:r>
                </w:p>
              </w:tc>
              <w:tc>
                <w:tcPr>
                  <w:tcW w:w="290" w:type="pct"/>
                  <w:noWrap w:val="0"/>
                  <w:vAlign w:val="center"/>
                </w:tcPr>
                <w:p w14:paraId="42BBB4C7">
                  <w:pPr>
                    <w:pStyle w:val="26"/>
                    <w:spacing w:before="31"/>
                    <w:rPr>
                      <w:b/>
                      <w:bCs/>
                      <w:color w:val="000000"/>
                    </w:rPr>
                  </w:pPr>
                  <w:r>
                    <w:rPr>
                      <w:rFonts w:hint="eastAsia"/>
                      <w:b/>
                      <w:bCs/>
                      <w:color w:val="000000"/>
                    </w:rPr>
                    <w:t>符合性</w:t>
                  </w:r>
                </w:p>
              </w:tc>
            </w:tr>
            <w:tr w14:paraId="401772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3F87DAFF">
                  <w:pPr>
                    <w:pStyle w:val="26"/>
                    <w:spacing w:before="31"/>
                    <w:rPr>
                      <w:color w:val="000000"/>
                    </w:rPr>
                  </w:pPr>
                  <w:r>
                    <w:rPr>
                      <w:rFonts w:hint="eastAsia"/>
                      <w:color w:val="000000"/>
                    </w:rPr>
                    <w:t>VOC</w:t>
                  </w:r>
                  <w:r>
                    <w:rPr>
                      <w:rFonts w:hint="eastAsia"/>
                      <w:color w:val="000000"/>
                      <w:vertAlign w:val="subscript"/>
                    </w:rPr>
                    <w:t>S</w:t>
                  </w:r>
                  <w:r>
                    <w:rPr>
                      <w:rFonts w:hint="eastAsia"/>
                      <w:color w:val="000000"/>
                    </w:rPr>
                    <w:t>物料储存无组织排放控制要求</w:t>
                  </w:r>
                </w:p>
              </w:tc>
              <w:tc>
                <w:tcPr>
                  <w:tcW w:w="3452" w:type="pct"/>
                  <w:noWrap w:val="0"/>
                  <w:vAlign w:val="center"/>
                </w:tcPr>
                <w:p w14:paraId="13A5E31E">
                  <w:pPr>
                    <w:pStyle w:val="26"/>
                    <w:spacing w:before="31"/>
                    <w:jc w:val="both"/>
                    <w:rPr>
                      <w:color w:val="000000"/>
                    </w:rPr>
                  </w:pPr>
                  <w:r>
                    <w:rPr>
                      <w:rFonts w:hint="eastAsia"/>
                      <w:color w:val="000000"/>
                    </w:rPr>
                    <w:t>1.VOC</w:t>
                  </w:r>
                  <w:r>
                    <w:rPr>
                      <w:rFonts w:hint="eastAsia"/>
                      <w:color w:val="000000"/>
                      <w:vertAlign w:val="subscript"/>
                    </w:rPr>
                    <w:t>S</w:t>
                  </w:r>
                  <w:r>
                    <w:rPr>
                      <w:rFonts w:hint="eastAsia"/>
                      <w:color w:val="000000"/>
                    </w:rPr>
                    <w:t>物料应储存于密闭的容器、包装袋、储罐、储库、料仓中。2.盛装VOC</w:t>
                  </w:r>
                  <w:r>
                    <w:rPr>
                      <w:rFonts w:hint="eastAsia"/>
                      <w:color w:val="000000"/>
                      <w:vertAlign w:val="subscript"/>
                    </w:rPr>
                    <w:t>S</w:t>
                  </w:r>
                  <w:r>
                    <w:rPr>
                      <w:rFonts w:hint="eastAsia"/>
                      <w:color w:val="000000"/>
                    </w:rPr>
                    <w:t>物料的容器或包装袋应存放于室内，或存放于设置有雨棚、遮阳和防渗设施的专用场地。3.盛装VOC</w:t>
                  </w:r>
                  <w:r>
                    <w:rPr>
                      <w:rFonts w:hint="eastAsia"/>
                      <w:color w:val="000000"/>
                      <w:vertAlign w:val="subscript"/>
                    </w:rPr>
                    <w:t>S</w:t>
                  </w:r>
                  <w:r>
                    <w:rPr>
                      <w:rFonts w:hint="eastAsia"/>
                      <w:color w:val="000000"/>
                    </w:rPr>
                    <w:t>物料的容器或包装袋在非取用状态时应加盖、封口，保持密闭。VOC</w:t>
                  </w:r>
                  <w:r>
                    <w:rPr>
                      <w:rFonts w:hint="eastAsia"/>
                      <w:color w:val="000000"/>
                      <w:vertAlign w:val="subscript"/>
                    </w:rPr>
                    <w:t>S</w:t>
                  </w:r>
                  <w:r>
                    <w:rPr>
                      <w:rFonts w:hint="eastAsia"/>
                      <w:color w:val="000000"/>
                    </w:rPr>
                    <w:t>物料储罐应密封良好，其中挥发性有机液体储罐应符合挥发性有机液体储罐规定。4.VOC</w:t>
                  </w:r>
                  <w:r>
                    <w:rPr>
                      <w:rFonts w:hint="eastAsia"/>
                      <w:color w:val="000000"/>
                      <w:vertAlign w:val="subscript"/>
                    </w:rPr>
                    <w:t>S</w:t>
                  </w:r>
                  <w:r>
                    <w:rPr>
                      <w:rFonts w:hint="eastAsia"/>
                      <w:color w:val="000000"/>
                    </w:rPr>
                    <w:t>物料储库、料仓应满足对密闭空间的要求。</w:t>
                  </w:r>
                </w:p>
              </w:tc>
              <w:tc>
                <w:tcPr>
                  <w:tcW w:w="706" w:type="pct"/>
                  <w:vMerge w:val="restart"/>
                  <w:noWrap w:val="0"/>
                  <w:vAlign w:val="center"/>
                </w:tcPr>
                <w:p w14:paraId="474BFB4B">
                  <w:pPr>
                    <w:pStyle w:val="26"/>
                    <w:spacing w:before="31"/>
                    <w:jc w:val="both"/>
                    <w:rPr>
                      <w:color w:val="000000"/>
                    </w:rPr>
                  </w:pPr>
                  <w:r>
                    <w:rPr>
                      <w:rFonts w:hint="eastAsia"/>
                      <w:color w:val="000000"/>
                    </w:rPr>
                    <w:t>项目塑料颗粒室内贮存，储存无挥发。使用的6种液体原料沸点为220℃~430℃，其储存真实蒸气压远小于0.3kPa，不属于挥发性有机液体。</w:t>
                  </w:r>
                </w:p>
              </w:tc>
              <w:tc>
                <w:tcPr>
                  <w:tcW w:w="290" w:type="pct"/>
                  <w:vMerge w:val="restart"/>
                  <w:noWrap w:val="0"/>
                  <w:vAlign w:val="center"/>
                </w:tcPr>
                <w:p w14:paraId="4D58AC11">
                  <w:pPr>
                    <w:pStyle w:val="26"/>
                    <w:spacing w:before="31"/>
                    <w:rPr>
                      <w:color w:val="000000"/>
                    </w:rPr>
                  </w:pPr>
                  <w:r>
                    <w:rPr>
                      <w:rFonts w:hint="eastAsia"/>
                      <w:color w:val="000000"/>
                    </w:rPr>
                    <w:t>符合</w:t>
                  </w:r>
                </w:p>
              </w:tc>
            </w:tr>
            <w:tr w14:paraId="794E0E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7343B836">
                  <w:pPr>
                    <w:pStyle w:val="26"/>
                    <w:spacing w:before="31"/>
                    <w:rPr>
                      <w:color w:val="000000"/>
                    </w:rPr>
                  </w:pPr>
                  <w:r>
                    <w:rPr>
                      <w:rFonts w:hint="eastAsia"/>
                      <w:color w:val="000000"/>
                    </w:rPr>
                    <w:t>VOC</w:t>
                  </w:r>
                  <w:r>
                    <w:rPr>
                      <w:rFonts w:hint="eastAsia"/>
                      <w:color w:val="000000"/>
                      <w:vertAlign w:val="subscript"/>
                    </w:rPr>
                    <w:t>S</w:t>
                  </w:r>
                  <w:r>
                    <w:rPr>
                      <w:rFonts w:hint="eastAsia"/>
                      <w:color w:val="000000"/>
                    </w:rPr>
                    <w:t>物料转移和输送无组织排放控制要求</w:t>
                  </w:r>
                </w:p>
              </w:tc>
              <w:tc>
                <w:tcPr>
                  <w:tcW w:w="3452" w:type="pct"/>
                  <w:noWrap w:val="0"/>
                  <w:vAlign w:val="center"/>
                </w:tcPr>
                <w:p w14:paraId="1E06EB0E">
                  <w:pPr>
                    <w:pStyle w:val="26"/>
                    <w:spacing w:before="31"/>
                    <w:jc w:val="both"/>
                    <w:rPr>
                      <w:color w:val="000000"/>
                    </w:rPr>
                  </w:pPr>
                  <w:r>
                    <w:rPr>
                      <w:rFonts w:hint="eastAsia"/>
                      <w:color w:val="000000"/>
                    </w:rPr>
                    <w:t>1.液态VOC</w:t>
                  </w:r>
                  <w:r>
                    <w:rPr>
                      <w:rFonts w:hint="eastAsia"/>
                      <w:color w:val="000000"/>
                      <w:vertAlign w:val="subscript"/>
                    </w:rPr>
                    <w:t>S</w:t>
                  </w:r>
                  <w:r>
                    <w:rPr>
                      <w:rFonts w:hint="eastAsia"/>
                      <w:color w:val="000000"/>
                    </w:rPr>
                    <w:t>物料应采用密闭管道输送。采用非管道输送方式转移液态VOC</w:t>
                  </w:r>
                  <w:r>
                    <w:rPr>
                      <w:rFonts w:hint="eastAsia"/>
                      <w:color w:val="000000"/>
                      <w:vertAlign w:val="subscript"/>
                    </w:rPr>
                    <w:t>S</w:t>
                  </w:r>
                  <w:r>
                    <w:rPr>
                      <w:rFonts w:hint="eastAsia"/>
                      <w:color w:val="000000"/>
                    </w:rPr>
                    <w:t>物料时，应采用密闭容器、罐车；2.粉状、粒状VOC</w:t>
                  </w:r>
                  <w:r>
                    <w:rPr>
                      <w:rFonts w:hint="eastAsia"/>
                      <w:color w:val="000000"/>
                      <w:vertAlign w:val="subscript"/>
                    </w:rPr>
                    <w:t>S</w:t>
                  </w:r>
                  <w:r>
                    <w:rPr>
                      <w:rFonts w:hint="eastAsia"/>
                      <w:color w:val="000000"/>
                    </w:rPr>
                    <w:t>物料应采用气力输送设备、管状带式输送机、螺旋输送机等密闭输送方式，或者采用密闭的包装袋、容器或罐车进行物料转移。</w:t>
                  </w:r>
                </w:p>
              </w:tc>
              <w:tc>
                <w:tcPr>
                  <w:tcW w:w="706" w:type="pct"/>
                  <w:vMerge w:val="continue"/>
                  <w:noWrap w:val="0"/>
                  <w:vAlign w:val="center"/>
                </w:tcPr>
                <w:p w14:paraId="7D5064D4">
                  <w:pPr>
                    <w:pStyle w:val="26"/>
                    <w:spacing w:before="31"/>
                    <w:jc w:val="both"/>
                    <w:rPr>
                      <w:color w:val="000000"/>
                    </w:rPr>
                  </w:pPr>
                </w:p>
              </w:tc>
              <w:tc>
                <w:tcPr>
                  <w:tcW w:w="290" w:type="pct"/>
                  <w:vMerge w:val="continue"/>
                  <w:noWrap w:val="0"/>
                  <w:vAlign w:val="center"/>
                </w:tcPr>
                <w:p w14:paraId="6B8720B6">
                  <w:pPr>
                    <w:pStyle w:val="26"/>
                    <w:spacing w:before="31"/>
                    <w:rPr>
                      <w:color w:val="000000"/>
                    </w:rPr>
                  </w:pPr>
                </w:p>
              </w:tc>
            </w:tr>
            <w:tr w14:paraId="2787BD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250EFFC6">
                  <w:pPr>
                    <w:pStyle w:val="26"/>
                    <w:spacing w:before="31"/>
                    <w:rPr>
                      <w:color w:val="000000"/>
                    </w:rPr>
                  </w:pPr>
                  <w:r>
                    <w:rPr>
                      <w:rFonts w:hint="eastAsia"/>
                      <w:color w:val="000000"/>
                    </w:rPr>
                    <w:t>工艺过程VOC</w:t>
                  </w:r>
                  <w:r>
                    <w:rPr>
                      <w:rFonts w:hint="eastAsia"/>
                      <w:color w:val="000000"/>
                      <w:vertAlign w:val="subscript"/>
                    </w:rPr>
                    <w:t>S</w:t>
                  </w:r>
                  <w:r>
                    <w:rPr>
                      <w:rFonts w:hint="eastAsia"/>
                      <w:color w:val="000000"/>
                    </w:rPr>
                    <w:t>无组织排放控制要求</w:t>
                  </w:r>
                </w:p>
              </w:tc>
              <w:tc>
                <w:tcPr>
                  <w:tcW w:w="3452" w:type="pct"/>
                  <w:noWrap w:val="0"/>
                  <w:vAlign w:val="center"/>
                </w:tcPr>
                <w:p w14:paraId="7C5A749A">
                  <w:pPr>
                    <w:pStyle w:val="26"/>
                    <w:spacing w:before="31"/>
                    <w:jc w:val="left"/>
                    <w:rPr>
                      <w:color w:val="000000"/>
                    </w:rPr>
                  </w:pPr>
                  <w:r>
                    <w:rPr>
                      <w:rFonts w:hint="eastAsia"/>
                      <w:color w:val="000000"/>
                    </w:rPr>
                    <w:t>2.有机聚合物产品用于制品生产的过程：在混合/混炼、塑炼/塑化/熔化、加工成型（挤出、注射、压制、压延、发泡、纺丝等）等作业中应采用密闭设备或在密闭空间内操作，废气应排至VOC</w:t>
                  </w:r>
                  <w:r>
                    <w:rPr>
                      <w:rFonts w:hint="eastAsia"/>
                      <w:color w:val="000000"/>
                      <w:vertAlign w:val="subscript"/>
                    </w:rPr>
                    <w:t>S</w:t>
                  </w:r>
                  <w:r>
                    <w:rPr>
                      <w:rFonts w:hint="eastAsia"/>
                      <w:color w:val="000000"/>
                    </w:rPr>
                    <w:t>废气收集处理系统；无法密闭的，应采取局部气体收集措施，废气应排至VOC</w:t>
                  </w:r>
                  <w:r>
                    <w:rPr>
                      <w:rFonts w:hint="eastAsia"/>
                      <w:color w:val="000000"/>
                      <w:vertAlign w:val="subscript"/>
                    </w:rPr>
                    <w:t>S</w:t>
                  </w:r>
                  <w:r>
                    <w:rPr>
                      <w:rFonts w:hint="eastAsia"/>
                      <w:color w:val="000000"/>
                    </w:rPr>
                    <w:t>废气收集处理系统。</w:t>
                  </w:r>
                </w:p>
              </w:tc>
              <w:tc>
                <w:tcPr>
                  <w:tcW w:w="706" w:type="pct"/>
                  <w:vMerge w:val="restart"/>
                  <w:noWrap w:val="0"/>
                  <w:vAlign w:val="center"/>
                </w:tcPr>
                <w:p w14:paraId="39C252BA">
                  <w:pPr>
                    <w:pStyle w:val="26"/>
                    <w:spacing w:before="31"/>
                    <w:jc w:val="both"/>
                    <w:rPr>
                      <w:color w:val="000000"/>
                    </w:rPr>
                  </w:pPr>
                  <w:r>
                    <w:rPr>
                      <w:rFonts w:hint="eastAsia"/>
                      <w:color w:val="000000"/>
                    </w:rPr>
                    <w:t>项目有机废气设置集气罩+磁吸软帘收集处置，控制风速0.3m/s。PVC电缆料生产线NMHC初始排放速率为2.614kg/h，大于2kg/h，采用“静电除油器+酸雾洗涤塔+除湿器+UV光氧催化+三级活性炭”，处理效率为80%。</w:t>
                  </w:r>
                </w:p>
              </w:tc>
              <w:tc>
                <w:tcPr>
                  <w:tcW w:w="290" w:type="pct"/>
                  <w:vMerge w:val="restart"/>
                  <w:noWrap w:val="0"/>
                  <w:vAlign w:val="center"/>
                </w:tcPr>
                <w:p w14:paraId="6A6F2FDD">
                  <w:pPr>
                    <w:pStyle w:val="26"/>
                    <w:spacing w:before="31"/>
                    <w:rPr>
                      <w:rFonts w:hint="eastAsia"/>
                      <w:color w:val="000000"/>
                    </w:rPr>
                  </w:pPr>
                  <w:r>
                    <w:rPr>
                      <w:rFonts w:hint="eastAsia"/>
                      <w:color w:val="000000"/>
                    </w:rPr>
                    <w:t>符合</w:t>
                  </w:r>
                </w:p>
              </w:tc>
            </w:tr>
            <w:tr w14:paraId="01B41C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08969946">
                  <w:pPr>
                    <w:pStyle w:val="26"/>
                    <w:spacing w:before="31"/>
                    <w:rPr>
                      <w:color w:val="000000"/>
                    </w:rPr>
                  </w:pPr>
                  <w:r>
                    <w:rPr>
                      <w:rFonts w:hint="eastAsia"/>
                      <w:color w:val="000000"/>
                    </w:rPr>
                    <w:t>废气收集系统要求</w:t>
                  </w:r>
                </w:p>
              </w:tc>
              <w:tc>
                <w:tcPr>
                  <w:tcW w:w="3452" w:type="pct"/>
                  <w:noWrap w:val="0"/>
                  <w:vAlign w:val="center"/>
                </w:tcPr>
                <w:p w14:paraId="61B9E3C0">
                  <w:pPr>
                    <w:pStyle w:val="26"/>
                    <w:spacing w:before="31"/>
                    <w:jc w:val="left"/>
                    <w:rPr>
                      <w:color w:val="000000"/>
                    </w:rPr>
                  </w:pPr>
                  <w:r>
                    <w:rPr>
                      <w:rFonts w:hint="eastAsia"/>
                      <w:color w:val="000000"/>
                    </w:rPr>
                    <w:t>1.企业应考虑生产工艺、操作方式、废气性质、处理方法等因素，对VOC</w:t>
                  </w:r>
                  <w:r>
                    <w:rPr>
                      <w:rFonts w:hint="eastAsia"/>
                      <w:color w:val="000000"/>
                      <w:vertAlign w:val="subscript"/>
                    </w:rPr>
                    <w:t>S</w:t>
                  </w:r>
                  <w:r>
                    <w:rPr>
                      <w:rFonts w:hint="eastAsia"/>
                      <w:color w:val="000000"/>
                    </w:rPr>
                    <w:t>废气进行分类收集。2.废气收集系统排风罩（集气罩）的设置应符合GB/T 16758的规定。采用外部排风罩的，应按GB/T 16758、AQ/T 4274—2016 规定的方法测量控制风速，测量点应选取在距排风罩开口面最远处的VOC</w:t>
                  </w:r>
                  <w:r>
                    <w:rPr>
                      <w:rFonts w:hint="eastAsia"/>
                      <w:color w:val="000000"/>
                      <w:vertAlign w:val="subscript"/>
                    </w:rPr>
                    <w:t>S</w:t>
                  </w:r>
                  <w:r>
                    <w:rPr>
                      <w:rFonts w:hint="eastAsia"/>
                      <w:color w:val="000000"/>
                    </w:rPr>
                    <w:t>无组织排放位置，控制风速不应低于0.3m/s（行业相关规范有具体规定的，按相关规定执行）</w:t>
                  </w:r>
                </w:p>
              </w:tc>
              <w:tc>
                <w:tcPr>
                  <w:tcW w:w="706" w:type="pct"/>
                  <w:vMerge w:val="continue"/>
                  <w:noWrap w:val="0"/>
                  <w:vAlign w:val="center"/>
                </w:tcPr>
                <w:p w14:paraId="02E6697E">
                  <w:pPr>
                    <w:pStyle w:val="26"/>
                    <w:spacing w:before="31"/>
                    <w:jc w:val="both"/>
                    <w:rPr>
                      <w:color w:val="000000"/>
                    </w:rPr>
                  </w:pPr>
                </w:p>
              </w:tc>
              <w:tc>
                <w:tcPr>
                  <w:tcW w:w="290" w:type="pct"/>
                  <w:vMerge w:val="continue"/>
                  <w:noWrap w:val="0"/>
                  <w:vAlign w:val="center"/>
                </w:tcPr>
                <w:p w14:paraId="49ECD180">
                  <w:pPr>
                    <w:pStyle w:val="26"/>
                    <w:spacing w:before="31"/>
                    <w:rPr>
                      <w:color w:val="000000"/>
                    </w:rPr>
                  </w:pPr>
                </w:p>
              </w:tc>
            </w:tr>
            <w:tr w14:paraId="144689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331C0FCE">
                  <w:pPr>
                    <w:pStyle w:val="26"/>
                    <w:spacing w:before="31"/>
                    <w:rPr>
                      <w:color w:val="000000"/>
                    </w:rPr>
                  </w:pPr>
                  <w:r>
                    <w:rPr>
                      <w:rFonts w:hint="eastAsia"/>
                      <w:color w:val="000000"/>
                    </w:rPr>
                    <w:t>VOC</w:t>
                  </w:r>
                  <w:r>
                    <w:rPr>
                      <w:rFonts w:hint="eastAsia"/>
                      <w:color w:val="000000"/>
                      <w:vertAlign w:val="subscript"/>
                    </w:rPr>
                    <w:t>S</w:t>
                  </w:r>
                  <w:r>
                    <w:rPr>
                      <w:rFonts w:hint="eastAsia"/>
                      <w:color w:val="000000"/>
                    </w:rPr>
                    <w:t>排放控制要求</w:t>
                  </w:r>
                </w:p>
              </w:tc>
              <w:tc>
                <w:tcPr>
                  <w:tcW w:w="3452" w:type="pct"/>
                  <w:noWrap w:val="0"/>
                  <w:vAlign w:val="center"/>
                </w:tcPr>
                <w:p w14:paraId="1F9342C8">
                  <w:pPr>
                    <w:pStyle w:val="26"/>
                    <w:spacing w:before="31"/>
                    <w:jc w:val="left"/>
                    <w:rPr>
                      <w:color w:val="000000"/>
                    </w:rPr>
                  </w:pPr>
                  <w:r>
                    <w:rPr>
                      <w:rFonts w:hint="eastAsia"/>
                      <w:color w:val="000000"/>
                    </w:rPr>
                    <w:t>VOC</w:t>
                  </w:r>
                  <w:r>
                    <w:rPr>
                      <w:rFonts w:hint="eastAsia"/>
                      <w:color w:val="000000"/>
                      <w:vertAlign w:val="subscript"/>
                    </w:rPr>
                    <w:t>S</w:t>
                  </w:r>
                  <w:r>
                    <w:rPr>
                      <w:rFonts w:hint="eastAsia"/>
                      <w:color w:val="000000"/>
                    </w:rPr>
                    <w:t>废气收集处理系统污染物排放应符合GB 16297或相关行业排放标准的规定。收集的废气中NMHC初始排放速率≥3kg/h时，应配置VOC</w:t>
                  </w:r>
                  <w:r>
                    <w:rPr>
                      <w:rFonts w:hint="eastAsia"/>
                      <w:color w:val="000000"/>
                      <w:vertAlign w:val="subscript"/>
                    </w:rPr>
                    <w:t>S</w:t>
                  </w:r>
                  <w:r>
                    <w:rPr>
                      <w:rFonts w:hint="eastAsia"/>
                      <w:color w:val="000000"/>
                    </w:rPr>
                    <w:t>处理设施，处理效率不应低于80%；对于重点地区，收集的废气中NMHC初始排放速率≥2kg/h时，应配置VOC</w:t>
                  </w:r>
                  <w:r>
                    <w:rPr>
                      <w:rFonts w:hint="eastAsia"/>
                      <w:color w:val="000000"/>
                      <w:vertAlign w:val="subscript"/>
                    </w:rPr>
                    <w:t>S</w:t>
                  </w:r>
                  <w:r>
                    <w:rPr>
                      <w:rFonts w:hint="eastAsia"/>
                      <w:color w:val="000000"/>
                    </w:rPr>
                    <w:t>处理设施，处理效率不应低于80%；采用的原辅材料符合国家有关低VOC</w:t>
                  </w:r>
                  <w:r>
                    <w:rPr>
                      <w:rFonts w:hint="eastAsia"/>
                      <w:color w:val="000000"/>
                      <w:vertAlign w:val="subscript"/>
                    </w:rPr>
                    <w:t>S</w:t>
                  </w:r>
                  <w:r>
                    <w:rPr>
                      <w:rFonts w:hint="eastAsia"/>
                      <w:color w:val="000000"/>
                    </w:rPr>
                    <w:t>含量产品规定的除外。排气筒高度不低于15m（因安全考虑或有特殊工艺要求的除外），具体高度以及与周围建筑物的相对高度关系应根据环境影响评价文件确定。</w:t>
                  </w:r>
                </w:p>
              </w:tc>
              <w:tc>
                <w:tcPr>
                  <w:tcW w:w="706" w:type="pct"/>
                  <w:vMerge w:val="continue"/>
                  <w:noWrap w:val="0"/>
                  <w:vAlign w:val="center"/>
                </w:tcPr>
                <w:p w14:paraId="09A8780F">
                  <w:pPr>
                    <w:pStyle w:val="26"/>
                    <w:spacing w:before="31"/>
                    <w:jc w:val="both"/>
                    <w:rPr>
                      <w:color w:val="000000"/>
                    </w:rPr>
                  </w:pPr>
                </w:p>
              </w:tc>
              <w:tc>
                <w:tcPr>
                  <w:tcW w:w="290" w:type="pct"/>
                  <w:vMerge w:val="continue"/>
                  <w:noWrap w:val="0"/>
                  <w:vAlign w:val="center"/>
                </w:tcPr>
                <w:p w14:paraId="1882BCD5">
                  <w:pPr>
                    <w:pStyle w:val="26"/>
                    <w:spacing w:before="31"/>
                    <w:rPr>
                      <w:color w:val="000000"/>
                    </w:rPr>
                  </w:pPr>
                </w:p>
              </w:tc>
            </w:tr>
            <w:tr w14:paraId="252DA7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noWrap w:val="0"/>
                  <w:vAlign w:val="center"/>
                </w:tcPr>
                <w:p w14:paraId="2AFF99BB">
                  <w:pPr>
                    <w:pStyle w:val="26"/>
                    <w:spacing w:before="31"/>
                    <w:rPr>
                      <w:color w:val="000000"/>
                    </w:rPr>
                  </w:pPr>
                  <w:r>
                    <w:rPr>
                      <w:rFonts w:hint="eastAsia"/>
                      <w:color w:val="000000"/>
                    </w:rPr>
                    <w:t>记录要求</w:t>
                  </w:r>
                </w:p>
              </w:tc>
              <w:tc>
                <w:tcPr>
                  <w:tcW w:w="3452" w:type="pct"/>
                  <w:noWrap w:val="0"/>
                  <w:vAlign w:val="center"/>
                </w:tcPr>
                <w:p w14:paraId="799388BF">
                  <w:pPr>
                    <w:pStyle w:val="26"/>
                    <w:spacing w:before="31"/>
                    <w:jc w:val="both"/>
                    <w:rPr>
                      <w:color w:val="000000"/>
                    </w:rPr>
                  </w:pPr>
                  <w:r>
                    <w:rPr>
                      <w:rFonts w:hint="eastAsia"/>
                      <w:color w:val="000000"/>
                    </w:rPr>
                    <w:t>企业应建立台账，记录废气收集系统、VOC</w:t>
                  </w:r>
                  <w:r>
                    <w:rPr>
                      <w:rFonts w:hint="eastAsia"/>
                      <w:color w:val="000000"/>
                      <w:vertAlign w:val="subscript"/>
                    </w:rPr>
                    <w:t>S</w:t>
                  </w:r>
                  <w:r>
                    <w:rPr>
                      <w:rFonts w:hint="eastAsia"/>
                      <w:color w:val="000000"/>
                    </w:rPr>
                    <w:t>处理设施的主要运行和维护信息，如运行时间、废气处理量、操作温度、停留时间、吸附剂再生/更换周期和更换量、催化剂更换周期和更换量、吸收液pH值等关键运行参数。台账保存期限不少于3年。</w:t>
                  </w:r>
                </w:p>
              </w:tc>
              <w:tc>
                <w:tcPr>
                  <w:tcW w:w="706" w:type="pct"/>
                  <w:noWrap w:val="0"/>
                  <w:vAlign w:val="center"/>
                </w:tcPr>
                <w:p w14:paraId="04458B66">
                  <w:pPr>
                    <w:pStyle w:val="26"/>
                    <w:spacing w:before="31"/>
                    <w:jc w:val="both"/>
                    <w:rPr>
                      <w:color w:val="000000"/>
                    </w:rPr>
                  </w:pPr>
                  <w:r>
                    <w:rPr>
                      <w:rFonts w:hint="eastAsia"/>
                      <w:color w:val="000000"/>
                    </w:rPr>
                    <w:t>企业应严格执行台账管理。</w:t>
                  </w:r>
                </w:p>
              </w:tc>
              <w:tc>
                <w:tcPr>
                  <w:tcW w:w="290" w:type="pct"/>
                  <w:noWrap w:val="0"/>
                  <w:vAlign w:val="center"/>
                </w:tcPr>
                <w:p w14:paraId="656BA2F7">
                  <w:pPr>
                    <w:pStyle w:val="26"/>
                    <w:spacing w:before="31"/>
                    <w:rPr>
                      <w:color w:val="000000"/>
                    </w:rPr>
                  </w:pPr>
                  <w:r>
                    <w:rPr>
                      <w:rFonts w:hint="eastAsia"/>
                      <w:color w:val="000000"/>
                    </w:rPr>
                    <w:t>符合</w:t>
                  </w:r>
                </w:p>
              </w:tc>
            </w:tr>
          </w:tbl>
          <w:p w14:paraId="1974E780">
            <w:pPr>
              <w:spacing w:line="360" w:lineRule="auto"/>
              <w:ind w:firstLine="420" w:firstLineChars="200"/>
              <w:rPr>
                <w:rFonts w:hint="eastAsia"/>
                <w:color w:val="000000"/>
              </w:rPr>
            </w:pPr>
            <w:r>
              <w:rPr>
                <w:rFonts w:hint="eastAsia"/>
                <w:color w:val="000000"/>
              </w:rPr>
              <w:t>由上表，项目符合《挥发性有机物无组织排放控制标准》（GB37822-2019）文件要求。</w:t>
            </w:r>
          </w:p>
          <w:p w14:paraId="70A8F850">
            <w:pPr>
              <w:widowControl/>
              <w:autoSpaceDN w:val="0"/>
              <w:spacing w:line="360" w:lineRule="auto"/>
              <w:ind w:firstLine="420" w:firstLineChars="200"/>
              <w:contextualSpacing/>
              <w:jc w:val="left"/>
              <w:rPr>
                <w:rFonts w:hint="eastAsia"/>
                <w:color w:val="000000"/>
              </w:rPr>
            </w:pPr>
          </w:p>
        </w:tc>
      </w:tr>
    </w:tbl>
    <w:p w14:paraId="2647AE70">
      <w:pPr>
        <w:pStyle w:val="14"/>
        <w:jc w:val="center"/>
        <w:outlineLvl w:val="0"/>
        <w:rPr>
          <w:rFonts w:ascii="Times New Roman" w:hAnsi="Times New Roman"/>
          <w:snapToGrid w:val="0"/>
          <w:color w:val="000000"/>
          <w:sz w:val="30"/>
          <w:szCs w:val="30"/>
        </w:rPr>
        <w:sectPr>
          <w:pgSz w:w="11905" w:h="16838"/>
          <w:pgMar w:top="1440" w:right="1531" w:bottom="1440" w:left="1531" w:header="851" w:footer="992" w:gutter="0"/>
          <w:cols w:space="720" w:num="1"/>
          <w:docGrid w:type="lines" w:linePitch="312" w:charSpace="0"/>
        </w:sectPr>
      </w:pPr>
    </w:p>
    <w:p w14:paraId="6F531E56">
      <w:pPr>
        <w:pStyle w:val="14"/>
        <w:spacing w:before="0" w:beforeAutospacing="0" w:after="0" w:afterAutospacing="0"/>
        <w:jc w:val="center"/>
        <w:outlineLvl w:val="0"/>
        <w:rPr>
          <w:rFonts w:ascii="Times New Roman" w:hAnsi="Times New Roman"/>
          <w:b/>
          <w:bCs/>
          <w:snapToGrid w:val="0"/>
          <w:color w:val="000000"/>
          <w:sz w:val="30"/>
          <w:szCs w:val="30"/>
        </w:rPr>
      </w:pPr>
      <w:r>
        <w:rPr>
          <w:rFonts w:ascii="Times New Roman" w:hAnsi="Times New Roman"/>
          <w:b/>
          <w:bCs/>
          <w:snapToGrid w:val="0"/>
          <w:color w:val="000000"/>
          <w:sz w:val="30"/>
          <w:szCs w:val="30"/>
        </w:rPr>
        <w:t>二、建设项目工程分析</w:t>
      </w:r>
      <w:bookmarkEnd w:id="2"/>
      <w:bookmarkEnd w:id="3"/>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657"/>
      </w:tblGrid>
      <w:tr w14:paraId="6CC49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764" w:hRule="atLeast"/>
          <w:jc w:val="center"/>
        </w:trPr>
        <w:tc>
          <w:tcPr>
            <w:tcW w:w="222" w:type="pct"/>
            <w:noWrap w:val="0"/>
            <w:vAlign w:val="center"/>
          </w:tcPr>
          <w:p w14:paraId="355FC4DC">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Cs w:val="24"/>
              </w:rPr>
              <w:t>建设内容</w:t>
            </w:r>
          </w:p>
        </w:tc>
        <w:tc>
          <w:tcPr>
            <w:tcW w:w="4777" w:type="pct"/>
            <w:noWrap w:val="0"/>
            <w:vAlign w:val="top"/>
          </w:tcPr>
          <w:p w14:paraId="4A6D667A">
            <w:pPr>
              <w:adjustRightInd w:val="0"/>
              <w:snapToGrid w:val="0"/>
              <w:spacing w:line="360" w:lineRule="auto"/>
              <w:rPr>
                <w:b/>
                <w:bCs/>
                <w:color w:val="000000"/>
              </w:rPr>
            </w:pPr>
            <w:r>
              <w:rPr>
                <w:rFonts w:hint="eastAsia"/>
                <w:b/>
                <w:bCs/>
                <w:color w:val="000000"/>
              </w:rPr>
              <w:t>2.1 建设内容</w:t>
            </w:r>
          </w:p>
          <w:p w14:paraId="5F7D8554">
            <w:pPr>
              <w:spacing w:line="360" w:lineRule="auto"/>
              <w:rPr>
                <w:b/>
                <w:bCs/>
                <w:color w:val="000000"/>
                <w:szCs w:val="32"/>
              </w:rPr>
            </w:pPr>
            <w:r>
              <w:rPr>
                <w:rFonts w:hint="eastAsia"/>
                <w:b/>
                <w:bCs/>
                <w:color w:val="000000"/>
                <w:szCs w:val="32"/>
              </w:rPr>
              <w:t>2.1.1项目由来</w:t>
            </w:r>
          </w:p>
          <w:p w14:paraId="62CD62A3">
            <w:pPr>
              <w:spacing w:line="360" w:lineRule="auto"/>
              <w:ind w:firstLine="420" w:firstLineChars="200"/>
              <w:rPr>
                <w:rFonts w:hint="eastAsia"/>
                <w:color w:val="000000"/>
                <w:szCs w:val="32"/>
              </w:rPr>
            </w:pPr>
            <w:r>
              <w:rPr>
                <w:rFonts w:hint="eastAsia"/>
                <w:color w:val="000000"/>
                <w:szCs w:val="32"/>
              </w:rPr>
              <w:t>重庆赛亿新材料科技有限公司主要从事高分子材料的生产及经营销售，随着市场对PVC电缆料、低烟无卤阻燃聚烯烃电缆料（后文简称“低烟无卤电缆料”）等需要的增加，企业拟租赁九龙坡区西彭镇铝城大道86号附1号（西部（重庆）科学城九龙新城园区西彭组团A22地块内）厂区实施“新型环保高分子材料生产项目”。</w:t>
            </w:r>
          </w:p>
          <w:p w14:paraId="323B2CE6">
            <w:pPr>
              <w:spacing w:line="360" w:lineRule="auto"/>
              <w:ind w:firstLine="420" w:firstLineChars="200"/>
              <w:rPr>
                <w:rFonts w:hint="eastAsia"/>
                <w:color w:val="000000"/>
                <w:szCs w:val="32"/>
              </w:rPr>
            </w:pPr>
            <w:r>
              <w:rPr>
                <w:rFonts w:hint="eastAsia"/>
                <w:color w:val="000000"/>
                <w:szCs w:val="32"/>
              </w:rPr>
              <w:t>重庆赛亿新材料科技有限公司拟租用重庆赛亿高分子材料有限公司在九龙坡区西彭镇铝城大道86号附1号现有厂区实施本项目，厂内已有2栋厂房、1栋办公楼及1栋门卫，均为空置，租赁协议详见附件2。</w:t>
            </w:r>
          </w:p>
          <w:p w14:paraId="352E4B3D">
            <w:pPr>
              <w:spacing w:line="360" w:lineRule="auto"/>
              <w:ind w:firstLine="420" w:firstLineChars="200"/>
              <w:rPr>
                <w:rFonts w:hint="eastAsia"/>
                <w:color w:val="000000"/>
                <w:szCs w:val="32"/>
              </w:rPr>
            </w:pPr>
            <w:r>
              <w:rPr>
                <w:rFonts w:hint="eastAsia"/>
                <w:color w:val="000000"/>
                <w:szCs w:val="32"/>
              </w:rPr>
              <w:t>项目的主要建设内容是：在现有厂区内新增相关生产线及辅助设备，使用PVC、EVA等塑料进行改性，实现年产PVC电缆料、低烟无卤电缆料总产量8200t。</w:t>
            </w:r>
          </w:p>
          <w:p w14:paraId="128A6E3C">
            <w:pPr>
              <w:spacing w:line="360" w:lineRule="auto"/>
              <w:ind w:firstLine="420" w:firstLineChars="200"/>
              <w:rPr>
                <w:rFonts w:hint="eastAsia"/>
                <w:color w:val="000000"/>
                <w:szCs w:val="32"/>
              </w:rPr>
            </w:pPr>
            <w:r>
              <w:rPr>
                <w:rFonts w:hint="eastAsia"/>
                <w:color w:val="000000"/>
                <w:szCs w:val="32"/>
              </w:rPr>
              <w:t>根据《中华人民共和国环境保护法》、《中华人民共和国环境影响评价法》、《建设项目环境保护管理条例》（</w:t>
            </w:r>
            <w:r>
              <w:rPr>
                <w:rFonts w:hint="eastAsia" w:eastAsia="宋体"/>
                <w:color w:val="000000"/>
                <w:szCs w:val="32"/>
                <w:lang w:eastAsia="zh-CN"/>
              </w:rPr>
              <w:t>国务院令第</w:t>
            </w:r>
            <w:r>
              <w:rPr>
                <w:rFonts w:hint="eastAsia"/>
                <w:color w:val="000000"/>
                <w:szCs w:val="32"/>
              </w:rPr>
              <w:t>682号令）以及国家相关环保法律法规要求，建设项目应进行环境影响评价。项目使用PVC、EVA等塑料进行改性，产品为PVC电缆料、低烟无卤电缆料等塑料制品，根据《建设项目环境影响评价分类管理名录》（2021年版）的相关规定，本项目属于“塑料制品业292—其他”，不涉及再生塑料，且不属于《重庆市生态环境局关于印发〈重庆市不纳入环境影响评价管理的建设项目名录（2023年版）〉的通知》（渝环规〔2023〕8号）中不纳入环境影响评价管理的项目，应编制环境影响报告表。</w:t>
            </w:r>
          </w:p>
          <w:p w14:paraId="14D44331">
            <w:pPr>
              <w:spacing w:line="360" w:lineRule="auto"/>
              <w:ind w:firstLine="420" w:firstLineChars="200"/>
              <w:rPr>
                <w:rFonts w:hint="eastAsia"/>
                <w:color w:val="000000"/>
                <w:szCs w:val="32"/>
              </w:rPr>
            </w:pPr>
            <w:r>
              <w:rPr>
                <w:rFonts w:hint="eastAsia"/>
                <w:color w:val="000000"/>
                <w:szCs w:val="32"/>
              </w:rPr>
              <w:t>重庆赛亿新材料科技有限公司委托我司承担“新型环保高分子材料生产项目”的环境影响评价工作。我公司接受委托后，组织有关技术人员进行了现场踏勘和收集资料，按照国家相关环评导则及技术规范的要求，编制完成该项目环境影响报告表。</w:t>
            </w:r>
          </w:p>
          <w:p w14:paraId="6D794C9A">
            <w:pPr>
              <w:spacing w:line="360" w:lineRule="auto"/>
              <w:rPr>
                <w:color w:val="000000"/>
                <w:szCs w:val="32"/>
              </w:rPr>
            </w:pPr>
            <w:r>
              <w:rPr>
                <w:rFonts w:hint="eastAsia"/>
                <w:b/>
                <w:bCs/>
                <w:color w:val="000000"/>
                <w:szCs w:val="32"/>
              </w:rPr>
              <w:t>2.1.2评价思路</w:t>
            </w:r>
          </w:p>
          <w:p w14:paraId="22A17B0E">
            <w:pPr>
              <w:spacing w:line="360" w:lineRule="auto"/>
              <w:ind w:firstLine="420" w:firstLineChars="200"/>
              <w:rPr>
                <w:color w:val="000000"/>
              </w:rPr>
            </w:pPr>
            <w:r>
              <w:rPr>
                <w:rFonts w:hint="eastAsia"/>
                <w:color w:val="000000"/>
              </w:rPr>
              <w:t>（1）本项目租赁现有厂区实施本项目，现有厂区内已有一座生化池，处理工艺为厌氧消化，处理规模为30m</w:t>
            </w:r>
            <w:r>
              <w:rPr>
                <w:rFonts w:hint="eastAsia"/>
                <w:color w:val="000000"/>
                <w:vertAlign w:val="superscript"/>
              </w:rPr>
              <w:t>3</w:t>
            </w:r>
            <w:r>
              <w:rPr>
                <w:rFonts w:hint="eastAsia"/>
                <w:color w:val="000000"/>
              </w:rPr>
              <w:t>/d，该生化池未进行环保验收，本项目验收时一并进行环保验收。</w:t>
            </w:r>
          </w:p>
          <w:p w14:paraId="42297057">
            <w:pPr>
              <w:spacing w:line="360" w:lineRule="auto"/>
              <w:ind w:firstLine="420" w:firstLineChars="200"/>
              <w:rPr>
                <w:rFonts w:hint="eastAsia"/>
                <w:color w:val="000000"/>
              </w:rPr>
            </w:pPr>
            <w:r>
              <w:rPr>
                <w:rFonts w:hint="eastAsia"/>
                <w:color w:val="000000"/>
              </w:rPr>
              <w:t>（2）目前，现厂区办公楼有部分区域已租赁给中国中铁一局，作为东侧成渝铁路改造项目的施工单位的施工营地，不从事生产活动，预计2026年底结束。报告在分析生化池依托可行时，加上该施工营地污水量合计进行分析。</w:t>
            </w:r>
          </w:p>
          <w:p w14:paraId="278AF3DD">
            <w:pPr>
              <w:pStyle w:val="8"/>
              <w:spacing w:after="0" w:line="360" w:lineRule="auto"/>
              <w:ind w:left="0" w:leftChars="0" w:firstLine="480" w:firstLineChars="200"/>
              <w:rPr>
                <w:rFonts w:hint="eastAsia"/>
                <w:color w:val="000000"/>
              </w:rPr>
            </w:pPr>
            <w:r>
              <w:rPr>
                <w:rFonts w:hint="eastAsia"/>
                <w:color w:val="000000"/>
              </w:rPr>
              <w:t>（3）</w:t>
            </w:r>
            <w:r>
              <w:rPr>
                <w:rFonts w:hint="eastAsia"/>
                <w:color w:val="000000"/>
                <w:kern w:val="2"/>
                <w:szCs w:val="32"/>
              </w:rPr>
              <w:t>本项目PVC电缆生产使用的液体原料6种，分别为TOTM、DOTP、DOA、DOS、ESO、氯化石蜡，6种液体原料沸点为220℃~430℃，其储存真实蒸气压远小于0.3kPa，不属于挥发性有机液体。</w:t>
            </w:r>
            <w:r>
              <w:rPr>
                <w:rFonts w:hint="eastAsia"/>
                <w:color w:val="000000"/>
              </w:rPr>
              <w:t>本项目储罐为常温常压保存，常温下物料性质稳定，基本无挥发，因此本环评对储罐呼吸废气不进行定量计算。</w:t>
            </w:r>
          </w:p>
          <w:p w14:paraId="5DC60C9D">
            <w:pPr>
              <w:pStyle w:val="8"/>
              <w:spacing w:after="0" w:line="360" w:lineRule="auto"/>
              <w:ind w:left="0" w:leftChars="0" w:firstLine="480" w:firstLineChars="200"/>
              <w:rPr>
                <w:color w:val="000000"/>
              </w:rPr>
            </w:pPr>
            <w:r>
              <w:rPr>
                <w:rFonts w:hint="eastAsia"/>
                <w:color w:val="000000"/>
              </w:rPr>
              <w:t>（4）本项目</w:t>
            </w:r>
            <w:r>
              <w:rPr>
                <w:rFonts w:hint="eastAsia"/>
                <w:color w:val="000000"/>
                <w:kern w:val="2"/>
                <w:szCs w:val="32"/>
              </w:rPr>
              <w:t>PVC电缆生产线、低烟无卤电缆生产过程会产生非甲烷总烃，本项目通过类比多个同类型项目的竣工环保验收报告，选择较大产污值确定本项目非甲烷总烃的系污系数。</w:t>
            </w:r>
          </w:p>
          <w:p w14:paraId="5EC6E99C">
            <w:pPr>
              <w:spacing w:line="360" w:lineRule="auto"/>
              <w:rPr>
                <w:b/>
                <w:bCs/>
                <w:color w:val="000000"/>
                <w:szCs w:val="32"/>
              </w:rPr>
            </w:pPr>
            <w:r>
              <w:rPr>
                <w:rFonts w:hint="eastAsia"/>
                <w:b/>
                <w:bCs/>
                <w:color w:val="000000"/>
                <w:szCs w:val="32"/>
              </w:rPr>
              <w:t>2.1.3项目基本情况</w:t>
            </w:r>
          </w:p>
          <w:p w14:paraId="35E77C11">
            <w:pPr>
              <w:spacing w:line="360" w:lineRule="auto"/>
              <w:ind w:firstLine="420" w:firstLineChars="200"/>
              <w:rPr>
                <w:rFonts w:hint="eastAsia"/>
                <w:color w:val="000000"/>
              </w:rPr>
            </w:pPr>
            <w:r>
              <w:rPr>
                <w:rFonts w:hint="eastAsia"/>
                <w:color w:val="000000"/>
              </w:rPr>
              <w:t>项目名称：新型环保高分子材料生产项目</w:t>
            </w:r>
          </w:p>
          <w:p w14:paraId="09F4E12B">
            <w:pPr>
              <w:spacing w:line="360" w:lineRule="auto"/>
              <w:ind w:firstLine="420" w:firstLineChars="200"/>
              <w:rPr>
                <w:rFonts w:hint="eastAsia"/>
                <w:color w:val="000000"/>
              </w:rPr>
            </w:pPr>
            <w:r>
              <w:rPr>
                <w:rFonts w:hint="eastAsia"/>
                <w:color w:val="000000"/>
              </w:rPr>
              <w:t>建设单位：重庆赛亿新材料科技有限公司</w:t>
            </w:r>
          </w:p>
          <w:p w14:paraId="39BA2151">
            <w:pPr>
              <w:spacing w:line="360" w:lineRule="auto"/>
              <w:ind w:firstLine="420" w:firstLineChars="200"/>
              <w:rPr>
                <w:rFonts w:hint="eastAsia"/>
                <w:color w:val="000000"/>
              </w:rPr>
            </w:pPr>
            <w:r>
              <w:rPr>
                <w:rFonts w:hint="eastAsia"/>
                <w:color w:val="000000"/>
              </w:rPr>
              <w:t>建设性质：新建</w:t>
            </w:r>
          </w:p>
          <w:p w14:paraId="643A66AC">
            <w:pPr>
              <w:spacing w:line="360" w:lineRule="auto"/>
              <w:ind w:firstLine="420" w:firstLineChars="200"/>
              <w:rPr>
                <w:rFonts w:hint="eastAsia"/>
                <w:color w:val="000000"/>
              </w:rPr>
            </w:pPr>
            <w:r>
              <w:rPr>
                <w:rFonts w:hint="eastAsia"/>
                <w:color w:val="000000"/>
              </w:rPr>
              <w:t>建设地点：九龙坡区西彭镇铝城大道86号附1号</w:t>
            </w:r>
          </w:p>
          <w:p w14:paraId="03AF36B0">
            <w:pPr>
              <w:spacing w:line="360" w:lineRule="auto"/>
              <w:ind w:firstLine="420" w:firstLineChars="200"/>
              <w:rPr>
                <w:rFonts w:hint="eastAsia"/>
                <w:color w:val="000000"/>
              </w:rPr>
            </w:pPr>
            <w:r>
              <w:rPr>
                <w:rFonts w:hint="eastAsia"/>
                <w:color w:val="000000"/>
              </w:rPr>
              <w:t>项目投资：500万元，其中环保投资30万元，占总投资6%</w:t>
            </w:r>
          </w:p>
          <w:p w14:paraId="26F1E923">
            <w:pPr>
              <w:spacing w:line="360" w:lineRule="auto"/>
              <w:ind w:firstLine="420" w:firstLineChars="200"/>
              <w:rPr>
                <w:rFonts w:hint="eastAsia"/>
                <w:color w:val="000000"/>
              </w:rPr>
            </w:pPr>
            <w:r>
              <w:rPr>
                <w:rFonts w:hint="eastAsia"/>
                <w:color w:val="000000"/>
              </w:rPr>
              <w:t>建设内容及规模：在现有厂区内新增相关生产线及辅助设备，使用PVC、EVA等塑料进行改性，实现年产PVC电缆料、低烟无卤阻燃聚烯烃电缆料总产量820</w:t>
            </w:r>
            <w:r>
              <w:rPr>
                <w:rFonts w:hint="eastAsia"/>
                <w:color w:val="000000"/>
                <w:szCs w:val="32"/>
              </w:rPr>
              <w:t>0</w:t>
            </w:r>
            <w:r>
              <w:rPr>
                <w:rFonts w:hint="eastAsia"/>
                <w:color w:val="000000"/>
              </w:rPr>
              <w:t>t。</w:t>
            </w:r>
          </w:p>
          <w:p w14:paraId="012C087E">
            <w:pPr>
              <w:spacing w:line="360" w:lineRule="auto"/>
              <w:ind w:firstLine="420" w:firstLineChars="200"/>
              <w:rPr>
                <w:rFonts w:hint="eastAsia"/>
                <w:color w:val="000000"/>
              </w:rPr>
            </w:pPr>
            <w:r>
              <w:rPr>
                <w:rFonts w:hint="eastAsia"/>
                <w:color w:val="000000"/>
              </w:rPr>
              <w:t>劳动定员及工作制度：项目劳动定员50人，年生产天数300天，每天8小时（无食宿）。</w:t>
            </w:r>
          </w:p>
          <w:p w14:paraId="213A0C14">
            <w:pPr>
              <w:spacing w:line="360" w:lineRule="auto"/>
              <w:ind w:firstLine="420" w:firstLineChars="200"/>
              <w:rPr>
                <w:rFonts w:hint="eastAsia"/>
                <w:color w:val="000000"/>
              </w:rPr>
            </w:pPr>
            <w:r>
              <w:rPr>
                <w:rFonts w:hint="eastAsia"/>
                <w:color w:val="000000"/>
              </w:rPr>
              <w:t>建设周期：3个月。</w:t>
            </w:r>
          </w:p>
          <w:p w14:paraId="4D6638E9">
            <w:pPr>
              <w:spacing w:line="360" w:lineRule="auto"/>
              <w:rPr>
                <w:rFonts w:hint="eastAsia"/>
                <w:b/>
                <w:bCs/>
                <w:color w:val="000000"/>
                <w:szCs w:val="32"/>
                <w:lang w:val="zh-CN"/>
              </w:rPr>
            </w:pPr>
            <w:r>
              <w:rPr>
                <w:rFonts w:hint="eastAsia"/>
                <w:b/>
                <w:bCs/>
                <w:color w:val="000000"/>
                <w:szCs w:val="32"/>
              </w:rPr>
              <w:t>2.1.4</w:t>
            </w:r>
            <w:r>
              <w:rPr>
                <w:rFonts w:hint="eastAsia"/>
                <w:b/>
                <w:bCs/>
                <w:color w:val="000000"/>
                <w:szCs w:val="32"/>
                <w:lang w:val="zh-CN"/>
              </w:rPr>
              <w:t>产品方案</w:t>
            </w:r>
          </w:p>
          <w:p w14:paraId="2A34B4D2">
            <w:pPr>
              <w:spacing w:line="360" w:lineRule="auto"/>
              <w:ind w:firstLine="420" w:firstLineChars="200"/>
              <w:rPr>
                <w:color w:val="000000"/>
                <w:lang w:val="zh-CN"/>
              </w:rPr>
            </w:pPr>
            <w:r>
              <w:rPr>
                <w:rFonts w:hint="eastAsia"/>
                <w:color w:val="000000"/>
              </w:rPr>
              <w:t>项目生产PVC电缆料3900t/a，</w:t>
            </w:r>
            <w:r>
              <w:rPr>
                <w:rFonts w:hint="eastAsia"/>
                <w:color w:val="000000"/>
                <w:szCs w:val="32"/>
              </w:rPr>
              <w:t>低烟无卤阻燃聚烯烃电缆料（后文简称“低烟无卤电缆料”）</w:t>
            </w:r>
            <w:r>
              <w:rPr>
                <w:rFonts w:hint="eastAsia"/>
                <w:color w:val="000000"/>
              </w:rPr>
              <w:t>4300t/a，</w:t>
            </w:r>
            <w:r>
              <w:rPr>
                <w:rFonts w:hint="eastAsia"/>
                <w:color w:val="000000"/>
                <w:lang w:val="zh-CN"/>
              </w:rPr>
              <w:t>项目产品规模如下表所示。</w:t>
            </w:r>
          </w:p>
          <w:p w14:paraId="316429C7">
            <w:pPr>
              <w:spacing w:line="360" w:lineRule="auto"/>
              <w:jc w:val="center"/>
              <w:rPr>
                <w:rFonts w:hint="eastAsia"/>
                <w:b/>
                <w:bCs/>
                <w:color w:val="000000"/>
                <w:lang w:val="zh-CN"/>
              </w:rPr>
            </w:pPr>
            <w:r>
              <w:rPr>
                <w:rFonts w:hint="eastAsia"/>
                <w:b/>
                <w:bCs/>
                <w:color w:val="000000"/>
              </w:rPr>
              <w:t>表2</w:t>
            </w:r>
            <w:r>
              <w:rPr>
                <w:rFonts w:hint="eastAsia"/>
                <w:b/>
                <w:bCs/>
                <w:color w:val="000000"/>
              </w:rPr>
              <w:noBreakHyphen/>
            </w:r>
            <w:r>
              <w:rPr>
                <w:rFonts w:hint="eastAsia"/>
                <w:b/>
                <w:bCs/>
                <w:color w:val="000000"/>
              </w:rPr>
              <w:fldChar w:fldCharType="begin"/>
            </w:r>
            <w:r>
              <w:rPr>
                <w:rFonts w:hint="eastAsia"/>
                <w:b/>
                <w:bCs/>
                <w:color w:val="000000"/>
              </w:rPr>
              <w:instrText xml:space="preserve"> SEQ 表 \* ARABIC \s 2 </w:instrText>
            </w:r>
            <w:r>
              <w:rPr>
                <w:rFonts w:hint="eastAsia"/>
                <w:b/>
                <w:bCs/>
                <w:color w:val="000000"/>
              </w:rPr>
              <w:fldChar w:fldCharType="separate"/>
            </w:r>
            <w:r>
              <w:rPr>
                <w:rFonts w:hint="eastAsia"/>
                <w:b/>
                <w:bCs/>
                <w:color w:val="000000"/>
              </w:rPr>
              <w:t>1</w:t>
            </w:r>
            <w:r>
              <w:rPr>
                <w:rFonts w:hint="eastAsia"/>
                <w:b/>
                <w:bCs/>
                <w:color w:val="000000"/>
              </w:rPr>
              <w:fldChar w:fldCharType="end"/>
            </w:r>
            <w:r>
              <w:rPr>
                <w:rFonts w:hint="eastAsia"/>
                <w:b/>
                <w:bCs/>
                <w:color w:val="000000"/>
              </w:rPr>
              <w:t xml:space="preserve"> 项目产品方案一览表</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912"/>
              <w:gridCol w:w="675"/>
              <w:gridCol w:w="896"/>
              <w:gridCol w:w="1409"/>
              <w:gridCol w:w="1869"/>
            </w:tblGrid>
            <w:tr w14:paraId="492346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14:paraId="77613E30">
                  <w:pPr>
                    <w:pStyle w:val="27"/>
                    <w:rPr>
                      <w:color w:val="000000"/>
                      <w:sz w:val="21"/>
                    </w:rPr>
                  </w:pPr>
                  <w:r>
                    <w:rPr>
                      <w:rFonts w:hint="eastAsia"/>
                      <w:color w:val="000000"/>
                      <w:sz w:val="21"/>
                    </w:rPr>
                    <w:t>序号</w:t>
                  </w:r>
                </w:p>
              </w:tc>
              <w:tc>
                <w:tcPr>
                  <w:tcW w:w="1725" w:type="pct"/>
                  <w:noWrap w:val="0"/>
                  <w:vAlign w:val="center"/>
                </w:tcPr>
                <w:p w14:paraId="4F6DC2D5">
                  <w:pPr>
                    <w:pStyle w:val="27"/>
                    <w:rPr>
                      <w:color w:val="000000"/>
                      <w:sz w:val="21"/>
                    </w:rPr>
                  </w:pPr>
                  <w:r>
                    <w:rPr>
                      <w:rFonts w:hint="eastAsia"/>
                      <w:color w:val="000000"/>
                      <w:sz w:val="21"/>
                    </w:rPr>
                    <w:t>产品名称</w:t>
                  </w:r>
                </w:p>
              </w:tc>
              <w:tc>
                <w:tcPr>
                  <w:tcW w:w="400" w:type="pct"/>
                  <w:noWrap w:val="0"/>
                  <w:vAlign w:val="center"/>
                </w:tcPr>
                <w:p w14:paraId="498AF41E">
                  <w:pPr>
                    <w:pStyle w:val="27"/>
                    <w:rPr>
                      <w:color w:val="000000"/>
                      <w:sz w:val="21"/>
                    </w:rPr>
                  </w:pPr>
                  <w:r>
                    <w:rPr>
                      <w:rFonts w:hint="eastAsia"/>
                      <w:color w:val="000000"/>
                      <w:sz w:val="21"/>
                    </w:rPr>
                    <w:t>单位</w:t>
                  </w:r>
                </w:p>
              </w:tc>
              <w:tc>
                <w:tcPr>
                  <w:tcW w:w="531" w:type="pct"/>
                  <w:noWrap w:val="0"/>
                  <w:vAlign w:val="center"/>
                </w:tcPr>
                <w:p w14:paraId="37B586DD">
                  <w:pPr>
                    <w:pStyle w:val="27"/>
                    <w:rPr>
                      <w:color w:val="000000"/>
                      <w:sz w:val="21"/>
                    </w:rPr>
                  </w:pPr>
                  <w:r>
                    <w:rPr>
                      <w:rFonts w:hint="eastAsia"/>
                      <w:color w:val="000000"/>
                      <w:sz w:val="21"/>
                    </w:rPr>
                    <w:t>年产量</w:t>
                  </w:r>
                </w:p>
              </w:tc>
              <w:tc>
                <w:tcPr>
                  <w:tcW w:w="834" w:type="pct"/>
                  <w:noWrap w:val="0"/>
                  <w:vAlign w:val="center"/>
                </w:tcPr>
                <w:p w14:paraId="225A5141">
                  <w:pPr>
                    <w:pStyle w:val="27"/>
                    <w:rPr>
                      <w:color w:val="000000"/>
                      <w:sz w:val="21"/>
                    </w:rPr>
                  </w:pPr>
                  <w:r>
                    <w:rPr>
                      <w:rFonts w:hint="eastAsia"/>
                      <w:color w:val="000000"/>
                      <w:sz w:val="21"/>
                    </w:rPr>
                    <w:t>包装形式</w:t>
                  </w:r>
                </w:p>
              </w:tc>
              <w:tc>
                <w:tcPr>
                  <w:tcW w:w="1107" w:type="pct"/>
                  <w:noWrap w:val="0"/>
                  <w:vAlign w:val="center"/>
                </w:tcPr>
                <w:p w14:paraId="687E758C">
                  <w:pPr>
                    <w:pStyle w:val="27"/>
                    <w:rPr>
                      <w:color w:val="000000"/>
                      <w:sz w:val="21"/>
                    </w:rPr>
                  </w:pPr>
                  <w:r>
                    <w:rPr>
                      <w:rFonts w:hint="eastAsia"/>
                      <w:color w:val="000000"/>
                      <w:sz w:val="21"/>
                    </w:rPr>
                    <w:t>产品质量标准</w:t>
                  </w:r>
                </w:p>
              </w:tc>
            </w:tr>
            <w:tr w14:paraId="58743F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14:paraId="7D572C16">
                  <w:pPr>
                    <w:pStyle w:val="27"/>
                    <w:rPr>
                      <w:color w:val="000000"/>
                      <w:sz w:val="21"/>
                    </w:rPr>
                  </w:pPr>
                  <w:r>
                    <w:rPr>
                      <w:rFonts w:hint="eastAsia"/>
                      <w:color w:val="000000"/>
                      <w:sz w:val="21"/>
                    </w:rPr>
                    <w:t>1</w:t>
                  </w:r>
                </w:p>
              </w:tc>
              <w:tc>
                <w:tcPr>
                  <w:tcW w:w="1725" w:type="pct"/>
                  <w:noWrap w:val="0"/>
                  <w:vAlign w:val="center"/>
                </w:tcPr>
                <w:p w14:paraId="62804D1B">
                  <w:pPr>
                    <w:pStyle w:val="27"/>
                    <w:rPr>
                      <w:color w:val="000000"/>
                      <w:sz w:val="21"/>
                    </w:rPr>
                  </w:pPr>
                  <w:r>
                    <w:rPr>
                      <w:rFonts w:hint="eastAsia"/>
                      <w:color w:val="000000"/>
                      <w:sz w:val="21"/>
                    </w:rPr>
                    <w:t>PVC电缆料</w:t>
                  </w:r>
                </w:p>
              </w:tc>
              <w:tc>
                <w:tcPr>
                  <w:tcW w:w="400" w:type="pct"/>
                  <w:noWrap w:val="0"/>
                  <w:vAlign w:val="center"/>
                </w:tcPr>
                <w:p w14:paraId="596F60F8">
                  <w:pPr>
                    <w:pStyle w:val="27"/>
                    <w:rPr>
                      <w:color w:val="000000"/>
                      <w:sz w:val="21"/>
                    </w:rPr>
                  </w:pPr>
                  <w:r>
                    <w:rPr>
                      <w:rFonts w:hint="eastAsia"/>
                      <w:color w:val="000000"/>
                      <w:sz w:val="21"/>
                    </w:rPr>
                    <w:t>t/a</w:t>
                  </w:r>
                </w:p>
              </w:tc>
              <w:tc>
                <w:tcPr>
                  <w:tcW w:w="531" w:type="pct"/>
                  <w:noWrap w:val="0"/>
                  <w:vAlign w:val="center"/>
                </w:tcPr>
                <w:p w14:paraId="43A89D1C">
                  <w:pPr>
                    <w:pStyle w:val="27"/>
                    <w:rPr>
                      <w:color w:val="000000"/>
                      <w:sz w:val="21"/>
                    </w:rPr>
                  </w:pPr>
                  <w:r>
                    <w:rPr>
                      <w:rFonts w:hint="eastAsia"/>
                      <w:color w:val="000000"/>
                      <w:sz w:val="21"/>
                    </w:rPr>
                    <w:t>3900</w:t>
                  </w:r>
                </w:p>
              </w:tc>
              <w:tc>
                <w:tcPr>
                  <w:tcW w:w="834" w:type="pct"/>
                  <w:vMerge w:val="restart"/>
                  <w:noWrap w:val="0"/>
                  <w:vAlign w:val="center"/>
                </w:tcPr>
                <w:p w14:paraId="56F844BB">
                  <w:pPr>
                    <w:pStyle w:val="27"/>
                    <w:rPr>
                      <w:color w:val="000000"/>
                      <w:sz w:val="21"/>
                    </w:rPr>
                  </w:pPr>
                  <w:r>
                    <w:rPr>
                      <w:rFonts w:hint="eastAsia"/>
                      <w:color w:val="000000"/>
                      <w:sz w:val="21"/>
                    </w:rPr>
                    <w:t>25kg/袋1000kg/袋</w:t>
                  </w:r>
                </w:p>
              </w:tc>
              <w:tc>
                <w:tcPr>
                  <w:tcW w:w="1107" w:type="pct"/>
                  <w:noWrap w:val="0"/>
                  <w:vAlign w:val="center"/>
                </w:tcPr>
                <w:p w14:paraId="7E55150E">
                  <w:pPr>
                    <w:pStyle w:val="27"/>
                    <w:rPr>
                      <w:rFonts w:hint="eastAsia"/>
                      <w:color w:val="000000"/>
                      <w:sz w:val="21"/>
                    </w:rPr>
                  </w:pPr>
                  <w:r>
                    <w:rPr>
                      <w:rFonts w:hint="eastAsia"/>
                      <w:color w:val="000000"/>
                      <w:sz w:val="21"/>
                    </w:rPr>
                    <w:t>GB/T 8815-2008</w:t>
                  </w:r>
                </w:p>
              </w:tc>
            </w:tr>
            <w:tr w14:paraId="769463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14:paraId="31FCD7E8">
                  <w:pPr>
                    <w:pStyle w:val="27"/>
                    <w:rPr>
                      <w:rFonts w:hint="eastAsia"/>
                      <w:color w:val="000000"/>
                      <w:sz w:val="21"/>
                    </w:rPr>
                  </w:pPr>
                  <w:r>
                    <w:rPr>
                      <w:rFonts w:hint="eastAsia"/>
                      <w:color w:val="000000"/>
                      <w:sz w:val="21"/>
                    </w:rPr>
                    <w:t>2</w:t>
                  </w:r>
                </w:p>
              </w:tc>
              <w:tc>
                <w:tcPr>
                  <w:tcW w:w="1725" w:type="pct"/>
                  <w:noWrap w:val="0"/>
                  <w:vAlign w:val="center"/>
                </w:tcPr>
                <w:p w14:paraId="1FC236B8">
                  <w:pPr>
                    <w:pStyle w:val="27"/>
                    <w:rPr>
                      <w:rFonts w:hint="eastAsia"/>
                      <w:color w:val="000000"/>
                      <w:sz w:val="21"/>
                    </w:rPr>
                  </w:pPr>
                  <w:r>
                    <w:rPr>
                      <w:rFonts w:hint="eastAsia" w:cs="宋体"/>
                      <w:color w:val="000000"/>
                      <w:sz w:val="21"/>
                    </w:rPr>
                    <w:t>低烟无卤电缆料</w:t>
                  </w:r>
                </w:p>
              </w:tc>
              <w:tc>
                <w:tcPr>
                  <w:tcW w:w="400" w:type="pct"/>
                  <w:noWrap w:val="0"/>
                  <w:vAlign w:val="center"/>
                </w:tcPr>
                <w:p w14:paraId="35DC6B11">
                  <w:pPr>
                    <w:pStyle w:val="27"/>
                    <w:rPr>
                      <w:rFonts w:hint="eastAsia" w:cs="宋体"/>
                      <w:color w:val="000000"/>
                      <w:sz w:val="21"/>
                    </w:rPr>
                  </w:pPr>
                  <w:r>
                    <w:rPr>
                      <w:rFonts w:hint="eastAsia" w:cs="宋体"/>
                      <w:color w:val="000000"/>
                      <w:sz w:val="21"/>
                    </w:rPr>
                    <w:t>t/a</w:t>
                  </w:r>
                </w:p>
              </w:tc>
              <w:tc>
                <w:tcPr>
                  <w:tcW w:w="531" w:type="pct"/>
                  <w:noWrap w:val="0"/>
                  <w:vAlign w:val="center"/>
                </w:tcPr>
                <w:p w14:paraId="50699943">
                  <w:pPr>
                    <w:pStyle w:val="27"/>
                    <w:rPr>
                      <w:color w:val="000000"/>
                      <w:sz w:val="21"/>
                    </w:rPr>
                  </w:pPr>
                  <w:r>
                    <w:rPr>
                      <w:rFonts w:hint="eastAsia"/>
                      <w:color w:val="000000"/>
                      <w:sz w:val="21"/>
                    </w:rPr>
                    <w:t>4300</w:t>
                  </w:r>
                </w:p>
              </w:tc>
              <w:tc>
                <w:tcPr>
                  <w:tcW w:w="834" w:type="pct"/>
                  <w:vMerge w:val="continue"/>
                  <w:noWrap w:val="0"/>
                  <w:vAlign w:val="center"/>
                </w:tcPr>
                <w:p w14:paraId="0F65B61A">
                  <w:pPr>
                    <w:pStyle w:val="27"/>
                    <w:rPr>
                      <w:color w:val="000000"/>
                      <w:sz w:val="21"/>
                    </w:rPr>
                  </w:pPr>
                </w:p>
              </w:tc>
              <w:tc>
                <w:tcPr>
                  <w:tcW w:w="1107" w:type="pct"/>
                  <w:noWrap w:val="0"/>
                  <w:vAlign w:val="center"/>
                </w:tcPr>
                <w:p w14:paraId="5944AABC">
                  <w:pPr>
                    <w:pStyle w:val="27"/>
                    <w:rPr>
                      <w:color w:val="000000"/>
                      <w:sz w:val="21"/>
                    </w:rPr>
                  </w:pPr>
                  <w:r>
                    <w:rPr>
                      <w:color w:val="000000"/>
                      <w:sz w:val="21"/>
                    </w:rPr>
                    <w:t>GB/T 32129-2015</w:t>
                  </w:r>
                </w:p>
              </w:tc>
            </w:tr>
            <w:tr w14:paraId="7E81EE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14:paraId="36EF67B5">
                  <w:pPr>
                    <w:pStyle w:val="27"/>
                    <w:rPr>
                      <w:color w:val="000000"/>
                      <w:sz w:val="21"/>
                    </w:rPr>
                  </w:pPr>
                  <w:r>
                    <w:rPr>
                      <w:rFonts w:hint="eastAsia"/>
                      <w:color w:val="000000"/>
                      <w:sz w:val="21"/>
                    </w:rPr>
                    <w:t>3</w:t>
                  </w:r>
                </w:p>
              </w:tc>
              <w:tc>
                <w:tcPr>
                  <w:tcW w:w="1725" w:type="pct"/>
                  <w:noWrap w:val="0"/>
                  <w:vAlign w:val="center"/>
                </w:tcPr>
                <w:p w14:paraId="6FD5A290">
                  <w:pPr>
                    <w:pStyle w:val="27"/>
                    <w:rPr>
                      <w:rFonts w:cs="宋体"/>
                      <w:color w:val="000000"/>
                      <w:sz w:val="21"/>
                    </w:rPr>
                  </w:pPr>
                  <w:r>
                    <w:rPr>
                      <w:rFonts w:hint="eastAsia" w:cs="宋体"/>
                      <w:color w:val="000000"/>
                      <w:sz w:val="21"/>
                    </w:rPr>
                    <w:t>合计</w:t>
                  </w:r>
                </w:p>
              </w:tc>
              <w:tc>
                <w:tcPr>
                  <w:tcW w:w="400" w:type="pct"/>
                  <w:noWrap w:val="0"/>
                  <w:vAlign w:val="center"/>
                </w:tcPr>
                <w:p w14:paraId="207EE7B6">
                  <w:pPr>
                    <w:pStyle w:val="27"/>
                    <w:rPr>
                      <w:rFonts w:hint="eastAsia" w:cs="宋体"/>
                      <w:color w:val="000000"/>
                      <w:sz w:val="21"/>
                    </w:rPr>
                  </w:pPr>
                  <w:r>
                    <w:rPr>
                      <w:rFonts w:hint="eastAsia" w:cs="宋体"/>
                      <w:color w:val="000000"/>
                      <w:sz w:val="21"/>
                    </w:rPr>
                    <w:t>t/a</w:t>
                  </w:r>
                </w:p>
              </w:tc>
              <w:tc>
                <w:tcPr>
                  <w:tcW w:w="531" w:type="pct"/>
                  <w:noWrap w:val="0"/>
                  <w:vAlign w:val="center"/>
                </w:tcPr>
                <w:p w14:paraId="15C2EC74">
                  <w:pPr>
                    <w:pStyle w:val="27"/>
                    <w:rPr>
                      <w:color w:val="000000"/>
                      <w:sz w:val="21"/>
                    </w:rPr>
                  </w:pPr>
                  <w:r>
                    <w:rPr>
                      <w:rFonts w:hint="eastAsia"/>
                      <w:color w:val="000000"/>
                      <w:sz w:val="21"/>
                    </w:rPr>
                    <w:t>8200</w:t>
                  </w:r>
                </w:p>
              </w:tc>
              <w:tc>
                <w:tcPr>
                  <w:tcW w:w="834" w:type="pct"/>
                  <w:vMerge w:val="continue"/>
                  <w:noWrap w:val="0"/>
                  <w:vAlign w:val="center"/>
                </w:tcPr>
                <w:p w14:paraId="2A7F6888">
                  <w:pPr>
                    <w:pStyle w:val="27"/>
                    <w:rPr>
                      <w:color w:val="000000"/>
                      <w:sz w:val="21"/>
                    </w:rPr>
                  </w:pPr>
                </w:p>
              </w:tc>
              <w:tc>
                <w:tcPr>
                  <w:tcW w:w="1107" w:type="pct"/>
                  <w:noWrap w:val="0"/>
                  <w:vAlign w:val="center"/>
                </w:tcPr>
                <w:p w14:paraId="1DC2BAB7">
                  <w:pPr>
                    <w:pStyle w:val="27"/>
                    <w:rPr>
                      <w:color w:val="000000"/>
                      <w:sz w:val="21"/>
                    </w:rPr>
                  </w:pPr>
                  <w:r>
                    <w:rPr>
                      <w:rFonts w:hint="eastAsia"/>
                      <w:color w:val="000000"/>
                      <w:sz w:val="21"/>
                    </w:rPr>
                    <w:t>/</w:t>
                  </w:r>
                </w:p>
              </w:tc>
            </w:tr>
          </w:tbl>
          <w:p w14:paraId="2705914A">
            <w:pPr>
              <w:spacing w:line="360" w:lineRule="auto"/>
              <w:rPr>
                <w:b/>
                <w:bCs/>
                <w:color w:val="000000"/>
              </w:rPr>
            </w:pPr>
            <w:r>
              <w:rPr>
                <w:rFonts w:hint="eastAsia"/>
                <w:b/>
                <w:bCs/>
                <w:color w:val="000000"/>
              </w:rPr>
              <w:t>2.1.5项目组成及建设内容</w:t>
            </w:r>
          </w:p>
          <w:p w14:paraId="129B7F3A">
            <w:pPr>
              <w:adjustRightInd w:val="0"/>
              <w:snapToGrid w:val="0"/>
              <w:spacing w:line="360" w:lineRule="auto"/>
              <w:ind w:firstLine="420" w:firstLineChars="200"/>
              <w:rPr>
                <w:color w:val="000000"/>
              </w:rPr>
            </w:pPr>
            <w:r>
              <w:rPr>
                <w:rFonts w:hint="eastAsia"/>
                <w:color w:val="000000"/>
                <w:lang w:val="zh-CN"/>
              </w:rPr>
              <w:t>项目主要建设内容包括：</w:t>
            </w:r>
            <w:r>
              <w:rPr>
                <w:rFonts w:hint="eastAsia"/>
                <w:color w:val="000000"/>
              </w:rPr>
              <w:t>项目租用现有厂区建设本项目，现有厂区主要包括2栋厂房、1栋办公楼、1栋门卫等建筑，项目各建筑情况见表2-2。厂内主要设置PVC电缆料、</w:t>
            </w:r>
            <w:r>
              <w:rPr>
                <w:rFonts w:hint="eastAsia" w:cs="宋体"/>
                <w:color w:val="000000"/>
              </w:rPr>
              <w:t>低烟无卤电缆料</w:t>
            </w:r>
            <w:r>
              <w:rPr>
                <w:rFonts w:hint="eastAsia"/>
                <w:color w:val="000000"/>
              </w:rPr>
              <w:t>生产线以及辅助工程、公用工程、储运工程及环保工程等，详见项目组成表2-3。</w:t>
            </w:r>
          </w:p>
          <w:p w14:paraId="163ED37A">
            <w:pPr>
              <w:spacing w:line="360" w:lineRule="auto"/>
              <w:jc w:val="center"/>
              <w:rPr>
                <w:rFonts w:hint="eastAsia"/>
                <w:b/>
                <w:bCs/>
                <w:color w:val="000000"/>
                <w:lang w:val="zh-CN"/>
              </w:rPr>
            </w:pPr>
            <w:r>
              <w:rPr>
                <w:rFonts w:hint="eastAsia"/>
                <w:b/>
                <w:bCs/>
                <w:color w:val="000000"/>
              </w:rPr>
              <w:t>表2</w:t>
            </w:r>
            <w:r>
              <w:rPr>
                <w:rFonts w:hint="eastAsia"/>
                <w:b/>
                <w:bCs/>
                <w:color w:val="000000"/>
              </w:rPr>
              <w:noBreakHyphen/>
            </w:r>
            <w:r>
              <w:rPr>
                <w:rFonts w:hint="eastAsia"/>
                <w:b/>
                <w:bCs/>
                <w:color w:val="000000"/>
              </w:rPr>
              <w:t>2 项目各建筑情况一览表</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378"/>
              <w:gridCol w:w="1099"/>
              <w:gridCol w:w="1349"/>
              <w:gridCol w:w="1291"/>
              <w:gridCol w:w="651"/>
              <w:gridCol w:w="2230"/>
            </w:tblGrid>
            <w:tr w14:paraId="213EC5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2DAD9CBB">
                  <w:pPr>
                    <w:pStyle w:val="27"/>
                    <w:rPr>
                      <w:color w:val="000000"/>
                      <w:sz w:val="21"/>
                    </w:rPr>
                  </w:pPr>
                  <w:r>
                    <w:rPr>
                      <w:rFonts w:hint="eastAsia"/>
                      <w:color w:val="000000"/>
                      <w:sz w:val="21"/>
                    </w:rPr>
                    <w:t>序号</w:t>
                  </w:r>
                </w:p>
              </w:tc>
              <w:tc>
                <w:tcPr>
                  <w:tcW w:w="816" w:type="pct"/>
                  <w:noWrap w:val="0"/>
                  <w:vAlign w:val="center"/>
                </w:tcPr>
                <w:p w14:paraId="2A6C912D">
                  <w:pPr>
                    <w:pStyle w:val="27"/>
                    <w:rPr>
                      <w:color w:val="000000"/>
                      <w:sz w:val="21"/>
                    </w:rPr>
                  </w:pPr>
                  <w:r>
                    <w:rPr>
                      <w:rFonts w:hint="eastAsia"/>
                      <w:color w:val="000000"/>
                      <w:sz w:val="21"/>
                    </w:rPr>
                    <w:t>名称</w:t>
                  </w:r>
                </w:p>
              </w:tc>
              <w:tc>
                <w:tcPr>
                  <w:tcW w:w="651" w:type="pct"/>
                  <w:noWrap w:val="0"/>
                  <w:vAlign w:val="center"/>
                </w:tcPr>
                <w:p w14:paraId="2F98ACA6">
                  <w:pPr>
                    <w:pStyle w:val="27"/>
                    <w:rPr>
                      <w:rFonts w:hint="eastAsia"/>
                      <w:color w:val="000000"/>
                      <w:sz w:val="21"/>
                    </w:rPr>
                  </w:pPr>
                  <w:r>
                    <w:rPr>
                      <w:rFonts w:hint="eastAsia"/>
                      <w:color w:val="000000"/>
                      <w:sz w:val="21"/>
                    </w:rPr>
                    <w:t>楼高</w:t>
                  </w:r>
                </w:p>
                <w:p w14:paraId="571A0F93">
                  <w:pPr>
                    <w:pStyle w:val="27"/>
                    <w:rPr>
                      <w:rFonts w:hint="eastAsia"/>
                      <w:color w:val="000000"/>
                      <w:sz w:val="21"/>
                    </w:rPr>
                  </w:pPr>
                  <w:r>
                    <w:rPr>
                      <w:rFonts w:hint="eastAsia"/>
                      <w:color w:val="000000"/>
                      <w:sz w:val="21"/>
                    </w:rPr>
                    <w:t>（m）</w:t>
                  </w:r>
                </w:p>
              </w:tc>
              <w:tc>
                <w:tcPr>
                  <w:tcW w:w="799" w:type="pct"/>
                  <w:noWrap w:val="0"/>
                  <w:vAlign w:val="center"/>
                </w:tcPr>
                <w:p w14:paraId="517FD761">
                  <w:pPr>
                    <w:pStyle w:val="27"/>
                    <w:rPr>
                      <w:color w:val="000000"/>
                      <w:sz w:val="21"/>
                    </w:rPr>
                  </w:pPr>
                  <w:r>
                    <w:rPr>
                      <w:rFonts w:hint="eastAsia"/>
                      <w:color w:val="000000"/>
                      <w:sz w:val="21"/>
                    </w:rPr>
                    <w:t>占地面积（m</w:t>
                  </w:r>
                  <w:r>
                    <w:rPr>
                      <w:rFonts w:hint="eastAsia"/>
                      <w:color w:val="000000"/>
                      <w:sz w:val="21"/>
                      <w:vertAlign w:val="superscript"/>
                    </w:rPr>
                    <w:t>2</w:t>
                  </w:r>
                  <w:r>
                    <w:rPr>
                      <w:rFonts w:hint="eastAsia"/>
                      <w:color w:val="000000"/>
                      <w:sz w:val="21"/>
                    </w:rPr>
                    <w:t>）</w:t>
                  </w:r>
                </w:p>
              </w:tc>
              <w:tc>
                <w:tcPr>
                  <w:tcW w:w="765" w:type="pct"/>
                  <w:noWrap w:val="0"/>
                  <w:vAlign w:val="center"/>
                </w:tcPr>
                <w:p w14:paraId="27B50408">
                  <w:pPr>
                    <w:pStyle w:val="27"/>
                    <w:rPr>
                      <w:color w:val="000000"/>
                      <w:sz w:val="21"/>
                    </w:rPr>
                  </w:pPr>
                  <w:r>
                    <w:rPr>
                      <w:rFonts w:hint="eastAsia"/>
                      <w:color w:val="000000"/>
                      <w:sz w:val="21"/>
                    </w:rPr>
                    <w:t>建筑面积（m</w:t>
                  </w:r>
                  <w:r>
                    <w:rPr>
                      <w:rFonts w:hint="eastAsia"/>
                      <w:color w:val="000000"/>
                      <w:sz w:val="21"/>
                      <w:vertAlign w:val="superscript"/>
                    </w:rPr>
                    <w:t>2</w:t>
                  </w:r>
                  <w:r>
                    <w:rPr>
                      <w:rFonts w:hint="eastAsia"/>
                      <w:color w:val="000000"/>
                      <w:sz w:val="21"/>
                    </w:rPr>
                    <w:t>）</w:t>
                  </w:r>
                </w:p>
              </w:tc>
              <w:tc>
                <w:tcPr>
                  <w:tcW w:w="386" w:type="pct"/>
                  <w:noWrap w:val="0"/>
                  <w:vAlign w:val="center"/>
                </w:tcPr>
                <w:p w14:paraId="4B3C1117">
                  <w:pPr>
                    <w:pStyle w:val="27"/>
                    <w:rPr>
                      <w:color w:val="000000"/>
                      <w:sz w:val="21"/>
                    </w:rPr>
                  </w:pPr>
                  <w:r>
                    <w:rPr>
                      <w:rFonts w:hint="eastAsia"/>
                      <w:color w:val="000000"/>
                      <w:sz w:val="21"/>
                    </w:rPr>
                    <w:t>层数</w:t>
                  </w:r>
                </w:p>
              </w:tc>
              <w:tc>
                <w:tcPr>
                  <w:tcW w:w="1321" w:type="pct"/>
                  <w:noWrap w:val="0"/>
                  <w:vAlign w:val="center"/>
                </w:tcPr>
                <w:p w14:paraId="4D1BFF41">
                  <w:pPr>
                    <w:pStyle w:val="27"/>
                    <w:rPr>
                      <w:color w:val="000000"/>
                      <w:sz w:val="21"/>
                    </w:rPr>
                  </w:pPr>
                  <w:r>
                    <w:rPr>
                      <w:rFonts w:hint="eastAsia"/>
                      <w:color w:val="000000"/>
                      <w:sz w:val="21"/>
                    </w:rPr>
                    <w:t>备注</w:t>
                  </w:r>
                </w:p>
              </w:tc>
            </w:tr>
            <w:tr w14:paraId="73C9D8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1FB0180E">
                  <w:pPr>
                    <w:pStyle w:val="27"/>
                    <w:rPr>
                      <w:color w:val="000000"/>
                      <w:sz w:val="21"/>
                    </w:rPr>
                  </w:pPr>
                  <w:r>
                    <w:rPr>
                      <w:rFonts w:hint="eastAsia"/>
                      <w:color w:val="000000"/>
                      <w:sz w:val="21"/>
                    </w:rPr>
                    <w:t>1</w:t>
                  </w:r>
                </w:p>
              </w:tc>
              <w:tc>
                <w:tcPr>
                  <w:tcW w:w="816" w:type="pct"/>
                  <w:noWrap w:val="0"/>
                  <w:vAlign w:val="center"/>
                </w:tcPr>
                <w:p w14:paraId="0A990275">
                  <w:pPr>
                    <w:pStyle w:val="27"/>
                    <w:rPr>
                      <w:color w:val="000000"/>
                      <w:sz w:val="21"/>
                    </w:rPr>
                  </w:pPr>
                  <w:r>
                    <w:rPr>
                      <w:rFonts w:hint="eastAsia"/>
                      <w:color w:val="000000"/>
                      <w:sz w:val="21"/>
                    </w:rPr>
                    <w:t>1号厂房</w:t>
                  </w:r>
                </w:p>
              </w:tc>
              <w:tc>
                <w:tcPr>
                  <w:tcW w:w="651" w:type="pct"/>
                  <w:noWrap w:val="0"/>
                  <w:vAlign w:val="center"/>
                </w:tcPr>
                <w:p w14:paraId="2857BADC">
                  <w:pPr>
                    <w:pStyle w:val="27"/>
                    <w:rPr>
                      <w:color w:val="000000"/>
                      <w:sz w:val="21"/>
                    </w:rPr>
                  </w:pPr>
                  <w:r>
                    <w:rPr>
                      <w:rFonts w:hint="eastAsia"/>
                      <w:color w:val="000000"/>
                      <w:sz w:val="21"/>
                    </w:rPr>
                    <w:t>12</w:t>
                  </w:r>
                </w:p>
              </w:tc>
              <w:tc>
                <w:tcPr>
                  <w:tcW w:w="799" w:type="pct"/>
                  <w:noWrap w:val="0"/>
                  <w:vAlign w:val="center"/>
                </w:tcPr>
                <w:p w14:paraId="40378B54">
                  <w:pPr>
                    <w:pStyle w:val="27"/>
                    <w:rPr>
                      <w:color w:val="000000"/>
                      <w:sz w:val="21"/>
                    </w:rPr>
                  </w:pPr>
                  <w:r>
                    <w:rPr>
                      <w:rFonts w:hint="eastAsia"/>
                      <w:color w:val="000000"/>
                      <w:sz w:val="21"/>
                    </w:rPr>
                    <w:t>2843.1</w:t>
                  </w:r>
                </w:p>
              </w:tc>
              <w:tc>
                <w:tcPr>
                  <w:tcW w:w="765" w:type="pct"/>
                  <w:noWrap w:val="0"/>
                  <w:vAlign w:val="center"/>
                </w:tcPr>
                <w:p w14:paraId="4B72F293">
                  <w:pPr>
                    <w:pStyle w:val="27"/>
                    <w:rPr>
                      <w:color w:val="000000"/>
                      <w:sz w:val="21"/>
                    </w:rPr>
                  </w:pPr>
                  <w:r>
                    <w:rPr>
                      <w:rFonts w:hint="eastAsia"/>
                      <w:color w:val="000000"/>
                      <w:sz w:val="21"/>
                    </w:rPr>
                    <w:t>5651.28</w:t>
                  </w:r>
                </w:p>
              </w:tc>
              <w:tc>
                <w:tcPr>
                  <w:tcW w:w="386" w:type="pct"/>
                  <w:noWrap w:val="0"/>
                  <w:vAlign w:val="center"/>
                </w:tcPr>
                <w:p w14:paraId="0411A5A5">
                  <w:pPr>
                    <w:pStyle w:val="27"/>
                    <w:rPr>
                      <w:color w:val="000000"/>
                      <w:sz w:val="21"/>
                    </w:rPr>
                  </w:pPr>
                  <w:r>
                    <w:rPr>
                      <w:rFonts w:hint="eastAsia"/>
                      <w:color w:val="000000"/>
                      <w:sz w:val="21"/>
                    </w:rPr>
                    <w:t>2层</w:t>
                  </w:r>
                </w:p>
              </w:tc>
              <w:tc>
                <w:tcPr>
                  <w:tcW w:w="1321" w:type="pct"/>
                  <w:vMerge w:val="restart"/>
                  <w:noWrap w:val="0"/>
                  <w:vAlign w:val="center"/>
                </w:tcPr>
                <w:p w14:paraId="6D8BE069">
                  <w:pPr>
                    <w:pStyle w:val="27"/>
                    <w:rPr>
                      <w:color w:val="000000"/>
                      <w:sz w:val="21"/>
                    </w:rPr>
                  </w:pPr>
                  <w:r>
                    <w:rPr>
                      <w:rFonts w:hint="eastAsia"/>
                      <w:color w:val="000000"/>
                      <w:sz w:val="21"/>
                    </w:rPr>
                    <w:t>钢砼结构，两栋厂房高10m，</w:t>
                  </w:r>
                  <w:r>
                    <w:rPr>
                      <w:color w:val="000000"/>
                      <w:sz w:val="21"/>
                    </w:rPr>
                    <w:t>本次使用1层，2层闲置预留。</w:t>
                  </w:r>
                </w:p>
              </w:tc>
            </w:tr>
            <w:tr w14:paraId="0BFF14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40C559C8">
                  <w:pPr>
                    <w:pStyle w:val="27"/>
                    <w:rPr>
                      <w:rFonts w:hint="eastAsia"/>
                      <w:color w:val="000000"/>
                      <w:sz w:val="21"/>
                    </w:rPr>
                  </w:pPr>
                  <w:r>
                    <w:rPr>
                      <w:rFonts w:hint="eastAsia"/>
                      <w:color w:val="000000"/>
                      <w:sz w:val="21"/>
                    </w:rPr>
                    <w:t>2</w:t>
                  </w:r>
                </w:p>
              </w:tc>
              <w:tc>
                <w:tcPr>
                  <w:tcW w:w="816" w:type="pct"/>
                  <w:noWrap w:val="0"/>
                  <w:vAlign w:val="center"/>
                </w:tcPr>
                <w:p w14:paraId="19163223">
                  <w:pPr>
                    <w:pStyle w:val="27"/>
                    <w:rPr>
                      <w:color w:val="000000"/>
                      <w:sz w:val="21"/>
                    </w:rPr>
                  </w:pPr>
                  <w:r>
                    <w:rPr>
                      <w:rFonts w:hint="eastAsia"/>
                      <w:color w:val="000000"/>
                      <w:sz w:val="21"/>
                    </w:rPr>
                    <w:t>2号厂房</w:t>
                  </w:r>
                </w:p>
              </w:tc>
              <w:tc>
                <w:tcPr>
                  <w:tcW w:w="651" w:type="pct"/>
                  <w:noWrap w:val="0"/>
                  <w:vAlign w:val="center"/>
                </w:tcPr>
                <w:p w14:paraId="3A7E79AD">
                  <w:pPr>
                    <w:pStyle w:val="27"/>
                    <w:rPr>
                      <w:color w:val="000000"/>
                      <w:sz w:val="21"/>
                    </w:rPr>
                  </w:pPr>
                  <w:r>
                    <w:rPr>
                      <w:rFonts w:hint="eastAsia"/>
                      <w:color w:val="000000"/>
                      <w:sz w:val="21"/>
                    </w:rPr>
                    <w:t>12</w:t>
                  </w:r>
                </w:p>
              </w:tc>
              <w:tc>
                <w:tcPr>
                  <w:tcW w:w="799" w:type="pct"/>
                  <w:noWrap w:val="0"/>
                  <w:vAlign w:val="center"/>
                </w:tcPr>
                <w:p w14:paraId="48684CD1">
                  <w:pPr>
                    <w:pStyle w:val="27"/>
                    <w:rPr>
                      <w:rFonts w:hint="eastAsia"/>
                      <w:color w:val="000000"/>
                      <w:sz w:val="21"/>
                    </w:rPr>
                  </w:pPr>
                  <w:r>
                    <w:rPr>
                      <w:rFonts w:hint="eastAsia"/>
                      <w:color w:val="000000"/>
                      <w:sz w:val="21"/>
                    </w:rPr>
                    <w:t>2843.1</w:t>
                  </w:r>
                </w:p>
              </w:tc>
              <w:tc>
                <w:tcPr>
                  <w:tcW w:w="765" w:type="pct"/>
                  <w:noWrap w:val="0"/>
                  <w:vAlign w:val="center"/>
                </w:tcPr>
                <w:p w14:paraId="7D2E8A0D">
                  <w:pPr>
                    <w:pStyle w:val="27"/>
                    <w:rPr>
                      <w:rFonts w:hint="eastAsia"/>
                      <w:color w:val="000000"/>
                      <w:sz w:val="21"/>
                    </w:rPr>
                  </w:pPr>
                  <w:r>
                    <w:rPr>
                      <w:rFonts w:hint="eastAsia"/>
                      <w:color w:val="000000"/>
                      <w:sz w:val="21"/>
                    </w:rPr>
                    <w:t>5651.28</w:t>
                  </w:r>
                </w:p>
              </w:tc>
              <w:tc>
                <w:tcPr>
                  <w:tcW w:w="386" w:type="pct"/>
                  <w:noWrap w:val="0"/>
                  <w:vAlign w:val="center"/>
                </w:tcPr>
                <w:p w14:paraId="07E50747">
                  <w:pPr>
                    <w:pStyle w:val="27"/>
                    <w:rPr>
                      <w:rFonts w:hint="eastAsia"/>
                      <w:color w:val="000000"/>
                      <w:sz w:val="21"/>
                    </w:rPr>
                  </w:pPr>
                  <w:r>
                    <w:rPr>
                      <w:rFonts w:hint="eastAsia"/>
                      <w:color w:val="000000"/>
                      <w:sz w:val="21"/>
                    </w:rPr>
                    <w:t>2层</w:t>
                  </w:r>
                </w:p>
              </w:tc>
              <w:tc>
                <w:tcPr>
                  <w:tcW w:w="1321" w:type="pct"/>
                  <w:vMerge w:val="continue"/>
                  <w:noWrap w:val="0"/>
                  <w:vAlign w:val="center"/>
                </w:tcPr>
                <w:p w14:paraId="58B7AB58">
                  <w:pPr>
                    <w:pStyle w:val="27"/>
                    <w:rPr>
                      <w:color w:val="000000"/>
                      <w:sz w:val="21"/>
                    </w:rPr>
                  </w:pPr>
                </w:p>
              </w:tc>
            </w:tr>
            <w:tr w14:paraId="6C21AB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29FA1B47">
                  <w:pPr>
                    <w:pStyle w:val="27"/>
                    <w:rPr>
                      <w:rFonts w:hint="eastAsia"/>
                      <w:color w:val="000000"/>
                      <w:sz w:val="21"/>
                    </w:rPr>
                  </w:pPr>
                  <w:r>
                    <w:rPr>
                      <w:rFonts w:hint="eastAsia"/>
                      <w:color w:val="000000"/>
                      <w:sz w:val="21"/>
                    </w:rPr>
                    <w:t>3</w:t>
                  </w:r>
                </w:p>
              </w:tc>
              <w:tc>
                <w:tcPr>
                  <w:tcW w:w="816" w:type="pct"/>
                  <w:noWrap w:val="0"/>
                  <w:vAlign w:val="center"/>
                </w:tcPr>
                <w:p w14:paraId="4F6C12C7">
                  <w:pPr>
                    <w:pStyle w:val="27"/>
                    <w:rPr>
                      <w:color w:val="000000"/>
                      <w:sz w:val="21"/>
                    </w:rPr>
                  </w:pPr>
                  <w:r>
                    <w:rPr>
                      <w:rFonts w:hint="eastAsia"/>
                      <w:color w:val="000000"/>
                      <w:sz w:val="21"/>
                    </w:rPr>
                    <w:t>综合楼</w:t>
                  </w:r>
                </w:p>
              </w:tc>
              <w:tc>
                <w:tcPr>
                  <w:tcW w:w="651" w:type="pct"/>
                  <w:noWrap w:val="0"/>
                  <w:vAlign w:val="center"/>
                </w:tcPr>
                <w:p w14:paraId="6EDF04BA">
                  <w:pPr>
                    <w:pStyle w:val="27"/>
                    <w:rPr>
                      <w:color w:val="000000"/>
                      <w:sz w:val="21"/>
                    </w:rPr>
                  </w:pPr>
                  <w:r>
                    <w:rPr>
                      <w:rFonts w:hint="eastAsia"/>
                      <w:color w:val="000000"/>
                      <w:sz w:val="21"/>
                    </w:rPr>
                    <w:t>13</w:t>
                  </w:r>
                </w:p>
              </w:tc>
              <w:tc>
                <w:tcPr>
                  <w:tcW w:w="799" w:type="pct"/>
                  <w:noWrap w:val="0"/>
                  <w:vAlign w:val="center"/>
                </w:tcPr>
                <w:p w14:paraId="4226D730">
                  <w:pPr>
                    <w:pStyle w:val="27"/>
                    <w:rPr>
                      <w:rFonts w:cs="宋体"/>
                      <w:color w:val="000000"/>
                      <w:sz w:val="21"/>
                    </w:rPr>
                  </w:pPr>
                  <w:r>
                    <w:rPr>
                      <w:rFonts w:hint="eastAsia" w:cs="宋体"/>
                      <w:color w:val="000000"/>
                      <w:sz w:val="21"/>
                    </w:rPr>
                    <w:t>966.3</w:t>
                  </w:r>
                </w:p>
              </w:tc>
              <w:tc>
                <w:tcPr>
                  <w:tcW w:w="765" w:type="pct"/>
                  <w:noWrap w:val="0"/>
                  <w:vAlign w:val="center"/>
                </w:tcPr>
                <w:p w14:paraId="3B264BB2">
                  <w:pPr>
                    <w:pStyle w:val="27"/>
                    <w:rPr>
                      <w:color w:val="000000"/>
                      <w:sz w:val="21"/>
                    </w:rPr>
                  </w:pPr>
                  <w:r>
                    <w:rPr>
                      <w:rFonts w:hint="eastAsia"/>
                      <w:color w:val="000000"/>
                      <w:sz w:val="21"/>
                    </w:rPr>
                    <w:t>3669.92</w:t>
                  </w:r>
                </w:p>
              </w:tc>
              <w:tc>
                <w:tcPr>
                  <w:tcW w:w="386" w:type="pct"/>
                  <w:noWrap w:val="0"/>
                  <w:vAlign w:val="center"/>
                </w:tcPr>
                <w:p w14:paraId="6EE3E206">
                  <w:pPr>
                    <w:pStyle w:val="27"/>
                    <w:rPr>
                      <w:color w:val="000000"/>
                      <w:sz w:val="21"/>
                    </w:rPr>
                  </w:pPr>
                  <w:r>
                    <w:rPr>
                      <w:rFonts w:hint="eastAsia"/>
                      <w:color w:val="000000"/>
                      <w:sz w:val="21"/>
                    </w:rPr>
                    <w:t>4层</w:t>
                  </w:r>
                </w:p>
              </w:tc>
              <w:tc>
                <w:tcPr>
                  <w:tcW w:w="1321" w:type="pct"/>
                  <w:noWrap w:val="0"/>
                  <w:vAlign w:val="center"/>
                </w:tcPr>
                <w:p w14:paraId="6A58D8CB">
                  <w:pPr>
                    <w:pStyle w:val="27"/>
                    <w:rPr>
                      <w:color w:val="000000"/>
                      <w:sz w:val="21"/>
                    </w:rPr>
                  </w:pPr>
                  <w:r>
                    <w:rPr>
                      <w:rFonts w:hint="eastAsia"/>
                      <w:color w:val="000000"/>
                      <w:sz w:val="21"/>
                    </w:rPr>
                    <w:t>钢砼结构，高12m，综合楼部分已租赁给中铁一局作工程办公区域使用，本项目仅使用部分区域进行办公等。</w:t>
                  </w:r>
                </w:p>
              </w:tc>
            </w:tr>
            <w:tr w14:paraId="369014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6DC19C15">
                  <w:pPr>
                    <w:pStyle w:val="27"/>
                    <w:rPr>
                      <w:color w:val="000000"/>
                      <w:sz w:val="21"/>
                    </w:rPr>
                  </w:pPr>
                  <w:r>
                    <w:rPr>
                      <w:rFonts w:hint="eastAsia"/>
                      <w:color w:val="000000"/>
                      <w:sz w:val="21"/>
                    </w:rPr>
                    <w:t>4</w:t>
                  </w:r>
                </w:p>
              </w:tc>
              <w:tc>
                <w:tcPr>
                  <w:tcW w:w="816" w:type="pct"/>
                  <w:noWrap w:val="0"/>
                  <w:vAlign w:val="center"/>
                </w:tcPr>
                <w:p w14:paraId="448B8921">
                  <w:pPr>
                    <w:pStyle w:val="27"/>
                    <w:rPr>
                      <w:color w:val="000000"/>
                      <w:sz w:val="21"/>
                    </w:rPr>
                  </w:pPr>
                  <w:r>
                    <w:rPr>
                      <w:rFonts w:hint="eastAsia"/>
                      <w:color w:val="000000"/>
                      <w:sz w:val="21"/>
                    </w:rPr>
                    <w:t>门卫及厂区</w:t>
                  </w:r>
                </w:p>
              </w:tc>
              <w:tc>
                <w:tcPr>
                  <w:tcW w:w="651" w:type="pct"/>
                  <w:noWrap w:val="0"/>
                  <w:vAlign w:val="center"/>
                </w:tcPr>
                <w:p w14:paraId="42395760">
                  <w:pPr>
                    <w:pStyle w:val="27"/>
                    <w:rPr>
                      <w:color w:val="000000"/>
                      <w:sz w:val="21"/>
                    </w:rPr>
                  </w:pPr>
                  <w:r>
                    <w:rPr>
                      <w:rFonts w:hint="eastAsia"/>
                      <w:color w:val="000000"/>
                      <w:sz w:val="21"/>
                    </w:rPr>
                    <w:t>3</w:t>
                  </w:r>
                </w:p>
              </w:tc>
              <w:tc>
                <w:tcPr>
                  <w:tcW w:w="799" w:type="pct"/>
                  <w:noWrap w:val="0"/>
                  <w:vAlign w:val="center"/>
                </w:tcPr>
                <w:p w14:paraId="4FD7B207">
                  <w:pPr>
                    <w:pStyle w:val="27"/>
                    <w:rPr>
                      <w:rFonts w:cs="宋体"/>
                      <w:color w:val="000000"/>
                      <w:sz w:val="21"/>
                    </w:rPr>
                  </w:pPr>
                  <w:r>
                    <w:rPr>
                      <w:rFonts w:cs="宋体"/>
                      <w:color w:val="000000"/>
                      <w:sz w:val="21"/>
                    </w:rPr>
                    <w:t>7035.6</w:t>
                  </w:r>
                </w:p>
              </w:tc>
              <w:tc>
                <w:tcPr>
                  <w:tcW w:w="765" w:type="pct"/>
                  <w:noWrap w:val="0"/>
                  <w:vAlign w:val="center"/>
                </w:tcPr>
                <w:p w14:paraId="023C45AF">
                  <w:pPr>
                    <w:pStyle w:val="27"/>
                    <w:rPr>
                      <w:color w:val="000000"/>
                      <w:sz w:val="21"/>
                    </w:rPr>
                  </w:pPr>
                  <w:r>
                    <w:rPr>
                      <w:rFonts w:hint="eastAsia" w:cs="宋体"/>
                      <w:color w:val="000000"/>
                      <w:sz w:val="21"/>
                    </w:rPr>
                    <w:t>14.36</w:t>
                  </w:r>
                </w:p>
              </w:tc>
              <w:tc>
                <w:tcPr>
                  <w:tcW w:w="386" w:type="pct"/>
                  <w:noWrap w:val="0"/>
                  <w:vAlign w:val="center"/>
                </w:tcPr>
                <w:p w14:paraId="199A3BE3">
                  <w:pPr>
                    <w:pStyle w:val="27"/>
                    <w:rPr>
                      <w:color w:val="000000"/>
                      <w:sz w:val="21"/>
                    </w:rPr>
                  </w:pPr>
                  <w:r>
                    <w:rPr>
                      <w:rFonts w:hint="eastAsia"/>
                      <w:color w:val="000000"/>
                      <w:sz w:val="21"/>
                    </w:rPr>
                    <w:t>1层</w:t>
                  </w:r>
                </w:p>
              </w:tc>
              <w:tc>
                <w:tcPr>
                  <w:tcW w:w="1321" w:type="pct"/>
                  <w:noWrap w:val="0"/>
                  <w:vAlign w:val="center"/>
                </w:tcPr>
                <w:p w14:paraId="4455938C">
                  <w:pPr>
                    <w:pStyle w:val="27"/>
                    <w:rPr>
                      <w:color w:val="000000"/>
                      <w:sz w:val="21"/>
                    </w:rPr>
                  </w:pPr>
                  <w:r>
                    <w:rPr>
                      <w:rFonts w:hint="eastAsia"/>
                      <w:color w:val="000000"/>
                      <w:sz w:val="21"/>
                    </w:rPr>
                    <w:t>/</w:t>
                  </w:r>
                </w:p>
              </w:tc>
            </w:tr>
            <w:tr w14:paraId="698650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72D14079">
                  <w:pPr>
                    <w:pStyle w:val="27"/>
                    <w:rPr>
                      <w:color w:val="000000"/>
                      <w:sz w:val="21"/>
                    </w:rPr>
                  </w:pPr>
                  <w:r>
                    <w:rPr>
                      <w:rFonts w:hint="eastAsia"/>
                      <w:color w:val="000000"/>
                      <w:sz w:val="21"/>
                    </w:rPr>
                    <w:t>5</w:t>
                  </w:r>
                </w:p>
              </w:tc>
              <w:tc>
                <w:tcPr>
                  <w:tcW w:w="816" w:type="pct"/>
                  <w:noWrap w:val="0"/>
                  <w:vAlign w:val="center"/>
                </w:tcPr>
                <w:p w14:paraId="0DE04B11">
                  <w:pPr>
                    <w:pStyle w:val="27"/>
                    <w:rPr>
                      <w:color w:val="000000"/>
                      <w:sz w:val="21"/>
                    </w:rPr>
                  </w:pPr>
                  <w:r>
                    <w:rPr>
                      <w:rFonts w:hint="eastAsia"/>
                      <w:color w:val="000000"/>
                      <w:sz w:val="21"/>
                    </w:rPr>
                    <w:t>合计</w:t>
                  </w:r>
                </w:p>
              </w:tc>
              <w:tc>
                <w:tcPr>
                  <w:tcW w:w="651" w:type="pct"/>
                  <w:noWrap w:val="0"/>
                  <w:vAlign w:val="center"/>
                </w:tcPr>
                <w:p w14:paraId="55E598A7">
                  <w:pPr>
                    <w:pStyle w:val="27"/>
                    <w:rPr>
                      <w:rFonts w:hint="eastAsia"/>
                      <w:color w:val="000000"/>
                      <w:sz w:val="21"/>
                    </w:rPr>
                  </w:pPr>
                  <w:r>
                    <w:rPr>
                      <w:rFonts w:hint="eastAsia"/>
                      <w:color w:val="000000"/>
                      <w:sz w:val="21"/>
                    </w:rPr>
                    <w:t>/</w:t>
                  </w:r>
                </w:p>
              </w:tc>
              <w:tc>
                <w:tcPr>
                  <w:tcW w:w="799" w:type="pct"/>
                  <w:noWrap w:val="0"/>
                  <w:vAlign w:val="center"/>
                </w:tcPr>
                <w:p w14:paraId="77DCB517">
                  <w:pPr>
                    <w:pStyle w:val="27"/>
                    <w:rPr>
                      <w:rFonts w:cs="宋体"/>
                      <w:color w:val="000000"/>
                      <w:sz w:val="21"/>
                    </w:rPr>
                  </w:pPr>
                  <w:r>
                    <w:rPr>
                      <w:rFonts w:hint="eastAsia" w:cs="宋体"/>
                      <w:color w:val="000000"/>
                      <w:sz w:val="21"/>
                    </w:rPr>
                    <w:t>13688.1</w:t>
                  </w:r>
                </w:p>
              </w:tc>
              <w:tc>
                <w:tcPr>
                  <w:tcW w:w="765" w:type="pct"/>
                  <w:noWrap w:val="0"/>
                  <w:vAlign w:val="center"/>
                </w:tcPr>
                <w:p w14:paraId="26DA362C">
                  <w:pPr>
                    <w:pStyle w:val="27"/>
                    <w:rPr>
                      <w:rFonts w:cs="宋体"/>
                      <w:color w:val="000000"/>
                      <w:sz w:val="21"/>
                    </w:rPr>
                  </w:pPr>
                  <w:r>
                    <w:rPr>
                      <w:rFonts w:hint="eastAsia" w:cs="宋体"/>
                      <w:color w:val="000000"/>
                      <w:sz w:val="21"/>
                    </w:rPr>
                    <w:t>14986.84</w:t>
                  </w:r>
                </w:p>
              </w:tc>
              <w:tc>
                <w:tcPr>
                  <w:tcW w:w="386" w:type="pct"/>
                  <w:noWrap w:val="0"/>
                  <w:vAlign w:val="center"/>
                </w:tcPr>
                <w:p w14:paraId="003F45D7">
                  <w:pPr>
                    <w:pStyle w:val="27"/>
                    <w:rPr>
                      <w:color w:val="000000"/>
                      <w:sz w:val="21"/>
                    </w:rPr>
                  </w:pPr>
                  <w:r>
                    <w:rPr>
                      <w:rFonts w:hint="eastAsia"/>
                      <w:color w:val="000000"/>
                      <w:sz w:val="21"/>
                    </w:rPr>
                    <w:t>/</w:t>
                  </w:r>
                </w:p>
              </w:tc>
              <w:tc>
                <w:tcPr>
                  <w:tcW w:w="1321" w:type="pct"/>
                  <w:noWrap w:val="0"/>
                  <w:vAlign w:val="center"/>
                </w:tcPr>
                <w:p w14:paraId="6AF639AB">
                  <w:pPr>
                    <w:pStyle w:val="27"/>
                    <w:rPr>
                      <w:color w:val="000000"/>
                      <w:sz w:val="21"/>
                    </w:rPr>
                  </w:pPr>
                  <w:r>
                    <w:rPr>
                      <w:rFonts w:hint="eastAsia"/>
                      <w:color w:val="000000"/>
                      <w:sz w:val="21"/>
                    </w:rPr>
                    <w:t>/</w:t>
                  </w:r>
                </w:p>
              </w:tc>
            </w:tr>
          </w:tbl>
          <w:p w14:paraId="12604B02">
            <w:pPr>
              <w:adjustRightInd w:val="0"/>
              <w:snapToGrid w:val="0"/>
              <w:spacing w:line="360" w:lineRule="auto"/>
              <w:ind w:firstLine="420" w:firstLineChars="200"/>
              <w:rPr>
                <w:color w:val="000000"/>
              </w:rPr>
            </w:pPr>
            <w:r>
              <w:rPr>
                <w:color w:val="000000"/>
              </w:rPr>
              <w:t>项目组成情况见表</w:t>
            </w:r>
            <w:r>
              <w:rPr>
                <w:rFonts w:hint="eastAsia"/>
                <w:color w:val="000000"/>
              </w:rPr>
              <w:t>2-3</w:t>
            </w:r>
            <w:r>
              <w:rPr>
                <w:color w:val="000000"/>
              </w:rPr>
              <w:t>。</w:t>
            </w:r>
          </w:p>
          <w:p w14:paraId="71FE4CCD">
            <w:pPr>
              <w:spacing w:before="24"/>
              <w:jc w:val="center"/>
              <w:rPr>
                <w:b/>
                <w:bCs/>
                <w:color w:val="000000"/>
                <w:szCs w:val="32"/>
              </w:rPr>
            </w:pPr>
            <w:r>
              <w:rPr>
                <w:b/>
                <w:bCs/>
                <w:color w:val="000000"/>
                <w:szCs w:val="32"/>
              </w:rPr>
              <w:t>表</w:t>
            </w:r>
            <w:r>
              <w:rPr>
                <w:rFonts w:hint="eastAsia"/>
                <w:b/>
                <w:bCs/>
                <w:color w:val="000000"/>
                <w:szCs w:val="32"/>
              </w:rPr>
              <w:t>2-3</w:t>
            </w:r>
            <w:r>
              <w:rPr>
                <w:b/>
                <w:bCs/>
                <w:color w:val="000000"/>
                <w:szCs w:val="32"/>
              </w:rPr>
              <w:t xml:space="preserve">  项目建设内容一览表</w:t>
            </w:r>
          </w:p>
          <w:tbl>
            <w:tblPr>
              <w:tblStyle w:val="16"/>
              <w:tblW w:w="840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8"/>
              <w:gridCol w:w="977"/>
              <w:gridCol w:w="5397"/>
              <w:gridCol w:w="615"/>
            </w:tblGrid>
            <w:tr w14:paraId="6AE649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noWrap w:val="0"/>
                  <w:vAlign w:val="center"/>
                </w:tcPr>
                <w:p w14:paraId="344BB7F2">
                  <w:pPr>
                    <w:pStyle w:val="27"/>
                    <w:rPr>
                      <w:color w:val="000000"/>
                      <w:sz w:val="21"/>
                    </w:rPr>
                  </w:pPr>
                  <w:r>
                    <w:rPr>
                      <w:rFonts w:hint="eastAsia"/>
                      <w:color w:val="000000"/>
                      <w:sz w:val="21"/>
                    </w:rPr>
                    <w:t>工程分类</w:t>
                  </w:r>
                </w:p>
              </w:tc>
              <w:tc>
                <w:tcPr>
                  <w:tcW w:w="1685" w:type="dxa"/>
                  <w:gridSpan w:val="2"/>
                  <w:noWrap w:val="0"/>
                  <w:vAlign w:val="center"/>
                </w:tcPr>
                <w:p w14:paraId="15727A14">
                  <w:pPr>
                    <w:pStyle w:val="27"/>
                    <w:rPr>
                      <w:color w:val="000000"/>
                      <w:sz w:val="21"/>
                    </w:rPr>
                  </w:pPr>
                  <w:r>
                    <w:rPr>
                      <w:rFonts w:hint="eastAsia"/>
                      <w:color w:val="000000"/>
                      <w:sz w:val="21"/>
                    </w:rPr>
                    <w:t>项目组成</w:t>
                  </w:r>
                </w:p>
              </w:tc>
              <w:tc>
                <w:tcPr>
                  <w:tcW w:w="5397" w:type="dxa"/>
                  <w:noWrap w:val="0"/>
                  <w:vAlign w:val="center"/>
                </w:tcPr>
                <w:p w14:paraId="6879AA55">
                  <w:pPr>
                    <w:pStyle w:val="27"/>
                    <w:rPr>
                      <w:color w:val="000000"/>
                      <w:sz w:val="21"/>
                    </w:rPr>
                  </w:pPr>
                  <w:r>
                    <w:rPr>
                      <w:rFonts w:hint="eastAsia"/>
                      <w:color w:val="000000"/>
                      <w:sz w:val="21"/>
                    </w:rPr>
                    <w:t>主要建设内容</w:t>
                  </w:r>
                </w:p>
              </w:tc>
              <w:tc>
                <w:tcPr>
                  <w:tcW w:w="615" w:type="dxa"/>
                  <w:noWrap w:val="0"/>
                  <w:vAlign w:val="center"/>
                </w:tcPr>
                <w:p w14:paraId="782CF28E">
                  <w:pPr>
                    <w:pStyle w:val="27"/>
                    <w:rPr>
                      <w:color w:val="000000"/>
                      <w:sz w:val="21"/>
                    </w:rPr>
                  </w:pPr>
                  <w:r>
                    <w:rPr>
                      <w:rFonts w:hint="eastAsia"/>
                      <w:color w:val="000000"/>
                      <w:sz w:val="21"/>
                    </w:rPr>
                    <w:t>备注</w:t>
                  </w:r>
                </w:p>
              </w:tc>
            </w:tr>
            <w:tr w14:paraId="263344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restart"/>
                  <w:noWrap w:val="0"/>
                  <w:vAlign w:val="center"/>
                </w:tcPr>
                <w:p w14:paraId="2256089B">
                  <w:pPr>
                    <w:pStyle w:val="27"/>
                    <w:rPr>
                      <w:rFonts w:hint="eastAsia"/>
                      <w:color w:val="000000"/>
                      <w:sz w:val="21"/>
                    </w:rPr>
                  </w:pPr>
                  <w:r>
                    <w:rPr>
                      <w:rFonts w:hint="eastAsia"/>
                      <w:color w:val="000000"/>
                      <w:sz w:val="21"/>
                    </w:rPr>
                    <w:t>主体工程</w:t>
                  </w:r>
                </w:p>
              </w:tc>
              <w:tc>
                <w:tcPr>
                  <w:tcW w:w="1685" w:type="dxa"/>
                  <w:gridSpan w:val="2"/>
                  <w:noWrap w:val="0"/>
                  <w:vAlign w:val="center"/>
                </w:tcPr>
                <w:p w14:paraId="45CB516E">
                  <w:pPr>
                    <w:pStyle w:val="27"/>
                    <w:rPr>
                      <w:color w:val="000000"/>
                      <w:sz w:val="21"/>
                    </w:rPr>
                  </w:pPr>
                  <w:r>
                    <w:rPr>
                      <w:rFonts w:hint="eastAsia"/>
                      <w:color w:val="000000"/>
                      <w:sz w:val="21"/>
                    </w:rPr>
                    <w:t>PVC电缆料生产线</w:t>
                  </w:r>
                </w:p>
              </w:tc>
              <w:tc>
                <w:tcPr>
                  <w:tcW w:w="5397" w:type="dxa"/>
                  <w:noWrap w:val="0"/>
                  <w:vAlign w:val="center"/>
                </w:tcPr>
                <w:p w14:paraId="53F0DE64">
                  <w:pPr>
                    <w:pStyle w:val="27"/>
                    <w:rPr>
                      <w:color w:val="000000"/>
                      <w:sz w:val="21"/>
                    </w:rPr>
                  </w:pPr>
                  <w:r>
                    <w:rPr>
                      <w:rFonts w:hint="eastAsia"/>
                      <w:color w:val="000000"/>
                      <w:sz w:val="21"/>
                    </w:rPr>
                    <w:t>在2号厂房1F中部偏南侧，设置2条PVC电缆料生产线，各生产线主要包括高速混料机、双阶混炼挤出机组、切割机、旋风机、</w:t>
                  </w:r>
                  <w:r>
                    <w:rPr>
                      <w:color w:val="000000"/>
                      <w:sz w:val="21"/>
                    </w:rPr>
                    <w:t>振动筛</w:t>
                  </w:r>
                  <w:r>
                    <w:rPr>
                      <w:rFonts w:hint="eastAsia"/>
                      <w:color w:val="000000"/>
                      <w:sz w:val="21"/>
                    </w:rPr>
                    <w:t>等设备，对PVC原料进行改性，生产PVC电缆料。</w:t>
                  </w:r>
                </w:p>
              </w:tc>
              <w:tc>
                <w:tcPr>
                  <w:tcW w:w="615" w:type="dxa"/>
                  <w:noWrap w:val="0"/>
                  <w:vAlign w:val="center"/>
                </w:tcPr>
                <w:p w14:paraId="2BF3858F">
                  <w:pPr>
                    <w:pStyle w:val="27"/>
                    <w:rPr>
                      <w:rFonts w:hint="eastAsia"/>
                      <w:color w:val="000000"/>
                      <w:sz w:val="21"/>
                    </w:rPr>
                  </w:pPr>
                  <w:r>
                    <w:rPr>
                      <w:rFonts w:hint="eastAsia"/>
                      <w:color w:val="000000"/>
                      <w:sz w:val="21"/>
                    </w:rPr>
                    <w:t>新增生产设备</w:t>
                  </w:r>
                </w:p>
              </w:tc>
            </w:tr>
            <w:tr w14:paraId="3D6441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6C5C2E2E">
                  <w:pPr>
                    <w:pStyle w:val="27"/>
                    <w:rPr>
                      <w:rFonts w:hint="eastAsia"/>
                      <w:color w:val="000000"/>
                      <w:sz w:val="21"/>
                    </w:rPr>
                  </w:pPr>
                </w:p>
              </w:tc>
              <w:tc>
                <w:tcPr>
                  <w:tcW w:w="1685" w:type="dxa"/>
                  <w:gridSpan w:val="2"/>
                  <w:noWrap w:val="0"/>
                  <w:vAlign w:val="center"/>
                </w:tcPr>
                <w:p w14:paraId="36972504">
                  <w:pPr>
                    <w:pStyle w:val="27"/>
                    <w:rPr>
                      <w:color w:val="000000"/>
                      <w:sz w:val="21"/>
                    </w:rPr>
                  </w:pPr>
                  <w:r>
                    <w:rPr>
                      <w:rFonts w:hint="eastAsia" w:cs="宋体"/>
                      <w:color w:val="000000"/>
                      <w:sz w:val="21"/>
                    </w:rPr>
                    <w:t>低烟无卤电缆料生产线</w:t>
                  </w:r>
                </w:p>
              </w:tc>
              <w:tc>
                <w:tcPr>
                  <w:tcW w:w="5397" w:type="dxa"/>
                  <w:noWrap w:val="0"/>
                  <w:vAlign w:val="center"/>
                </w:tcPr>
                <w:p w14:paraId="70CBE796">
                  <w:pPr>
                    <w:pStyle w:val="27"/>
                    <w:rPr>
                      <w:rFonts w:hint="eastAsia"/>
                      <w:color w:val="000000"/>
                      <w:sz w:val="21"/>
                    </w:rPr>
                  </w:pPr>
                  <w:r>
                    <w:rPr>
                      <w:rFonts w:hint="eastAsia"/>
                      <w:color w:val="000000"/>
                      <w:sz w:val="21"/>
                    </w:rPr>
                    <w:t>在1号厂房1F中部偏北侧，设置3条</w:t>
                  </w:r>
                  <w:r>
                    <w:rPr>
                      <w:rFonts w:hint="eastAsia" w:cs="宋体"/>
                      <w:color w:val="000000"/>
                      <w:sz w:val="21"/>
                    </w:rPr>
                    <w:t>低烟无卤电缆料生产线</w:t>
                  </w:r>
                  <w:r>
                    <w:rPr>
                      <w:rFonts w:hint="eastAsia"/>
                      <w:color w:val="000000"/>
                      <w:sz w:val="21"/>
                    </w:rPr>
                    <w:t>，各生产线主要包括</w:t>
                  </w:r>
                  <w:r>
                    <w:rPr>
                      <w:color w:val="000000"/>
                      <w:sz w:val="21"/>
                    </w:rPr>
                    <w:t>密炼机</w:t>
                  </w:r>
                  <w:r>
                    <w:rPr>
                      <w:rFonts w:hint="eastAsia"/>
                      <w:color w:val="000000"/>
                      <w:sz w:val="21"/>
                    </w:rPr>
                    <w:t>、双阶混炼挤出机组、切割机、旋风机、</w:t>
                  </w:r>
                  <w:r>
                    <w:rPr>
                      <w:color w:val="000000"/>
                      <w:sz w:val="21"/>
                    </w:rPr>
                    <w:t>振动筛</w:t>
                  </w:r>
                  <w:r>
                    <w:rPr>
                      <w:rFonts w:hint="eastAsia"/>
                      <w:color w:val="000000"/>
                      <w:sz w:val="21"/>
                    </w:rPr>
                    <w:t>等设备，对EVA等原料进行改性，生产</w:t>
                  </w:r>
                  <w:r>
                    <w:rPr>
                      <w:rFonts w:hint="eastAsia" w:cs="宋体"/>
                      <w:color w:val="000000"/>
                      <w:sz w:val="21"/>
                    </w:rPr>
                    <w:t>低烟无卤电缆料</w:t>
                  </w:r>
                  <w:r>
                    <w:rPr>
                      <w:rFonts w:hint="eastAsia"/>
                      <w:color w:val="000000"/>
                      <w:sz w:val="21"/>
                    </w:rPr>
                    <w:t>。</w:t>
                  </w:r>
                </w:p>
              </w:tc>
              <w:tc>
                <w:tcPr>
                  <w:tcW w:w="615" w:type="dxa"/>
                  <w:noWrap w:val="0"/>
                  <w:vAlign w:val="center"/>
                </w:tcPr>
                <w:p w14:paraId="73198F89">
                  <w:pPr>
                    <w:pStyle w:val="27"/>
                    <w:rPr>
                      <w:rFonts w:hint="eastAsia"/>
                      <w:color w:val="000000"/>
                      <w:sz w:val="21"/>
                    </w:rPr>
                  </w:pPr>
                  <w:r>
                    <w:rPr>
                      <w:rFonts w:hint="eastAsia"/>
                      <w:color w:val="000000"/>
                      <w:sz w:val="21"/>
                    </w:rPr>
                    <w:t>新增生产设备</w:t>
                  </w:r>
                </w:p>
              </w:tc>
            </w:tr>
            <w:tr w14:paraId="74186E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restart"/>
                  <w:noWrap w:val="0"/>
                  <w:vAlign w:val="center"/>
                </w:tcPr>
                <w:p w14:paraId="1C4B3224">
                  <w:pPr>
                    <w:pStyle w:val="27"/>
                    <w:rPr>
                      <w:rFonts w:hint="eastAsia"/>
                      <w:color w:val="000000"/>
                      <w:sz w:val="21"/>
                    </w:rPr>
                  </w:pPr>
                  <w:r>
                    <w:rPr>
                      <w:rFonts w:hint="eastAsia"/>
                      <w:color w:val="000000"/>
                      <w:sz w:val="21"/>
                    </w:rPr>
                    <w:t>辅助工程</w:t>
                  </w:r>
                </w:p>
              </w:tc>
              <w:tc>
                <w:tcPr>
                  <w:tcW w:w="1685" w:type="dxa"/>
                  <w:gridSpan w:val="2"/>
                  <w:noWrap w:val="0"/>
                  <w:vAlign w:val="center"/>
                </w:tcPr>
                <w:p w14:paraId="7CF42BA2">
                  <w:pPr>
                    <w:pStyle w:val="27"/>
                    <w:rPr>
                      <w:color w:val="000000"/>
                      <w:sz w:val="21"/>
                    </w:rPr>
                  </w:pPr>
                  <w:r>
                    <w:rPr>
                      <w:rFonts w:hint="eastAsia"/>
                      <w:color w:val="000000"/>
                      <w:sz w:val="21"/>
                    </w:rPr>
                    <w:t>质检室</w:t>
                  </w:r>
                </w:p>
              </w:tc>
              <w:tc>
                <w:tcPr>
                  <w:tcW w:w="5397" w:type="dxa"/>
                  <w:noWrap w:val="0"/>
                  <w:vAlign w:val="center"/>
                </w:tcPr>
                <w:p w14:paraId="677D4B9B">
                  <w:pPr>
                    <w:pStyle w:val="27"/>
                    <w:rPr>
                      <w:rFonts w:hint="eastAsia"/>
                      <w:color w:val="000000"/>
                      <w:sz w:val="21"/>
                    </w:rPr>
                  </w:pPr>
                  <w:r>
                    <w:rPr>
                      <w:rFonts w:hint="eastAsia"/>
                      <w:color w:val="000000"/>
                      <w:sz w:val="21"/>
                    </w:rPr>
                    <w:t>位于2号厂房内东北侧，占地面积约80m</w:t>
                  </w:r>
                  <w:r>
                    <w:rPr>
                      <w:rFonts w:hint="eastAsia"/>
                      <w:color w:val="000000"/>
                      <w:sz w:val="21"/>
                      <w:vertAlign w:val="superscript"/>
                    </w:rPr>
                    <w:t>2</w:t>
                  </w:r>
                  <w:r>
                    <w:rPr>
                      <w:rFonts w:hint="eastAsia"/>
                      <w:color w:val="000000"/>
                      <w:sz w:val="21"/>
                    </w:rPr>
                    <w:t>，承担包装前产品的质量检测，主要检测内容包括塑料物理指标：拉伸模量、拉伸断裂强度、撕裂强度、电阻率、低温脆化温度、硬度等，其他指标外委质检。</w:t>
                  </w:r>
                </w:p>
              </w:tc>
              <w:tc>
                <w:tcPr>
                  <w:tcW w:w="615" w:type="dxa"/>
                  <w:noWrap w:val="0"/>
                  <w:vAlign w:val="center"/>
                </w:tcPr>
                <w:p w14:paraId="41213E21">
                  <w:pPr>
                    <w:pStyle w:val="27"/>
                    <w:rPr>
                      <w:rFonts w:hint="eastAsia"/>
                      <w:color w:val="000000"/>
                      <w:sz w:val="21"/>
                    </w:rPr>
                  </w:pPr>
                  <w:r>
                    <w:rPr>
                      <w:rFonts w:hint="eastAsia"/>
                      <w:color w:val="000000"/>
                      <w:sz w:val="21"/>
                    </w:rPr>
                    <w:t>依托现有厂房改造</w:t>
                  </w:r>
                </w:p>
              </w:tc>
            </w:tr>
            <w:tr w14:paraId="1238B8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42998A97">
                  <w:pPr>
                    <w:pStyle w:val="27"/>
                    <w:rPr>
                      <w:rFonts w:hint="eastAsia"/>
                      <w:color w:val="000000"/>
                      <w:sz w:val="21"/>
                    </w:rPr>
                  </w:pPr>
                </w:p>
              </w:tc>
              <w:tc>
                <w:tcPr>
                  <w:tcW w:w="1685" w:type="dxa"/>
                  <w:gridSpan w:val="2"/>
                  <w:noWrap w:val="0"/>
                  <w:vAlign w:val="center"/>
                </w:tcPr>
                <w:p w14:paraId="74D908B9">
                  <w:pPr>
                    <w:pStyle w:val="27"/>
                    <w:rPr>
                      <w:rFonts w:hint="eastAsia"/>
                      <w:color w:val="000000"/>
                      <w:sz w:val="21"/>
                    </w:rPr>
                  </w:pPr>
                  <w:r>
                    <w:rPr>
                      <w:rFonts w:hint="eastAsia"/>
                      <w:color w:val="000000"/>
                      <w:sz w:val="21"/>
                    </w:rPr>
                    <w:t>综合楼</w:t>
                  </w:r>
                </w:p>
              </w:tc>
              <w:tc>
                <w:tcPr>
                  <w:tcW w:w="5397" w:type="dxa"/>
                  <w:noWrap w:val="0"/>
                  <w:vAlign w:val="center"/>
                </w:tcPr>
                <w:p w14:paraId="51E1333E">
                  <w:pPr>
                    <w:pStyle w:val="27"/>
                    <w:rPr>
                      <w:rFonts w:hint="eastAsia"/>
                      <w:color w:val="000000"/>
                      <w:sz w:val="21"/>
                    </w:rPr>
                  </w:pPr>
                  <w:r>
                    <w:rPr>
                      <w:rFonts w:hint="eastAsia"/>
                      <w:color w:val="000000"/>
                      <w:sz w:val="21"/>
                    </w:rPr>
                    <w:t>依托厂区已建综合楼，主要功能为职工日常办公等，无食宿。</w:t>
                  </w:r>
                </w:p>
              </w:tc>
              <w:tc>
                <w:tcPr>
                  <w:tcW w:w="615" w:type="dxa"/>
                  <w:noWrap w:val="0"/>
                  <w:vAlign w:val="center"/>
                </w:tcPr>
                <w:p w14:paraId="22C17419">
                  <w:pPr>
                    <w:pStyle w:val="27"/>
                    <w:rPr>
                      <w:rFonts w:hint="eastAsia"/>
                      <w:color w:val="000000"/>
                      <w:sz w:val="21"/>
                    </w:rPr>
                  </w:pPr>
                  <w:r>
                    <w:rPr>
                      <w:rFonts w:hint="eastAsia"/>
                      <w:color w:val="000000"/>
                      <w:sz w:val="21"/>
                    </w:rPr>
                    <w:t>依托</w:t>
                  </w:r>
                </w:p>
              </w:tc>
            </w:tr>
            <w:tr w14:paraId="57A225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restart"/>
                  <w:noWrap w:val="0"/>
                  <w:vAlign w:val="center"/>
                </w:tcPr>
                <w:p w14:paraId="0100570C">
                  <w:pPr>
                    <w:pStyle w:val="27"/>
                    <w:rPr>
                      <w:rFonts w:hint="eastAsia"/>
                      <w:color w:val="000000"/>
                      <w:sz w:val="21"/>
                    </w:rPr>
                  </w:pPr>
                  <w:r>
                    <w:rPr>
                      <w:rFonts w:hint="eastAsia"/>
                      <w:color w:val="000000"/>
                      <w:sz w:val="21"/>
                    </w:rPr>
                    <w:t>公用工程</w:t>
                  </w:r>
                </w:p>
              </w:tc>
              <w:tc>
                <w:tcPr>
                  <w:tcW w:w="1685" w:type="dxa"/>
                  <w:gridSpan w:val="2"/>
                  <w:noWrap w:val="0"/>
                  <w:vAlign w:val="center"/>
                </w:tcPr>
                <w:p w14:paraId="1516E409">
                  <w:pPr>
                    <w:pStyle w:val="27"/>
                    <w:rPr>
                      <w:rFonts w:hint="eastAsia"/>
                      <w:color w:val="000000"/>
                      <w:sz w:val="21"/>
                    </w:rPr>
                  </w:pPr>
                  <w:r>
                    <w:rPr>
                      <w:rFonts w:hint="eastAsia"/>
                      <w:color w:val="000000"/>
                      <w:sz w:val="21"/>
                    </w:rPr>
                    <w:t>给水</w:t>
                  </w:r>
                </w:p>
              </w:tc>
              <w:tc>
                <w:tcPr>
                  <w:tcW w:w="5397" w:type="dxa"/>
                  <w:noWrap w:val="0"/>
                  <w:vAlign w:val="center"/>
                </w:tcPr>
                <w:p w14:paraId="2643525E">
                  <w:pPr>
                    <w:pStyle w:val="27"/>
                    <w:rPr>
                      <w:rFonts w:hint="eastAsia"/>
                      <w:color w:val="000000"/>
                      <w:sz w:val="21"/>
                    </w:rPr>
                  </w:pPr>
                  <w:r>
                    <w:rPr>
                      <w:rFonts w:hint="eastAsia"/>
                      <w:color w:val="000000"/>
                      <w:sz w:val="21"/>
                    </w:rPr>
                    <w:t>依托厂区现有给水管网供给。</w:t>
                  </w:r>
                </w:p>
              </w:tc>
              <w:tc>
                <w:tcPr>
                  <w:tcW w:w="615" w:type="dxa"/>
                  <w:noWrap w:val="0"/>
                  <w:vAlign w:val="center"/>
                </w:tcPr>
                <w:p w14:paraId="6BA13360">
                  <w:pPr>
                    <w:pStyle w:val="27"/>
                    <w:rPr>
                      <w:rFonts w:hint="eastAsia"/>
                      <w:color w:val="000000"/>
                      <w:sz w:val="21"/>
                    </w:rPr>
                  </w:pPr>
                  <w:r>
                    <w:rPr>
                      <w:rFonts w:hint="eastAsia"/>
                      <w:color w:val="000000"/>
                      <w:sz w:val="21"/>
                    </w:rPr>
                    <w:t>依托</w:t>
                  </w:r>
                </w:p>
              </w:tc>
            </w:tr>
            <w:tr w14:paraId="6E3104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11F628F3">
                  <w:pPr>
                    <w:pStyle w:val="27"/>
                    <w:rPr>
                      <w:rFonts w:hint="eastAsia"/>
                      <w:color w:val="000000"/>
                      <w:sz w:val="21"/>
                    </w:rPr>
                  </w:pPr>
                </w:p>
              </w:tc>
              <w:tc>
                <w:tcPr>
                  <w:tcW w:w="1685" w:type="dxa"/>
                  <w:gridSpan w:val="2"/>
                  <w:noWrap w:val="0"/>
                  <w:vAlign w:val="center"/>
                </w:tcPr>
                <w:p w14:paraId="3054058B">
                  <w:pPr>
                    <w:pStyle w:val="27"/>
                    <w:rPr>
                      <w:rFonts w:hint="eastAsia"/>
                      <w:color w:val="000000"/>
                      <w:sz w:val="21"/>
                    </w:rPr>
                  </w:pPr>
                  <w:r>
                    <w:rPr>
                      <w:rFonts w:hint="eastAsia"/>
                      <w:color w:val="000000"/>
                      <w:sz w:val="21"/>
                    </w:rPr>
                    <w:t>消防水系统</w:t>
                  </w:r>
                </w:p>
              </w:tc>
              <w:tc>
                <w:tcPr>
                  <w:tcW w:w="5397" w:type="dxa"/>
                  <w:noWrap w:val="0"/>
                  <w:vAlign w:val="center"/>
                </w:tcPr>
                <w:p w14:paraId="4E626592">
                  <w:pPr>
                    <w:pStyle w:val="27"/>
                    <w:rPr>
                      <w:rFonts w:hint="eastAsia"/>
                      <w:color w:val="000000"/>
                      <w:sz w:val="21"/>
                    </w:rPr>
                  </w:pPr>
                  <w:r>
                    <w:rPr>
                      <w:rFonts w:hint="eastAsia"/>
                      <w:color w:val="000000"/>
                      <w:sz w:val="21"/>
                    </w:rPr>
                    <w:t>依托厂区现有消防水管网、消火栓。</w:t>
                  </w:r>
                </w:p>
              </w:tc>
              <w:tc>
                <w:tcPr>
                  <w:tcW w:w="615" w:type="dxa"/>
                  <w:noWrap w:val="0"/>
                  <w:vAlign w:val="center"/>
                </w:tcPr>
                <w:p w14:paraId="6916BFD6">
                  <w:pPr>
                    <w:pStyle w:val="27"/>
                    <w:rPr>
                      <w:rFonts w:hint="eastAsia"/>
                      <w:color w:val="000000"/>
                      <w:sz w:val="21"/>
                    </w:rPr>
                  </w:pPr>
                  <w:r>
                    <w:rPr>
                      <w:rFonts w:hint="eastAsia"/>
                      <w:color w:val="000000"/>
                      <w:sz w:val="21"/>
                    </w:rPr>
                    <w:t>依托</w:t>
                  </w:r>
                </w:p>
              </w:tc>
            </w:tr>
            <w:tr w14:paraId="4B08A5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1821867B">
                  <w:pPr>
                    <w:pStyle w:val="27"/>
                    <w:rPr>
                      <w:rFonts w:hint="eastAsia"/>
                      <w:color w:val="000000"/>
                      <w:sz w:val="21"/>
                    </w:rPr>
                  </w:pPr>
                </w:p>
              </w:tc>
              <w:tc>
                <w:tcPr>
                  <w:tcW w:w="1685" w:type="dxa"/>
                  <w:gridSpan w:val="2"/>
                  <w:noWrap w:val="0"/>
                  <w:vAlign w:val="center"/>
                </w:tcPr>
                <w:p w14:paraId="1CAF3715">
                  <w:pPr>
                    <w:pStyle w:val="27"/>
                    <w:rPr>
                      <w:color w:val="000000"/>
                      <w:sz w:val="21"/>
                    </w:rPr>
                  </w:pPr>
                  <w:r>
                    <w:rPr>
                      <w:rFonts w:hint="eastAsia"/>
                      <w:color w:val="000000"/>
                      <w:sz w:val="21"/>
                    </w:rPr>
                    <w:t>冷却水系统</w:t>
                  </w:r>
                </w:p>
              </w:tc>
              <w:tc>
                <w:tcPr>
                  <w:tcW w:w="5397" w:type="dxa"/>
                  <w:noWrap w:val="0"/>
                  <w:vAlign w:val="center"/>
                </w:tcPr>
                <w:p w14:paraId="3CBD7F94">
                  <w:pPr>
                    <w:pStyle w:val="27"/>
                    <w:rPr>
                      <w:rFonts w:hint="eastAsia"/>
                      <w:color w:val="000000"/>
                      <w:sz w:val="21"/>
                    </w:rPr>
                  </w:pPr>
                  <w:r>
                    <w:rPr>
                      <w:rFonts w:hint="eastAsia"/>
                      <w:color w:val="000000"/>
                      <w:sz w:val="21"/>
                    </w:rPr>
                    <w:t>本项目1台冷却塔给双阶混炼挤出机组、密炼机提供冷却水，用于稳定设备的运行温度处于正常范围，循环水量为10m</w:t>
                  </w:r>
                  <w:r>
                    <w:rPr>
                      <w:rFonts w:hint="eastAsia"/>
                      <w:color w:val="000000"/>
                      <w:sz w:val="21"/>
                      <w:vertAlign w:val="superscript"/>
                    </w:rPr>
                    <w:t>3</w:t>
                  </w:r>
                  <w:r>
                    <w:rPr>
                      <w:rFonts w:hint="eastAsia"/>
                      <w:color w:val="000000"/>
                      <w:sz w:val="21"/>
                    </w:rPr>
                    <w:t>/h，水池有效容积为5m</w:t>
                  </w:r>
                  <w:r>
                    <w:rPr>
                      <w:rFonts w:hint="eastAsia"/>
                      <w:color w:val="000000"/>
                      <w:sz w:val="21"/>
                      <w:vertAlign w:val="superscript"/>
                    </w:rPr>
                    <w:t>3</w:t>
                  </w:r>
                  <w:r>
                    <w:rPr>
                      <w:rFonts w:hint="eastAsia"/>
                      <w:color w:val="000000"/>
                      <w:sz w:val="21"/>
                    </w:rPr>
                    <w:t>。</w:t>
                  </w:r>
                </w:p>
              </w:tc>
              <w:tc>
                <w:tcPr>
                  <w:tcW w:w="615" w:type="dxa"/>
                  <w:noWrap w:val="0"/>
                  <w:vAlign w:val="center"/>
                </w:tcPr>
                <w:p w14:paraId="6D0AFEC8">
                  <w:pPr>
                    <w:pStyle w:val="27"/>
                    <w:rPr>
                      <w:color w:val="000000"/>
                      <w:sz w:val="21"/>
                    </w:rPr>
                  </w:pPr>
                  <w:r>
                    <w:rPr>
                      <w:rFonts w:hint="eastAsia"/>
                      <w:color w:val="000000"/>
                      <w:sz w:val="21"/>
                    </w:rPr>
                    <w:t>新建</w:t>
                  </w:r>
                </w:p>
              </w:tc>
            </w:tr>
            <w:tr w14:paraId="338005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4E6CEA6D">
                  <w:pPr>
                    <w:pStyle w:val="27"/>
                    <w:rPr>
                      <w:rFonts w:hint="eastAsia"/>
                      <w:color w:val="000000"/>
                      <w:sz w:val="21"/>
                    </w:rPr>
                  </w:pPr>
                </w:p>
              </w:tc>
              <w:tc>
                <w:tcPr>
                  <w:tcW w:w="1685" w:type="dxa"/>
                  <w:gridSpan w:val="2"/>
                  <w:noWrap w:val="0"/>
                  <w:vAlign w:val="center"/>
                </w:tcPr>
                <w:p w14:paraId="2ED921A5">
                  <w:pPr>
                    <w:pStyle w:val="27"/>
                    <w:rPr>
                      <w:rFonts w:hint="eastAsia"/>
                      <w:color w:val="000000"/>
                      <w:sz w:val="21"/>
                    </w:rPr>
                  </w:pPr>
                  <w:r>
                    <w:rPr>
                      <w:rFonts w:hint="eastAsia"/>
                      <w:color w:val="000000"/>
                      <w:sz w:val="21"/>
                    </w:rPr>
                    <w:t>排水</w:t>
                  </w:r>
                </w:p>
              </w:tc>
              <w:tc>
                <w:tcPr>
                  <w:tcW w:w="5397" w:type="dxa"/>
                  <w:noWrap w:val="0"/>
                  <w:vAlign w:val="center"/>
                </w:tcPr>
                <w:p w14:paraId="112CF91D">
                  <w:pPr>
                    <w:pStyle w:val="27"/>
                    <w:rPr>
                      <w:rFonts w:hint="eastAsia"/>
                      <w:color w:val="000000"/>
                      <w:sz w:val="21"/>
                    </w:rPr>
                  </w:pPr>
                  <w:r>
                    <w:rPr>
                      <w:rFonts w:hint="eastAsia"/>
                      <w:color w:val="000000"/>
                      <w:sz w:val="21"/>
                    </w:rPr>
                    <w:t>采取雨污分流排水体制，项目不产生生产废水，职工生活污水依托厂区现有生化池处理达《污水综合排放标准》（GB8978-1996）三级标准</w:t>
                  </w:r>
                  <w:r>
                    <w:rPr>
                      <w:color w:val="000000"/>
                      <w:sz w:val="21"/>
                    </w:rPr>
                    <w:t>后</w:t>
                  </w:r>
                  <w:r>
                    <w:rPr>
                      <w:rFonts w:hint="eastAsia"/>
                      <w:color w:val="000000"/>
                      <w:sz w:val="21"/>
                    </w:rPr>
                    <w:t>，经市政污水管网进入西彭工业园区污水处理厂</w:t>
                  </w:r>
                  <w:r>
                    <w:rPr>
                      <w:color w:val="000000"/>
                      <w:sz w:val="21"/>
                    </w:rPr>
                    <w:t>进一步处理</w:t>
                  </w:r>
                  <w:r>
                    <w:rPr>
                      <w:rFonts w:hint="eastAsia"/>
                      <w:color w:val="000000"/>
                      <w:sz w:val="21"/>
                    </w:rPr>
                    <w:t>达《污水综合排放标准》（GB8978-1996）一级标准后，经过桥头河排入长江。西彭工业园区污水处理厂提标扩建工程正在试运行中。提标扩建后，COD、NH</w:t>
                  </w:r>
                  <w:r>
                    <w:rPr>
                      <w:rFonts w:hint="eastAsia"/>
                      <w:color w:val="000000"/>
                      <w:sz w:val="21"/>
                      <w:vertAlign w:val="subscript"/>
                    </w:rPr>
                    <w:t>3</w:t>
                  </w:r>
                  <w:r>
                    <w:rPr>
                      <w:rFonts w:hint="eastAsia"/>
                      <w:color w:val="000000"/>
                      <w:sz w:val="21"/>
                    </w:rPr>
                    <w:t>-N、TP可达《地表水环境质量标准》（GB3838-2002）Ⅳ类标准，其他因子执行《城镇污水处理厂污染物排放标准》（GB18918-2002）一级A标准。</w:t>
                  </w:r>
                </w:p>
              </w:tc>
              <w:tc>
                <w:tcPr>
                  <w:tcW w:w="615" w:type="dxa"/>
                  <w:noWrap w:val="0"/>
                  <w:vAlign w:val="center"/>
                </w:tcPr>
                <w:p w14:paraId="7792FC1E">
                  <w:pPr>
                    <w:pStyle w:val="27"/>
                    <w:rPr>
                      <w:rFonts w:hint="eastAsia"/>
                      <w:color w:val="000000"/>
                      <w:sz w:val="21"/>
                    </w:rPr>
                  </w:pPr>
                  <w:r>
                    <w:rPr>
                      <w:rFonts w:hint="eastAsia"/>
                      <w:color w:val="000000"/>
                      <w:sz w:val="21"/>
                    </w:rPr>
                    <w:t>依托</w:t>
                  </w:r>
                </w:p>
              </w:tc>
            </w:tr>
            <w:tr w14:paraId="7C2F83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0" w:type="dxa"/>
                  <w:vMerge w:val="continue"/>
                  <w:noWrap w:val="0"/>
                  <w:vAlign w:val="center"/>
                </w:tcPr>
                <w:p w14:paraId="352ADE18">
                  <w:pPr>
                    <w:pStyle w:val="27"/>
                    <w:rPr>
                      <w:rFonts w:hint="eastAsia"/>
                      <w:color w:val="000000"/>
                      <w:sz w:val="21"/>
                    </w:rPr>
                  </w:pPr>
                </w:p>
              </w:tc>
              <w:tc>
                <w:tcPr>
                  <w:tcW w:w="1685" w:type="dxa"/>
                  <w:gridSpan w:val="2"/>
                  <w:noWrap w:val="0"/>
                  <w:vAlign w:val="center"/>
                </w:tcPr>
                <w:p w14:paraId="5E9E8CE2">
                  <w:pPr>
                    <w:pStyle w:val="27"/>
                    <w:rPr>
                      <w:rFonts w:hint="eastAsia"/>
                      <w:color w:val="000000"/>
                      <w:sz w:val="21"/>
                    </w:rPr>
                  </w:pPr>
                  <w:r>
                    <w:rPr>
                      <w:rFonts w:hint="eastAsia"/>
                      <w:color w:val="000000"/>
                      <w:sz w:val="21"/>
                    </w:rPr>
                    <w:t>供电</w:t>
                  </w:r>
                </w:p>
              </w:tc>
              <w:tc>
                <w:tcPr>
                  <w:tcW w:w="5397" w:type="dxa"/>
                  <w:noWrap w:val="0"/>
                  <w:vAlign w:val="center"/>
                </w:tcPr>
                <w:p w14:paraId="29A4F667">
                  <w:pPr>
                    <w:pStyle w:val="27"/>
                    <w:rPr>
                      <w:rFonts w:hint="eastAsia"/>
                      <w:color w:val="000000"/>
                      <w:sz w:val="21"/>
                    </w:rPr>
                  </w:pPr>
                  <w:r>
                    <w:rPr>
                      <w:rFonts w:hint="eastAsia"/>
                      <w:color w:val="000000"/>
                      <w:sz w:val="21"/>
                    </w:rPr>
                    <w:t>依托厂区现有市政供电系统，在1号厂房南侧设置1处配电房，对整个厂区配电，不配置发电机。</w:t>
                  </w:r>
                </w:p>
              </w:tc>
              <w:tc>
                <w:tcPr>
                  <w:tcW w:w="615" w:type="dxa"/>
                  <w:noWrap w:val="0"/>
                  <w:vAlign w:val="center"/>
                </w:tcPr>
                <w:p w14:paraId="6F0AF4E3">
                  <w:pPr>
                    <w:pStyle w:val="27"/>
                    <w:rPr>
                      <w:rFonts w:hint="eastAsia"/>
                      <w:color w:val="000000"/>
                      <w:sz w:val="21"/>
                    </w:rPr>
                  </w:pPr>
                  <w:r>
                    <w:rPr>
                      <w:rFonts w:hint="eastAsia"/>
                      <w:color w:val="000000"/>
                      <w:sz w:val="21"/>
                    </w:rPr>
                    <w:t>依托</w:t>
                  </w:r>
                </w:p>
              </w:tc>
            </w:tr>
            <w:tr w14:paraId="589C2B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0" w:type="dxa"/>
                  <w:vMerge w:val="continue"/>
                  <w:noWrap w:val="0"/>
                  <w:vAlign w:val="center"/>
                </w:tcPr>
                <w:p w14:paraId="6CCA4FC8">
                  <w:pPr>
                    <w:pStyle w:val="27"/>
                    <w:rPr>
                      <w:rFonts w:hint="eastAsia"/>
                      <w:color w:val="000000"/>
                      <w:sz w:val="21"/>
                    </w:rPr>
                  </w:pPr>
                </w:p>
              </w:tc>
              <w:tc>
                <w:tcPr>
                  <w:tcW w:w="1685" w:type="dxa"/>
                  <w:gridSpan w:val="2"/>
                  <w:noWrap w:val="0"/>
                  <w:vAlign w:val="center"/>
                </w:tcPr>
                <w:p w14:paraId="4EC5BB1B">
                  <w:pPr>
                    <w:pStyle w:val="27"/>
                    <w:rPr>
                      <w:rFonts w:hint="eastAsia"/>
                      <w:color w:val="000000"/>
                      <w:sz w:val="21"/>
                    </w:rPr>
                  </w:pPr>
                  <w:r>
                    <w:rPr>
                      <w:rFonts w:hint="eastAsia"/>
                      <w:color w:val="000000"/>
                      <w:sz w:val="21"/>
                    </w:rPr>
                    <w:t>空调及通风系统</w:t>
                  </w:r>
                </w:p>
              </w:tc>
              <w:tc>
                <w:tcPr>
                  <w:tcW w:w="5397" w:type="dxa"/>
                  <w:noWrap w:val="0"/>
                  <w:vAlign w:val="center"/>
                </w:tcPr>
                <w:p w14:paraId="7FCB5189">
                  <w:pPr>
                    <w:pStyle w:val="27"/>
                    <w:rPr>
                      <w:rFonts w:hint="eastAsia"/>
                      <w:color w:val="000000"/>
                      <w:sz w:val="21"/>
                    </w:rPr>
                  </w:pPr>
                  <w:r>
                    <w:rPr>
                      <w:rFonts w:hint="eastAsia"/>
                      <w:b/>
                      <w:bCs/>
                      <w:color w:val="000000"/>
                      <w:sz w:val="21"/>
                    </w:rPr>
                    <w:t>空调及通风</w:t>
                  </w:r>
                  <w:r>
                    <w:rPr>
                      <w:rFonts w:hint="eastAsia"/>
                      <w:color w:val="000000"/>
                      <w:sz w:val="21"/>
                    </w:rPr>
                    <w:t>：综合楼采用分体式空调，厂房采用自然通风。</w:t>
                  </w:r>
                </w:p>
                <w:p w14:paraId="4E11B6DC">
                  <w:pPr>
                    <w:pStyle w:val="27"/>
                    <w:jc w:val="both"/>
                    <w:rPr>
                      <w:color w:val="000000"/>
                      <w:sz w:val="21"/>
                    </w:rPr>
                  </w:pPr>
                  <w:r>
                    <w:rPr>
                      <w:rFonts w:hint="eastAsia"/>
                      <w:b/>
                      <w:bCs/>
                      <w:color w:val="000000"/>
                      <w:sz w:val="21"/>
                    </w:rPr>
                    <w:t>压缩空气</w:t>
                  </w:r>
                  <w:r>
                    <w:rPr>
                      <w:rFonts w:hint="eastAsia"/>
                      <w:color w:val="000000"/>
                      <w:sz w:val="21"/>
                    </w:rPr>
                    <w:t>：本项目在2号厂房北侧设置一间空</w:t>
                  </w:r>
                  <w:r>
                    <w:rPr>
                      <w:rFonts w:hint="eastAsia"/>
                      <w:color w:val="000000"/>
                      <w:sz w:val="21"/>
                      <w:lang w:eastAsia="zh-CN"/>
                    </w:rPr>
                    <w:t>压</w:t>
                  </w:r>
                  <w:r>
                    <w:rPr>
                      <w:rFonts w:hint="eastAsia"/>
                      <w:color w:val="000000"/>
                      <w:sz w:val="21"/>
                    </w:rPr>
                    <w:t>机房，建设面积约6m</w:t>
                  </w:r>
                  <w:r>
                    <w:rPr>
                      <w:rFonts w:hint="eastAsia"/>
                      <w:color w:val="000000"/>
                      <w:sz w:val="21"/>
                      <w:vertAlign w:val="superscript"/>
                    </w:rPr>
                    <w:t>2</w:t>
                  </w:r>
                  <w:r>
                    <w:rPr>
                      <w:rFonts w:hint="eastAsia"/>
                      <w:color w:val="000000"/>
                      <w:sz w:val="21"/>
                    </w:rPr>
                    <w:t>，内设2台螺杆式空压机，一用一备，供气量约气量6.5m</w:t>
                  </w:r>
                  <w:r>
                    <w:rPr>
                      <w:rFonts w:hint="eastAsia"/>
                      <w:color w:val="000000"/>
                      <w:sz w:val="21"/>
                      <w:vertAlign w:val="superscript"/>
                    </w:rPr>
                    <w:t>3</w:t>
                  </w:r>
                  <w:r>
                    <w:rPr>
                      <w:rFonts w:hint="eastAsia"/>
                      <w:color w:val="000000"/>
                      <w:sz w:val="21"/>
                    </w:rPr>
                    <w:t>/min。</w:t>
                  </w:r>
                </w:p>
              </w:tc>
              <w:tc>
                <w:tcPr>
                  <w:tcW w:w="615" w:type="dxa"/>
                  <w:noWrap w:val="0"/>
                  <w:vAlign w:val="center"/>
                </w:tcPr>
                <w:p w14:paraId="224C55B0">
                  <w:pPr>
                    <w:pStyle w:val="27"/>
                    <w:rPr>
                      <w:rFonts w:hint="eastAsia"/>
                      <w:color w:val="000000"/>
                      <w:sz w:val="21"/>
                    </w:rPr>
                  </w:pPr>
                  <w:r>
                    <w:rPr>
                      <w:rFonts w:hint="eastAsia"/>
                      <w:color w:val="000000"/>
                      <w:sz w:val="21"/>
                    </w:rPr>
                    <w:t>新建</w:t>
                  </w:r>
                </w:p>
              </w:tc>
            </w:tr>
            <w:tr w14:paraId="775557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710" w:type="dxa"/>
                  <w:vMerge w:val="restart"/>
                  <w:noWrap w:val="0"/>
                  <w:vAlign w:val="center"/>
                </w:tcPr>
                <w:p w14:paraId="49C44522">
                  <w:pPr>
                    <w:pStyle w:val="27"/>
                    <w:rPr>
                      <w:rFonts w:hint="eastAsia"/>
                      <w:color w:val="000000"/>
                      <w:sz w:val="21"/>
                    </w:rPr>
                  </w:pPr>
                  <w:r>
                    <w:rPr>
                      <w:rFonts w:hint="eastAsia"/>
                      <w:color w:val="000000"/>
                      <w:sz w:val="21"/>
                    </w:rPr>
                    <w:t>储运工程</w:t>
                  </w:r>
                </w:p>
              </w:tc>
              <w:tc>
                <w:tcPr>
                  <w:tcW w:w="1685" w:type="dxa"/>
                  <w:gridSpan w:val="2"/>
                  <w:noWrap w:val="0"/>
                  <w:vAlign w:val="center"/>
                </w:tcPr>
                <w:p w14:paraId="0FB632A2">
                  <w:pPr>
                    <w:pStyle w:val="27"/>
                    <w:rPr>
                      <w:rFonts w:hint="eastAsia"/>
                      <w:color w:val="000000"/>
                      <w:sz w:val="21"/>
                    </w:rPr>
                  </w:pPr>
                  <w:r>
                    <w:rPr>
                      <w:rFonts w:hint="eastAsia"/>
                      <w:color w:val="000000"/>
                      <w:sz w:val="21"/>
                    </w:rPr>
                    <w:t>原料贮存</w:t>
                  </w:r>
                </w:p>
              </w:tc>
              <w:tc>
                <w:tcPr>
                  <w:tcW w:w="5397" w:type="dxa"/>
                  <w:noWrap w:val="0"/>
                  <w:vAlign w:val="center"/>
                </w:tcPr>
                <w:p w14:paraId="6F31EE8C">
                  <w:pPr>
                    <w:pStyle w:val="27"/>
                    <w:rPr>
                      <w:rFonts w:hint="eastAsia" w:cs="宋体"/>
                      <w:color w:val="000000"/>
                      <w:sz w:val="21"/>
                      <w:lang w:bidi="ar"/>
                    </w:rPr>
                  </w:pPr>
                  <w:r>
                    <w:rPr>
                      <w:rFonts w:hint="eastAsia"/>
                      <w:b/>
                      <w:bCs/>
                      <w:color w:val="000000"/>
                      <w:sz w:val="21"/>
                    </w:rPr>
                    <w:t>液体原料罐区</w:t>
                  </w:r>
                  <w:r>
                    <w:rPr>
                      <w:rFonts w:hint="eastAsia"/>
                      <w:color w:val="000000"/>
                      <w:sz w:val="21"/>
                    </w:rPr>
                    <w:t>：PVC电缆生产使用的液体原料，在2号厂房北侧设置6个液体原料罐储存，均为固定顶罐，原料罐容积均为77m</w:t>
                  </w:r>
                  <w:r>
                    <w:rPr>
                      <w:rFonts w:hint="eastAsia"/>
                      <w:color w:val="000000"/>
                      <w:sz w:val="21"/>
                      <w:vertAlign w:val="superscript"/>
                    </w:rPr>
                    <w:t>3</w:t>
                  </w:r>
                  <w:r>
                    <w:rPr>
                      <w:rFonts w:hint="eastAsia"/>
                      <w:color w:val="000000"/>
                      <w:sz w:val="21"/>
                    </w:rPr>
                    <w:t>，有效容积为70m</w:t>
                  </w:r>
                  <w:r>
                    <w:rPr>
                      <w:rFonts w:hint="eastAsia"/>
                      <w:color w:val="000000"/>
                      <w:sz w:val="21"/>
                      <w:vertAlign w:val="superscript"/>
                    </w:rPr>
                    <w:t>3</w:t>
                  </w:r>
                  <w:r>
                    <w:rPr>
                      <w:rFonts w:hint="eastAsia"/>
                      <w:color w:val="000000"/>
                      <w:sz w:val="21"/>
                    </w:rPr>
                    <w:t>，分别储存</w:t>
                  </w:r>
                  <w:r>
                    <w:rPr>
                      <w:rFonts w:hint="eastAsia" w:cs="宋体"/>
                      <w:color w:val="000000"/>
                      <w:sz w:val="21"/>
                      <w:lang w:bidi="ar"/>
                    </w:rPr>
                    <w:t>TOTM、DOTP、DOA、DOS、ESO、氯化石蜡；</w:t>
                  </w:r>
                </w:p>
                <w:p w14:paraId="2B702958">
                  <w:pPr>
                    <w:pStyle w:val="27"/>
                    <w:jc w:val="both"/>
                    <w:rPr>
                      <w:rFonts w:hint="eastAsia" w:cs="宋体"/>
                      <w:color w:val="000000"/>
                      <w:sz w:val="21"/>
                      <w:lang w:bidi="ar"/>
                    </w:rPr>
                  </w:pPr>
                  <w:r>
                    <w:rPr>
                      <w:rFonts w:hint="eastAsia" w:cs="宋体"/>
                      <w:b/>
                      <w:bCs/>
                      <w:color w:val="000000"/>
                      <w:sz w:val="21"/>
                      <w:lang w:bidi="ar"/>
                    </w:rPr>
                    <w:t>固体原料储存区</w:t>
                  </w:r>
                  <w:r>
                    <w:rPr>
                      <w:rFonts w:hint="eastAsia" w:cs="宋体"/>
                      <w:color w:val="000000"/>
                      <w:sz w:val="21"/>
                      <w:lang w:bidi="ar"/>
                    </w:rPr>
                    <w:t>：在两个厂房均设置固体原料储存区，分别位于2号厂房PVC电缆料生产线两侧和1号厂房低烟无卤电缆料生产线两侧，2号厂房原料储存区主要存放PVC电缆料生产线使用的固体原料，1号厂房原料储存区主要存放低烟无卤电缆料生产线使用的固体原料。PVC电缆料生产线旁设置12个地下料仓，每个料仓容量约4m</w:t>
                  </w:r>
                  <w:r>
                    <w:rPr>
                      <w:rFonts w:hint="eastAsia" w:cs="宋体"/>
                      <w:color w:val="000000"/>
                      <w:sz w:val="21"/>
                      <w:vertAlign w:val="superscript"/>
                      <w:lang w:bidi="ar"/>
                    </w:rPr>
                    <w:t>3</w:t>
                  </w:r>
                  <w:r>
                    <w:rPr>
                      <w:rFonts w:hint="eastAsia" w:cs="宋体"/>
                      <w:color w:val="000000"/>
                      <w:sz w:val="21"/>
                      <w:lang w:bidi="ar"/>
                    </w:rPr>
                    <w:t>，用于中央配料系统负压自动配料，分别暂存PVC粉料、碳酸钙、高岭土、阻燃剂、稳定剂等。</w:t>
                  </w:r>
                </w:p>
                <w:p w14:paraId="77D6ED29">
                  <w:pPr>
                    <w:pStyle w:val="27"/>
                    <w:jc w:val="both"/>
                    <w:rPr>
                      <w:rFonts w:cs="宋体"/>
                      <w:color w:val="000000"/>
                      <w:sz w:val="21"/>
                      <w:lang w:bidi="ar"/>
                    </w:rPr>
                  </w:pPr>
                  <w:r>
                    <w:rPr>
                      <w:rFonts w:hint="eastAsia" w:cs="宋体"/>
                      <w:b/>
                      <w:bCs/>
                      <w:color w:val="000000"/>
                      <w:sz w:val="21"/>
                      <w:lang w:bidi="ar"/>
                    </w:rPr>
                    <w:t>危险化学品原料储存间</w:t>
                  </w:r>
                  <w:r>
                    <w:rPr>
                      <w:rFonts w:hint="eastAsia" w:cs="宋体"/>
                      <w:color w:val="000000"/>
                      <w:sz w:val="21"/>
                      <w:lang w:bidi="ar"/>
                    </w:rPr>
                    <w:t>：面积约20m</w:t>
                  </w:r>
                  <w:r>
                    <w:rPr>
                      <w:rFonts w:hint="eastAsia" w:cs="宋体"/>
                      <w:color w:val="000000"/>
                      <w:sz w:val="21"/>
                      <w:vertAlign w:val="superscript"/>
                      <w:lang w:bidi="ar"/>
                    </w:rPr>
                    <w:t>2</w:t>
                  </w:r>
                  <w:r>
                    <w:rPr>
                      <w:rFonts w:hint="eastAsia" w:cs="宋体"/>
                      <w:color w:val="000000"/>
                      <w:sz w:val="21"/>
                      <w:lang w:bidi="ar"/>
                    </w:rPr>
                    <w:t>，位于2号厂房东北侧，主要储存项目使用的危险化学品原料，如机油、</w:t>
                  </w:r>
                  <w:r>
                    <w:rPr>
                      <w:rFonts w:hint="eastAsia"/>
                      <w:color w:val="000000"/>
                      <w:sz w:val="21"/>
                    </w:rPr>
                    <w:t>除菌剂等，分</w:t>
                  </w:r>
                  <w:r>
                    <w:rPr>
                      <w:rFonts w:hint="eastAsia" w:cs="宋体"/>
                      <w:color w:val="000000"/>
                      <w:sz w:val="21"/>
                      <w:lang w:bidi="ar"/>
                    </w:rPr>
                    <w:t>区存放</w:t>
                  </w:r>
                  <w:r>
                    <w:rPr>
                      <w:rFonts w:hint="eastAsia"/>
                      <w:color w:val="000000"/>
                      <w:sz w:val="21"/>
                    </w:rPr>
                    <w:t>。</w:t>
                  </w:r>
                </w:p>
              </w:tc>
              <w:tc>
                <w:tcPr>
                  <w:tcW w:w="615" w:type="dxa"/>
                  <w:noWrap w:val="0"/>
                  <w:vAlign w:val="center"/>
                </w:tcPr>
                <w:p w14:paraId="596B582A">
                  <w:pPr>
                    <w:pStyle w:val="27"/>
                    <w:rPr>
                      <w:rFonts w:hint="eastAsia"/>
                      <w:color w:val="000000"/>
                      <w:sz w:val="21"/>
                    </w:rPr>
                  </w:pPr>
                  <w:r>
                    <w:rPr>
                      <w:rFonts w:hint="eastAsia"/>
                      <w:color w:val="000000"/>
                      <w:sz w:val="21"/>
                    </w:rPr>
                    <w:t>新建</w:t>
                  </w:r>
                </w:p>
              </w:tc>
            </w:tr>
            <w:tr w14:paraId="57E70C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710" w:type="dxa"/>
                  <w:vMerge w:val="continue"/>
                  <w:noWrap w:val="0"/>
                  <w:vAlign w:val="center"/>
                </w:tcPr>
                <w:p w14:paraId="278B00FB">
                  <w:pPr>
                    <w:pStyle w:val="27"/>
                    <w:rPr>
                      <w:rFonts w:hint="eastAsia"/>
                      <w:color w:val="000000"/>
                      <w:sz w:val="21"/>
                    </w:rPr>
                  </w:pPr>
                </w:p>
              </w:tc>
              <w:tc>
                <w:tcPr>
                  <w:tcW w:w="1685" w:type="dxa"/>
                  <w:gridSpan w:val="2"/>
                  <w:noWrap w:val="0"/>
                  <w:vAlign w:val="center"/>
                </w:tcPr>
                <w:p w14:paraId="48DB9846">
                  <w:pPr>
                    <w:pStyle w:val="27"/>
                    <w:rPr>
                      <w:rFonts w:hint="eastAsia"/>
                      <w:color w:val="000000"/>
                      <w:sz w:val="21"/>
                    </w:rPr>
                  </w:pPr>
                  <w:r>
                    <w:rPr>
                      <w:rFonts w:hint="eastAsia"/>
                      <w:color w:val="000000"/>
                      <w:sz w:val="21"/>
                    </w:rPr>
                    <w:t>产品贮存</w:t>
                  </w:r>
                </w:p>
              </w:tc>
              <w:tc>
                <w:tcPr>
                  <w:tcW w:w="5397" w:type="dxa"/>
                  <w:noWrap w:val="0"/>
                  <w:vAlign w:val="center"/>
                </w:tcPr>
                <w:p w14:paraId="18ECFED9">
                  <w:pPr>
                    <w:pStyle w:val="27"/>
                    <w:rPr>
                      <w:rFonts w:hint="eastAsia"/>
                      <w:color w:val="000000"/>
                      <w:sz w:val="21"/>
                    </w:rPr>
                  </w:pPr>
                  <w:r>
                    <w:rPr>
                      <w:rFonts w:hint="eastAsia" w:cs="宋体"/>
                      <w:color w:val="000000"/>
                      <w:sz w:val="21"/>
                      <w:lang w:bidi="ar"/>
                    </w:rPr>
                    <w:t>在两个厂房设置2处固体产品储存区，分别位于2号东侧和1号厂房东侧，2号厂房产品储存区主要存放PVC电缆料产品，1号厂房产品储存区主要存放低烟无卤电缆料产品。</w:t>
                  </w:r>
                </w:p>
              </w:tc>
              <w:tc>
                <w:tcPr>
                  <w:tcW w:w="615" w:type="dxa"/>
                  <w:noWrap w:val="0"/>
                  <w:vAlign w:val="center"/>
                </w:tcPr>
                <w:p w14:paraId="2BAD2022">
                  <w:pPr>
                    <w:pStyle w:val="27"/>
                    <w:rPr>
                      <w:rFonts w:hint="eastAsia"/>
                      <w:color w:val="000000"/>
                      <w:sz w:val="21"/>
                    </w:rPr>
                  </w:pPr>
                  <w:r>
                    <w:rPr>
                      <w:rFonts w:hint="eastAsia"/>
                      <w:color w:val="000000"/>
                      <w:sz w:val="21"/>
                    </w:rPr>
                    <w:t>新建</w:t>
                  </w:r>
                </w:p>
              </w:tc>
            </w:tr>
            <w:tr w14:paraId="4FCCBA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710" w:type="dxa"/>
                  <w:vMerge w:val="continue"/>
                  <w:noWrap w:val="0"/>
                  <w:vAlign w:val="center"/>
                </w:tcPr>
                <w:p w14:paraId="2200F395">
                  <w:pPr>
                    <w:pStyle w:val="27"/>
                    <w:rPr>
                      <w:rFonts w:hint="eastAsia"/>
                      <w:color w:val="000000"/>
                      <w:sz w:val="21"/>
                    </w:rPr>
                  </w:pPr>
                </w:p>
              </w:tc>
              <w:tc>
                <w:tcPr>
                  <w:tcW w:w="1685" w:type="dxa"/>
                  <w:gridSpan w:val="2"/>
                  <w:noWrap w:val="0"/>
                  <w:vAlign w:val="center"/>
                </w:tcPr>
                <w:p w14:paraId="7E1170C1">
                  <w:pPr>
                    <w:pStyle w:val="27"/>
                    <w:rPr>
                      <w:rFonts w:hint="eastAsia"/>
                      <w:color w:val="000000"/>
                      <w:sz w:val="21"/>
                    </w:rPr>
                  </w:pPr>
                  <w:r>
                    <w:rPr>
                      <w:rFonts w:hint="eastAsia"/>
                      <w:color w:val="000000"/>
                      <w:sz w:val="21"/>
                    </w:rPr>
                    <w:t>内部运输</w:t>
                  </w:r>
                </w:p>
              </w:tc>
              <w:tc>
                <w:tcPr>
                  <w:tcW w:w="5397" w:type="dxa"/>
                  <w:noWrap w:val="0"/>
                  <w:vAlign w:val="center"/>
                </w:tcPr>
                <w:p w14:paraId="0BB0FBDB">
                  <w:pPr>
                    <w:pStyle w:val="27"/>
                    <w:rPr>
                      <w:rFonts w:hint="eastAsia" w:cs="宋体"/>
                      <w:color w:val="000000"/>
                      <w:sz w:val="21"/>
                      <w:lang w:bidi="ar"/>
                    </w:rPr>
                  </w:pPr>
                  <w:r>
                    <w:rPr>
                      <w:rFonts w:hint="eastAsia"/>
                      <w:b/>
                      <w:bCs/>
                      <w:color w:val="000000"/>
                      <w:sz w:val="21"/>
                    </w:rPr>
                    <w:t>液体原料</w:t>
                  </w:r>
                  <w:r>
                    <w:rPr>
                      <w:rFonts w:hint="eastAsia"/>
                      <w:color w:val="000000"/>
                      <w:sz w:val="21"/>
                    </w:rPr>
                    <w:t>：PVC电缆生产使用的6种液体原料，由厂家直接用罐车运输到罐区旁将原料输入原料罐体内，原料罐密闭管道接入PVC电缆料生产线的中央配料系统，然后通过密闭管道接入高速混料机</w:t>
                  </w:r>
                  <w:r>
                    <w:rPr>
                      <w:rFonts w:hint="eastAsia" w:cs="宋体"/>
                      <w:color w:val="000000"/>
                      <w:sz w:val="21"/>
                      <w:lang w:bidi="ar"/>
                    </w:rPr>
                    <w:t>；</w:t>
                  </w:r>
                </w:p>
                <w:p w14:paraId="21301EC2">
                  <w:pPr>
                    <w:pStyle w:val="27"/>
                    <w:rPr>
                      <w:rFonts w:hint="eastAsia"/>
                      <w:color w:val="000000"/>
                      <w:sz w:val="21"/>
                    </w:rPr>
                  </w:pPr>
                  <w:r>
                    <w:rPr>
                      <w:rFonts w:hint="eastAsia" w:cs="宋体"/>
                      <w:b/>
                      <w:bCs/>
                      <w:color w:val="000000"/>
                      <w:sz w:val="21"/>
                      <w:lang w:bidi="ar"/>
                    </w:rPr>
                    <w:t>固体原料及产品</w:t>
                  </w:r>
                  <w:r>
                    <w:rPr>
                      <w:rFonts w:hint="eastAsia" w:cs="宋体"/>
                      <w:color w:val="000000"/>
                      <w:sz w:val="21"/>
                      <w:lang w:bidi="ar"/>
                    </w:rPr>
                    <w:t>：原料</w:t>
                  </w:r>
                  <w:r>
                    <w:rPr>
                      <w:rFonts w:hint="eastAsia"/>
                      <w:color w:val="000000"/>
                      <w:sz w:val="21"/>
                    </w:rPr>
                    <w:t>由厂家直接运输到厂区，厂内</w:t>
                  </w:r>
                  <w:r>
                    <w:rPr>
                      <w:rFonts w:hint="eastAsia" w:cs="宋体"/>
                      <w:color w:val="000000"/>
                      <w:sz w:val="21"/>
                      <w:lang w:bidi="ar"/>
                    </w:rPr>
                    <w:t>固体原料及产品通过叉车运输，企业配置3辆电叉车。</w:t>
                  </w:r>
                </w:p>
              </w:tc>
              <w:tc>
                <w:tcPr>
                  <w:tcW w:w="615" w:type="dxa"/>
                  <w:noWrap w:val="0"/>
                  <w:vAlign w:val="center"/>
                </w:tcPr>
                <w:p w14:paraId="7E6603B2">
                  <w:pPr>
                    <w:pStyle w:val="27"/>
                    <w:rPr>
                      <w:rFonts w:hint="eastAsia"/>
                      <w:color w:val="000000"/>
                      <w:sz w:val="21"/>
                    </w:rPr>
                  </w:pPr>
                  <w:r>
                    <w:rPr>
                      <w:rFonts w:hint="eastAsia"/>
                      <w:color w:val="000000"/>
                      <w:sz w:val="21"/>
                    </w:rPr>
                    <w:t>/</w:t>
                  </w:r>
                </w:p>
              </w:tc>
            </w:tr>
            <w:tr w14:paraId="7D32B7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710" w:type="dxa"/>
                  <w:vMerge w:val="restart"/>
                  <w:noWrap w:val="0"/>
                  <w:vAlign w:val="center"/>
                </w:tcPr>
                <w:p w14:paraId="03B08D71">
                  <w:pPr>
                    <w:pStyle w:val="27"/>
                    <w:rPr>
                      <w:rFonts w:hint="eastAsia"/>
                      <w:color w:val="000000"/>
                      <w:sz w:val="21"/>
                    </w:rPr>
                  </w:pPr>
                  <w:r>
                    <w:rPr>
                      <w:rFonts w:hint="eastAsia"/>
                      <w:color w:val="000000"/>
                      <w:sz w:val="21"/>
                    </w:rPr>
                    <w:t>环保工程</w:t>
                  </w:r>
                </w:p>
              </w:tc>
              <w:tc>
                <w:tcPr>
                  <w:tcW w:w="1685" w:type="dxa"/>
                  <w:gridSpan w:val="2"/>
                  <w:noWrap w:val="0"/>
                  <w:vAlign w:val="center"/>
                </w:tcPr>
                <w:p w14:paraId="2D5FFDA3">
                  <w:pPr>
                    <w:pStyle w:val="27"/>
                    <w:rPr>
                      <w:rFonts w:hint="eastAsia"/>
                      <w:color w:val="000000"/>
                      <w:sz w:val="21"/>
                    </w:rPr>
                  </w:pPr>
                  <w:r>
                    <w:rPr>
                      <w:rFonts w:hint="eastAsia"/>
                      <w:color w:val="000000"/>
                      <w:sz w:val="21"/>
                    </w:rPr>
                    <w:t>废气处理设施</w:t>
                  </w:r>
                </w:p>
              </w:tc>
              <w:tc>
                <w:tcPr>
                  <w:tcW w:w="5397" w:type="dxa"/>
                  <w:noWrap w:val="0"/>
                  <w:vAlign w:val="center"/>
                </w:tcPr>
                <w:p w14:paraId="6918E896">
                  <w:pPr>
                    <w:pStyle w:val="27"/>
                    <w:rPr>
                      <w:rFonts w:hint="eastAsia"/>
                      <w:color w:val="000000"/>
                      <w:sz w:val="21"/>
                    </w:rPr>
                  </w:pPr>
                  <w:r>
                    <w:rPr>
                      <w:rFonts w:hint="eastAsia"/>
                      <w:b/>
                      <w:bCs/>
                      <w:color w:val="000000"/>
                      <w:sz w:val="21"/>
                    </w:rPr>
                    <w:t>1#废气处理设施</w:t>
                  </w:r>
                  <w:r>
                    <w:rPr>
                      <w:rFonts w:hint="eastAsia"/>
                      <w:color w:val="000000"/>
                      <w:sz w:val="21"/>
                    </w:rPr>
                    <w:t>：位于2号厂房北侧，收集PVC电缆料生产过程的产生混料废气、混炼废气等有机废气，处理工艺：静电除油器+酸雾洗涤塔+除湿器+UV光氧催化（仅除臭）+三级活性炭，总设计风量为11400m</w:t>
                  </w:r>
                  <w:r>
                    <w:rPr>
                      <w:rFonts w:hint="eastAsia"/>
                      <w:color w:val="000000"/>
                      <w:sz w:val="21"/>
                      <w:vertAlign w:val="superscript"/>
                    </w:rPr>
                    <w:t>3</w:t>
                  </w:r>
                  <w:r>
                    <w:rPr>
                      <w:rFonts w:hint="eastAsia"/>
                      <w:color w:val="000000"/>
                      <w:sz w:val="21"/>
                    </w:rPr>
                    <w:t>/h，处理后经15m高的排气筒排放（DA001）。</w:t>
                  </w:r>
                </w:p>
                <w:p w14:paraId="52D31D43">
                  <w:pPr>
                    <w:pStyle w:val="27"/>
                    <w:rPr>
                      <w:rFonts w:hint="eastAsia"/>
                      <w:color w:val="000000"/>
                      <w:sz w:val="21"/>
                    </w:rPr>
                  </w:pPr>
                  <w:r>
                    <w:rPr>
                      <w:rFonts w:hint="eastAsia"/>
                      <w:b/>
                      <w:bCs/>
                      <w:color w:val="000000"/>
                      <w:sz w:val="21"/>
                    </w:rPr>
                    <w:t>2#废气处理设施</w:t>
                  </w:r>
                  <w:r>
                    <w:rPr>
                      <w:rFonts w:hint="eastAsia"/>
                      <w:color w:val="000000"/>
                      <w:sz w:val="21"/>
                    </w:rPr>
                    <w:t>：位于2号厂房南侧，收集PVC电缆料生产过程的产生投料粉尘，处理工艺：布袋除尘器，总设计风量为4000m</w:t>
                  </w:r>
                  <w:r>
                    <w:rPr>
                      <w:rFonts w:hint="eastAsia"/>
                      <w:color w:val="000000"/>
                      <w:sz w:val="21"/>
                      <w:vertAlign w:val="superscript"/>
                    </w:rPr>
                    <w:t>3</w:t>
                  </w:r>
                  <w:r>
                    <w:rPr>
                      <w:rFonts w:hint="eastAsia"/>
                      <w:color w:val="000000"/>
                      <w:sz w:val="21"/>
                    </w:rPr>
                    <w:t>/h，处理后15m的排气筒排放（DA002）。</w:t>
                  </w:r>
                </w:p>
                <w:p w14:paraId="4CCBE504">
                  <w:pPr>
                    <w:pStyle w:val="27"/>
                    <w:rPr>
                      <w:rFonts w:hint="eastAsia"/>
                      <w:color w:val="000000"/>
                      <w:sz w:val="21"/>
                    </w:rPr>
                  </w:pPr>
                  <w:r>
                    <w:rPr>
                      <w:rFonts w:hint="eastAsia"/>
                      <w:b/>
                      <w:bCs/>
                      <w:color w:val="000000"/>
                      <w:sz w:val="21"/>
                    </w:rPr>
                    <w:t>3#废气处理设施</w:t>
                  </w:r>
                  <w:r>
                    <w:rPr>
                      <w:rFonts w:hint="eastAsia"/>
                      <w:color w:val="000000"/>
                      <w:sz w:val="21"/>
                    </w:rPr>
                    <w:t>：位于1号厂房南侧，收集低烟无卤电缆料生产过程的产生密炼废气、混炼废气等有机废气，处理工艺：UV光氧催化（仅除臭）+两级活性炭，总设计风量为21600m</w:t>
                  </w:r>
                  <w:r>
                    <w:rPr>
                      <w:rFonts w:hint="eastAsia"/>
                      <w:color w:val="000000"/>
                      <w:sz w:val="21"/>
                      <w:vertAlign w:val="superscript"/>
                    </w:rPr>
                    <w:t>3</w:t>
                  </w:r>
                  <w:r>
                    <w:rPr>
                      <w:rFonts w:hint="eastAsia"/>
                      <w:color w:val="000000"/>
                      <w:sz w:val="21"/>
                    </w:rPr>
                    <w:t>/h，处理后15m的排气筒排放（DA003）。</w:t>
                  </w:r>
                </w:p>
                <w:p w14:paraId="0ED052CA">
                  <w:pPr>
                    <w:pStyle w:val="27"/>
                    <w:rPr>
                      <w:rFonts w:hint="eastAsia"/>
                      <w:color w:val="000000"/>
                      <w:sz w:val="21"/>
                    </w:rPr>
                  </w:pPr>
                  <w:r>
                    <w:rPr>
                      <w:rFonts w:hint="eastAsia"/>
                      <w:b/>
                      <w:bCs/>
                      <w:color w:val="000000"/>
                      <w:sz w:val="21"/>
                    </w:rPr>
                    <w:t>4#废气处理设施</w:t>
                  </w:r>
                  <w:r>
                    <w:rPr>
                      <w:rFonts w:hint="eastAsia"/>
                      <w:color w:val="000000"/>
                      <w:sz w:val="21"/>
                    </w:rPr>
                    <w:t>：位于1号厂房北侧，收集低烟无卤电缆料生产过程产生投料粉尘，处理工艺：布袋除尘器，总设计风量为7500m</w:t>
                  </w:r>
                  <w:r>
                    <w:rPr>
                      <w:rFonts w:hint="eastAsia"/>
                      <w:color w:val="000000"/>
                      <w:sz w:val="21"/>
                      <w:vertAlign w:val="superscript"/>
                    </w:rPr>
                    <w:t>3</w:t>
                  </w:r>
                  <w:r>
                    <w:rPr>
                      <w:rFonts w:hint="eastAsia"/>
                      <w:color w:val="000000"/>
                      <w:sz w:val="21"/>
                    </w:rPr>
                    <w:t>/h，处理后15m的排气筒排放（DA004）。</w:t>
                  </w:r>
                </w:p>
              </w:tc>
              <w:tc>
                <w:tcPr>
                  <w:tcW w:w="615" w:type="dxa"/>
                  <w:noWrap w:val="0"/>
                  <w:vAlign w:val="center"/>
                </w:tcPr>
                <w:p w14:paraId="6EF03D8F">
                  <w:pPr>
                    <w:pStyle w:val="27"/>
                    <w:rPr>
                      <w:rFonts w:hint="eastAsia"/>
                      <w:color w:val="000000"/>
                      <w:sz w:val="21"/>
                    </w:rPr>
                  </w:pPr>
                  <w:r>
                    <w:rPr>
                      <w:rFonts w:hint="eastAsia"/>
                      <w:color w:val="000000"/>
                      <w:sz w:val="21"/>
                    </w:rPr>
                    <w:t>新建</w:t>
                  </w:r>
                </w:p>
              </w:tc>
            </w:tr>
            <w:tr w14:paraId="7253BF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710" w:type="dxa"/>
                  <w:vMerge w:val="continue"/>
                  <w:noWrap w:val="0"/>
                  <w:vAlign w:val="center"/>
                </w:tcPr>
                <w:p w14:paraId="0D343FBE">
                  <w:pPr>
                    <w:pStyle w:val="27"/>
                    <w:rPr>
                      <w:rFonts w:hint="eastAsia"/>
                      <w:color w:val="000000"/>
                      <w:sz w:val="21"/>
                    </w:rPr>
                  </w:pPr>
                </w:p>
              </w:tc>
              <w:tc>
                <w:tcPr>
                  <w:tcW w:w="1685" w:type="dxa"/>
                  <w:gridSpan w:val="2"/>
                  <w:noWrap w:val="0"/>
                  <w:vAlign w:val="center"/>
                </w:tcPr>
                <w:p w14:paraId="326627D6">
                  <w:pPr>
                    <w:pStyle w:val="27"/>
                    <w:rPr>
                      <w:rFonts w:hint="eastAsia"/>
                      <w:color w:val="000000"/>
                      <w:sz w:val="21"/>
                    </w:rPr>
                  </w:pPr>
                  <w:r>
                    <w:rPr>
                      <w:rFonts w:hint="eastAsia"/>
                      <w:color w:val="000000"/>
                      <w:sz w:val="21"/>
                    </w:rPr>
                    <w:t>废水处理设施</w:t>
                  </w:r>
                </w:p>
              </w:tc>
              <w:tc>
                <w:tcPr>
                  <w:tcW w:w="5397" w:type="dxa"/>
                  <w:noWrap w:val="0"/>
                  <w:vAlign w:val="center"/>
                </w:tcPr>
                <w:p w14:paraId="52138E94">
                  <w:pPr>
                    <w:pStyle w:val="27"/>
                    <w:rPr>
                      <w:rFonts w:hint="eastAsia"/>
                      <w:color w:val="000000"/>
                      <w:sz w:val="21"/>
                    </w:rPr>
                  </w:pPr>
                  <w:r>
                    <w:rPr>
                      <w:rFonts w:hint="eastAsia"/>
                      <w:color w:val="000000"/>
                      <w:sz w:val="21"/>
                    </w:rPr>
                    <w:t>项目地面清洁废水、冷却塔排水、空压机含油废水和酸雾洗涤塔废水经综合楼北侧新建的废水预处理设施（处理工艺：隔油+沉淀）预处理，处理规模为12m</w:t>
                  </w:r>
                  <w:r>
                    <w:rPr>
                      <w:rFonts w:hint="eastAsia"/>
                      <w:color w:val="000000"/>
                      <w:sz w:val="21"/>
                      <w:vertAlign w:val="superscript"/>
                    </w:rPr>
                    <w:t>3</w:t>
                  </w:r>
                  <w:r>
                    <w:rPr>
                      <w:rFonts w:hint="eastAsia"/>
                      <w:color w:val="000000"/>
                      <w:sz w:val="21"/>
                    </w:rPr>
                    <w:t>/d，与生活污水一起进入现有的生化池（处理工艺：厌氧消化）处理，处理规模为30m</w:t>
                  </w:r>
                  <w:r>
                    <w:rPr>
                      <w:rFonts w:hint="eastAsia"/>
                      <w:color w:val="000000"/>
                      <w:sz w:val="21"/>
                      <w:vertAlign w:val="superscript"/>
                    </w:rPr>
                    <w:t>3</w:t>
                  </w:r>
                  <w:r>
                    <w:rPr>
                      <w:rFonts w:hint="eastAsia"/>
                      <w:color w:val="000000"/>
                      <w:sz w:val="21"/>
                    </w:rPr>
                    <w:t>/d，处理达《污水综合排放标准》（GB8978-1996）三级标准</w:t>
                  </w:r>
                  <w:r>
                    <w:rPr>
                      <w:color w:val="000000"/>
                      <w:sz w:val="21"/>
                    </w:rPr>
                    <w:t>后</w:t>
                  </w:r>
                  <w:r>
                    <w:rPr>
                      <w:rFonts w:hint="eastAsia"/>
                      <w:color w:val="000000"/>
                      <w:sz w:val="21"/>
                    </w:rPr>
                    <w:t>，排入市政污水管网。</w:t>
                  </w:r>
                </w:p>
              </w:tc>
              <w:tc>
                <w:tcPr>
                  <w:tcW w:w="615" w:type="dxa"/>
                  <w:noWrap w:val="0"/>
                  <w:vAlign w:val="center"/>
                </w:tcPr>
                <w:p w14:paraId="7F1CAAAA">
                  <w:pPr>
                    <w:pStyle w:val="27"/>
                    <w:rPr>
                      <w:rFonts w:hint="eastAsia"/>
                      <w:color w:val="000000"/>
                      <w:sz w:val="21"/>
                    </w:rPr>
                  </w:pPr>
                  <w:r>
                    <w:rPr>
                      <w:rFonts w:hint="eastAsia"/>
                      <w:color w:val="000000"/>
                      <w:sz w:val="21"/>
                    </w:rPr>
                    <w:t>新建</w:t>
                  </w:r>
                </w:p>
              </w:tc>
            </w:tr>
            <w:tr w14:paraId="11F616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710" w:type="dxa"/>
                  <w:vMerge w:val="continue"/>
                  <w:noWrap w:val="0"/>
                  <w:vAlign w:val="center"/>
                </w:tcPr>
                <w:p w14:paraId="5B35E3AC">
                  <w:pPr>
                    <w:pStyle w:val="27"/>
                    <w:rPr>
                      <w:rFonts w:hint="eastAsia"/>
                      <w:color w:val="000000"/>
                      <w:sz w:val="21"/>
                    </w:rPr>
                  </w:pPr>
                </w:p>
              </w:tc>
              <w:tc>
                <w:tcPr>
                  <w:tcW w:w="1685" w:type="dxa"/>
                  <w:gridSpan w:val="2"/>
                  <w:noWrap w:val="0"/>
                  <w:vAlign w:val="center"/>
                </w:tcPr>
                <w:p w14:paraId="62E02828">
                  <w:pPr>
                    <w:pStyle w:val="27"/>
                    <w:rPr>
                      <w:rFonts w:hint="eastAsia"/>
                      <w:color w:val="000000"/>
                      <w:sz w:val="21"/>
                    </w:rPr>
                  </w:pPr>
                  <w:r>
                    <w:rPr>
                      <w:rFonts w:hint="eastAsia"/>
                      <w:color w:val="000000"/>
                      <w:sz w:val="21"/>
                    </w:rPr>
                    <w:t>噪声防治措施</w:t>
                  </w:r>
                </w:p>
              </w:tc>
              <w:tc>
                <w:tcPr>
                  <w:tcW w:w="5397" w:type="dxa"/>
                  <w:noWrap w:val="0"/>
                  <w:vAlign w:val="center"/>
                </w:tcPr>
                <w:p w14:paraId="7E2B00C7">
                  <w:pPr>
                    <w:pStyle w:val="27"/>
                    <w:rPr>
                      <w:color w:val="000000"/>
                      <w:sz w:val="21"/>
                    </w:rPr>
                  </w:pPr>
                  <w:r>
                    <w:rPr>
                      <w:rFonts w:hint="eastAsia"/>
                      <w:color w:val="000000"/>
                      <w:sz w:val="21"/>
                    </w:rPr>
                    <w:t>选用低噪声设备，采取设备基础减振、利用厂房建筑隔声等综合治理措施；螺杆式空压机、废气处理设施的风机设置于独立房间内。</w:t>
                  </w:r>
                </w:p>
              </w:tc>
              <w:tc>
                <w:tcPr>
                  <w:tcW w:w="615" w:type="dxa"/>
                  <w:noWrap w:val="0"/>
                  <w:vAlign w:val="center"/>
                </w:tcPr>
                <w:p w14:paraId="62CB7D4C">
                  <w:pPr>
                    <w:pStyle w:val="27"/>
                    <w:rPr>
                      <w:rFonts w:hint="eastAsia"/>
                      <w:color w:val="000000"/>
                      <w:sz w:val="21"/>
                    </w:rPr>
                  </w:pPr>
                  <w:r>
                    <w:rPr>
                      <w:rFonts w:hint="eastAsia"/>
                      <w:color w:val="000000"/>
                      <w:sz w:val="21"/>
                    </w:rPr>
                    <w:t>新建</w:t>
                  </w:r>
                </w:p>
              </w:tc>
            </w:tr>
            <w:tr w14:paraId="2144F1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710" w:type="dxa"/>
                  <w:vMerge w:val="continue"/>
                  <w:noWrap w:val="0"/>
                  <w:vAlign w:val="center"/>
                </w:tcPr>
                <w:p w14:paraId="16BD1AE0">
                  <w:pPr>
                    <w:pStyle w:val="27"/>
                    <w:rPr>
                      <w:rFonts w:hint="eastAsia"/>
                      <w:color w:val="000000"/>
                      <w:sz w:val="21"/>
                    </w:rPr>
                  </w:pPr>
                </w:p>
              </w:tc>
              <w:tc>
                <w:tcPr>
                  <w:tcW w:w="708" w:type="dxa"/>
                  <w:vMerge w:val="restart"/>
                  <w:noWrap w:val="0"/>
                  <w:vAlign w:val="center"/>
                </w:tcPr>
                <w:p w14:paraId="53D1FB54">
                  <w:pPr>
                    <w:pStyle w:val="27"/>
                    <w:rPr>
                      <w:rFonts w:hint="eastAsia"/>
                      <w:color w:val="000000"/>
                      <w:sz w:val="21"/>
                    </w:rPr>
                  </w:pPr>
                  <w:r>
                    <w:rPr>
                      <w:rFonts w:hint="eastAsia"/>
                      <w:color w:val="000000"/>
                      <w:sz w:val="21"/>
                    </w:rPr>
                    <w:t>固体废物暂存设施</w:t>
                  </w:r>
                </w:p>
              </w:tc>
              <w:tc>
                <w:tcPr>
                  <w:tcW w:w="977" w:type="dxa"/>
                  <w:noWrap w:val="0"/>
                  <w:vAlign w:val="center"/>
                </w:tcPr>
                <w:p w14:paraId="36648C24">
                  <w:pPr>
                    <w:pStyle w:val="27"/>
                    <w:rPr>
                      <w:rFonts w:hint="eastAsia"/>
                      <w:color w:val="000000"/>
                      <w:sz w:val="21"/>
                    </w:rPr>
                  </w:pPr>
                  <w:r>
                    <w:rPr>
                      <w:rFonts w:hint="eastAsia"/>
                      <w:color w:val="000000"/>
                      <w:sz w:val="21"/>
                    </w:rPr>
                    <w:t>一般固废暂存区</w:t>
                  </w:r>
                </w:p>
              </w:tc>
              <w:tc>
                <w:tcPr>
                  <w:tcW w:w="5397" w:type="dxa"/>
                  <w:noWrap w:val="0"/>
                  <w:vAlign w:val="center"/>
                </w:tcPr>
                <w:p w14:paraId="45B3A50C">
                  <w:pPr>
                    <w:pStyle w:val="27"/>
                    <w:rPr>
                      <w:rFonts w:hint="eastAsia"/>
                      <w:color w:val="000000"/>
                      <w:sz w:val="21"/>
                    </w:rPr>
                  </w:pPr>
                  <w:r>
                    <w:rPr>
                      <w:rFonts w:hint="eastAsia"/>
                      <w:color w:val="000000"/>
                      <w:sz w:val="21"/>
                    </w:rPr>
                    <w:t>在2号厂房北侧设置一般工业固体废物暂存间，占地面积约50m</w:t>
                  </w:r>
                  <w:r>
                    <w:rPr>
                      <w:rFonts w:hint="eastAsia"/>
                      <w:color w:val="000000"/>
                      <w:sz w:val="21"/>
                      <w:vertAlign w:val="superscript"/>
                    </w:rPr>
                    <w:t>2</w:t>
                  </w:r>
                  <w:r>
                    <w:rPr>
                      <w:rFonts w:hint="eastAsia"/>
                      <w:color w:val="000000"/>
                      <w:sz w:val="21"/>
                    </w:rPr>
                    <w:t>，承担项目产生的一般工业固体废物暂存任务。</w:t>
                  </w:r>
                </w:p>
              </w:tc>
              <w:tc>
                <w:tcPr>
                  <w:tcW w:w="615" w:type="dxa"/>
                  <w:noWrap w:val="0"/>
                  <w:vAlign w:val="center"/>
                </w:tcPr>
                <w:p w14:paraId="6C6580E8">
                  <w:pPr>
                    <w:pStyle w:val="27"/>
                    <w:rPr>
                      <w:rFonts w:hint="eastAsia"/>
                      <w:color w:val="000000"/>
                      <w:sz w:val="21"/>
                    </w:rPr>
                  </w:pPr>
                  <w:r>
                    <w:rPr>
                      <w:rFonts w:hint="eastAsia"/>
                      <w:color w:val="000000"/>
                      <w:sz w:val="21"/>
                    </w:rPr>
                    <w:t>新建</w:t>
                  </w:r>
                </w:p>
              </w:tc>
            </w:tr>
            <w:tr w14:paraId="5ED3EF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710" w:type="dxa"/>
                  <w:vMerge w:val="continue"/>
                  <w:noWrap w:val="0"/>
                  <w:vAlign w:val="center"/>
                </w:tcPr>
                <w:p w14:paraId="583975A4">
                  <w:pPr>
                    <w:pStyle w:val="27"/>
                    <w:rPr>
                      <w:rFonts w:hint="eastAsia"/>
                      <w:color w:val="000000"/>
                      <w:sz w:val="21"/>
                    </w:rPr>
                  </w:pPr>
                </w:p>
              </w:tc>
              <w:tc>
                <w:tcPr>
                  <w:tcW w:w="708" w:type="dxa"/>
                  <w:vMerge w:val="continue"/>
                  <w:noWrap w:val="0"/>
                  <w:vAlign w:val="center"/>
                </w:tcPr>
                <w:p w14:paraId="0E5852C5">
                  <w:pPr>
                    <w:pStyle w:val="27"/>
                    <w:rPr>
                      <w:rFonts w:hint="eastAsia"/>
                      <w:color w:val="000000"/>
                      <w:sz w:val="21"/>
                    </w:rPr>
                  </w:pPr>
                </w:p>
              </w:tc>
              <w:tc>
                <w:tcPr>
                  <w:tcW w:w="977" w:type="dxa"/>
                  <w:noWrap w:val="0"/>
                  <w:vAlign w:val="center"/>
                </w:tcPr>
                <w:p w14:paraId="5A991DFB">
                  <w:pPr>
                    <w:pStyle w:val="27"/>
                    <w:rPr>
                      <w:rFonts w:hint="eastAsia"/>
                      <w:color w:val="000000"/>
                      <w:sz w:val="21"/>
                    </w:rPr>
                  </w:pPr>
                  <w:r>
                    <w:rPr>
                      <w:rFonts w:hint="eastAsia"/>
                      <w:color w:val="000000"/>
                      <w:sz w:val="21"/>
                    </w:rPr>
                    <w:t>危险废物贮存点</w:t>
                  </w:r>
                </w:p>
              </w:tc>
              <w:tc>
                <w:tcPr>
                  <w:tcW w:w="5397" w:type="dxa"/>
                  <w:noWrap w:val="0"/>
                  <w:vAlign w:val="center"/>
                </w:tcPr>
                <w:p w14:paraId="3194A01F">
                  <w:pPr>
                    <w:pStyle w:val="27"/>
                    <w:rPr>
                      <w:rFonts w:hint="eastAsia"/>
                      <w:color w:val="000000"/>
                      <w:sz w:val="21"/>
                    </w:rPr>
                  </w:pPr>
                  <w:r>
                    <w:rPr>
                      <w:rFonts w:hint="eastAsia"/>
                      <w:color w:val="000000"/>
                      <w:sz w:val="21"/>
                    </w:rPr>
                    <w:t>在2号厂房内部东北侧设置危险废物贮存点，占地面积约30m</w:t>
                  </w:r>
                  <w:r>
                    <w:rPr>
                      <w:rFonts w:hint="eastAsia"/>
                      <w:color w:val="000000"/>
                      <w:sz w:val="21"/>
                      <w:vertAlign w:val="superscript"/>
                    </w:rPr>
                    <w:t>2</w:t>
                  </w:r>
                  <w:r>
                    <w:rPr>
                      <w:rFonts w:hint="eastAsia"/>
                      <w:color w:val="000000"/>
                      <w:sz w:val="21"/>
                    </w:rPr>
                    <w:t>，地坪按要求采用环氧树脂进行防腐防渗设计，并设置相应的环保标识标牌。</w:t>
                  </w:r>
                </w:p>
              </w:tc>
              <w:tc>
                <w:tcPr>
                  <w:tcW w:w="615" w:type="dxa"/>
                  <w:noWrap w:val="0"/>
                  <w:vAlign w:val="center"/>
                </w:tcPr>
                <w:p w14:paraId="013B9500">
                  <w:pPr>
                    <w:pStyle w:val="27"/>
                    <w:rPr>
                      <w:rFonts w:hint="eastAsia"/>
                      <w:color w:val="000000"/>
                      <w:sz w:val="21"/>
                    </w:rPr>
                  </w:pPr>
                  <w:r>
                    <w:rPr>
                      <w:rFonts w:hint="eastAsia"/>
                      <w:color w:val="000000"/>
                      <w:sz w:val="21"/>
                    </w:rPr>
                    <w:t>新建</w:t>
                  </w:r>
                </w:p>
              </w:tc>
            </w:tr>
            <w:tr w14:paraId="47B7C9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710" w:type="dxa"/>
                  <w:vMerge w:val="continue"/>
                  <w:noWrap w:val="0"/>
                  <w:vAlign w:val="center"/>
                </w:tcPr>
                <w:p w14:paraId="3ABBF937">
                  <w:pPr>
                    <w:pStyle w:val="27"/>
                    <w:rPr>
                      <w:rFonts w:hint="eastAsia"/>
                      <w:color w:val="000000"/>
                      <w:sz w:val="21"/>
                    </w:rPr>
                  </w:pPr>
                </w:p>
              </w:tc>
              <w:tc>
                <w:tcPr>
                  <w:tcW w:w="708" w:type="dxa"/>
                  <w:vMerge w:val="continue"/>
                  <w:noWrap w:val="0"/>
                  <w:vAlign w:val="center"/>
                </w:tcPr>
                <w:p w14:paraId="52A90AAA">
                  <w:pPr>
                    <w:pStyle w:val="27"/>
                    <w:rPr>
                      <w:rFonts w:hint="eastAsia"/>
                      <w:color w:val="000000"/>
                      <w:sz w:val="21"/>
                    </w:rPr>
                  </w:pPr>
                </w:p>
              </w:tc>
              <w:tc>
                <w:tcPr>
                  <w:tcW w:w="977" w:type="dxa"/>
                  <w:noWrap w:val="0"/>
                  <w:vAlign w:val="center"/>
                </w:tcPr>
                <w:p w14:paraId="0949723C">
                  <w:pPr>
                    <w:pStyle w:val="27"/>
                    <w:rPr>
                      <w:rFonts w:hint="eastAsia"/>
                      <w:color w:val="000000"/>
                      <w:sz w:val="21"/>
                    </w:rPr>
                  </w:pPr>
                  <w:r>
                    <w:rPr>
                      <w:rFonts w:hint="eastAsia"/>
                      <w:color w:val="000000"/>
                      <w:sz w:val="21"/>
                    </w:rPr>
                    <w:t>生活垃圾</w:t>
                  </w:r>
                </w:p>
              </w:tc>
              <w:tc>
                <w:tcPr>
                  <w:tcW w:w="5397" w:type="dxa"/>
                  <w:noWrap w:val="0"/>
                  <w:vAlign w:val="center"/>
                </w:tcPr>
                <w:p w14:paraId="68DD44DB">
                  <w:pPr>
                    <w:pStyle w:val="27"/>
                    <w:rPr>
                      <w:rFonts w:hint="eastAsia"/>
                      <w:color w:val="000000"/>
                      <w:sz w:val="21"/>
                    </w:rPr>
                  </w:pPr>
                  <w:r>
                    <w:rPr>
                      <w:rFonts w:hint="eastAsia"/>
                      <w:color w:val="000000"/>
                      <w:sz w:val="21"/>
                    </w:rPr>
                    <w:t>生活垃圾定期交由当地环卫部门处置。</w:t>
                  </w:r>
                </w:p>
              </w:tc>
              <w:tc>
                <w:tcPr>
                  <w:tcW w:w="615" w:type="dxa"/>
                  <w:noWrap w:val="0"/>
                  <w:vAlign w:val="center"/>
                </w:tcPr>
                <w:p w14:paraId="0FA6EA40">
                  <w:pPr>
                    <w:pStyle w:val="27"/>
                    <w:rPr>
                      <w:rFonts w:hint="eastAsia"/>
                      <w:color w:val="000000"/>
                      <w:sz w:val="21"/>
                    </w:rPr>
                  </w:pPr>
                  <w:r>
                    <w:rPr>
                      <w:rFonts w:hint="eastAsia"/>
                      <w:color w:val="000000"/>
                      <w:sz w:val="21"/>
                    </w:rPr>
                    <w:t>/</w:t>
                  </w:r>
                </w:p>
              </w:tc>
            </w:tr>
            <w:tr w14:paraId="29F900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710" w:type="dxa"/>
                  <w:vMerge w:val="continue"/>
                  <w:noWrap w:val="0"/>
                  <w:vAlign w:val="center"/>
                </w:tcPr>
                <w:p w14:paraId="51485323">
                  <w:pPr>
                    <w:pStyle w:val="27"/>
                    <w:rPr>
                      <w:rFonts w:hint="eastAsia"/>
                      <w:color w:val="000000"/>
                      <w:sz w:val="21"/>
                    </w:rPr>
                  </w:pPr>
                </w:p>
              </w:tc>
              <w:tc>
                <w:tcPr>
                  <w:tcW w:w="1685" w:type="dxa"/>
                  <w:gridSpan w:val="2"/>
                  <w:noWrap w:val="0"/>
                  <w:vAlign w:val="center"/>
                </w:tcPr>
                <w:p w14:paraId="6C436D59">
                  <w:pPr>
                    <w:pStyle w:val="27"/>
                    <w:rPr>
                      <w:rFonts w:hint="eastAsia"/>
                      <w:color w:val="000000"/>
                      <w:sz w:val="21"/>
                    </w:rPr>
                  </w:pPr>
                  <w:r>
                    <w:rPr>
                      <w:rFonts w:hint="eastAsia"/>
                      <w:color w:val="000000"/>
                      <w:sz w:val="21"/>
                    </w:rPr>
                    <w:t>风险防范措施</w:t>
                  </w:r>
                </w:p>
              </w:tc>
              <w:tc>
                <w:tcPr>
                  <w:tcW w:w="5397" w:type="dxa"/>
                  <w:noWrap w:val="0"/>
                  <w:vAlign w:val="center"/>
                </w:tcPr>
                <w:p w14:paraId="7BDD7A94">
                  <w:pPr>
                    <w:pStyle w:val="27"/>
                    <w:rPr>
                      <w:rFonts w:hint="eastAsia"/>
                      <w:color w:val="000000"/>
                      <w:sz w:val="21"/>
                    </w:rPr>
                  </w:pPr>
                  <w:r>
                    <w:rPr>
                      <w:rFonts w:hint="eastAsia"/>
                      <w:color w:val="000000"/>
                      <w:sz w:val="21"/>
                    </w:rPr>
                    <w:t>分区防渗，危险化学品等原料设置托盘；原料罐区设置一座围堰，围堰尺寸为28×4.1，高1.2m，围堰有效容积为77m</w:t>
                  </w:r>
                  <w:r>
                    <w:rPr>
                      <w:rFonts w:hint="eastAsia"/>
                      <w:color w:val="000000"/>
                      <w:sz w:val="21"/>
                      <w:vertAlign w:val="superscript"/>
                    </w:rPr>
                    <w:t>3</w:t>
                  </w:r>
                  <w:r>
                    <w:rPr>
                      <w:rFonts w:hint="eastAsia"/>
                      <w:color w:val="000000"/>
                      <w:sz w:val="21"/>
                    </w:rPr>
                    <w:t>（大于最大罐有效容积70m</w:t>
                  </w:r>
                  <w:r>
                    <w:rPr>
                      <w:rFonts w:hint="eastAsia"/>
                      <w:color w:val="000000"/>
                      <w:sz w:val="21"/>
                      <w:vertAlign w:val="superscript"/>
                    </w:rPr>
                    <w:t>3</w:t>
                  </w:r>
                  <w:r>
                    <w:rPr>
                      <w:rFonts w:hint="eastAsia"/>
                      <w:color w:val="000000"/>
                      <w:sz w:val="21"/>
                    </w:rPr>
                    <w:t>）。原料罐车卸料区设置导流沟及围挡。</w:t>
                  </w:r>
                </w:p>
              </w:tc>
              <w:tc>
                <w:tcPr>
                  <w:tcW w:w="615" w:type="dxa"/>
                  <w:noWrap w:val="0"/>
                  <w:vAlign w:val="center"/>
                </w:tcPr>
                <w:p w14:paraId="13186C67">
                  <w:pPr>
                    <w:pStyle w:val="27"/>
                    <w:rPr>
                      <w:rFonts w:hint="eastAsia"/>
                      <w:color w:val="000000"/>
                      <w:sz w:val="21"/>
                    </w:rPr>
                  </w:pPr>
                  <w:r>
                    <w:rPr>
                      <w:rFonts w:hint="eastAsia"/>
                      <w:color w:val="000000"/>
                      <w:sz w:val="21"/>
                    </w:rPr>
                    <w:t>新建</w:t>
                  </w:r>
                </w:p>
              </w:tc>
            </w:tr>
          </w:tbl>
          <w:p w14:paraId="3C059790">
            <w:pPr>
              <w:spacing w:line="360" w:lineRule="auto"/>
              <w:rPr>
                <w:b/>
                <w:bCs/>
                <w:color w:val="000000"/>
                <w:szCs w:val="32"/>
              </w:rPr>
            </w:pPr>
            <w:r>
              <w:rPr>
                <w:rFonts w:hint="eastAsia"/>
                <w:b/>
                <w:bCs/>
                <w:color w:val="000000"/>
                <w:szCs w:val="32"/>
              </w:rPr>
              <w:t>2.1.6公辅工程</w:t>
            </w:r>
          </w:p>
          <w:p w14:paraId="70C4A82A">
            <w:pPr>
              <w:pStyle w:val="8"/>
              <w:spacing w:after="0" w:line="360" w:lineRule="auto"/>
              <w:ind w:left="0" w:leftChars="0" w:firstLine="480" w:firstLineChars="200"/>
              <w:rPr>
                <w:rFonts w:hint="eastAsia"/>
                <w:color w:val="000000"/>
                <w:kern w:val="2"/>
                <w:szCs w:val="32"/>
              </w:rPr>
            </w:pPr>
            <w:r>
              <w:rPr>
                <w:rFonts w:hint="eastAsia"/>
                <w:color w:val="000000"/>
                <w:kern w:val="2"/>
                <w:szCs w:val="32"/>
              </w:rPr>
              <w:t>（1）给水工程</w:t>
            </w:r>
          </w:p>
          <w:p w14:paraId="7606E5C8">
            <w:pPr>
              <w:pStyle w:val="8"/>
              <w:spacing w:after="0" w:line="360" w:lineRule="auto"/>
              <w:ind w:left="0" w:leftChars="0" w:firstLine="480" w:firstLineChars="200"/>
              <w:rPr>
                <w:rFonts w:hint="eastAsia"/>
                <w:color w:val="000000"/>
                <w:kern w:val="2"/>
                <w:szCs w:val="32"/>
              </w:rPr>
            </w:pPr>
            <w:r>
              <w:rPr>
                <w:rFonts w:hint="eastAsia"/>
                <w:color w:val="000000"/>
                <w:kern w:val="2"/>
                <w:szCs w:val="32"/>
              </w:rPr>
              <w:t>项目给水主要为生产和生活用水，由西部（重庆）科学城九龙新城园区已有管网供给，在用地范围内以DN200的管道构成环状供水管网接入各用水单元。</w:t>
            </w:r>
          </w:p>
          <w:p w14:paraId="093E436D">
            <w:pPr>
              <w:pStyle w:val="8"/>
              <w:spacing w:after="0" w:line="360" w:lineRule="auto"/>
              <w:ind w:left="0" w:leftChars="0" w:firstLine="480" w:firstLineChars="200"/>
              <w:rPr>
                <w:rFonts w:hint="eastAsia"/>
                <w:color w:val="000000"/>
                <w:kern w:val="2"/>
                <w:szCs w:val="32"/>
              </w:rPr>
            </w:pPr>
            <w:r>
              <w:rPr>
                <w:rFonts w:hint="eastAsia"/>
                <w:color w:val="000000"/>
                <w:kern w:val="2"/>
                <w:szCs w:val="32"/>
              </w:rPr>
              <w:t>（2）排水工程</w:t>
            </w:r>
          </w:p>
          <w:p w14:paraId="3D6281C6">
            <w:pPr>
              <w:pStyle w:val="8"/>
              <w:spacing w:after="0" w:line="360" w:lineRule="auto"/>
              <w:ind w:left="0" w:leftChars="0" w:firstLine="480" w:firstLineChars="200"/>
              <w:rPr>
                <w:rFonts w:hint="eastAsia"/>
                <w:color w:val="000000"/>
                <w:kern w:val="2"/>
                <w:szCs w:val="32"/>
              </w:rPr>
            </w:pPr>
            <w:r>
              <w:rPr>
                <w:rFonts w:hint="eastAsia"/>
                <w:color w:val="000000"/>
                <w:kern w:val="2"/>
                <w:szCs w:val="32"/>
              </w:rPr>
              <w:t>厂区排水体制采取雨、污分流制。雨水就近由厂区雨水管网排入周边市政雨水管网；</w:t>
            </w:r>
          </w:p>
          <w:p w14:paraId="030D82FC">
            <w:pPr>
              <w:pStyle w:val="8"/>
              <w:spacing w:after="0" w:line="360" w:lineRule="auto"/>
              <w:ind w:left="0" w:leftChars="0" w:firstLine="480" w:firstLineChars="200"/>
              <w:rPr>
                <w:rFonts w:hint="eastAsia"/>
                <w:color w:val="000000"/>
                <w:kern w:val="2"/>
                <w:szCs w:val="32"/>
              </w:rPr>
            </w:pPr>
            <w:r>
              <w:rPr>
                <w:rFonts w:hint="eastAsia"/>
                <w:color w:val="000000"/>
                <w:kern w:val="2"/>
                <w:szCs w:val="32"/>
              </w:rPr>
              <w:t>项目产生的废水经厂区废水处理系统处理达《污水综合排放标准》（GB8978-1996）三级标准后，排入市政污水管网，进入西彭工业园区污水处理厂进一步处理达《污水综合排放标准》（GB8978-1996）一级标准后，经过桥头河排入长江。西彭工业园区污水处理厂提标扩建工程正在试运行中。提标扩建后，COD、NH</w:t>
            </w:r>
            <w:r>
              <w:rPr>
                <w:rFonts w:hint="eastAsia"/>
                <w:color w:val="000000"/>
                <w:kern w:val="2"/>
                <w:szCs w:val="32"/>
                <w:vertAlign w:val="subscript"/>
              </w:rPr>
              <w:t>3</w:t>
            </w:r>
            <w:r>
              <w:rPr>
                <w:rFonts w:hint="eastAsia"/>
                <w:color w:val="000000"/>
                <w:kern w:val="2"/>
                <w:szCs w:val="32"/>
              </w:rPr>
              <w:t>-N、TP可达《地表水环境质量标准》（GB3838-2002）Ⅳ类标准，其他因子执行《城镇污水处理厂污染物排放标准》（GB18918-2002）一级A标准。</w:t>
            </w:r>
          </w:p>
          <w:p w14:paraId="4F11231D">
            <w:pPr>
              <w:pStyle w:val="8"/>
              <w:spacing w:after="0" w:line="360" w:lineRule="auto"/>
              <w:ind w:left="0" w:leftChars="0" w:firstLine="480" w:firstLineChars="200"/>
              <w:rPr>
                <w:rFonts w:hint="eastAsia"/>
                <w:color w:val="000000"/>
                <w:kern w:val="2"/>
                <w:szCs w:val="32"/>
              </w:rPr>
            </w:pPr>
            <w:r>
              <w:rPr>
                <w:rFonts w:hint="eastAsia"/>
                <w:color w:val="000000"/>
                <w:kern w:val="2"/>
                <w:szCs w:val="32"/>
              </w:rPr>
              <w:t>（3）供电工程</w:t>
            </w:r>
          </w:p>
          <w:p w14:paraId="35338344">
            <w:pPr>
              <w:pStyle w:val="8"/>
              <w:spacing w:after="0" w:line="360" w:lineRule="auto"/>
              <w:ind w:left="0" w:leftChars="0" w:firstLine="480" w:firstLineChars="200"/>
              <w:rPr>
                <w:rFonts w:hint="eastAsia"/>
                <w:color w:val="000000"/>
                <w:kern w:val="2"/>
                <w:szCs w:val="32"/>
              </w:rPr>
            </w:pPr>
            <w:r>
              <w:rPr>
                <w:rFonts w:hint="eastAsia"/>
                <w:color w:val="000000"/>
                <w:kern w:val="2"/>
                <w:szCs w:val="32"/>
              </w:rPr>
              <w:t>依托厂区现有市政供电系统，在1号厂房南侧设置1处配电房，对整个厂区配电，不配置发电机。</w:t>
            </w:r>
          </w:p>
          <w:p w14:paraId="5E39A8CA">
            <w:pPr>
              <w:pStyle w:val="8"/>
              <w:spacing w:after="0" w:line="360" w:lineRule="auto"/>
              <w:ind w:left="0" w:leftChars="0" w:firstLine="480" w:firstLineChars="200"/>
              <w:rPr>
                <w:rFonts w:hint="eastAsia"/>
                <w:color w:val="000000"/>
                <w:kern w:val="2"/>
                <w:szCs w:val="32"/>
              </w:rPr>
            </w:pPr>
            <w:r>
              <w:rPr>
                <w:rFonts w:hint="eastAsia"/>
                <w:color w:val="000000"/>
                <w:kern w:val="2"/>
                <w:szCs w:val="32"/>
              </w:rPr>
              <w:t>（4）空调及通风系统</w:t>
            </w:r>
          </w:p>
          <w:p w14:paraId="76A1FF20">
            <w:pPr>
              <w:pStyle w:val="8"/>
              <w:spacing w:after="0" w:line="360" w:lineRule="auto"/>
              <w:ind w:left="0" w:leftChars="0" w:firstLine="480" w:firstLineChars="200"/>
              <w:rPr>
                <w:rFonts w:hint="eastAsia"/>
                <w:color w:val="000000"/>
                <w:kern w:val="2"/>
                <w:szCs w:val="32"/>
              </w:rPr>
            </w:pPr>
            <w:r>
              <w:rPr>
                <w:rFonts w:hint="eastAsia"/>
                <w:color w:val="000000"/>
                <w:kern w:val="2"/>
                <w:szCs w:val="32"/>
              </w:rPr>
              <w:t>综合楼采用分体式空调，厂房采用自然通风，同时依托废气处理设施进行机械排风。</w:t>
            </w:r>
          </w:p>
          <w:p w14:paraId="6F86EB90">
            <w:pPr>
              <w:pStyle w:val="8"/>
              <w:spacing w:after="0" w:line="360" w:lineRule="auto"/>
              <w:ind w:left="0" w:leftChars="0"/>
              <w:rPr>
                <w:rFonts w:hint="eastAsia"/>
                <w:b/>
                <w:bCs/>
                <w:color w:val="000000"/>
                <w:kern w:val="2"/>
                <w:szCs w:val="32"/>
              </w:rPr>
            </w:pPr>
            <w:r>
              <w:rPr>
                <w:rFonts w:hint="eastAsia"/>
                <w:b/>
                <w:bCs/>
                <w:color w:val="000000"/>
                <w:kern w:val="2"/>
                <w:szCs w:val="32"/>
              </w:rPr>
              <w:t>2.1.7储运工程</w:t>
            </w:r>
          </w:p>
          <w:p w14:paraId="14FDB568">
            <w:pPr>
              <w:pStyle w:val="8"/>
              <w:spacing w:after="0" w:line="360" w:lineRule="auto"/>
              <w:ind w:left="0" w:leftChars="0" w:firstLine="480" w:firstLineChars="200"/>
              <w:rPr>
                <w:rFonts w:hint="eastAsia"/>
                <w:color w:val="000000"/>
                <w:kern w:val="2"/>
                <w:szCs w:val="32"/>
              </w:rPr>
            </w:pPr>
            <w:r>
              <w:rPr>
                <w:rFonts w:hint="eastAsia"/>
                <w:color w:val="000000"/>
                <w:kern w:val="2"/>
                <w:szCs w:val="32"/>
              </w:rPr>
              <w:t>（1）原料储存</w:t>
            </w:r>
          </w:p>
          <w:p w14:paraId="7DF34A64">
            <w:pPr>
              <w:pStyle w:val="8"/>
              <w:spacing w:after="0" w:line="360" w:lineRule="auto"/>
              <w:ind w:left="0" w:leftChars="0" w:firstLine="480" w:firstLineChars="200"/>
              <w:rPr>
                <w:rFonts w:hint="eastAsia"/>
                <w:color w:val="000000"/>
                <w:kern w:val="2"/>
                <w:szCs w:val="32"/>
              </w:rPr>
            </w:pPr>
            <w:r>
              <w:rPr>
                <w:rFonts w:hint="eastAsia"/>
                <w:color w:val="000000"/>
                <w:kern w:val="2"/>
                <w:szCs w:val="32"/>
              </w:rPr>
              <w:t>液体原料罐区：PVC电缆生产使用的液体原料，在2号厂房北侧设置6个液体原料罐储存，均为固定顶罐，原料罐容积均为77m</w:t>
            </w:r>
            <w:r>
              <w:rPr>
                <w:rFonts w:hint="eastAsia"/>
                <w:color w:val="000000"/>
                <w:kern w:val="2"/>
                <w:szCs w:val="32"/>
                <w:vertAlign w:val="superscript"/>
              </w:rPr>
              <w:t>3</w:t>
            </w:r>
            <w:r>
              <w:rPr>
                <w:rFonts w:hint="eastAsia"/>
                <w:color w:val="000000"/>
                <w:kern w:val="2"/>
                <w:szCs w:val="32"/>
              </w:rPr>
              <w:t>，有效容积为70m</w:t>
            </w:r>
            <w:r>
              <w:rPr>
                <w:rFonts w:hint="eastAsia"/>
                <w:color w:val="000000"/>
                <w:kern w:val="2"/>
                <w:szCs w:val="32"/>
                <w:vertAlign w:val="superscript"/>
              </w:rPr>
              <w:t>3</w:t>
            </w:r>
            <w:r>
              <w:rPr>
                <w:rFonts w:hint="eastAsia"/>
                <w:color w:val="000000"/>
                <w:kern w:val="2"/>
                <w:szCs w:val="32"/>
              </w:rPr>
              <w:t>，分别储存TOTM、DOTP、DOA、DOS、ESO、氯化石蜡。6种液体原料沸点为220℃~430℃，其储存真实蒸气压远小于0.3kPa，不属于挥发性有机液体。</w:t>
            </w:r>
          </w:p>
          <w:p w14:paraId="4470F514">
            <w:pPr>
              <w:pStyle w:val="8"/>
              <w:spacing w:after="0" w:line="360" w:lineRule="auto"/>
              <w:ind w:left="0" w:leftChars="0" w:firstLine="480" w:firstLineChars="200"/>
              <w:rPr>
                <w:rFonts w:hint="eastAsia"/>
                <w:color w:val="000000"/>
                <w:kern w:val="2"/>
                <w:szCs w:val="32"/>
              </w:rPr>
            </w:pPr>
            <w:r>
              <w:rPr>
                <w:rFonts w:hint="eastAsia"/>
                <w:color w:val="000000"/>
                <w:kern w:val="2"/>
                <w:szCs w:val="32"/>
              </w:rPr>
              <w:t>固体原料储存区：在两个厂房均设置固体原料储存区，分别位于2号厂房PVC电缆料生产线两侧和1号厂房低烟无卤电缆料生产线两侧，2号厂房原料储存区主要存放PVC电缆料生产线使用的固体原料，1号厂房原料储存区主要存放低烟无卤电缆料生产线使用的固体原料。PVC电缆料生产线旁设置12个地下料仓，每个料仓容量约4m</w:t>
            </w:r>
            <w:r>
              <w:rPr>
                <w:rFonts w:hint="eastAsia"/>
                <w:color w:val="000000"/>
                <w:kern w:val="2"/>
                <w:szCs w:val="32"/>
                <w:vertAlign w:val="superscript"/>
              </w:rPr>
              <w:t>3</w:t>
            </w:r>
            <w:r>
              <w:rPr>
                <w:rFonts w:hint="eastAsia"/>
                <w:color w:val="000000"/>
                <w:kern w:val="2"/>
                <w:szCs w:val="32"/>
              </w:rPr>
              <w:t>，用于中央配料系统负压自动配料，分别暂存PVC粉料、碳酸钙、高岭土、阻燃剂、稳定剂等。</w:t>
            </w:r>
          </w:p>
          <w:p w14:paraId="12A078B5">
            <w:pPr>
              <w:pStyle w:val="8"/>
              <w:spacing w:after="0" w:line="360" w:lineRule="auto"/>
              <w:ind w:left="0" w:leftChars="0" w:firstLine="480" w:firstLineChars="200"/>
              <w:rPr>
                <w:rFonts w:hint="eastAsia"/>
                <w:color w:val="000000"/>
                <w:kern w:val="2"/>
                <w:szCs w:val="32"/>
              </w:rPr>
            </w:pPr>
            <w:r>
              <w:rPr>
                <w:rFonts w:hint="eastAsia"/>
                <w:color w:val="000000"/>
                <w:kern w:val="2"/>
                <w:szCs w:val="32"/>
              </w:rPr>
              <w:t>危险化学品原料储存间：面积约20m</w:t>
            </w:r>
            <w:r>
              <w:rPr>
                <w:rFonts w:hint="eastAsia"/>
                <w:color w:val="000000"/>
                <w:kern w:val="2"/>
                <w:szCs w:val="32"/>
                <w:vertAlign w:val="superscript"/>
              </w:rPr>
              <w:t>2</w:t>
            </w:r>
            <w:r>
              <w:rPr>
                <w:rFonts w:hint="eastAsia"/>
                <w:color w:val="000000"/>
                <w:kern w:val="2"/>
                <w:szCs w:val="32"/>
              </w:rPr>
              <w:t>，位于2号厂房东北侧，主要储存项目使用的危险化学品原料，如机油、除菌剂等，分区存放。</w:t>
            </w:r>
          </w:p>
          <w:p w14:paraId="0E989EBA">
            <w:pPr>
              <w:pStyle w:val="8"/>
              <w:spacing w:after="0" w:line="360" w:lineRule="auto"/>
              <w:ind w:left="0" w:leftChars="0" w:firstLine="480" w:firstLineChars="200"/>
              <w:rPr>
                <w:rFonts w:hint="eastAsia"/>
                <w:color w:val="000000"/>
                <w:kern w:val="2"/>
                <w:szCs w:val="32"/>
              </w:rPr>
            </w:pPr>
            <w:r>
              <w:rPr>
                <w:rFonts w:hint="eastAsia"/>
                <w:color w:val="000000"/>
                <w:kern w:val="2"/>
                <w:szCs w:val="32"/>
              </w:rPr>
              <w:t>（2）产品储存</w:t>
            </w:r>
          </w:p>
          <w:p w14:paraId="440E861F">
            <w:pPr>
              <w:pStyle w:val="8"/>
              <w:spacing w:after="0" w:line="360" w:lineRule="auto"/>
              <w:ind w:left="0" w:leftChars="0" w:firstLine="480" w:firstLineChars="200"/>
              <w:rPr>
                <w:rFonts w:hint="eastAsia"/>
                <w:color w:val="000000"/>
                <w:kern w:val="2"/>
                <w:szCs w:val="32"/>
              </w:rPr>
            </w:pPr>
            <w:r>
              <w:rPr>
                <w:rFonts w:hint="eastAsia"/>
                <w:color w:val="000000"/>
                <w:kern w:val="2"/>
                <w:szCs w:val="32"/>
              </w:rPr>
              <w:t>在两个厂房设置2处固体产品储存区，分别位于2号东侧和1号厂房东侧，2号厂房产品储存区主要存放PVC电缆料产品，1号厂房产品储存区主要存放低烟无卤电缆料产品。</w:t>
            </w:r>
          </w:p>
          <w:p w14:paraId="042FF36E">
            <w:pPr>
              <w:pStyle w:val="8"/>
              <w:spacing w:after="0" w:line="360" w:lineRule="auto"/>
              <w:ind w:left="0" w:leftChars="0" w:firstLine="480" w:firstLineChars="200"/>
              <w:rPr>
                <w:rFonts w:hint="eastAsia"/>
                <w:color w:val="000000"/>
                <w:kern w:val="2"/>
                <w:szCs w:val="32"/>
              </w:rPr>
            </w:pPr>
            <w:r>
              <w:rPr>
                <w:rFonts w:hint="eastAsia"/>
                <w:color w:val="000000"/>
                <w:kern w:val="2"/>
                <w:szCs w:val="32"/>
              </w:rPr>
              <w:t>（3）运输</w:t>
            </w:r>
          </w:p>
          <w:p w14:paraId="72CB1CAE">
            <w:pPr>
              <w:pStyle w:val="8"/>
              <w:spacing w:after="0" w:line="360" w:lineRule="auto"/>
              <w:ind w:left="0" w:leftChars="0" w:firstLine="480" w:firstLineChars="200"/>
              <w:rPr>
                <w:rFonts w:hint="eastAsia"/>
                <w:color w:val="000000"/>
                <w:kern w:val="2"/>
                <w:szCs w:val="32"/>
              </w:rPr>
            </w:pPr>
            <w:r>
              <w:rPr>
                <w:rFonts w:hint="eastAsia"/>
                <w:color w:val="000000"/>
                <w:kern w:val="2"/>
                <w:szCs w:val="32"/>
              </w:rPr>
              <w:t>液体原料：PVC电缆生产使用的6种液体原料，由厂家直接用罐车运输到罐区旁将原料输入原料罐体内，原料罐密闭管道接入PVC电缆料生产线的中央配料系统，然后通过密闭管道接入高速混料机；</w:t>
            </w:r>
          </w:p>
          <w:p w14:paraId="74AF5AF8">
            <w:pPr>
              <w:pStyle w:val="8"/>
              <w:spacing w:after="0" w:line="360" w:lineRule="auto"/>
              <w:ind w:left="0" w:leftChars="0" w:firstLine="480" w:firstLineChars="200"/>
              <w:rPr>
                <w:rFonts w:hint="eastAsia"/>
                <w:color w:val="000000"/>
                <w:kern w:val="2"/>
                <w:szCs w:val="32"/>
              </w:rPr>
            </w:pPr>
            <w:r>
              <w:rPr>
                <w:rFonts w:hint="eastAsia"/>
                <w:color w:val="000000"/>
                <w:kern w:val="2"/>
                <w:szCs w:val="32"/>
              </w:rPr>
              <w:t>固体原料及产品：原料由厂家直接运输到厂区，厂内固体原料及产品通过叉车运输，企业配置3辆电叉车。</w:t>
            </w:r>
          </w:p>
          <w:p w14:paraId="740C0D12">
            <w:pPr>
              <w:pStyle w:val="8"/>
              <w:spacing w:after="0" w:line="360" w:lineRule="auto"/>
              <w:ind w:left="0" w:leftChars="0"/>
              <w:rPr>
                <w:b/>
                <w:bCs/>
                <w:color w:val="000000"/>
                <w:kern w:val="2"/>
                <w:szCs w:val="32"/>
              </w:rPr>
            </w:pPr>
            <w:r>
              <w:rPr>
                <w:rFonts w:hint="eastAsia"/>
                <w:b/>
                <w:bCs/>
                <w:color w:val="000000"/>
                <w:kern w:val="2"/>
                <w:szCs w:val="32"/>
              </w:rPr>
              <w:t>2.2主要生产设备</w:t>
            </w:r>
          </w:p>
          <w:p w14:paraId="0E89570F">
            <w:pPr>
              <w:pStyle w:val="8"/>
              <w:spacing w:after="0" w:line="360" w:lineRule="auto"/>
              <w:ind w:left="0" w:leftChars="0" w:firstLine="480" w:firstLineChars="200"/>
              <w:rPr>
                <w:rFonts w:hint="eastAsia"/>
                <w:color w:val="000000"/>
              </w:rPr>
            </w:pPr>
            <w:r>
              <w:rPr>
                <w:rFonts w:hint="eastAsia"/>
                <w:color w:val="000000"/>
              </w:rPr>
              <w:t>项目2种产品涉及多个设备，主要涉及</w:t>
            </w:r>
            <w:r>
              <w:rPr>
                <w:color w:val="000000"/>
              </w:rPr>
              <w:t>高速混合机</w:t>
            </w:r>
            <w:r>
              <w:rPr>
                <w:rFonts w:hint="eastAsia"/>
                <w:color w:val="000000"/>
              </w:rPr>
              <w:t>、</w:t>
            </w:r>
            <w:r>
              <w:rPr>
                <w:color w:val="000000"/>
              </w:rPr>
              <w:t>双阶混炼挤出机组</w:t>
            </w:r>
            <w:r>
              <w:rPr>
                <w:rFonts w:hint="eastAsia"/>
                <w:color w:val="000000"/>
              </w:rPr>
              <w:t>、</w:t>
            </w:r>
            <w:r>
              <w:rPr>
                <w:color w:val="000000"/>
              </w:rPr>
              <w:t>密炼机</w:t>
            </w:r>
            <w:r>
              <w:rPr>
                <w:rFonts w:hint="eastAsia"/>
                <w:color w:val="000000"/>
              </w:rPr>
              <w:t>、切割机、旋风机、冷却塔等，其中</w:t>
            </w:r>
            <w:r>
              <w:rPr>
                <w:color w:val="000000"/>
              </w:rPr>
              <w:t>双阶混炼挤出机组</w:t>
            </w:r>
            <w:r>
              <w:rPr>
                <w:rFonts w:hint="eastAsia"/>
                <w:color w:val="000000"/>
              </w:rPr>
              <w:t>为生产线的产能关键设备。</w:t>
            </w:r>
          </w:p>
          <w:p w14:paraId="532DA6E7">
            <w:pPr>
              <w:pStyle w:val="8"/>
              <w:spacing w:after="0" w:line="360" w:lineRule="auto"/>
              <w:ind w:left="0" w:leftChars="0" w:firstLine="480" w:firstLineChars="200"/>
              <w:rPr>
                <w:color w:val="000000"/>
              </w:rPr>
            </w:pPr>
            <w:r>
              <w:rPr>
                <w:rFonts w:hint="eastAsia"/>
                <w:color w:val="000000"/>
              </w:rPr>
              <w:t>项目主要生产设施设备及其参数详见下表。</w:t>
            </w:r>
          </w:p>
          <w:p w14:paraId="63DD3AD3">
            <w:pPr>
              <w:spacing w:before="24"/>
              <w:jc w:val="center"/>
              <w:rPr>
                <w:rFonts w:hint="eastAsia"/>
                <w:b/>
                <w:bCs/>
                <w:color w:val="000000"/>
                <w:szCs w:val="32"/>
              </w:rPr>
            </w:pPr>
            <w:r>
              <w:rPr>
                <w:rFonts w:hint="eastAsia"/>
                <w:b/>
                <w:bCs/>
                <w:color w:val="000000"/>
                <w:szCs w:val="32"/>
              </w:rPr>
              <w:t>表2-4</w:t>
            </w:r>
            <w:r>
              <w:rPr>
                <w:b/>
                <w:bCs/>
                <w:color w:val="000000"/>
                <w:szCs w:val="32"/>
              </w:rPr>
              <w:t xml:space="preserve"> </w:t>
            </w:r>
            <w:r>
              <w:rPr>
                <w:rFonts w:hint="eastAsia"/>
                <w:b/>
                <w:bCs/>
                <w:color w:val="000000"/>
                <w:szCs w:val="32"/>
              </w:rPr>
              <w:t>项目主要生产设施设备一览表</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57"/>
              <w:gridCol w:w="1162"/>
              <w:gridCol w:w="918"/>
              <w:gridCol w:w="1579"/>
              <w:gridCol w:w="773"/>
              <w:gridCol w:w="1002"/>
            </w:tblGrid>
            <w:tr w14:paraId="6633DD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37A2F292">
                  <w:pPr>
                    <w:overflowPunct w:val="0"/>
                    <w:autoSpaceDE w:val="0"/>
                    <w:autoSpaceDN w:val="0"/>
                    <w:adjustRightInd w:val="0"/>
                    <w:snapToGrid w:val="0"/>
                    <w:jc w:val="center"/>
                    <w:rPr>
                      <w:color w:val="000000"/>
                      <w:sz w:val="21"/>
                      <w:szCs w:val="21"/>
                    </w:rPr>
                  </w:pPr>
                  <w:r>
                    <w:rPr>
                      <w:color w:val="000000"/>
                      <w:sz w:val="21"/>
                      <w:szCs w:val="21"/>
                    </w:rPr>
                    <w:t>序号</w:t>
                  </w:r>
                </w:p>
              </w:tc>
              <w:tc>
                <w:tcPr>
                  <w:tcW w:w="1277" w:type="pct"/>
                  <w:noWrap w:val="0"/>
                  <w:vAlign w:val="center"/>
                </w:tcPr>
                <w:p w14:paraId="24FCDFEF">
                  <w:pPr>
                    <w:overflowPunct w:val="0"/>
                    <w:autoSpaceDE w:val="0"/>
                    <w:autoSpaceDN w:val="0"/>
                    <w:adjustRightInd w:val="0"/>
                    <w:snapToGrid w:val="0"/>
                    <w:jc w:val="center"/>
                    <w:rPr>
                      <w:color w:val="000000"/>
                      <w:sz w:val="21"/>
                      <w:szCs w:val="21"/>
                    </w:rPr>
                  </w:pPr>
                  <w:r>
                    <w:rPr>
                      <w:color w:val="000000"/>
                      <w:sz w:val="21"/>
                      <w:szCs w:val="21"/>
                    </w:rPr>
                    <w:t>设施（备）名称</w:t>
                  </w:r>
                </w:p>
              </w:tc>
              <w:tc>
                <w:tcPr>
                  <w:tcW w:w="689" w:type="pct"/>
                  <w:noWrap w:val="0"/>
                  <w:vAlign w:val="center"/>
                </w:tcPr>
                <w:p w14:paraId="256B319A">
                  <w:pPr>
                    <w:overflowPunct w:val="0"/>
                    <w:autoSpaceDE w:val="0"/>
                    <w:autoSpaceDN w:val="0"/>
                    <w:adjustRightInd w:val="0"/>
                    <w:snapToGrid w:val="0"/>
                    <w:jc w:val="center"/>
                    <w:rPr>
                      <w:color w:val="000000"/>
                      <w:sz w:val="21"/>
                      <w:szCs w:val="21"/>
                    </w:rPr>
                  </w:pPr>
                  <w:r>
                    <w:rPr>
                      <w:rFonts w:hint="eastAsia"/>
                      <w:color w:val="000000"/>
                      <w:sz w:val="21"/>
                      <w:szCs w:val="21"/>
                    </w:rPr>
                    <w:t>工艺环节</w:t>
                  </w:r>
                </w:p>
              </w:tc>
              <w:tc>
                <w:tcPr>
                  <w:tcW w:w="544" w:type="pct"/>
                  <w:noWrap w:val="0"/>
                  <w:vAlign w:val="center"/>
                </w:tcPr>
                <w:p w14:paraId="26DBF546">
                  <w:pPr>
                    <w:overflowPunct w:val="0"/>
                    <w:autoSpaceDE w:val="0"/>
                    <w:autoSpaceDN w:val="0"/>
                    <w:adjustRightInd w:val="0"/>
                    <w:snapToGrid w:val="0"/>
                    <w:jc w:val="center"/>
                    <w:rPr>
                      <w:color w:val="000000"/>
                      <w:sz w:val="21"/>
                      <w:szCs w:val="21"/>
                    </w:rPr>
                  </w:pPr>
                  <w:r>
                    <w:rPr>
                      <w:color w:val="000000"/>
                      <w:sz w:val="21"/>
                      <w:szCs w:val="21"/>
                    </w:rPr>
                    <w:t>单位</w:t>
                  </w:r>
                </w:p>
              </w:tc>
              <w:tc>
                <w:tcPr>
                  <w:tcW w:w="935" w:type="pct"/>
                  <w:noWrap w:val="0"/>
                  <w:vAlign w:val="center"/>
                </w:tcPr>
                <w:p w14:paraId="27CC6C61">
                  <w:pPr>
                    <w:overflowPunct w:val="0"/>
                    <w:autoSpaceDE w:val="0"/>
                    <w:autoSpaceDN w:val="0"/>
                    <w:adjustRightInd w:val="0"/>
                    <w:snapToGrid w:val="0"/>
                    <w:jc w:val="center"/>
                    <w:rPr>
                      <w:color w:val="000000"/>
                      <w:sz w:val="21"/>
                      <w:szCs w:val="21"/>
                    </w:rPr>
                  </w:pPr>
                  <w:r>
                    <w:rPr>
                      <w:color w:val="000000"/>
                      <w:sz w:val="21"/>
                      <w:szCs w:val="21"/>
                    </w:rPr>
                    <w:t>规格、型号</w:t>
                  </w:r>
                </w:p>
              </w:tc>
              <w:tc>
                <w:tcPr>
                  <w:tcW w:w="458" w:type="pct"/>
                  <w:noWrap w:val="0"/>
                  <w:vAlign w:val="center"/>
                </w:tcPr>
                <w:p w14:paraId="38D4F7A6">
                  <w:pPr>
                    <w:overflowPunct w:val="0"/>
                    <w:autoSpaceDE w:val="0"/>
                    <w:autoSpaceDN w:val="0"/>
                    <w:adjustRightInd w:val="0"/>
                    <w:snapToGrid w:val="0"/>
                    <w:jc w:val="center"/>
                    <w:rPr>
                      <w:color w:val="000000"/>
                      <w:sz w:val="21"/>
                      <w:szCs w:val="21"/>
                    </w:rPr>
                  </w:pPr>
                  <w:r>
                    <w:rPr>
                      <w:color w:val="000000"/>
                      <w:sz w:val="21"/>
                      <w:szCs w:val="21"/>
                    </w:rPr>
                    <w:t>数量</w:t>
                  </w:r>
                </w:p>
              </w:tc>
              <w:tc>
                <w:tcPr>
                  <w:tcW w:w="594" w:type="pct"/>
                  <w:noWrap w:val="0"/>
                  <w:vAlign w:val="center"/>
                </w:tcPr>
                <w:p w14:paraId="56669B06">
                  <w:pPr>
                    <w:overflowPunct w:val="0"/>
                    <w:autoSpaceDE w:val="0"/>
                    <w:autoSpaceDN w:val="0"/>
                    <w:adjustRightInd w:val="0"/>
                    <w:snapToGrid w:val="0"/>
                    <w:jc w:val="center"/>
                    <w:rPr>
                      <w:color w:val="000000"/>
                      <w:sz w:val="21"/>
                      <w:szCs w:val="21"/>
                    </w:rPr>
                  </w:pPr>
                  <w:r>
                    <w:rPr>
                      <w:color w:val="000000"/>
                      <w:sz w:val="21"/>
                      <w:szCs w:val="21"/>
                    </w:rPr>
                    <w:t>备注</w:t>
                  </w:r>
                </w:p>
              </w:tc>
            </w:tr>
            <w:tr w14:paraId="3255BA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4E4A1BA9">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1277" w:type="pct"/>
                  <w:noWrap w:val="0"/>
                  <w:vAlign w:val="center"/>
                </w:tcPr>
                <w:p w14:paraId="372AE346">
                  <w:pPr>
                    <w:overflowPunct w:val="0"/>
                    <w:autoSpaceDE w:val="0"/>
                    <w:autoSpaceDN w:val="0"/>
                    <w:adjustRightInd w:val="0"/>
                    <w:snapToGrid w:val="0"/>
                    <w:jc w:val="center"/>
                    <w:rPr>
                      <w:color w:val="000000"/>
                      <w:sz w:val="21"/>
                      <w:szCs w:val="21"/>
                    </w:rPr>
                  </w:pPr>
                  <w:r>
                    <w:rPr>
                      <w:rFonts w:hint="eastAsia"/>
                      <w:color w:val="000000"/>
                      <w:sz w:val="21"/>
                      <w:szCs w:val="21"/>
                    </w:rPr>
                    <w:t>料仓（固体原料）</w:t>
                  </w:r>
                </w:p>
              </w:tc>
              <w:tc>
                <w:tcPr>
                  <w:tcW w:w="689" w:type="pct"/>
                  <w:noWrap w:val="0"/>
                  <w:vAlign w:val="center"/>
                </w:tcPr>
                <w:p w14:paraId="0315D037">
                  <w:pPr>
                    <w:overflowPunct w:val="0"/>
                    <w:autoSpaceDE w:val="0"/>
                    <w:autoSpaceDN w:val="0"/>
                    <w:adjustRightInd w:val="0"/>
                    <w:snapToGrid w:val="0"/>
                    <w:jc w:val="center"/>
                    <w:rPr>
                      <w:color w:val="000000"/>
                      <w:sz w:val="21"/>
                      <w:szCs w:val="21"/>
                    </w:rPr>
                  </w:pPr>
                  <w:r>
                    <w:rPr>
                      <w:rFonts w:hint="eastAsia"/>
                      <w:color w:val="000000"/>
                      <w:sz w:val="21"/>
                      <w:szCs w:val="21"/>
                    </w:rPr>
                    <w:t>配料</w:t>
                  </w:r>
                </w:p>
              </w:tc>
              <w:tc>
                <w:tcPr>
                  <w:tcW w:w="544" w:type="pct"/>
                  <w:noWrap w:val="0"/>
                  <w:vAlign w:val="center"/>
                </w:tcPr>
                <w:p w14:paraId="5E0B9381">
                  <w:pPr>
                    <w:overflowPunct w:val="0"/>
                    <w:autoSpaceDE w:val="0"/>
                    <w:autoSpaceDN w:val="0"/>
                    <w:adjustRightInd w:val="0"/>
                    <w:snapToGrid w:val="0"/>
                    <w:jc w:val="center"/>
                    <w:rPr>
                      <w:color w:val="000000"/>
                      <w:sz w:val="21"/>
                      <w:szCs w:val="21"/>
                    </w:rPr>
                  </w:pPr>
                  <w:r>
                    <w:rPr>
                      <w:rFonts w:hint="eastAsia"/>
                      <w:color w:val="000000"/>
                      <w:sz w:val="21"/>
                      <w:szCs w:val="21"/>
                    </w:rPr>
                    <w:t>座</w:t>
                  </w:r>
                </w:p>
              </w:tc>
              <w:tc>
                <w:tcPr>
                  <w:tcW w:w="935" w:type="pct"/>
                  <w:noWrap w:val="0"/>
                  <w:vAlign w:val="center"/>
                </w:tcPr>
                <w:p w14:paraId="6F0A6CF0">
                  <w:pPr>
                    <w:overflowPunct w:val="0"/>
                    <w:autoSpaceDE w:val="0"/>
                    <w:autoSpaceDN w:val="0"/>
                    <w:adjustRightInd w:val="0"/>
                    <w:snapToGrid w:val="0"/>
                    <w:jc w:val="center"/>
                    <w:rPr>
                      <w:color w:val="000000"/>
                      <w:sz w:val="21"/>
                      <w:szCs w:val="21"/>
                    </w:rPr>
                  </w:pPr>
                  <w:r>
                    <w:rPr>
                      <w:rFonts w:hint="eastAsia"/>
                      <w:color w:val="000000"/>
                      <w:sz w:val="21"/>
                      <w:szCs w:val="21"/>
                    </w:rPr>
                    <w:t>4m</w:t>
                  </w:r>
                  <w:r>
                    <w:rPr>
                      <w:rFonts w:hint="eastAsia"/>
                      <w:color w:val="000000"/>
                      <w:sz w:val="21"/>
                      <w:szCs w:val="21"/>
                      <w:vertAlign w:val="superscript"/>
                    </w:rPr>
                    <w:t>3</w:t>
                  </w:r>
                </w:p>
              </w:tc>
              <w:tc>
                <w:tcPr>
                  <w:tcW w:w="458" w:type="pct"/>
                  <w:noWrap w:val="0"/>
                  <w:vAlign w:val="center"/>
                </w:tcPr>
                <w:p w14:paraId="6169DBF3">
                  <w:pPr>
                    <w:overflowPunct w:val="0"/>
                    <w:autoSpaceDE w:val="0"/>
                    <w:autoSpaceDN w:val="0"/>
                    <w:adjustRightInd w:val="0"/>
                    <w:snapToGrid w:val="0"/>
                    <w:jc w:val="center"/>
                    <w:rPr>
                      <w:color w:val="000000"/>
                      <w:sz w:val="21"/>
                      <w:szCs w:val="21"/>
                    </w:rPr>
                  </w:pPr>
                  <w:r>
                    <w:rPr>
                      <w:rFonts w:hint="eastAsia"/>
                      <w:color w:val="000000"/>
                      <w:sz w:val="21"/>
                      <w:szCs w:val="21"/>
                    </w:rPr>
                    <w:t>12</w:t>
                  </w:r>
                </w:p>
              </w:tc>
              <w:tc>
                <w:tcPr>
                  <w:tcW w:w="594" w:type="pct"/>
                  <w:vMerge w:val="restart"/>
                  <w:noWrap w:val="0"/>
                  <w:vAlign w:val="center"/>
                </w:tcPr>
                <w:p w14:paraId="6372397F">
                  <w:pPr>
                    <w:overflowPunct w:val="0"/>
                    <w:autoSpaceDE w:val="0"/>
                    <w:autoSpaceDN w:val="0"/>
                    <w:adjustRightInd w:val="0"/>
                    <w:snapToGrid w:val="0"/>
                    <w:jc w:val="center"/>
                    <w:rPr>
                      <w:color w:val="000000"/>
                      <w:sz w:val="21"/>
                      <w:szCs w:val="21"/>
                    </w:rPr>
                  </w:pPr>
                  <w:r>
                    <w:rPr>
                      <w:color w:val="000000"/>
                      <w:sz w:val="21"/>
                      <w:szCs w:val="21"/>
                    </w:rPr>
                    <w:t>供PVC电缆料生产用</w:t>
                  </w:r>
                </w:p>
              </w:tc>
            </w:tr>
            <w:tr w14:paraId="19E8C9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05682C67">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1277" w:type="pct"/>
                  <w:noWrap w:val="0"/>
                  <w:vAlign w:val="center"/>
                </w:tcPr>
                <w:p w14:paraId="2627B373">
                  <w:pPr>
                    <w:overflowPunct w:val="0"/>
                    <w:autoSpaceDE w:val="0"/>
                    <w:autoSpaceDN w:val="0"/>
                    <w:adjustRightInd w:val="0"/>
                    <w:snapToGrid w:val="0"/>
                    <w:jc w:val="center"/>
                    <w:rPr>
                      <w:rFonts w:hint="eastAsia"/>
                      <w:color w:val="000000"/>
                      <w:sz w:val="21"/>
                      <w:szCs w:val="21"/>
                    </w:rPr>
                  </w:pPr>
                  <w:r>
                    <w:rPr>
                      <w:rFonts w:hint="eastAsia"/>
                      <w:color w:val="000000"/>
                      <w:sz w:val="21"/>
                      <w:szCs w:val="21"/>
                    </w:rPr>
                    <w:t>自动配料系统</w:t>
                  </w:r>
                </w:p>
                <w:p w14:paraId="78B576A1">
                  <w:pPr>
                    <w:overflowPunct w:val="0"/>
                    <w:autoSpaceDE w:val="0"/>
                    <w:autoSpaceDN w:val="0"/>
                    <w:adjustRightInd w:val="0"/>
                    <w:snapToGrid w:val="0"/>
                    <w:jc w:val="center"/>
                    <w:rPr>
                      <w:color w:val="000000"/>
                      <w:sz w:val="21"/>
                      <w:szCs w:val="21"/>
                    </w:rPr>
                  </w:pPr>
                  <w:r>
                    <w:rPr>
                      <w:rFonts w:hint="eastAsia"/>
                      <w:color w:val="000000"/>
                      <w:sz w:val="21"/>
                      <w:szCs w:val="21"/>
                    </w:rPr>
                    <w:t>（中央供料系统）</w:t>
                  </w:r>
                </w:p>
              </w:tc>
              <w:tc>
                <w:tcPr>
                  <w:tcW w:w="689" w:type="pct"/>
                  <w:noWrap w:val="0"/>
                  <w:vAlign w:val="center"/>
                </w:tcPr>
                <w:p w14:paraId="1B596E0F">
                  <w:pPr>
                    <w:overflowPunct w:val="0"/>
                    <w:autoSpaceDE w:val="0"/>
                    <w:autoSpaceDN w:val="0"/>
                    <w:adjustRightInd w:val="0"/>
                    <w:snapToGrid w:val="0"/>
                    <w:jc w:val="center"/>
                    <w:rPr>
                      <w:color w:val="000000"/>
                      <w:sz w:val="21"/>
                      <w:szCs w:val="21"/>
                    </w:rPr>
                  </w:pPr>
                  <w:r>
                    <w:rPr>
                      <w:rFonts w:hint="eastAsia"/>
                      <w:color w:val="000000"/>
                      <w:sz w:val="21"/>
                      <w:szCs w:val="21"/>
                    </w:rPr>
                    <w:t>配料</w:t>
                  </w:r>
                </w:p>
              </w:tc>
              <w:tc>
                <w:tcPr>
                  <w:tcW w:w="544" w:type="pct"/>
                  <w:noWrap w:val="0"/>
                  <w:vAlign w:val="center"/>
                </w:tcPr>
                <w:p w14:paraId="180E49F0">
                  <w:pPr>
                    <w:overflowPunct w:val="0"/>
                    <w:autoSpaceDE w:val="0"/>
                    <w:autoSpaceDN w:val="0"/>
                    <w:adjustRightInd w:val="0"/>
                    <w:snapToGrid w:val="0"/>
                    <w:jc w:val="center"/>
                    <w:rPr>
                      <w:color w:val="000000"/>
                      <w:sz w:val="21"/>
                      <w:szCs w:val="21"/>
                    </w:rPr>
                  </w:pPr>
                  <w:r>
                    <w:rPr>
                      <w:rFonts w:hint="eastAsia"/>
                      <w:color w:val="000000"/>
                      <w:sz w:val="21"/>
                      <w:szCs w:val="21"/>
                    </w:rPr>
                    <w:t>套</w:t>
                  </w:r>
                </w:p>
              </w:tc>
              <w:tc>
                <w:tcPr>
                  <w:tcW w:w="935" w:type="pct"/>
                  <w:noWrap w:val="0"/>
                  <w:vAlign w:val="center"/>
                </w:tcPr>
                <w:p w14:paraId="0C271565">
                  <w:pPr>
                    <w:overflowPunct w:val="0"/>
                    <w:autoSpaceDE w:val="0"/>
                    <w:autoSpaceDN w:val="0"/>
                    <w:adjustRightInd w:val="0"/>
                    <w:snapToGrid w:val="0"/>
                    <w:jc w:val="center"/>
                    <w:rPr>
                      <w:color w:val="000000"/>
                      <w:sz w:val="21"/>
                      <w:szCs w:val="21"/>
                    </w:rPr>
                  </w:pPr>
                  <w:r>
                    <w:rPr>
                      <w:rFonts w:hint="eastAsia"/>
                      <w:color w:val="000000"/>
                      <w:sz w:val="21"/>
                      <w:szCs w:val="21"/>
                    </w:rPr>
                    <w:t>1500kg/h</w:t>
                  </w:r>
                </w:p>
              </w:tc>
              <w:tc>
                <w:tcPr>
                  <w:tcW w:w="458" w:type="pct"/>
                  <w:noWrap w:val="0"/>
                  <w:vAlign w:val="center"/>
                </w:tcPr>
                <w:p w14:paraId="35928EA4">
                  <w:pPr>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5080F43B">
                  <w:pPr>
                    <w:overflowPunct w:val="0"/>
                    <w:autoSpaceDE w:val="0"/>
                    <w:autoSpaceDN w:val="0"/>
                    <w:adjustRightInd w:val="0"/>
                    <w:snapToGrid w:val="0"/>
                    <w:jc w:val="center"/>
                    <w:rPr>
                      <w:color w:val="000000"/>
                      <w:sz w:val="21"/>
                      <w:szCs w:val="21"/>
                    </w:rPr>
                  </w:pPr>
                </w:p>
              </w:tc>
            </w:tr>
            <w:tr w14:paraId="100CBA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20D8D6F8">
                  <w:pPr>
                    <w:widowControl/>
                    <w:overflowPunct w:val="0"/>
                    <w:autoSpaceDE w:val="0"/>
                    <w:autoSpaceDN w:val="0"/>
                    <w:adjustRightInd w:val="0"/>
                    <w:snapToGrid w:val="0"/>
                    <w:jc w:val="center"/>
                    <w:rPr>
                      <w:color w:val="000000"/>
                      <w:sz w:val="21"/>
                      <w:szCs w:val="21"/>
                    </w:rPr>
                  </w:pPr>
                  <w:r>
                    <w:rPr>
                      <w:rFonts w:hint="eastAsia"/>
                      <w:color w:val="000000"/>
                      <w:sz w:val="21"/>
                      <w:szCs w:val="21"/>
                    </w:rPr>
                    <w:t>3</w:t>
                  </w:r>
                </w:p>
              </w:tc>
              <w:tc>
                <w:tcPr>
                  <w:tcW w:w="1277" w:type="pct"/>
                  <w:noWrap w:val="0"/>
                  <w:vAlign w:val="center"/>
                </w:tcPr>
                <w:p w14:paraId="200E882E">
                  <w:pPr>
                    <w:widowControl/>
                    <w:overflowPunct w:val="0"/>
                    <w:autoSpaceDE w:val="0"/>
                    <w:autoSpaceDN w:val="0"/>
                    <w:adjustRightInd w:val="0"/>
                    <w:snapToGrid w:val="0"/>
                    <w:jc w:val="center"/>
                    <w:rPr>
                      <w:color w:val="000000"/>
                      <w:sz w:val="21"/>
                      <w:szCs w:val="21"/>
                    </w:rPr>
                  </w:pPr>
                  <w:r>
                    <w:rPr>
                      <w:color w:val="000000"/>
                      <w:sz w:val="21"/>
                      <w:szCs w:val="21"/>
                    </w:rPr>
                    <w:t>高速混</w:t>
                  </w:r>
                  <w:r>
                    <w:rPr>
                      <w:rFonts w:hint="eastAsia"/>
                      <w:color w:val="000000"/>
                      <w:sz w:val="21"/>
                      <w:szCs w:val="21"/>
                    </w:rPr>
                    <w:t>料</w:t>
                  </w:r>
                  <w:r>
                    <w:rPr>
                      <w:color w:val="000000"/>
                      <w:sz w:val="21"/>
                      <w:szCs w:val="21"/>
                    </w:rPr>
                    <w:t>机</w:t>
                  </w:r>
                </w:p>
              </w:tc>
              <w:tc>
                <w:tcPr>
                  <w:tcW w:w="689" w:type="pct"/>
                  <w:noWrap w:val="0"/>
                  <w:vAlign w:val="center"/>
                </w:tcPr>
                <w:p w14:paraId="430554B5">
                  <w:pPr>
                    <w:overflowPunct w:val="0"/>
                    <w:autoSpaceDE w:val="0"/>
                    <w:autoSpaceDN w:val="0"/>
                    <w:adjustRightInd w:val="0"/>
                    <w:snapToGrid w:val="0"/>
                    <w:jc w:val="center"/>
                    <w:rPr>
                      <w:rFonts w:hint="eastAsia"/>
                      <w:color w:val="000000"/>
                      <w:sz w:val="21"/>
                      <w:szCs w:val="21"/>
                    </w:rPr>
                  </w:pPr>
                  <w:r>
                    <w:rPr>
                      <w:rFonts w:hint="eastAsia"/>
                      <w:color w:val="000000"/>
                      <w:sz w:val="21"/>
                      <w:szCs w:val="21"/>
                    </w:rPr>
                    <w:t>混料</w:t>
                  </w:r>
                </w:p>
              </w:tc>
              <w:tc>
                <w:tcPr>
                  <w:tcW w:w="544" w:type="pct"/>
                  <w:noWrap w:val="0"/>
                  <w:vAlign w:val="center"/>
                </w:tcPr>
                <w:p w14:paraId="25DCEDB9">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17A31094">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400kg/批（2400kg/h）</w:t>
                  </w:r>
                </w:p>
              </w:tc>
              <w:tc>
                <w:tcPr>
                  <w:tcW w:w="458" w:type="pct"/>
                  <w:noWrap w:val="0"/>
                  <w:vAlign w:val="center"/>
                </w:tcPr>
                <w:p w14:paraId="40C3B4B4">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594" w:type="pct"/>
                  <w:vMerge w:val="continue"/>
                  <w:noWrap w:val="0"/>
                  <w:vAlign w:val="center"/>
                </w:tcPr>
                <w:p w14:paraId="4AEAAE3F">
                  <w:pPr>
                    <w:overflowPunct w:val="0"/>
                    <w:autoSpaceDE w:val="0"/>
                    <w:autoSpaceDN w:val="0"/>
                    <w:adjustRightInd w:val="0"/>
                    <w:snapToGrid w:val="0"/>
                    <w:jc w:val="center"/>
                    <w:rPr>
                      <w:color w:val="000000"/>
                      <w:sz w:val="21"/>
                      <w:szCs w:val="21"/>
                    </w:rPr>
                  </w:pPr>
                </w:p>
              </w:tc>
            </w:tr>
            <w:tr w14:paraId="5027BA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01112CDF">
                  <w:pPr>
                    <w:widowControl/>
                    <w:overflowPunct w:val="0"/>
                    <w:autoSpaceDE w:val="0"/>
                    <w:autoSpaceDN w:val="0"/>
                    <w:adjustRightInd w:val="0"/>
                    <w:snapToGrid w:val="0"/>
                    <w:jc w:val="center"/>
                    <w:rPr>
                      <w:color w:val="000000"/>
                      <w:sz w:val="21"/>
                      <w:szCs w:val="21"/>
                    </w:rPr>
                  </w:pPr>
                  <w:r>
                    <w:rPr>
                      <w:rFonts w:hint="eastAsia"/>
                      <w:color w:val="000000"/>
                      <w:sz w:val="21"/>
                      <w:szCs w:val="21"/>
                    </w:rPr>
                    <w:t>4</w:t>
                  </w:r>
                </w:p>
              </w:tc>
              <w:tc>
                <w:tcPr>
                  <w:tcW w:w="1277" w:type="pct"/>
                  <w:noWrap w:val="0"/>
                  <w:vAlign w:val="center"/>
                </w:tcPr>
                <w:p w14:paraId="5273730C">
                  <w:pPr>
                    <w:widowControl/>
                    <w:overflowPunct w:val="0"/>
                    <w:autoSpaceDE w:val="0"/>
                    <w:autoSpaceDN w:val="0"/>
                    <w:adjustRightInd w:val="0"/>
                    <w:snapToGrid w:val="0"/>
                    <w:jc w:val="center"/>
                    <w:rPr>
                      <w:color w:val="000000"/>
                      <w:sz w:val="21"/>
                      <w:szCs w:val="21"/>
                    </w:rPr>
                  </w:pPr>
                  <w:r>
                    <w:rPr>
                      <w:color w:val="000000"/>
                      <w:sz w:val="21"/>
                      <w:szCs w:val="21"/>
                    </w:rPr>
                    <w:t>双阶混炼挤出机组</w:t>
                  </w:r>
                </w:p>
              </w:tc>
              <w:tc>
                <w:tcPr>
                  <w:tcW w:w="689" w:type="pct"/>
                  <w:noWrap w:val="0"/>
                  <w:vAlign w:val="center"/>
                </w:tcPr>
                <w:p w14:paraId="1B58C418">
                  <w:pPr>
                    <w:overflowPunct w:val="0"/>
                    <w:autoSpaceDE w:val="0"/>
                    <w:autoSpaceDN w:val="0"/>
                    <w:adjustRightInd w:val="0"/>
                    <w:snapToGrid w:val="0"/>
                    <w:jc w:val="center"/>
                    <w:rPr>
                      <w:color w:val="000000"/>
                      <w:sz w:val="21"/>
                      <w:szCs w:val="21"/>
                    </w:rPr>
                  </w:pPr>
                  <w:r>
                    <w:rPr>
                      <w:rFonts w:hint="eastAsia"/>
                      <w:color w:val="000000"/>
                      <w:sz w:val="21"/>
                      <w:szCs w:val="21"/>
                    </w:rPr>
                    <w:t>挤出</w:t>
                  </w:r>
                </w:p>
              </w:tc>
              <w:tc>
                <w:tcPr>
                  <w:tcW w:w="544" w:type="pct"/>
                  <w:noWrap w:val="0"/>
                  <w:vAlign w:val="center"/>
                </w:tcPr>
                <w:p w14:paraId="3AB40181">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428F01D8">
                  <w:pPr>
                    <w:widowControl/>
                    <w:overflowPunct w:val="0"/>
                    <w:autoSpaceDE w:val="0"/>
                    <w:autoSpaceDN w:val="0"/>
                    <w:adjustRightInd w:val="0"/>
                    <w:snapToGrid w:val="0"/>
                    <w:jc w:val="center"/>
                    <w:rPr>
                      <w:color w:val="000000"/>
                      <w:sz w:val="21"/>
                      <w:szCs w:val="21"/>
                    </w:rPr>
                  </w:pPr>
                  <w:r>
                    <w:rPr>
                      <w:rFonts w:hint="eastAsia"/>
                      <w:color w:val="000000"/>
                      <w:sz w:val="21"/>
                      <w:szCs w:val="21"/>
                    </w:rPr>
                    <w:t>820kg/h</w:t>
                  </w:r>
                </w:p>
              </w:tc>
              <w:tc>
                <w:tcPr>
                  <w:tcW w:w="458" w:type="pct"/>
                  <w:noWrap w:val="0"/>
                  <w:vAlign w:val="center"/>
                </w:tcPr>
                <w:p w14:paraId="1EFF98A2">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2</w:t>
                  </w:r>
                </w:p>
              </w:tc>
              <w:tc>
                <w:tcPr>
                  <w:tcW w:w="594" w:type="pct"/>
                  <w:vMerge w:val="continue"/>
                  <w:noWrap w:val="0"/>
                  <w:vAlign w:val="center"/>
                </w:tcPr>
                <w:p w14:paraId="2F1698CE">
                  <w:pPr>
                    <w:overflowPunct w:val="0"/>
                    <w:autoSpaceDE w:val="0"/>
                    <w:autoSpaceDN w:val="0"/>
                    <w:adjustRightInd w:val="0"/>
                    <w:snapToGrid w:val="0"/>
                    <w:jc w:val="center"/>
                    <w:rPr>
                      <w:color w:val="000000"/>
                      <w:sz w:val="21"/>
                      <w:szCs w:val="21"/>
                    </w:rPr>
                  </w:pPr>
                </w:p>
              </w:tc>
            </w:tr>
            <w:tr w14:paraId="6B2CDB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49385081">
                  <w:pPr>
                    <w:widowControl/>
                    <w:overflowPunct w:val="0"/>
                    <w:autoSpaceDE w:val="0"/>
                    <w:autoSpaceDN w:val="0"/>
                    <w:adjustRightInd w:val="0"/>
                    <w:snapToGrid w:val="0"/>
                    <w:jc w:val="center"/>
                    <w:rPr>
                      <w:color w:val="000000"/>
                      <w:sz w:val="21"/>
                      <w:szCs w:val="21"/>
                    </w:rPr>
                  </w:pPr>
                  <w:r>
                    <w:rPr>
                      <w:rFonts w:hint="eastAsia"/>
                      <w:color w:val="000000"/>
                      <w:sz w:val="21"/>
                      <w:szCs w:val="21"/>
                    </w:rPr>
                    <w:t>5</w:t>
                  </w:r>
                </w:p>
              </w:tc>
              <w:tc>
                <w:tcPr>
                  <w:tcW w:w="1277" w:type="pct"/>
                  <w:noWrap w:val="0"/>
                  <w:vAlign w:val="center"/>
                </w:tcPr>
                <w:p w14:paraId="33476CC3">
                  <w:pPr>
                    <w:widowControl/>
                    <w:overflowPunct w:val="0"/>
                    <w:autoSpaceDE w:val="0"/>
                    <w:autoSpaceDN w:val="0"/>
                    <w:adjustRightInd w:val="0"/>
                    <w:snapToGrid w:val="0"/>
                    <w:jc w:val="center"/>
                    <w:rPr>
                      <w:color w:val="000000"/>
                      <w:sz w:val="21"/>
                      <w:szCs w:val="21"/>
                    </w:rPr>
                  </w:pPr>
                  <w:r>
                    <w:rPr>
                      <w:rFonts w:hint="eastAsia"/>
                      <w:color w:val="000000"/>
                      <w:sz w:val="21"/>
                      <w:szCs w:val="21"/>
                    </w:rPr>
                    <w:t>切割机</w:t>
                  </w:r>
                </w:p>
              </w:tc>
              <w:tc>
                <w:tcPr>
                  <w:tcW w:w="689" w:type="pct"/>
                  <w:noWrap w:val="0"/>
                  <w:vAlign w:val="center"/>
                </w:tcPr>
                <w:p w14:paraId="24AC0F9A">
                  <w:pPr>
                    <w:overflowPunct w:val="0"/>
                    <w:autoSpaceDE w:val="0"/>
                    <w:autoSpaceDN w:val="0"/>
                    <w:adjustRightInd w:val="0"/>
                    <w:snapToGrid w:val="0"/>
                    <w:jc w:val="center"/>
                    <w:rPr>
                      <w:color w:val="000000"/>
                      <w:sz w:val="21"/>
                      <w:szCs w:val="21"/>
                    </w:rPr>
                  </w:pPr>
                  <w:r>
                    <w:rPr>
                      <w:rFonts w:hint="eastAsia"/>
                      <w:color w:val="000000"/>
                      <w:sz w:val="21"/>
                      <w:szCs w:val="21"/>
                    </w:rPr>
                    <w:t>切割</w:t>
                  </w:r>
                </w:p>
              </w:tc>
              <w:tc>
                <w:tcPr>
                  <w:tcW w:w="544" w:type="pct"/>
                  <w:noWrap w:val="0"/>
                  <w:vAlign w:val="center"/>
                </w:tcPr>
                <w:p w14:paraId="0D6D7394">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431410E5">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0A3174FA">
                  <w:pPr>
                    <w:widowControl/>
                    <w:overflowPunct w:val="0"/>
                    <w:autoSpaceDE w:val="0"/>
                    <w:autoSpaceDN w:val="0"/>
                    <w:adjustRightInd w:val="0"/>
                    <w:snapToGrid w:val="0"/>
                    <w:jc w:val="center"/>
                    <w:rPr>
                      <w:color w:val="000000"/>
                      <w:sz w:val="21"/>
                      <w:szCs w:val="21"/>
                    </w:rPr>
                  </w:pPr>
                  <w:r>
                    <w:rPr>
                      <w:rFonts w:hint="eastAsia"/>
                      <w:color w:val="000000"/>
                      <w:sz w:val="21"/>
                      <w:szCs w:val="21"/>
                    </w:rPr>
                    <w:t>4</w:t>
                  </w:r>
                </w:p>
              </w:tc>
              <w:tc>
                <w:tcPr>
                  <w:tcW w:w="594" w:type="pct"/>
                  <w:vMerge w:val="continue"/>
                  <w:noWrap w:val="0"/>
                  <w:vAlign w:val="center"/>
                </w:tcPr>
                <w:p w14:paraId="146775C1">
                  <w:pPr>
                    <w:overflowPunct w:val="0"/>
                    <w:autoSpaceDE w:val="0"/>
                    <w:autoSpaceDN w:val="0"/>
                    <w:adjustRightInd w:val="0"/>
                    <w:snapToGrid w:val="0"/>
                    <w:jc w:val="center"/>
                    <w:rPr>
                      <w:color w:val="000000"/>
                      <w:sz w:val="21"/>
                      <w:szCs w:val="21"/>
                    </w:rPr>
                  </w:pPr>
                </w:p>
              </w:tc>
            </w:tr>
            <w:tr w14:paraId="0DECEB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6EE65E51">
                  <w:pPr>
                    <w:widowControl/>
                    <w:overflowPunct w:val="0"/>
                    <w:autoSpaceDE w:val="0"/>
                    <w:autoSpaceDN w:val="0"/>
                    <w:adjustRightInd w:val="0"/>
                    <w:snapToGrid w:val="0"/>
                    <w:jc w:val="center"/>
                    <w:rPr>
                      <w:color w:val="000000"/>
                      <w:sz w:val="21"/>
                      <w:szCs w:val="21"/>
                    </w:rPr>
                  </w:pPr>
                  <w:r>
                    <w:rPr>
                      <w:rFonts w:hint="eastAsia"/>
                      <w:color w:val="000000"/>
                      <w:sz w:val="21"/>
                      <w:szCs w:val="21"/>
                    </w:rPr>
                    <w:t>6</w:t>
                  </w:r>
                </w:p>
              </w:tc>
              <w:tc>
                <w:tcPr>
                  <w:tcW w:w="1277" w:type="pct"/>
                  <w:noWrap w:val="0"/>
                  <w:vAlign w:val="center"/>
                </w:tcPr>
                <w:p w14:paraId="24CDCC10">
                  <w:pPr>
                    <w:widowControl/>
                    <w:overflowPunct w:val="0"/>
                    <w:autoSpaceDE w:val="0"/>
                    <w:autoSpaceDN w:val="0"/>
                    <w:adjustRightInd w:val="0"/>
                    <w:snapToGrid w:val="0"/>
                    <w:jc w:val="center"/>
                    <w:rPr>
                      <w:color w:val="000000"/>
                      <w:sz w:val="21"/>
                      <w:szCs w:val="21"/>
                    </w:rPr>
                  </w:pPr>
                  <w:r>
                    <w:rPr>
                      <w:rFonts w:hint="eastAsia"/>
                      <w:color w:val="000000"/>
                      <w:sz w:val="21"/>
                      <w:szCs w:val="21"/>
                    </w:rPr>
                    <w:t>旋风机</w:t>
                  </w:r>
                </w:p>
              </w:tc>
              <w:tc>
                <w:tcPr>
                  <w:tcW w:w="689" w:type="pct"/>
                  <w:noWrap w:val="0"/>
                  <w:vAlign w:val="center"/>
                </w:tcPr>
                <w:p w14:paraId="761E6D00">
                  <w:pPr>
                    <w:overflowPunct w:val="0"/>
                    <w:autoSpaceDE w:val="0"/>
                    <w:autoSpaceDN w:val="0"/>
                    <w:adjustRightInd w:val="0"/>
                    <w:snapToGrid w:val="0"/>
                    <w:jc w:val="center"/>
                    <w:rPr>
                      <w:color w:val="000000"/>
                      <w:sz w:val="21"/>
                      <w:szCs w:val="21"/>
                    </w:rPr>
                  </w:pPr>
                  <w:r>
                    <w:rPr>
                      <w:rFonts w:hint="eastAsia"/>
                      <w:color w:val="000000"/>
                      <w:sz w:val="21"/>
                      <w:szCs w:val="21"/>
                    </w:rPr>
                    <w:t>风冷</w:t>
                  </w:r>
                </w:p>
              </w:tc>
              <w:tc>
                <w:tcPr>
                  <w:tcW w:w="544" w:type="pct"/>
                  <w:noWrap w:val="0"/>
                  <w:vAlign w:val="center"/>
                </w:tcPr>
                <w:p w14:paraId="76C6746E">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17C2AF01">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5.5kW</w:t>
                  </w:r>
                </w:p>
                <w:p w14:paraId="1ABE2826">
                  <w:pPr>
                    <w:widowControl/>
                    <w:overflowPunct w:val="0"/>
                    <w:autoSpaceDE w:val="0"/>
                    <w:autoSpaceDN w:val="0"/>
                    <w:adjustRightInd w:val="0"/>
                    <w:snapToGrid w:val="0"/>
                    <w:jc w:val="center"/>
                    <w:rPr>
                      <w:color w:val="000000"/>
                      <w:sz w:val="21"/>
                      <w:szCs w:val="21"/>
                    </w:rPr>
                  </w:pPr>
                  <w:r>
                    <w:rPr>
                      <w:rFonts w:hint="eastAsia"/>
                      <w:color w:val="000000"/>
                      <w:sz w:val="21"/>
                      <w:szCs w:val="21"/>
                    </w:rPr>
                    <w:t>2000m</w:t>
                  </w:r>
                  <w:r>
                    <w:rPr>
                      <w:rFonts w:hint="eastAsia"/>
                      <w:color w:val="000000"/>
                      <w:sz w:val="21"/>
                      <w:szCs w:val="21"/>
                      <w:vertAlign w:val="superscript"/>
                    </w:rPr>
                    <w:t>3</w:t>
                  </w:r>
                  <w:r>
                    <w:rPr>
                      <w:rFonts w:hint="eastAsia"/>
                      <w:color w:val="000000"/>
                      <w:sz w:val="21"/>
                      <w:szCs w:val="21"/>
                    </w:rPr>
                    <w:t>/h</w:t>
                  </w:r>
                </w:p>
              </w:tc>
              <w:tc>
                <w:tcPr>
                  <w:tcW w:w="458" w:type="pct"/>
                  <w:noWrap w:val="0"/>
                  <w:vAlign w:val="center"/>
                </w:tcPr>
                <w:p w14:paraId="29C96291">
                  <w:pPr>
                    <w:widowControl/>
                    <w:overflowPunct w:val="0"/>
                    <w:autoSpaceDE w:val="0"/>
                    <w:autoSpaceDN w:val="0"/>
                    <w:adjustRightInd w:val="0"/>
                    <w:snapToGrid w:val="0"/>
                    <w:jc w:val="center"/>
                    <w:rPr>
                      <w:color w:val="000000"/>
                      <w:sz w:val="21"/>
                      <w:szCs w:val="21"/>
                    </w:rPr>
                  </w:pPr>
                  <w:r>
                    <w:rPr>
                      <w:rFonts w:hint="eastAsia"/>
                      <w:color w:val="000000"/>
                      <w:sz w:val="21"/>
                      <w:szCs w:val="21"/>
                    </w:rPr>
                    <w:t>8</w:t>
                  </w:r>
                </w:p>
              </w:tc>
              <w:tc>
                <w:tcPr>
                  <w:tcW w:w="594" w:type="pct"/>
                  <w:vMerge w:val="continue"/>
                  <w:noWrap w:val="0"/>
                  <w:vAlign w:val="center"/>
                </w:tcPr>
                <w:p w14:paraId="09646EEA">
                  <w:pPr>
                    <w:overflowPunct w:val="0"/>
                    <w:autoSpaceDE w:val="0"/>
                    <w:autoSpaceDN w:val="0"/>
                    <w:adjustRightInd w:val="0"/>
                    <w:snapToGrid w:val="0"/>
                    <w:jc w:val="center"/>
                    <w:rPr>
                      <w:color w:val="000000"/>
                      <w:sz w:val="21"/>
                      <w:szCs w:val="21"/>
                    </w:rPr>
                  </w:pPr>
                </w:p>
              </w:tc>
            </w:tr>
            <w:tr w14:paraId="59C3CB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69A192EC">
                  <w:pPr>
                    <w:widowControl/>
                    <w:overflowPunct w:val="0"/>
                    <w:autoSpaceDE w:val="0"/>
                    <w:autoSpaceDN w:val="0"/>
                    <w:adjustRightInd w:val="0"/>
                    <w:snapToGrid w:val="0"/>
                    <w:jc w:val="center"/>
                    <w:rPr>
                      <w:color w:val="000000"/>
                      <w:sz w:val="21"/>
                      <w:szCs w:val="21"/>
                    </w:rPr>
                  </w:pPr>
                  <w:r>
                    <w:rPr>
                      <w:rFonts w:hint="eastAsia"/>
                      <w:color w:val="000000"/>
                      <w:sz w:val="21"/>
                      <w:szCs w:val="21"/>
                    </w:rPr>
                    <w:t>7</w:t>
                  </w:r>
                </w:p>
              </w:tc>
              <w:tc>
                <w:tcPr>
                  <w:tcW w:w="1277" w:type="pct"/>
                  <w:noWrap w:val="0"/>
                  <w:vAlign w:val="center"/>
                </w:tcPr>
                <w:p w14:paraId="70D7FF64">
                  <w:pPr>
                    <w:widowControl/>
                    <w:overflowPunct w:val="0"/>
                    <w:autoSpaceDE w:val="0"/>
                    <w:autoSpaceDN w:val="0"/>
                    <w:adjustRightInd w:val="0"/>
                    <w:snapToGrid w:val="0"/>
                    <w:jc w:val="center"/>
                    <w:rPr>
                      <w:color w:val="000000"/>
                      <w:sz w:val="21"/>
                      <w:szCs w:val="21"/>
                    </w:rPr>
                  </w:pPr>
                  <w:r>
                    <w:rPr>
                      <w:color w:val="000000"/>
                      <w:sz w:val="21"/>
                      <w:szCs w:val="21"/>
                    </w:rPr>
                    <w:t>振动筛</w:t>
                  </w:r>
                </w:p>
              </w:tc>
              <w:tc>
                <w:tcPr>
                  <w:tcW w:w="689" w:type="pct"/>
                  <w:noWrap w:val="0"/>
                  <w:vAlign w:val="center"/>
                </w:tcPr>
                <w:p w14:paraId="536E8A31">
                  <w:pPr>
                    <w:overflowPunct w:val="0"/>
                    <w:autoSpaceDE w:val="0"/>
                    <w:autoSpaceDN w:val="0"/>
                    <w:adjustRightInd w:val="0"/>
                    <w:snapToGrid w:val="0"/>
                    <w:jc w:val="center"/>
                    <w:rPr>
                      <w:color w:val="000000"/>
                      <w:sz w:val="21"/>
                      <w:szCs w:val="21"/>
                    </w:rPr>
                  </w:pPr>
                  <w:r>
                    <w:rPr>
                      <w:rFonts w:hint="eastAsia"/>
                      <w:color w:val="000000"/>
                      <w:sz w:val="21"/>
                      <w:szCs w:val="21"/>
                    </w:rPr>
                    <w:t>选料</w:t>
                  </w:r>
                </w:p>
              </w:tc>
              <w:tc>
                <w:tcPr>
                  <w:tcW w:w="544" w:type="pct"/>
                  <w:noWrap w:val="0"/>
                  <w:vAlign w:val="center"/>
                </w:tcPr>
                <w:p w14:paraId="20265603">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46A384D8">
                  <w:pPr>
                    <w:widowControl/>
                    <w:overflowPunct w:val="0"/>
                    <w:autoSpaceDE w:val="0"/>
                    <w:autoSpaceDN w:val="0"/>
                    <w:adjustRightInd w:val="0"/>
                    <w:snapToGrid w:val="0"/>
                    <w:jc w:val="center"/>
                    <w:rPr>
                      <w:color w:val="000000"/>
                      <w:sz w:val="21"/>
                      <w:szCs w:val="21"/>
                    </w:rPr>
                  </w:pPr>
                  <w:r>
                    <w:rPr>
                      <w:rFonts w:hint="eastAsia"/>
                      <w:color w:val="000000"/>
                      <w:sz w:val="21"/>
                      <w:szCs w:val="21"/>
                    </w:rPr>
                    <w:t>4mm/1000kg/h</w:t>
                  </w:r>
                </w:p>
              </w:tc>
              <w:tc>
                <w:tcPr>
                  <w:tcW w:w="458" w:type="pct"/>
                  <w:noWrap w:val="0"/>
                  <w:vAlign w:val="center"/>
                </w:tcPr>
                <w:p w14:paraId="2A6E2AFA">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594" w:type="pct"/>
                  <w:vMerge w:val="continue"/>
                  <w:noWrap w:val="0"/>
                  <w:vAlign w:val="center"/>
                </w:tcPr>
                <w:p w14:paraId="7ED8CB5E">
                  <w:pPr>
                    <w:overflowPunct w:val="0"/>
                    <w:autoSpaceDE w:val="0"/>
                    <w:autoSpaceDN w:val="0"/>
                    <w:adjustRightInd w:val="0"/>
                    <w:snapToGrid w:val="0"/>
                    <w:jc w:val="center"/>
                    <w:rPr>
                      <w:color w:val="000000"/>
                      <w:sz w:val="21"/>
                      <w:szCs w:val="21"/>
                    </w:rPr>
                  </w:pPr>
                </w:p>
              </w:tc>
            </w:tr>
            <w:tr w14:paraId="64E5CF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64CFD68E">
                  <w:pPr>
                    <w:widowControl/>
                    <w:overflowPunct w:val="0"/>
                    <w:autoSpaceDE w:val="0"/>
                    <w:autoSpaceDN w:val="0"/>
                    <w:adjustRightInd w:val="0"/>
                    <w:snapToGrid w:val="0"/>
                    <w:jc w:val="center"/>
                    <w:rPr>
                      <w:color w:val="000000"/>
                      <w:sz w:val="21"/>
                      <w:szCs w:val="21"/>
                    </w:rPr>
                  </w:pPr>
                  <w:r>
                    <w:rPr>
                      <w:rFonts w:hint="eastAsia"/>
                      <w:color w:val="000000"/>
                      <w:sz w:val="21"/>
                      <w:szCs w:val="21"/>
                    </w:rPr>
                    <w:t>8</w:t>
                  </w:r>
                </w:p>
              </w:tc>
              <w:tc>
                <w:tcPr>
                  <w:tcW w:w="1277" w:type="pct"/>
                  <w:noWrap w:val="0"/>
                  <w:vAlign w:val="center"/>
                </w:tcPr>
                <w:p w14:paraId="5188FE79">
                  <w:pPr>
                    <w:overflowPunct w:val="0"/>
                    <w:autoSpaceDE w:val="0"/>
                    <w:autoSpaceDN w:val="0"/>
                    <w:adjustRightInd w:val="0"/>
                    <w:snapToGrid w:val="0"/>
                    <w:jc w:val="center"/>
                    <w:rPr>
                      <w:color w:val="000000"/>
                      <w:sz w:val="21"/>
                      <w:szCs w:val="21"/>
                    </w:rPr>
                  </w:pPr>
                  <w:r>
                    <w:rPr>
                      <w:rFonts w:hint="eastAsia"/>
                      <w:color w:val="000000"/>
                      <w:sz w:val="21"/>
                      <w:szCs w:val="21"/>
                    </w:rPr>
                    <w:t>秤</w:t>
                  </w:r>
                </w:p>
              </w:tc>
              <w:tc>
                <w:tcPr>
                  <w:tcW w:w="689" w:type="pct"/>
                  <w:noWrap w:val="0"/>
                  <w:vAlign w:val="center"/>
                </w:tcPr>
                <w:p w14:paraId="6209AD54">
                  <w:pPr>
                    <w:overflowPunct w:val="0"/>
                    <w:autoSpaceDE w:val="0"/>
                    <w:autoSpaceDN w:val="0"/>
                    <w:adjustRightInd w:val="0"/>
                    <w:snapToGrid w:val="0"/>
                    <w:jc w:val="center"/>
                    <w:rPr>
                      <w:rFonts w:hint="eastAsia"/>
                      <w:color w:val="000000"/>
                      <w:sz w:val="21"/>
                      <w:szCs w:val="21"/>
                    </w:rPr>
                  </w:pPr>
                  <w:r>
                    <w:rPr>
                      <w:rFonts w:hint="eastAsia"/>
                      <w:color w:val="000000"/>
                      <w:sz w:val="21"/>
                      <w:szCs w:val="21"/>
                    </w:rPr>
                    <w:t>称重</w:t>
                  </w:r>
                </w:p>
              </w:tc>
              <w:tc>
                <w:tcPr>
                  <w:tcW w:w="544" w:type="pct"/>
                  <w:noWrap w:val="0"/>
                  <w:vAlign w:val="center"/>
                </w:tcPr>
                <w:p w14:paraId="0FD9368B">
                  <w:pPr>
                    <w:overflowPunct w:val="0"/>
                    <w:autoSpaceDE w:val="0"/>
                    <w:autoSpaceDN w:val="0"/>
                    <w:adjustRightInd w:val="0"/>
                    <w:snapToGrid w:val="0"/>
                    <w:jc w:val="center"/>
                    <w:rPr>
                      <w:color w:val="000000"/>
                      <w:sz w:val="21"/>
                      <w:szCs w:val="21"/>
                    </w:rPr>
                  </w:pPr>
                  <w:r>
                    <w:rPr>
                      <w:rFonts w:hint="eastAsia"/>
                      <w:color w:val="000000"/>
                      <w:sz w:val="21"/>
                      <w:szCs w:val="21"/>
                    </w:rPr>
                    <w:t>台</w:t>
                  </w:r>
                </w:p>
              </w:tc>
              <w:tc>
                <w:tcPr>
                  <w:tcW w:w="935" w:type="pct"/>
                  <w:noWrap w:val="0"/>
                  <w:vAlign w:val="center"/>
                </w:tcPr>
                <w:p w14:paraId="2AD0145D">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476F286B">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594" w:type="pct"/>
                  <w:vMerge w:val="continue"/>
                  <w:noWrap w:val="0"/>
                  <w:vAlign w:val="center"/>
                </w:tcPr>
                <w:p w14:paraId="22E0D4EC">
                  <w:pPr>
                    <w:overflowPunct w:val="0"/>
                    <w:autoSpaceDE w:val="0"/>
                    <w:autoSpaceDN w:val="0"/>
                    <w:adjustRightInd w:val="0"/>
                    <w:snapToGrid w:val="0"/>
                    <w:jc w:val="center"/>
                    <w:rPr>
                      <w:color w:val="000000"/>
                      <w:sz w:val="21"/>
                      <w:szCs w:val="21"/>
                    </w:rPr>
                  </w:pPr>
                </w:p>
              </w:tc>
            </w:tr>
            <w:tr w14:paraId="60DAAD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6BF45A7F">
                  <w:pPr>
                    <w:widowControl/>
                    <w:overflowPunct w:val="0"/>
                    <w:autoSpaceDE w:val="0"/>
                    <w:autoSpaceDN w:val="0"/>
                    <w:adjustRightInd w:val="0"/>
                    <w:snapToGrid w:val="0"/>
                    <w:jc w:val="center"/>
                    <w:rPr>
                      <w:color w:val="000000"/>
                      <w:sz w:val="21"/>
                      <w:szCs w:val="21"/>
                    </w:rPr>
                  </w:pPr>
                  <w:r>
                    <w:rPr>
                      <w:rFonts w:hint="eastAsia"/>
                      <w:color w:val="000000"/>
                      <w:sz w:val="21"/>
                      <w:szCs w:val="21"/>
                    </w:rPr>
                    <w:t>9</w:t>
                  </w:r>
                </w:p>
              </w:tc>
              <w:tc>
                <w:tcPr>
                  <w:tcW w:w="1277" w:type="pct"/>
                  <w:noWrap w:val="0"/>
                  <w:vAlign w:val="center"/>
                </w:tcPr>
                <w:p w14:paraId="311A31E4">
                  <w:pPr>
                    <w:widowControl/>
                    <w:overflowPunct w:val="0"/>
                    <w:autoSpaceDE w:val="0"/>
                    <w:autoSpaceDN w:val="0"/>
                    <w:adjustRightInd w:val="0"/>
                    <w:snapToGrid w:val="0"/>
                    <w:jc w:val="center"/>
                    <w:rPr>
                      <w:color w:val="000000"/>
                      <w:sz w:val="21"/>
                      <w:szCs w:val="21"/>
                    </w:rPr>
                  </w:pPr>
                  <w:r>
                    <w:rPr>
                      <w:rFonts w:hint="eastAsia"/>
                      <w:color w:val="000000"/>
                      <w:sz w:val="21"/>
                      <w:szCs w:val="21"/>
                    </w:rPr>
                    <w:t>封包机</w:t>
                  </w:r>
                </w:p>
              </w:tc>
              <w:tc>
                <w:tcPr>
                  <w:tcW w:w="689" w:type="pct"/>
                  <w:noWrap w:val="0"/>
                  <w:vAlign w:val="center"/>
                </w:tcPr>
                <w:p w14:paraId="75BE2625">
                  <w:pPr>
                    <w:overflowPunct w:val="0"/>
                    <w:autoSpaceDE w:val="0"/>
                    <w:autoSpaceDN w:val="0"/>
                    <w:adjustRightInd w:val="0"/>
                    <w:snapToGrid w:val="0"/>
                    <w:jc w:val="center"/>
                    <w:rPr>
                      <w:color w:val="000000"/>
                      <w:sz w:val="21"/>
                      <w:szCs w:val="21"/>
                    </w:rPr>
                  </w:pPr>
                  <w:r>
                    <w:rPr>
                      <w:rFonts w:hint="eastAsia"/>
                      <w:color w:val="000000"/>
                      <w:sz w:val="21"/>
                      <w:szCs w:val="21"/>
                    </w:rPr>
                    <w:t>封包</w:t>
                  </w:r>
                </w:p>
              </w:tc>
              <w:tc>
                <w:tcPr>
                  <w:tcW w:w="544" w:type="pct"/>
                  <w:noWrap w:val="0"/>
                  <w:vAlign w:val="center"/>
                </w:tcPr>
                <w:p w14:paraId="6B16CEB2">
                  <w:pPr>
                    <w:overflowPunct w:val="0"/>
                    <w:autoSpaceDE w:val="0"/>
                    <w:autoSpaceDN w:val="0"/>
                    <w:adjustRightInd w:val="0"/>
                    <w:snapToGrid w:val="0"/>
                    <w:jc w:val="center"/>
                    <w:rPr>
                      <w:color w:val="000000"/>
                      <w:sz w:val="21"/>
                      <w:szCs w:val="21"/>
                    </w:rPr>
                  </w:pPr>
                  <w:r>
                    <w:rPr>
                      <w:rFonts w:hint="eastAsia"/>
                      <w:color w:val="000000"/>
                      <w:sz w:val="21"/>
                      <w:szCs w:val="21"/>
                    </w:rPr>
                    <w:t>台</w:t>
                  </w:r>
                </w:p>
              </w:tc>
              <w:tc>
                <w:tcPr>
                  <w:tcW w:w="935" w:type="pct"/>
                  <w:noWrap w:val="0"/>
                  <w:vAlign w:val="center"/>
                </w:tcPr>
                <w:p w14:paraId="0935219F">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4D749769">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594" w:type="pct"/>
                  <w:vMerge w:val="continue"/>
                  <w:noWrap w:val="0"/>
                  <w:vAlign w:val="center"/>
                </w:tcPr>
                <w:p w14:paraId="127D7F29">
                  <w:pPr>
                    <w:overflowPunct w:val="0"/>
                    <w:autoSpaceDE w:val="0"/>
                    <w:autoSpaceDN w:val="0"/>
                    <w:adjustRightInd w:val="0"/>
                    <w:snapToGrid w:val="0"/>
                    <w:jc w:val="center"/>
                    <w:rPr>
                      <w:color w:val="000000"/>
                      <w:sz w:val="21"/>
                      <w:szCs w:val="21"/>
                    </w:rPr>
                  </w:pPr>
                </w:p>
              </w:tc>
            </w:tr>
            <w:tr w14:paraId="2E5D80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5B87DD94">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10</w:t>
                  </w:r>
                </w:p>
              </w:tc>
              <w:tc>
                <w:tcPr>
                  <w:tcW w:w="1277" w:type="pct"/>
                  <w:noWrap w:val="0"/>
                  <w:vAlign w:val="center"/>
                </w:tcPr>
                <w:p w14:paraId="4AE4C7AF">
                  <w:pPr>
                    <w:widowControl/>
                    <w:overflowPunct w:val="0"/>
                    <w:autoSpaceDE w:val="0"/>
                    <w:autoSpaceDN w:val="0"/>
                    <w:adjustRightInd w:val="0"/>
                    <w:snapToGrid w:val="0"/>
                    <w:jc w:val="center"/>
                    <w:rPr>
                      <w:color w:val="000000"/>
                      <w:sz w:val="21"/>
                      <w:szCs w:val="21"/>
                    </w:rPr>
                  </w:pPr>
                  <w:r>
                    <w:rPr>
                      <w:rFonts w:hint="eastAsia"/>
                      <w:color w:val="000000"/>
                      <w:sz w:val="21"/>
                      <w:szCs w:val="21"/>
                    </w:rPr>
                    <w:t>秤</w:t>
                  </w:r>
                </w:p>
              </w:tc>
              <w:tc>
                <w:tcPr>
                  <w:tcW w:w="689" w:type="pct"/>
                  <w:noWrap w:val="0"/>
                  <w:vAlign w:val="center"/>
                </w:tcPr>
                <w:p w14:paraId="660A7BDE">
                  <w:pPr>
                    <w:overflowPunct w:val="0"/>
                    <w:autoSpaceDE w:val="0"/>
                    <w:autoSpaceDN w:val="0"/>
                    <w:adjustRightInd w:val="0"/>
                    <w:snapToGrid w:val="0"/>
                    <w:jc w:val="center"/>
                    <w:rPr>
                      <w:color w:val="000000"/>
                      <w:sz w:val="21"/>
                      <w:szCs w:val="21"/>
                    </w:rPr>
                  </w:pPr>
                  <w:r>
                    <w:rPr>
                      <w:rFonts w:hint="eastAsia"/>
                      <w:color w:val="000000"/>
                      <w:sz w:val="21"/>
                      <w:szCs w:val="21"/>
                    </w:rPr>
                    <w:t>称重</w:t>
                  </w:r>
                </w:p>
              </w:tc>
              <w:tc>
                <w:tcPr>
                  <w:tcW w:w="544" w:type="pct"/>
                  <w:noWrap w:val="0"/>
                  <w:vAlign w:val="center"/>
                </w:tcPr>
                <w:p w14:paraId="14E72FBD">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7F49C61D">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346246C6">
                  <w:pPr>
                    <w:widowControl/>
                    <w:overflowPunct w:val="0"/>
                    <w:autoSpaceDE w:val="0"/>
                    <w:autoSpaceDN w:val="0"/>
                    <w:adjustRightInd w:val="0"/>
                    <w:snapToGrid w:val="0"/>
                    <w:jc w:val="center"/>
                    <w:rPr>
                      <w:color w:val="000000"/>
                      <w:sz w:val="21"/>
                      <w:szCs w:val="21"/>
                    </w:rPr>
                  </w:pPr>
                  <w:r>
                    <w:rPr>
                      <w:rFonts w:hint="eastAsia"/>
                      <w:color w:val="000000"/>
                      <w:sz w:val="21"/>
                      <w:szCs w:val="21"/>
                    </w:rPr>
                    <w:t>3</w:t>
                  </w:r>
                </w:p>
              </w:tc>
              <w:tc>
                <w:tcPr>
                  <w:tcW w:w="594" w:type="pct"/>
                  <w:vMerge w:val="restart"/>
                  <w:noWrap w:val="0"/>
                  <w:vAlign w:val="center"/>
                </w:tcPr>
                <w:p w14:paraId="7CA5A20C">
                  <w:pPr>
                    <w:overflowPunct w:val="0"/>
                    <w:autoSpaceDE w:val="0"/>
                    <w:autoSpaceDN w:val="0"/>
                    <w:adjustRightInd w:val="0"/>
                    <w:snapToGrid w:val="0"/>
                    <w:jc w:val="center"/>
                    <w:rPr>
                      <w:color w:val="000000"/>
                      <w:sz w:val="21"/>
                      <w:szCs w:val="21"/>
                    </w:rPr>
                  </w:pPr>
                  <w:r>
                    <w:rPr>
                      <w:color w:val="000000"/>
                      <w:sz w:val="21"/>
                      <w:szCs w:val="21"/>
                    </w:rPr>
                    <w:t>供</w:t>
                  </w:r>
                  <w:r>
                    <w:rPr>
                      <w:rFonts w:hint="eastAsia"/>
                      <w:color w:val="000000"/>
                      <w:sz w:val="21"/>
                      <w:szCs w:val="21"/>
                    </w:rPr>
                    <w:t>低烟无卤电缆料</w:t>
                  </w:r>
                  <w:r>
                    <w:rPr>
                      <w:color w:val="000000"/>
                      <w:sz w:val="21"/>
                      <w:szCs w:val="21"/>
                    </w:rPr>
                    <w:t>生产用</w:t>
                  </w:r>
                </w:p>
              </w:tc>
            </w:tr>
            <w:tr w14:paraId="1D7BD5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142B7134">
                  <w:pPr>
                    <w:widowControl/>
                    <w:overflowPunct w:val="0"/>
                    <w:autoSpaceDE w:val="0"/>
                    <w:autoSpaceDN w:val="0"/>
                    <w:adjustRightInd w:val="0"/>
                    <w:snapToGrid w:val="0"/>
                    <w:jc w:val="center"/>
                    <w:rPr>
                      <w:color w:val="000000"/>
                      <w:sz w:val="21"/>
                      <w:szCs w:val="21"/>
                    </w:rPr>
                  </w:pPr>
                  <w:r>
                    <w:rPr>
                      <w:rFonts w:hint="eastAsia"/>
                      <w:color w:val="000000"/>
                      <w:sz w:val="21"/>
                      <w:szCs w:val="21"/>
                    </w:rPr>
                    <w:t>11</w:t>
                  </w:r>
                </w:p>
              </w:tc>
              <w:tc>
                <w:tcPr>
                  <w:tcW w:w="1277" w:type="pct"/>
                  <w:noWrap w:val="0"/>
                  <w:vAlign w:val="center"/>
                </w:tcPr>
                <w:p w14:paraId="4663316D">
                  <w:pPr>
                    <w:widowControl/>
                    <w:overflowPunct w:val="0"/>
                    <w:autoSpaceDE w:val="0"/>
                    <w:autoSpaceDN w:val="0"/>
                    <w:adjustRightInd w:val="0"/>
                    <w:snapToGrid w:val="0"/>
                    <w:jc w:val="center"/>
                    <w:rPr>
                      <w:color w:val="000000"/>
                      <w:sz w:val="21"/>
                      <w:szCs w:val="21"/>
                    </w:rPr>
                  </w:pPr>
                  <w:r>
                    <w:rPr>
                      <w:color w:val="000000"/>
                      <w:sz w:val="21"/>
                      <w:szCs w:val="21"/>
                    </w:rPr>
                    <w:t>密炼机</w:t>
                  </w:r>
                </w:p>
              </w:tc>
              <w:tc>
                <w:tcPr>
                  <w:tcW w:w="689" w:type="pct"/>
                  <w:noWrap w:val="0"/>
                  <w:vAlign w:val="center"/>
                </w:tcPr>
                <w:p w14:paraId="3C0E6C44">
                  <w:pPr>
                    <w:overflowPunct w:val="0"/>
                    <w:autoSpaceDE w:val="0"/>
                    <w:autoSpaceDN w:val="0"/>
                    <w:adjustRightInd w:val="0"/>
                    <w:snapToGrid w:val="0"/>
                    <w:jc w:val="center"/>
                    <w:rPr>
                      <w:rFonts w:hint="eastAsia"/>
                      <w:color w:val="000000"/>
                      <w:sz w:val="21"/>
                      <w:szCs w:val="21"/>
                    </w:rPr>
                  </w:pPr>
                  <w:r>
                    <w:rPr>
                      <w:rFonts w:hint="eastAsia"/>
                      <w:color w:val="000000"/>
                      <w:sz w:val="21"/>
                      <w:szCs w:val="21"/>
                    </w:rPr>
                    <w:t>配料、混料</w:t>
                  </w:r>
                </w:p>
              </w:tc>
              <w:tc>
                <w:tcPr>
                  <w:tcW w:w="544" w:type="pct"/>
                  <w:noWrap w:val="0"/>
                  <w:vAlign w:val="center"/>
                </w:tcPr>
                <w:p w14:paraId="126463F6">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0968F1CC">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160kg/批</w:t>
                  </w:r>
                </w:p>
                <w:p w14:paraId="077CD4F4">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（960kg/h）</w:t>
                  </w:r>
                </w:p>
              </w:tc>
              <w:tc>
                <w:tcPr>
                  <w:tcW w:w="458" w:type="pct"/>
                  <w:noWrap w:val="0"/>
                  <w:vAlign w:val="center"/>
                </w:tcPr>
                <w:p w14:paraId="7F9C5F81">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3</w:t>
                  </w:r>
                </w:p>
              </w:tc>
              <w:tc>
                <w:tcPr>
                  <w:tcW w:w="594" w:type="pct"/>
                  <w:vMerge w:val="continue"/>
                  <w:noWrap w:val="0"/>
                  <w:vAlign w:val="center"/>
                </w:tcPr>
                <w:p w14:paraId="05B26DB2">
                  <w:pPr>
                    <w:overflowPunct w:val="0"/>
                    <w:autoSpaceDE w:val="0"/>
                    <w:autoSpaceDN w:val="0"/>
                    <w:adjustRightInd w:val="0"/>
                    <w:snapToGrid w:val="0"/>
                    <w:jc w:val="center"/>
                    <w:rPr>
                      <w:color w:val="000000"/>
                      <w:sz w:val="21"/>
                      <w:szCs w:val="21"/>
                    </w:rPr>
                  </w:pPr>
                </w:p>
              </w:tc>
            </w:tr>
            <w:tr w14:paraId="75F379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5A7D3D0B">
                  <w:pPr>
                    <w:widowControl/>
                    <w:overflowPunct w:val="0"/>
                    <w:autoSpaceDE w:val="0"/>
                    <w:autoSpaceDN w:val="0"/>
                    <w:adjustRightInd w:val="0"/>
                    <w:snapToGrid w:val="0"/>
                    <w:jc w:val="center"/>
                    <w:rPr>
                      <w:color w:val="000000"/>
                      <w:sz w:val="21"/>
                      <w:szCs w:val="21"/>
                    </w:rPr>
                  </w:pPr>
                  <w:r>
                    <w:rPr>
                      <w:rFonts w:hint="eastAsia"/>
                      <w:color w:val="000000"/>
                      <w:sz w:val="21"/>
                      <w:szCs w:val="21"/>
                    </w:rPr>
                    <w:t>12</w:t>
                  </w:r>
                </w:p>
              </w:tc>
              <w:tc>
                <w:tcPr>
                  <w:tcW w:w="1277" w:type="pct"/>
                  <w:noWrap w:val="0"/>
                  <w:vAlign w:val="center"/>
                </w:tcPr>
                <w:p w14:paraId="76D502B5">
                  <w:pPr>
                    <w:widowControl/>
                    <w:overflowPunct w:val="0"/>
                    <w:autoSpaceDE w:val="0"/>
                    <w:autoSpaceDN w:val="0"/>
                    <w:adjustRightInd w:val="0"/>
                    <w:snapToGrid w:val="0"/>
                    <w:jc w:val="center"/>
                    <w:rPr>
                      <w:color w:val="000000"/>
                      <w:sz w:val="21"/>
                      <w:szCs w:val="21"/>
                    </w:rPr>
                  </w:pPr>
                  <w:r>
                    <w:rPr>
                      <w:color w:val="000000"/>
                      <w:sz w:val="21"/>
                      <w:szCs w:val="21"/>
                    </w:rPr>
                    <w:t>双阶混炼挤出机组</w:t>
                  </w:r>
                </w:p>
              </w:tc>
              <w:tc>
                <w:tcPr>
                  <w:tcW w:w="689" w:type="pct"/>
                  <w:noWrap w:val="0"/>
                  <w:vAlign w:val="center"/>
                </w:tcPr>
                <w:p w14:paraId="4BDD89A8">
                  <w:pPr>
                    <w:overflowPunct w:val="0"/>
                    <w:autoSpaceDE w:val="0"/>
                    <w:autoSpaceDN w:val="0"/>
                    <w:adjustRightInd w:val="0"/>
                    <w:snapToGrid w:val="0"/>
                    <w:jc w:val="center"/>
                    <w:rPr>
                      <w:rFonts w:hint="eastAsia"/>
                      <w:color w:val="000000"/>
                      <w:sz w:val="21"/>
                      <w:szCs w:val="21"/>
                    </w:rPr>
                  </w:pPr>
                  <w:r>
                    <w:rPr>
                      <w:rFonts w:hint="eastAsia"/>
                      <w:color w:val="000000"/>
                      <w:sz w:val="21"/>
                      <w:szCs w:val="21"/>
                    </w:rPr>
                    <w:t>挤出</w:t>
                  </w:r>
                </w:p>
              </w:tc>
              <w:tc>
                <w:tcPr>
                  <w:tcW w:w="544" w:type="pct"/>
                  <w:noWrap w:val="0"/>
                  <w:vAlign w:val="center"/>
                </w:tcPr>
                <w:p w14:paraId="0A016239">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0C20FDFC">
                  <w:pPr>
                    <w:widowControl/>
                    <w:overflowPunct w:val="0"/>
                    <w:autoSpaceDE w:val="0"/>
                    <w:autoSpaceDN w:val="0"/>
                    <w:adjustRightInd w:val="0"/>
                    <w:snapToGrid w:val="0"/>
                    <w:jc w:val="center"/>
                    <w:rPr>
                      <w:color w:val="000000"/>
                      <w:sz w:val="21"/>
                      <w:szCs w:val="21"/>
                    </w:rPr>
                  </w:pPr>
                  <w:r>
                    <w:rPr>
                      <w:rFonts w:hint="eastAsia"/>
                      <w:color w:val="000000"/>
                      <w:sz w:val="21"/>
                      <w:szCs w:val="21"/>
                    </w:rPr>
                    <w:t>610kg/h</w:t>
                  </w:r>
                </w:p>
              </w:tc>
              <w:tc>
                <w:tcPr>
                  <w:tcW w:w="458" w:type="pct"/>
                  <w:noWrap w:val="0"/>
                  <w:vAlign w:val="center"/>
                </w:tcPr>
                <w:p w14:paraId="77A5B95C">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3</w:t>
                  </w:r>
                </w:p>
              </w:tc>
              <w:tc>
                <w:tcPr>
                  <w:tcW w:w="594" w:type="pct"/>
                  <w:vMerge w:val="continue"/>
                  <w:noWrap w:val="0"/>
                  <w:vAlign w:val="center"/>
                </w:tcPr>
                <w:p w14:paraId="5F78F839">
                  <w:pPr>
                    <w:overflowPunct w:val="0"/>
                    <w:autoSpaceDE w:val="0"/>
                    <w:autoSpaceDN w:val="0"/>
                    <w:adjustRightInd w:val="0"/>
                    <w:snapToGrid w:val="0"/>
                    <w:jc w:val="center"/>
                    <w:rPr>
                      <w:color w:val="000000"/>
                      <w:sz w:val="21"/>
                      <w:szCs w:val="21"/>
                    </w:rPr>
                  </w:pPr>
                </w:p>
              </w:tc>
            </w:tr>
            <w:tr w14:paraId="2FA586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6F927E62">
                  <w:pPr>
                    <w:widowControl/>
                    <w:overflowPunct w:val="0"/>
                    <w:autoSpaceDE w:val="0"/>
                    <w:autoSpaceDN w:val="0"/>
                    <w:adjustRightInd w:val="0"/>
                    <w:snapToGrid w:val="0"/>
                    <w:jc w:val="center"/>
                    <w:rPr>
                      <w:color w:val="000000"/>
                      <w:sz w:val="21"/>
                      <w:szCs w:val="21"/>
                    </w:rPr>
                  </w:pPr>
                  <w:r>
                    <w:rPr>
                      <w:rFonts w:hint="eastAsia"/>
                      <w:color w:val="000000"/>
                      <w:sz w:val="21"/>
                      <w:szCs w:val="21"/>
                    </w:rPr>
                    <w:t>13</w:t>
                  </w:r>
                </w:p>
              </w:tc>
              <w:tc>
                <w:tcPr>
                  <w:tcW w:w="1277" w:type="pct"/>
                  <w:noWrap w:val="0"/>
                  <w:vAlign w:val="center"/>
                </w:tcPr>
                <w:p w14:paraId="450E2850">
                  <w:pPr>
                    <w:widowControl/>
                    <w:overflowPunct w:val="0"/>
                    <w:autoSpaceDE w:val="0"/>
                    <w:autoSpaceDN w:val="0"/>
                    <w:adjustRightInd w:val="0"/>
                    <w:snapToGrid w:val="0"/>
                    <w:jc w:val="center"/>
                    <w:rPr>
                      <w:color w:val="000000"/>
                      <w:sz w:val="21"/>
                      <w:szCs w:val="21"/>
                    </w:rPr>
                  </w:pPr>
                  <w:r>
                    <w:rPr>
                      <w:rFonts w:hint="eastAsia"/>
                      <w:color w:val="000000"/>
                      <w:sz w:val="21"/>
                      <w:szCs w:val="21"/>
                    </w:rPr>
                    <w:t>切割机</w:t>
                  </w:r>
                </w:p>
              </w:tc>
              <w:tc>
                <w:tcPr>
                  <w:tcW w:w="689" w:type="pct"/>
                  <w:noWrap w:val="0"/>
                  <w:vAlign w:val="center"/>
                </w:tcPr>
                <w:p w14:paraId="0C794FFA">
                  <w:pPr>
                    <w:overflowPunct w:val="0"/>
                    <w:autoSpaceDE w:val="0"/>
                    <w:autoSpaceDN w:val="0"/>
                    <w:adjustRightInd w:val="0"/>
                    <w:snapToGrid w:val="0"/>
                    <w:jc w:val="center"/>
                    <w:rPr>
                      <w:color w:val="000000"/>
                      <w:sz w:val="21"/>
                      <w:szCs w:val="21"/>
                    </w:rPr>
                  </w:pPr>
                  <w:r>
                    <w:rPr>
                      <w:rFonts w:hint="eastAsia"/>
                      <w:color w:val="000000"/>
                      <w:sz w:val="21"/>
                      <w:szCs w:val="21"/>
                    </w:rPr>
                    <w:t>切割</w:t>
                  </w:r>
                </w:p>
              </w:tc>
              <w:tc>
                <w:tcPr>
                  <w:tcW w:w="544" w:type="pct"/>
                  <w:noWrap w:val="0"/>
                  <w:vAlign w:val="center"/>
                </w:tcPr>
                <w:p w14:paraId="716E6CA5">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28A60B6E">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3467AC03">
                  <w:pPr>
                    <w:widowControl/>
                    <w:overflowPunct w:val="0"/>
                    <w:autoSpaceDE w:val="0"/>
                    <w:autoSpaceDN w:val="0"/>
                    <w:adjustRightInd w:val="0"/>
                    <w:snapToGrid w:val="0"/>
                    <w:jc w:val="center"/>
                    <w:rPr>
                      <w:color w:val="000000"/>
                      <w:sz w:val="21"/>
                      <w:szCs w:val="21"/>
                    </w:rPr>
                  </w:pPr>
                  <w:r>
                    <w:rPr>
                      <w:rFonts w:hint="eastAsia"/>
                      <w:color w:val="000000"/>
                      <w:sz w:val="21"/>
                      <w:szCs w:val="21"/>
                    </w:rPr>
                    <w:t>3</w:t>
                  </w:r>
                </w:p>
              </w:tc>
              <w:tc>
                <w:tcPr>
                  <w:tcW w:w="594" w:type="pct"/>
                  <w:vMerge w:val="continue"/>
                  <w:noWrap w:val="0"/>
                  <w:vAlign w:val="center"/>
                </w:tcPr>
                <w:p w14:paraId="3C867635">
                  <w:pPr>
                    <w:overflowPunct w:val="0"/>
                    <w:autoSpaceDE w:val="0"/>
                    <w:autoSpaceDN w:val="0"/>
                    <w:adjustRightInd w:val="0"/>
                    <w:snapToGrid w:val="0"/>
                    <w:jc w:val="center"/>
                    <w:rPr>
                      <w:color w:val="000000"/>
                      <w:sz w:val="21"/>
                      <w:szCs w:val="21"/>
                    </w:rPr>
                  </w:pPr>
                </w:p>
              </w:tc>
            </w:tr>
            <w:tr w14:paraId="559AAA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533F1583">
                  <w:pPr>
                    <w:widowControl/>
                    <w:overflowPunct w:val="0"/>
                    <w:autoSpaceDE w:val="0"/>
                    <w:autoSpaceDN w:val="0"/>
                    <w:adjustRightInd w:val="0"/>
                    <w:snapToGrid w:val="0"/>
                    <w:jc w:val="center"/>
                    <w:rPr>
                      <w:color w:val="000000"/>
                      <w:sz w:val="21"/>
                      <w:szCs w:val="21"/>
                    </w:rPr>
                  </w:pPr>
                  <w:r>
                    <w:rPr>
                      <w:rFonts w:hint="eastAsia"/>
                      <w:color w:val="000000"/>
                      <w:sz w:val="21"/>
                      <w:szCs w:val="21"/>
                    </w:rPr>
                    <w:t>14</w:t>
                  </w:r>
                </w:p>
              </w:tc>
              <w:tc>
                <w:tcPr>
                  <w:tcW w:w="1277" w:type="pct"/>
                  <w:noWrap w:val="0"/>
                  <w:vAlign w:val="center"/>
                </w:tcPr>
                <w:p w14:paraId="6F8D7725">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旋风机</w:t>
                  </w:r>
                </w:p>
              </w:tc>
              <w:tc>
                <w:tcPr>
                  <w:tcW w:w="689" w:type="pct"/>
                  <w:noWrap w:val="0"/>
                  <w:vAlign w:val="center"/>
                </w:tcPr>
                <w:p w14:paraId="2CEA2260">
                  <w:pPr>
                    <w:overflowPunct w:val="0"/>
                    <w:autoSpaceDE w:val="0"/>
                    <w:autoSpaceDN w:val="0"/>
                    <w:adjustRightInd w:val="0"/>
                    <w:snapToGrid w:val="0"/>
                    <w:jc w:val="center"/>
                    <w:rPr>
                      <w:color w:val="000000"/>
                      <w:sz w:val="21"/>
                      <w:szCs w:val="21"/>
                    </w:rPr>
                  </w:pPr>
                  <w:r>
                    <w:rPr>
                      <w:rFonts w:hint="eastAsia"/>
                      <w:color w:val="000000"/>
                      <w:sz w:val="21"/>
                      <w:szCs w:val="21"/>
                    </w:rPr>
                    <w:t>风冷</w:t>
                  </w:r>
                </w:p>
              </w:tc>
              <w:tc>
                <w:tcPr>
                  <w:tcW w:w="544" w:type="pct"/>
                  <w:noWrap w:val="0"/>
                  <w:vAlign w:val="center"/>
                </w:tcPr>
                <w:p w14:paraId="18EE5DA0">
                  <w:pPr>
                    <w:overflowPunct w:val="0"/>
                    <w:autoSpaceDE w:val="0"/>
                    <w:autoSpaceDN w:val="0"/>
                    <w:adjustRightInd w:val="0"/>
                    <w:snapToGrid w:val="0"/>
                    <w:jc w:val="center"/>
                    <w:rPr>
                      <w:color w:val="000000"/>
                      <w:sz w:val="21"/>
                      <w:szCs w:val="21"/>
                    </w:rPr>
                  </w:pPr>
                  <w:r>
                    <w:rPr>
                      <w:rFonts w:hint="eastAsia"/>
                      <w:color w:val="000000"/>
                      <w:sz w:val="21"/>
                      <w:szCs w:val="21"/>
                    </w:rPr>
                    <w:t>台</w:t>
                  </w:r>
                </w:p>
              </w:tc>
              <w:tc>
                <w:tcPr>
                  <w:tcW w:w="935" w:type="pct"/>
                  <w:noWrap w:val="0"/>
                  <w:vAlign w:val="center"/>
                </w:tcPr>
                <w:p w14:paraId="40FF5721">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5.0kW</w:t>
                  </w:r>
                </w:p>
                <w:p w14:paraId="32EADB23">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2000m</w:t>
                  </w:r>
                  <w:r>
                    <w:rPr>
                      <w:rFonts w:hint="eastAsia"/>
                      <w:color w:val="000000"/>
                      <w:sz w:val="21"/>
                      <w:szCs w:val="21"/>
                      <w:vertAlign w:val="superscript"/>
                    </w:rPr>
                    <w:t>3</w:t>
                  </w:r>
                  <w:r>
                    <w:rPr>
                      <w:rFonts w:hint="eastAsia"/>
                      <w:color w:val="000000"/>
                      <w:sz w:val="21"/>
                      <w:szCs w:val="21"/>
                    </w:rPr>
                    <w:t>/h</w:t>
                  </w:r>
                </w:p>
              </w:tc>
              <w:tc>
                <w:tcPr>
                  <w:tcW w:w="458" w:type="pct"/>
                  <w:noWrap w:val="0"/>
                  <w:vAlign w:val="center"/>
                </w:tcPr>
                <w:p w14:paraId="0ABD66D1">
                  <w:pPr>
                    <w:widowControl/>
                    <w:overflowPunct w:val="0"/>
                    <w:autoSpaceDE w:val="0"/>
                    <w:autoSpaceDN w:val="0"/>
                    <w:adjustRightInd w:val="0"/>
                    <w:snapToGrid w:val="0"/>
                    <w:jc w:val="center"/>
                    <w:rPr>
                      <w:color w:val="000000"/>
                      <w:sz w:val="21"/>
                      <w:szCs w:val="21"/>
                    </w:rPr>
                  </w:pPr>
                  <w:r>
                    <w:rPr>
                      <w:rFonts w:hint="eastAsia"/>
                      <w:color w:val="000000"/>
                      <w:sz w:val="21"/>
                      <w:szCs w:val="21"/>
                    </w:rPr>
                    <w:t>12</w:t>
                  </w:r>
                </w:p>
              </w:tc>
              <w:tc>
                <w:tcPr>
                  <w:tcW w:w="594" w:type="pct"/>
                  <w:vMerge w:val="continue"/>
                  <w:noWrap w:val="0"/>
                  <w:vAlign w:val="center"/>
                </w:tcPr>
                <w:p w14:paraId="1433423A">
                  <w:pPr>
                    <w:overflowPunct w:val="0"/>
                    <w:autoSpaceDE w:val="0"/>
                    <w:autoSpaceDN w:val="0"/>
                    <w:adjustRightInd w:val="0"/>
                    <w:snapToGrid w:val="0"/>
                    <w:jc w:val="center"/>
                    <w:rPr>
                      <w:color w:val="000000"/>
                      <w:sz w:val="21"/>
                      <w:szCs w:val="21"/>
                    </w:rPr>
                  </w:pPr>
                </w:p>
              </w:tc>
            </w:tr>
            <w:tr w14:paraId="584531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139C6590">
                  <w:pPr>
                    <w:widowControl/>
                    <w:overflowPunct w:val="0"/>
                    <w:autoSpaceDE w:val="0"/>
                    <w:autoSpaceDN w:val="0"/>
                    <w:adjustRightInd w:val="0"/>
                    <w:snapToGrid w:val="0"/>
                    <w:jc w:val="center"/>
                    <w:rPr>
                      <w:color w:val="000000"/>
                      <w:sz w:val="21"/>
                      <w:szCs w:val="21"/>
                    </w:rPr>
                  </w:pPr>
                  <w:r>
                    <w:rPr>
                      <w:rFonts w:hint="eastAsia"/>
                      <w:color w:val="000000"/>
                      <w:sz w:val="21"/>
                      <w:szCs w:val="21"/>
                    </w:rPr>
                    <w:t>15</w:t>
                  </w:r>
                </w:p>
              </w:tc>
              <w:tc>
                <w:tcPr>
                  <w:tcW w:w="1277" w:type="pct"/>
                  <w:noWrap w:val="0"/>
                  <w:vAlign w:val="center"/>
                </w:tcPr>
                <w:p w14:paraId="4A68BCAD">
                  <w:pPr>
                    <w:widowControl/>
                    <w:overflowPunct w:val="0"/>
                    <w:autoSpaceDE w:val="0"/>
                    <w:autoSpaceDN w:val="0"/>
                    <w:adjustRightInd w:val="0"/>
                    <w:snapToGrid w:val="0"/>
                    <w:jc w:val="center"/>
                    <w:rPr>
                      <w:color w:val="000000"/>
                      <w:sz w:val="21"/>
                      <w:szCs w:val="21"/>
                    </w:rPr>
                  </w:pPr>
                  <w:r>
                    <w:rPr>
                      <w:color w:val="000000"/>
                      <w:sz w:val="21"/>
                      <w:szCs w:val="21"/>
                    </w:rPr>
                    <w:t>振动筛</w:t>
                  </w:r>
                </w:p>
              </w:tc>
              <w:tc>
                <w:tcPr>
                  <w:tcW w:w="689" w:type="pct"/>
                  <w:noWrap w:val="0"/>
                  <w:vAlign w:val="center"/>
                </w:tcPr>
                <w:p w14:paraId="774F96DA">
                  <w:pPr>
                    <w:overflowPunct w:val="0"/>
                    <w:autoSpaceDE w:val="0"/>
                    <w:autoSpaceDN w:val="0"/>
                    <w:adjustRightInd w:val="0"/>
                    <w:snapToGrid w:val="0"/>
                    <w:jc w:val="center"/>
                    <w:rPr>
                      <w:rFonts w:hint="eastAsia"/>
                      <w:color w:val="000000"/>
                      <w:sz w:val="21"/>
                      <w:szCs w:val="21"/>
                    </w:rPr>
                  </w:pPr>
                  <w:r>
                    <w:rPr>
                      <w:rFonts w:hint="eastAsia"/>
                      <w:color w:val="000000"/>
                      <w:sz w:val="21"/>
                      <w:szCs w:val="21"/>
                    </w:rPr>
                    <w:t>选料</w:t>
                  </w:r>
                </w:p>
              </w:tc>
              <w:tc>
                <w:tcPr>
                  <w:tcW w:w="544" w:type="pct"/>
                  <w:noWrap w:val="0"/>
                  <w:vAlign w:val="center"/>
                </w:tcPr>
                <w:p w14:paraId="5A9533FC">
                  <w:pPr>
                    <w:overflowPunct w:val="0"/>
                    <w:autoSpaceDE w:val="0"/>
                    <w:autoSpaceDN w:val="0"/>
                    <w:adjustRightInd w:val="0"/>
                    <w:snapToGrid w:val="0"/>
                    <w:jc w:val="center"/>
                    <w:rPr>
                      <w:color w:val="000000"/>
                      <w:sz w:val="21"/>
                      <w:szCs w:val="21"/>
                    </w:rPr>
                  </w:pPr>
                  <w:r>
                    <w:rPr>
                      <w:rFonts w:hint="eastAsia"/>
                      <w:color w:val="000000"/>
                      <w:sz w:val="21"/>
                      <w:szCs w:val="21"/>
                    </w:rPr>
                    <w:t>台</w:t>
                  </w:r>
                </w:p>
              </w:tc>
              <w:tc>
                <w:tcPr>
                  <w:tcW w:w="935" w:type="pct"/>
                  <w:noWrap w:val="0"/>
                  <w:vAlign w:val="center"/>
                </w:tcPr>
                <w:p w14:paraId="1E79E967">
                  <w:pPr>
                    <w:widowControl/>
                    <w:overflowPunct w:val="0"/>
                    <w:autoSpaceDE w:val="0"/>
                    <w:autoSpaceDN w:val="0"/>
                    <w:adjustRightInd w:val="0"/>
                    <w:snapToGrid w:val="0"/>
                    <w:jc w:val="center"/>
                    <w:rPr>
                      <w:color w:val="000000"/>
                      <w:sz w:val="21"/>
                      <w:szCs w:val="21"/>
                    </w:rPr>
                  </w:pPr>
                  <w:r>
                    <w:rPr>
                      <w:rFonts w:hint="eastAsia"/>
                      <w:color w:val="000000"/>
                      <w:sz w:val="21"/>
                      <w:szCs w:val="21"/>
                    </w:rPr>
                    <w:t>4mm/1000kg/h</w:t>
                  </w:r>
                </w:p>
              </w:tc>
              <w:tc>
                <w:tcPr>
                  <w:tcW w:w="458" w:type="pct"/>
                  <w:noWrap w:val="0"/>
                  <w:vAlign w:val="center"/>
                </w:tcPr>
                <w:p w14:paraId="1D1541A3">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3</w:t>
                  </w:r>
                </w:p>
              </w:tc>
              <w:tc>
                <w:tcPr>
                  <w:tcW w:w="594" w:type="pct"/>
                  <w:vMerge w:val="continue"/>
                  <w:noWrap w:val="0"/>
                  <w:vAlign w:val="center"/>
                </w:tcPr>
                <w:p w14:paraId="5662531A">
                  <w:pPr>
                    <w:overflowPunct w:val="0"/>
                    <w:autoSpaceDE w:val="0"/>
                    <w:autoSpaceDN w:val="0"/>
                    <w:adjustRightInd w:val="0"/>
                    <w:snapToGrid w:val="0"/>
                    <w:jc w:val="center"/>
                    <w:rPr>
                      <w:color w:val="000000"/>
                      <w:sz w:val="21"/>
                      <w:szCs w:val="21"/>
                    </w:rPr>
                  </w:pPr>
                </w:p>
              </w:tc>
            </w:tr>
            <w:tr w14:paraId="693653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2D6DA22F">
                  <w:pPr>
                    <w:widowControl/>
                    <w:overflowPunct w:val="0"/>
                    <w:autoSpaceDE w:val="0"/>
                    <w:autoSpaceDN w:val="0"/>
                    <w:adjustRightInd w:val="0"/>
                    <w:snapToGrid w:val="0"/>
                    <w:jc w:val="center"/>
                    <w:rPr>
                      <w:color w:val="000000"/>
                      <w:sz w:val="21"/>
                      <w:szCs w:val="21"/>
                    </w:rPr>
                  </w:pPr>
                  <w:r>
                    <w:rPr>
                      <w:rFonts w:hint="eastAsia"/>
                      <w:color w:val="000000"/>
                      <w:sz w:val="21"/>
                      <w:szCs w:val="21"/>
                    </w:rPr>
                    <w:t>16</w:t>
                  </w:r>
                </w:p>
              </w:tc>
              <w:tc>
                <w:tcPr>
                  <w:tcW w:w="1277" w:type="pct"/>
                  <w:noWrap w:val="0"/>
                  <w:vAlign w:val="center"/>
                </w:tcPr>
                <w:p w14:paraId="7AE8A267">
                  <w:pPr>
                    <w:widowControl/>
                    <w:overflowPunct w:val="0"/>
                    <w:autoSpaceDE w:val="0"/>
                    <w:autoSpaceDN w:val="0"/>
                    <w:adjustRightInd w:val="0"/>
                    <w:snapToGrid w:val="0"/>
                    <w:jc w:val="center"/>
                    <w:rPr>
                      <w:color w:val="000000"/>
                      <w:sz w:val="21"/>
                      <w:szCs w:val="21"/>
                    </w:rPr>
                  </w:pPr>
                  <w:r>
                    <w:rPr>
                      <w:color w:val="000000"/>
                      <w:sz w:val="21"/>
                      <w:szCs w:val="21"/>
                    </w:rPr>
                    <w:t>封包机</w:t>
                  </w:r>
                </w:p>
              </w:tc>
              <w:tc>
                <w:tcPr>
                  <w:tcW w:w="689" w:type="pct"/>
                  <w:noWrap w:val="0"/>
                  <w:vAlign w:val="center"/>
                </w:tcPr>
                <w:p w14:paraId="2B8A3DDE">
                  <w:pPr>
                    <w:overflowPunct w:val="0"/>
                    <w:autoSpaceDE w:val="0"/>
                    <w:autoSpaceDN w:val="0"/>
                    <w:adjustRightInd w:val="0"/>
                    <w:snapToGrid w:val="0"/>
                    <w:jc w:val="center"/>
                    <w:rPr>
                      <w:color w:val="000000"/>
                      <w:sz w:val="21"/>
                      <w:szCs w:val="21"/>
                    </w:rPr>
                  </w:pPr>
                  <w:r>
                    <w:rPr>
                      <w:rFonts w:hint="eastAsia"/>
                      <w:color w:val="000000"/>
                      <w:sz w:val="21"/>
                      <w:szCs w:val="21"/>
                    </w:rPr>
                    <w:t>封包</w:t>
                  </w:r>
                </w:p>
              </w:tc>
              <w:tc>
                <w:tcPr>
                  <w:tcW w:w="544" w:type="pct"/>
                  <w:noWrap w:val="0"/>
                  <w:vAlign w:val="center"/>
                </w:tcPr>
                <w:p w14:paraId="6D5F2754">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1ABC5A5A">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6516E5F9">
                  <w:pPr>
                    <w:widowControl/>
                    <w:overflowPunct w:val="0"/>
                    <w:autoSpaceDE w:val="0"/>
                    <w:autoSpaceDN w:val="0"/>
                    <w:adjustRightInd w:val="0"/>
                    <w:snapToGrid w:val="0"/>
                    <w:jc w:val="center"/>
                    <w:rPr>
                      <w:color w:val="000000"/>
                      <w:sz w:val="21"/>
                      <w:szCs w:val="21"/>
                    </w:rPr>
                  </w:pPr>
                  <w:r>
                    <w:rPr>
                      <w:rFonts w:hint="eastAsia"/>
                      <w:color w:val="000000"/>
                      <w:sz w:val="21"/>
                      <w:szCs w:val="21"/>
                    </w:rPr>
                    <w:t>3</w:t>
                  </w:r>
                </w:p>
              </w:tc>
              <w:tc>
                <w:tcPr>
                  <w:tcW w:w="594" w:type="pct"/>
                  <w:vMerge w:val="continue"/>
                  <w:noWrap w:val="0"/>
                  <w:vAlign w:val="center"/>
                </w:tcPr>
                <w:p w14:paraId="17FB5B80">
                  <w:pPr>
                    <w:overflowPunct w:val="0"/>
                    <w:autoSpaceDE w:val="0"/>
                    <w:autoSpaceDN w:val="0"/>
                    <w:adjustRightInd w:val="0"/>
                    <w:snapToGrid w:val="0"/>
                    <w:jc w:val="center"/>
                    <w:rPr>
                      <w:color w:val="000000"/>
                      <w:sz w:val="21"/>
                      <w:szCs w:val="21"/>
                    </w:rPr>
                  </w:pPr>
                </w:p>
              </w:tc>
            </w:tr>
            <w:tr w14:paraId="4AE9DE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05A1A896">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17</w:t>
                  </w:r>
                </w:p>
              </w:tc>
              <w:tc>
                <w:tcPr>
                  <w:tcW w:w="1277" w:type="pct"/>
                  <w:noWrap w:val="0"/>
                  <w:vAlign w:val="center"/>
                </w:tcPr>
                <w:p w14:paraId="4EB973AF">
                  <w:pPr>
                    <w:widowControl/>
                    <w:overflowPunct w:val="0"/>
                    <w:autoSpaceDE w:val="0"/>
                    <w:autoSpaceDN w:val="0"/>
                    <w:adjustRightInd w:val="0"/>
                    <w:snapToGrid w:val="0"/>
                    <w:jc w:val="center"/>
                    <w:rPr>
                      <w:color w:val="000000"/>
                      <w:sz w:val="21"/>
                      <w:szCs w:val="21"/>
                    </w:rPr>
                  </w:pPr>
                  <w:r>
                    <w:rPr>
                      <w:color w:val="000000"/>
                      <w:sz w:val="21"/>
                      <w:szCs w:val="21"/>
                    </w:rPr>
                    <w:t>自然换气老化试验机</w:t>
                  </w:r>
                </w:p>
              </w:tc>
              <w:tc>
                <w:tcPr>
                  <w:tcW w:w="689" w:type="pct"/>
                  <w:noWrap w:val="0"/>
                  <w:vAlign w:val="center"/>
                </w:tcPr>
                <w:p w14:paraId="7CCBD0A6">
                  <w:pPr>
                    <w:overflowPunct w:val="0"/>
                    <w:autoSpaceDE w:val="0"/>
                    <w:autoSpaceDN w:val="0"/>
                    <w:adjustRightInd w:val="0"/>
                    <w:snapToGrid w:val="0"/>
                    <w:jc w:val="center"/>
                    <w:rPr>
                      <w:color w:val="000000"/>
                      <w:sz w:val="21"/>
                      <w:szCs w:val="21"/>
                    </w:rPr>
                  </w:pPr>
                  <w:r>
                    <w:rPr>
                      <w:rFonts w:hint="eastAsia"/>
                      <w:color w:val="000000"/>
                      <w:sz w:val="21"/>
                      <w:szCs w:val="21"/>
                    </w:rPr>
                    <w:t>质检室</w:t>
                  </w:r>
                </w:p>
              </w:tc>
              <w:tc>
                <w:tcPr>
                  <w:tcW w:w="544" w:type="pct"/>
                  <w:noWrap w:val="0"/>
                  <w:vAlign w:val="center"/>
                </w:tcPr>
                <w:p w14:paraId="244F485A">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5661B8B6">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4A56557E">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restart"/>
                  <w:noWrap w:val="0"/>
                  <w:vAlign w:val="center"/>
                </w:tcPr>
                <w:p w14:paraId="67ED6528">
                  <w:pPr>
                    <w:overflowPunct w:val="0"/>
                    <w:autoSpaceDE w:val="0"/>
                    <w:autoSpaceDN w:val="0"/>
                    <w:adjustRightInd w:val="0"/>
                    <w:snapToGrid w:val="0"/>
                    <w:jc w:val="center"/>
                    <w:rPr>
                      <w:color w:val="000000"/>
                      <w:sz w:val="21"/>
                      <w:szCs w:val="21"/>
                    </w:rPr>
                  </w:pPr>
                  <w:r>
                    <w:rPr>
                      <w:rFonts w:hint="eastAsia"/>
                      <w:color w:val="000000"/>
                      <w:sz w:val="21"/>
                      <w:szCs w:val="21"/>
                    </w:rPr>
                    <w:t>质检室</w:t>
                  </w:r>
                </w:p>
              </w:tc>
            </w:tr>
            <w:tr w14:paraId="24AC90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747A7B99">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18</w:t>
                  </w:r>
                </w:p>
              </w:tc>
              <w:tc>
                <w:tcPr>
                  <w:tcW w:w="1277" w:type="pct"/>
                  <w:noWrap w:val="0"/>
                  <w:vAlign w:val="center"/>
                </w:tcPr>
                <w:p w14:paraId="066EB47B">
                  <w:pPr>
                    <w:widowControl/>
                    <w:overflowPunct w:val="0"/>
                    <w:autoSpaceDE w:val="0"/>
                    <w:autoSpaceDN w:val="0"/>
                    <w:adjustRightInd w:val="0"/>
                    <w:snapToGrid w:val="0"/>
                    <w:jc w:val="center"/>
                    <w:rPr>
                      <w:color w:val="000000"/>
                      <w:sz w:val="21"/>
                      <w:szCs w:val="21"/>
                    </w:rPr>
                  </w:pPr>
                  <w:r>
                    <w:rPr>
                      <w:color w:val="000000"/>
                      <w:sz w:val="21"/>
                      <w:szCs w:val="21"/>
                    </w:rPr>
                    <w:t>数显式拉力试验机</w:t>
                  </w:r>
                </w:p>
              </w:tc>
              <w:tc>
                <w:tcPr>
                  <w:tcW w:w="689" w:type="pct"/>
                  <w:noWrap w:val="0"/>
                  <w:vAlign w:val="center"/>
                </w:tcPr>
                <w:p w14:paraId="14364E11">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552B8E41">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1D2AFE13">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52F2B7F6">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7D28373C">
                  <w:pPr>
                    <w:overflowPunct w:val="0"/>
                    <w:autoSpaceDE w:val="0"/>
                    <w:autoSpaceDN w:val="0"/>
                    <w:adjustRightInd w:val="0"/>
                    <w:snapToGrid w:val="0"/>
                    <w:jc w:val="center"/>
                    <w:rPr>
                      <w:color w:val="000000"/>
                      <w:sz w:val="21"/>
                      <w:szCs w:val="21"/>
                    </w:rPr>
                  </w:pPr>
                </w:p>
              </w:tc>
            </w:tr>
            <w:tr w14:paraId="661FDF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458BF121">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19</w:t>
                  </w:r>
                </w:p>
              </w:tc>
              <w:tc>
                <w:tcPr>
                  <w:tcW w:w="1277" w:type="pct"/>
                  <w:noWrap w:val="0"/>
                  <w:vAlign w:val="center"/>
                </w:tcPr>
                <w:p w14:paraId="13FBEA91">
                  <w:pPr>
                    <w:widowControl/>
                    <w:overflowPunct w:val="0"/>
                    <w:autoSpaceDE w:val="0"/>
                    <w:autoSpaceDN w:val="0"/>
                    <w:adjustRightInd w:val="0"/>
                    <w:snapToGrid w:val="0"/>
                    <w:jc w:val="center"/>
                    <w:rPr>
                      <w:color w:val="000000"/>
                      <w:sz w:val="21"/>
                      <w:szCs w:val="21"/>
                    </w:rPr>
                  </w:pPr>
                  <w:r>
                    <w:rPr>
                      <w:color w:val="000000"/>
                      <w:sz w:val="21"/>
                      <w:szCs w:val="21"/>
                    </w:rPr>
                    <w:t>电子天平</w:t>
                  </w:r>
                </w:p>
              </w:tc>
              <w:tc>
                <w:tcPr>
                  <w:tcW w:w="689" w:type="pct"/>
                  <w:noWrap w:val="0"/>
                  <w:vAlign w:val="center"/>
                </w:tcPr>
                <w:p w14:paraId="74172D34">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4B8CEE0A">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732B037E">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3E2A37F2">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2FFE2F1F">
                  <w:pPr>
                    <w:overflowPunct w:val="0"/>
                    <w:autoSpaceDE w:val="0"/>
                    <w:autoSpaceDN w:val="0"/>
                    <w:adjustRightInd w:val="0"/>
                    <w:snapToGrid w:val="0"/>
                    <w:jc w:val="center"/>
                    <w:rPr>
                      <w:color w:val="000000"/>
                      <w:sz w:val="21"/>
                      <w:szCs w:val="21"/>
                    </w:rPr>
                  </w:pPr>
                </w:p>
              </w:tc>
            </w:tr>
            <w:tr w14:paraId="203650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5582F78A">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20</w:t>
                  </w:r>
                </w:p>
              </w:tc>
              <w:tc>
                <w:tcPr>
                  <w:tcW w:w="1277" w:type="pct"/>
                  <w:noWrap w:val="0"/>
                  <w:vAlign w:val="center"/>
                </w:tcPr>
                <w:p w14:paraId="0D97D0CA">
                  <w:pPr>
                    <w:widowControl/>
                    <w:overflowPunct w:val="0"/>
                    <w:autoSpaceDE w:val="0"/>
                    <w:autoSpaceDN w:val="0"/>
                    <w:adjustRightInd w:val="0"/>
                    <w:snapToGrid w:val="0"/>
                    <w:jc w:val="center"/>
                    <w:rPr>
                      <w:color w:val="000000"/>
                      <w:sz w:val="21"/>
                      <w:szCs w:val="21"/>
                    </w:rPr>
                  </w:pPr>
                  <w:r>
                    <w:rPr>
                      <w:color w:val="000000"/>
                      <w:sz w:val="21"/>
                      <w:szCs w:val="21"/>
                    </w:rPr>
                    <w:t>高绝缘电阻测量仪</w:t>
                  </w:r>
                </w:p>
              </w:tc>
              <w:tc>
                <w:tcPr>
                  <w:tcW w:w="689" w:type="pct"/>
                  <w:noWrap w:val="0"/>
                  <w:vAlign w:val="center"/>
                </w:tcPr>
                <w:p w14:paraId="7EC30E89">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79645069">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5D703D55">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254F8EC3">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3BBEC9A8">
                  <w:pPr>
                    <w:overflowPunct w:val="0"/>
                    <w:autoSpaceDE w:val="0"/>
                    <w:autoSpaceDN w:val="0"/>
                    <w:adjustRightInd w:val="0"/>
                    <w:snapToGrid w:val="0"/>
                    <w:jc w:val="center"/>
                    <w:rPr>
                      <w:color w:val="000000"/>
                      <w:sz w:val="21"/>
                      <w:szCs w:val="21"/>
                    </w:rPr>
                  </w:pPr>
                </w:p>
              </w:tc>
            </w:tr>
            <w:tr w14:paraId="4F65B6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2F5575F6">
                  <w:pPr>
                    <w:widowControl/>
                    <w:overflowPunct w:val="0"/>
                    <w:autoSpaceDE w:val="0"/>
                    <w:autoSpaceDN w:val="0"/>
                    <w:adjustRightInd w:val="0"/>
                    <w:snapToGrid w:val="0"/>
                    <w:jc w:val="center"/>
                    <w:rPr>
                      <w:color w:val="000000"/>
                      <w:sz w:val="21"/>
                      <w:szCs w:val="21"/>
                    </w:rPr>
                  </w:pPr>
                  <w:r>
                    <w:rPr>
                      <w:rFonts w:hint="eastAsia"/>
                      <w:color w:val="000000"/>
                      <w:sz w:val="21"/>
                      <w:szCs w:val="21"/>
                    </w:rPr>
                    <w:t>21</w:t>
                  </w:r>
                </w:p>
              </w:tc>
              <w:tc>
                <w:tcPr>
                  <w:tcW w:w="1277" w:type="pct"/>
                  <w:noWrap w:val="0"/>
                  <w:vAlign w:val="center"/>
                </w:tcPr>
                <w:p w14:paraId="1E8A6471">
                  <w:pPr>
                    <w:widowControl/>
                    <w:overflowPunct w:val="0"/>
                    <w:autoSpaceDE w:val="0"/>
                    <w:autoSpaceDN w:val="0"/>
                    <w:adjustRightInd w:val="0"/>
                    <w:snapToGrid w:val="0"/>
                    <w:jc w:val="center"/>
                    <w:rPr>
                      <w:color w:val="000000"/>
                      <w:sz w:val="21"/>
                      <w:szCs w:val="21"/>
                    </w:rPr>
                  </w:pPr>
                  <w:r>
                    <w:rPr>
                      <w:color w:val="000000"/>
                      <w:sz w:val="21"/>
                      <w:szCs w:val="21"/>
                    </w:rPr>
                    <w:t>电压击穿试验仪</w:t>
                  </w:r>
                </w:p>
              </w:tc>
              <w:tc>
                <w:tcPr>
                  <w:tcW w:w="689" w:type="pct"/>
                  <w:noWrap w:val="0"/>
                  <w:vAlign w:val="center"/>
                </w:tcPr>
                <w:p w14:paraId="7C95722F">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1D113076">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6DDB19F8">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3D9407A2">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43417C12">
                  <w:pPr>
                    <w:overflowPunct w:val="0"/>
                    <w:autoSpaceDE w:val="0"/>
                    <w:autoSpaceDN w:val="0"/>
                    <w:adjustRightInd w:val="0"/>
                    <w:snapToGrid w:val="0"/>
                    <w:jc w:val="center"/>
                    <w:rPr>
                      <w:color w:val="000000"/>
                      <w:sz w:val="21"/>
                      <w:szCs w:val="21"/>
                    </w:rPr>
                  </w:pPr>
                </w:p>
              </w:tc>
            </w:tr>
            <w:tr w14:paraId="4DB63A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500" w:type="pct"/>
                  <w:noWrap w:val="0"/>
                  <w:vAlign w:val="center"/>
                </w:tcPr>
                <w:p w14:paraId="2FAA27CB">
                  <w:pPr>
                    <w:widowControl/>
                    <w:overflowPunct w:val="0"/>
                    <w:autoSpaceDE w:val="0"/>
                    <w:autoSpaceDN w:val="0"/>
                    <w:adjustRightInd w:val="0"/>
                    <w:snapToGrid w:val="0"/>
                    <w:jc w:val="center"/>
                    <w:rPr>
                      <w:color w:val="000000"/>
                      <w:sz w:val="21"/>
                      <w:szCs w:val="21"/>
                    </w:rPr>
                  </w:pPr>
                  <w:r>
                    <w:rPr>
                      <w:rFonts w:hint="eastAsia"/>
                      <w:color w:val="000000"/>
                      <w:sz w:val="21"/>
                      <w:szCs w:val="21"/>
                    </w:rPr>
                    <w:t>22</w:t>
                  </w:r>
                </w:p>
              </w:tc>
              <w:tc>
                <w:tcPr>
                  <w:tcW w:w="1277" w:type="pct"/>
                  <w:noWrap w:val="0"/>
                  <w:vAlign w:val="center"/>
                </w:tcPr>
                <w:p w14:paraId="45764377">
                  <w:pPr>
                    <w:widowControl/>
                    <w:overflowPunct w:val="0"/>
                    <w:autoSpaceDE w:val="0"/>
                    <w:autoSpaceDN w:val="0"/>
                    <w:adjustRightInd w:val="0"/>
                    <w:snapToGrid w:val="0"/>
                    <w:jc w:val="center"/>
                    <w:rPr>
                      <w:color w:val="000000"/>
                      <w:sz w:val="21"/>
                      <w:szCs w:val="21"/>
                    </w:rPr>
                  </w:pPr>
                  <w:r>
                    <w:rPr>
                      <w:color w:val="000000"/>
                      <w:sz w:val="21"/>
                      <w:szCs w:val="21"/>
                    </w:rPr>
                    <w:t>水分测定仪</w:t>
                  </w:r>
                </w:p>
              </w:tc>
              <w:tc>
                <w:tcPr>
                  <w:tcW w:w="689" w:type="pct"/>
                  <w:noWrap w:val="0"/>
                  <w:vAlign w:val="center"/>
                </w:tcPr>
                <w:p w14:paraId="489089A7">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4132ACCB">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4B3F8162">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01E6B656">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04CFF115">
                  <w:pPr>
                    <w:overflowPunct w:val="0"/>
                    <w:autoSpaceDE w:val="0"/>
                    <w:autoSpaceDN w:val="0"/>
                    <w:adjustRightInd w:val="0"/>
                    <w:snapToGrid w:val="0"/>
                    <w:jc w:val="center"/>
                    <w:rPr>
                      <w:color w:val="000000"/>
                      <w:sz w:val="21"/>
                      <w:szCs w:val="21"/>
                    </w:rPr>
                  </w:pPr>
                </w:p>
              </w:tc>
            </w:tr>
            <w:tr w14:paraId="23ED70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2AB54E43">
                  <w:pPr>
                    <w:widowControl/>
                    <w:overflowPunct w:val="0"/>
                    <w:autoSpaceDE w:val="0"/>
                    <w:autoSpaceDN w:val="0"/>
                    <w:adjustRightInd w:val="0"/>
                    <w:snapToGrid w:val="0"/>
                    <w:jc w:val="center"/>
                    <w:rPr>
                      <w:color w:val="000000"/>
                      <w:sz w:val="21"/>
                      <w:szCs w:val="21"/>
                    </w:rPr>
                  </w:pPr>
                  <w:r>
                    <w:rPr>
                      <w:rFonts w:hint="eastAsia"/>
                      <w:color w:val="000000"/>
                      <w:sz w:val="21"/>
                      <w:szCs w:val="21"/>
                    </w:rPr>
                    <w:t>23</w:t>
                  </w:r>
                </w:p>
              </w:tc>
              <w:tc>
                <w:tcPr>
                  <w:tcW w:w="1277" w:type="pct"/>
                  <w:noWrap w:val="0"/>
                  <w:vAlign w:val="center"/>
                </w:tcPr>
                <w:p w14:paraId="1E8C1A3E">
                  <w:pPr>
                    <w:widowControl/>
                    <w:overflowPunct w:val="0"/>
                    <w:autoSpaceDE w:val="0"/>
                    <w:autoSpaceDN w:val="0"/>
                    <w:adjustRightInd w:val="0"/>
                    <w:snapToGrid w:val="0"/>
                    <w:jc w:val="center"/>
                    <w:rPr>
                      <w:color w:val="000000"/>
                      <w:sz w:val="21"/>
                      <w:szCs w:val="21"/>
                    </w:rPr>
                  </w:pPr>
                  <w:r>
                    <w:rPr>
                      <w:color w:val="000000"/>
                      <w:sz w:val="21"/>
                      <w:szCs w:val="21"/>
                    </w:rPr>
                    <w:t>熔体流动速率仪</w:t>
                  </w:r>
                </w:p>
              </w:tc>
              <w:tc>
                <w:tcPr>
                  <w:tcW w:w="689" w:type="pct"/>
                  <w:noWrap w:val="0"/>
                  <w:vAlign w:val="center"/>
                </w:tcPr>
                <w:p w14:paraId="65153879">
                  <w:pPr>
                    <w:overflowPunct w:val="0"/>
                    <w:autoSpaceDE w:val="0"/>
                    <w:autoSpaceDN w:val="0"/>
                    <w:adjustRightInd w:val="0"/>
                    <w:snapToGrid w:val="0"/>
                    <w:jc w:val="center"/>
                    <w:rPr>
                      <w:rFonts w:hint="eastAsia"/>
                      <w:color w:val="000000"/>
                      <w:sz w:val="21"/>
                      <w:szCs w:val="21"/>
                    </w:rPr>
                  </w:pPr>
                  <w:r>
                    <w:rPr>
                      <w:rFonts w:hint="eastAsia"/>
                      <w:color w:val="000000"/>
                      <w:sz w:val="21"/>
                      <w:szCs w:val="21"/>
                    </w:rPr>
                    <w:t>质检室</w:t>
                  </w:r>
                </w:p>
              </w:tc>
              <w:tc>
                <w:tcPr>
                  <w:tcW w:w="544" w:type="pct"/>
                  <w:noWrap w:val="0"/>
                  <w:vAlign w:val="center"/>
                </w:tcPr>
                <w:p w14:paraId="11718FBD">
                  <w:pPr>
                    <w:overflowPunct w:val="0"/>
                    <w:autoSpaceDE w:val="0"/>
                    <w:autoSpaceDN w:val="0"/>
                    <w:adjustRightInd w:val="0"/>
                    <w:snapToGrid w:val="0"/>
                    <w:jc w:val="center"/>
                    <w:rPr>
                      <w:color w:val="000000"/>
                      <w:sz w:val="21"/>
                      <w:szCs w:val="21"/>
                    </w:rPr>
                  </w:pPr>
                  <w:r>
                    <w:rPr>
                      <w:color w:val="000000"/>
                      <w:sz w:val="21"/>
                      <w:szCs w:val="21"/>
                    </w:rPr>
                    <w:t>台</w:t>
                  </w:r>
                </w:p>
              </w:tc>
              <w:tc>
                <w:tcPr>
                  <w:tcW w:w="935" w:type="pct"/>
                  <w:noWrap w:val="0"/>
                  <w:vAlign w:val="center"/>
                </w:tcPr>
                <w:p w14:paraId="71FB364F">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w:t>
                  </w:r>
                </w:p>
              </w:tc>
              <w:tc>
                <w:tcPr>
                  <w:tcW w:w="458" w:type="pct"/>
                  <w:noWrap w:val="0"/>
                  <w:vAlign w:val="center"/>
                </w:tcPr>
                <w:p w14:paraId="2840E242">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continue"/>
                  <w:noWrap w:val="0"/>
                  <w:vAlign w:val="center"/>
                </w:tcPr>
                <w:p w14:paraId="53E206BA">
                  <w:pPr>
                    <w:overflowPunct w:val="0"/>
                    <w:autoSpaceDE w:val="0"/>
                    <w:autoSpaceDN w:val="0"/>
                    <w:adjustRightInd w:val="0"/>
                    <w:snapToGrid w:val="0"/>
                    <w:jc w:val="center"/>
                    <w:rPr>
                      <w:color w:val="000000"/>
                      <w:sz w:val="21"/>
                      <w:szCs w:val="21"/>
                    </w:rPr>
                  </w:pPr>
                </w:p>
              </w:tc>
            </w:tr>
            <w:tr w14:paraId="2E1AC1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3684371F">
                  <w:pPr>
                    <w:widowControl/>
                    <w:overflowPunct w:val="0"/>
                    <w:autoSpaceDE w:val="0"/>
                    <w:autoSpaceDN w:val="0"/>
                    <w:adjustRightInd w:val="0"/>
                    <w:snapToGrid w:val="0"/>
                    <w:jc w:val="center"/>
                    <w:rPr>
                      <w:color w:val="000000"/>
                      <w:sz w:val="21"/>
                      <w:szCs w:val="21"/>
                    </w:rPr>
                  </w:pPr>
                  <w:r>
                    <w:rPr>
                      <w:rFonts w:hint="eastAsia"/>
                      <w:color w:val="000000"/>
                      <w:sz w:val="21"/>
                      <w:szCs w:val="21"/>
                    </w:rPr>
                    <w:t>24</w:t>
                  </w:r>
                </w:p>
              </w:tc>
              <w:tc>
                <w:tcPr>
                  <w:tcW w:w="1277" w:type="pct"/>
                  <w:noWrap w:val="0"/>
                  <w:vAlign w:val="center"/>
                </w:tcPr>
                <w:p w14:paraId="3627CD10">
                  <w:pPr>
                    <w:widowControl/>
                    <w:overflowPunct w:val="0"/>
                    <w:autoSpaceDE w:val="0"/>
                    <w:autoSpaceDN w:val="0"/>
                    <w:adjustRightInd w:val="0"/>
                    <w:snapToGrid w:val="0"/>
                    <w:jc w:val="center"/>
                    <w:rPr>
                      <w:color w:val="000000"/>
                      <w:sz w:val="21"/>
                      <w:szCs w:val="21"/>
                    </w:rPr>
                  </w:pPr>
                  <w:r>
                    <w:rPr>
                      <w:rFonts w:hint="eastAsia"/>
                      <w:color w:val="000000"/>
                      <w:sz w:val="21"/>
                      <w:szCs w:val="21"/>
                    </w:rPr>
                    <w:t>冷却塔</w:t>
                  </w:r>
                </w:p>
              </w:tc>
              <w:tc>
                <w:tcPr>
                  <w:tcW w:w="689" w:type="pct"/>
                  <w:noWrap w:val="0"/>
                  <w:vAlign w:val="center"/>
                </w:tcPr>
                <w:p w14:paraId="13A7BC5D">
                  <w:pPr>
                    <w:overflowPunct w:val="0"/>
                    <w:autoSpaceDE w:val="0"/>
                    <w:autoSpaceDN w:val="0"/>
                    <w:adjustRightInd w:val="0"/>
                    <w:snapToGrid w:val="0"/>
                    <w:jc w:val="center"/>
                    <w:rPr>
                      <w:color w:val="000000"/>
                      <w:sz w:val="21"/>
                      <w:szCs w:val="21"/>
                    </w:rPr>
                  </w:pPr>
                  <w:r>
                    <w:rPr>
                      <w:rFonts w:hint="eastAsia"/>
                      <w:color w:val="000000"/>
                      <w:sz w:val="21"/>
                      <w:szCs w:val="21"/>
                    </w:rPr>
                    <w:t>给</w:t>
                  </w:r>
                  <w:r>
                    <w:rPr>
                      <w:color w:val="000000"/>
                      <w:sz w:val="21"/>
                      <w:szCs w:val="21"/>
                    </w:rPr>
                    <w:t>双阶混炼挤出机组</w:t>
                  </w:r>
                  <w:r>
                    <w:rPr>
                      <w:rFonts w:hint="eastAsia"/>
                      <w:color w:val="000000"/>
                      <w:sz w:val="21"/>
                      <w:szCs w:val="21"/>
                    </w:rPr>
                    <w:t>、密炼机提供冷却水</w:t>
                  </w:r>
                </w:p>
              </w:tc>
              <w:tc>
                <w:tcPr>
                  <w:tcW w:w="544" w:type="pct"/>
                  <w:noWrap w:val="0"/>
                  <w:vAlign w:val="center"/>
                </w:tcPr>
                <w:p w14:paraId="6924AA04">
                  <w:pPr>
                    <w:overflowPunct w:val="0"/>
                    <w:autoSpaceDE w:val="0"/>
                    <w:autoSpaceDN w:val="0"/>
                    <w:adjustRightInd w:val="0"/>
                    <w:snapToGrid w:val="0"/>
                    <w:jc w:val="center"/>
                    <w:rPr>
                      <w:color w:val="000000"/>
                      <w:sz w:val="21"/>
                      <w:szCs w:val="21"/>
                    </w:rPr>
                  </w:pPr>
                  <w:r>
                    <w:rPr>
                      <w:rFonts w:hint="eastAsia"/>
                      <w:color w:val="000000"/>
                      <w:sz w:val="21"/>
                      <w:szCs w:val="21"/>
                    </w:rPr>
                    <w:t>台</w:t>
                  </w:r>
                </w:p>
              </w:tc>
              <w:tc>
                <w:tcPr>
                  <w:tcW w:w="935" w:type="pct"/>
                  <w:noWrap w:val="0"/>
                  <w:vAlign w:val="center"/>
                </w:tcPr>
                <w:p w14:paraId="7CC3527C">
                  <w:pPr>
                    <w:widowControl/>
                    <w:overflowPunct w:val="0"/>
                    <w:autoSpaceDE w:val="0"/>
                    <w:autoSpaceDN w:val="0"/>
                    <w:adjustRightInd w:val="0"/>
                    <w:snapToGrid w:val="0"/>
                    <w:jc w:val="center"/>
                    <w:rPr>
                      <w:color w:val="000000"/>
                      <w:sz w:val="21"/>
                      <w:szCs w:val="21"/>
                    </w:rPr>
                  </w:pPr>
                  <w:r>
                    <w:rPr>
                      <w:rFonts w:hint="eastAsia"/>
                      <w:color w:val="000000"/>
                      <w:sz w:val="21"/>
                      <w:szCs w:val="21"/>
                    </w:rPr>
                    <w:t>循环量10m</w:t>
                  </w:r>
                  <w:r>
                    <w:rPr>
                      <w:rFonts w:hint="eastAsia"/>
                      <w:color w:val="000000"/>
                      <w:sz w:val="21"/>
                      <w:szCs w:val="21"/>
                      <w:vertAlign w:val="superscript"/>
                    </w:rPr>
                    <w:t>3</w:t>
                  </w:r>
                  <w:r>
                    <w:rPr>
                      <w:rFonts w:hint="eastAsia"/>
                      <w:color w:val="000000"/>
                      <w:sz w:val="21"/>
                      <w:szCs w:val="21"/>
                    </w:rPr>
                    <w:t>/h</w:t>
                  </w:r>
                </w:p>
              </w:tc>
              <w:tc>
                <w:tcPr>
                  <w:tcW w:w="458" w:type="pct"/>
                  <w:noWrap w:val="0"/>
                  <w:vAlign w:val="center"/>
                </w:tcPr>
                <w:p w14:paraId="4386B150">
                  <w:pPr>
                    <w:widowControl/>
                    <w:overflowPunct w:val="0"/>
                    <w:autoSpaceDE w:val="0"/>
                    <w:autoSpaceDN w:val="0"/>
                    <w:adjustRightInd w:val="0"/>
                    <w:snapToGrid w:val="0"/>
                    <w:jc w:val="center"/>
                    <w:rPr>
                      <w:color w:val="000000"/>
                      <w:sz w:val="21"/>
                      <w:szCs w:val="21"/>
                    </w:rPr>
                  </w:pPr>
                  <w:r>
                    <w:rPr>
                      <w:rFonts w:hint="eastAsia"/>
                      <w:color w:val="000000"/>
                      <w:sz w:val="21"/>
                      <w:szCs w:val="21"/>
                    </w:rPr>
                    <w:t>1</w:t>
                  </w:r>
                </w:p>
              </w:tc>
              <w:tc>
                <w:tcPr>
                  <w:tcW w:w="594" w:type="pct"/>
                  <w:vMerge w:val="restart"/>
                  <w:noWrap w:val="0"/>
                  <w:vAlign w:val="center"/>
                </w:tcPr>
                <w:p w14:paraId="5CAB0815">
                  <w:pPr>
                    <w:overflowPunct w:val="0"/>
                    <w:autoSpaceDE w:val="0"/>
                    <w:autoSpaceDN w:val="0"/>
                    <w:adjustRightInd w:val="0"/>
                    <w:snapToGrid w:val="0"/>
                    <w:jc w:val="center"/>
                    <w:rPr>
                      <w:color w:val="000000"/>
                      <w:sz w:val="21"/>
                      <w:szCs w:val="21"/>
                    </w:rPr>
                  </w:pPr>
                  <w:r>
                    <w:rPr>
                      <w:rFonts w:hint="eastAsia"/>
                      <w:color w:val="000000"/>
                      <w:sz w:val="21"/>
                      <w:szCs w:val="21"/>
                    </w:rPr>
                    <w:t>公用</w:t>
                  </w:r>
                </w:p>
              </w:tc>
            </w:tr>
            <w:tr w14:paraId="18A3EA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73204987">
                  <w:pPr>
                    <w:widowControl/>
                    <w:overflowPunct w:val="0"/>
                    <w:autoSpaceDE w:val="0"/>
                    <w:autoSpaceDN w:val="0"/>
                    <w:adjustRightInd w:val="0"/>
                    <w:snapToGrid w:val="0"/>
                    <w:jc w:val="center"/>
                    <w:rPr>
                      <w:color w:val="000000"/>
                      <w:sz w:val="21"/>
                      <w:szCs w:val="21"/>
                    </w:rPr>
                  </w:pPr>
                  <w:r>
                    <w:rPr>
                      <w:rFonts w:hint="eastAsia"/>
                      <w:color w:val="000000"/>
                      <w:sz w:val="21"/>
                      <w:szCs w:val="21"/>
                    </w:rPr>
                    <w:t>25</w:t>
                  </w:r>
                </w:p>
              </w:tc>
              <w:tc>
                <w:tcPr>
                  <w:tcW w:w="1277" w:type="pct"/>
                  <w:noWrap w:val="0"/>
                  <w:vAlign w:val="center"/>
                </w:tcPr>
                <w:p w14:paraId="395D807F">
                  <w:pPr>
                    <w:widowControl/>
                    <w:overflowPunct w:val="0"/>
                    <w:autoSpaceDE w:val="0"/>
                    <w:autoSpaceDN w:val="0"/>
                    <w:adjustRightInd w:val="0"/>
                    <w:snapToGrid w:val="0"/>
                    <w:jc w:val="center"/>
                    <w:rPr>
                      <w:color w:val="000000"/>
                      <w:sz w:val="21"/>
                      <w:szCs w:val="21"/>
                    </w:rPr>
                  </w:pPr>
                  <w:r>
                    <w:rPr>
                      <w:rFonts w:hint="eastAsia"/>
                      <w:color w:val="000000"/>
                      <w:sz w:val="21"/>
                      <w:szCs w:val="21"/>
                    </w:rPr>
                    <w:t>空压机</w:t>
                  </w:r>
                </w:p>
              </w:tc>
              <w:tc>
                <w:tcPr>
                  <w:tcW w:w="689" w:type="pct"/>
                  <w:noWrap w:val="0"/>
                  <w:vAlign w:val="center"/>
                </w:tcPr>
                <w:p w14:paraId="2C1BD22D">
                  <w:pPr>
                    <w:overflowPunct w:val="0"/>
                    <w:autoSpaceDE w:val="0"/>
                    <w:autoSpaceDN w:val="0"/>
                    <w:adjustRightInd w:val="0"/>
                    <w:snapToGrid w:val="0"/>
                    <w:jc w:val="center"/>
                    <w:rPr>
                      <w:color w:val="000000"/>
                      <w:sz w:val="21"/>
                      <w:szCs w:val="21"/>
                    </w:rPr>
                  </w:pPr>
                  <w:r>
                    <w:rPr>
                      <w:rFonts w:hint="eastAsia"/>
                      <w:color w:val="000000"/>
                      <w:sz w:val="21"/>
                      <w:szCs w:val="21"/>
                    </w:rPr>
                    <w:t>给高速混料机、密炼机的气动提供压缩空气</w:t>
                  </w:r>
                </w:p>
              </w:tc>
              <w:tc>
                <w:tcPr>
                  <w:tcW w:w="544" w:type="pct"/>
                  <w:noWrap w:val="0"/>
                  <w:vAlign w:val="center"/>
                </w:tcPr>
                <w:p w14:paraId="4A707BB8">
                  <w:pPr>
                    <w:overflowPunct w:val="0"/>
                    <w:autoSpaceDE w:val="0"/>
                    <w:autoSpaceDN w:val="0"/>
                    <w:adjustRightInd w:val="0"/>
                    <w:snapToGrid w:val="0"/>
                    <w:jc w:val="center"/>
                    <w:rPr>
                      <w:rFonts w:hint="eastAsia"/>
                      <w:color w:val="000000"/>
                      <w:sz w:val="21"/>
                      <w:szCs w:val="21"/>
                    </w:rPr>
                  </w:pPr>
                  <w:r>
                    <w:rPr>
                      <w:rFonts w:hint="eastAsia"/>
                      <w:color w:val="000000"/>
                      <w:sz w:val="21"/>
                      <w:szCs w:val="21"/>
                    </w:rPr>
                    <w:t>台</w:t>
                  </w:r>
                </w:p>
              </w:tc>
              <w:tc>
                <w:tcPr>
                  <w:tcW w:w="935" w:type="pct"/>
                  <w:noWrap w:val="0"/>
                  <w:vAlign w:val="center"/>
                </w:tcPr>
                <w:p w14:paraId="59205E8F">
                  <w:pPr>
                    <w:widowControl/>
                    <w:overflowPunct w:val="0"/>
                    <w:autoSpaceDE w:val="0"/>
                    <w:autoSpaceDN w:val="0"/>
                    <w:adjustRightInd w:val="0"/>
                    <w:snapToGrid w:val="0"/>
                    <w:jc w:val="center"/>
                    <w:rPr>
                      <w:color w:val="000000"/>
                      <w:sz w:val="21"/>
                      <w:szCs w:val="21"/>
                    </w:rPr>
                  </w:pPr>
                  <w:r>
                    <w:rPr>
                      <w:rFonts w:hint="eastAsia"/>
                      <w:color w:val="000000"/>
                      <w:sz w:val="21"/>
                      <w:szCs w:val="21"/>
                    </w:rPr>
                    <w:t>螺杆Q50PMA、气量6.5m</w:t>
                  </w:r>
                  <w:r>
                    <w:rPr>
                      <w:rFonts w:hint="eastAsia"/>
                      <w:color w:val="000000"/>
                      <w:sz w:val="21"/>
                      <w:szCs w:val="21"/>
                      <w:vertAlign w:val="superscript"/>
                    </w:rPr>
                    <w:t>3</w:t>
                  </w:r>
                  <w:r>
                    <w:rPr>
                      <w:rFonts w:hint="eastAsia"/>
                      <w:color w:val="000000"/>
                      <w:sz w:val="21"/>
                      <w:szCs w:val="21"/>
                    </w:rPr>
                    <w:t>/min</w:t>
                  </w:r>
                </w:p>
              </w:tc>
              <w:tc>
                <w:tcPr>
                  <w:tcW w:w="458" w:type="pct"/>
                  <w:noWrap w:val="0"/>
                  <w:vAlign w:val="center"/>
                </w:tcPr>
                <w:p w14:paraId="5E07D236">
                  <w:pPr>
                    <w:widowControl/>
                    <w:overflowPunct w:val="0"/>
                    <w:autoSpaceDE w:val="0"/>
                    <w:autoSpaceDN w:val="0"/>
                    <w:adjustRightInd w:val="0"/>
                    <w:snapToGrid w:val="0"/>
                    <w:jc w:val="center"/>
                    <w:rPr>
                      <w:color w:val="000000"/>
                      <w:sz w:val="21"/>
                      <w:szCs w:val="21"/>
                    </w:rPr>
                  </w:pPr>
                  <w:r>
                    <w:rPr>
                      <w:rFonts w:hint="eastAsia"/>
                      <w:color w:val="000000"/>
                      <w:sz w:val="21"/>
                      <w:szCs w:val="21"/>
                    </w:rPr>
                    <w:t>2</w:t>
                  </w:r>
                </w:p>
              </w:tc>
              <w:tc>
                <w:tcPr>
                  <w:tcW w:w="594" w:type="pct"/>
                  <w:vMerge w:val="continue"/>
                  <w:noWrap w:val="0"/>
                  <w:vAlign w:val="center"/>
                </w:tcPr>
                <w:p w14:paraId="1A07C9D8">
                  <w:pPr>
                    <w:overflowPunct w:val="0"/>
                    <w:autoSpaceDE w:val="0"/>
                    <w:autoSpaceDN w:val="0"/>
                    <w:adjustRightInd w:val="0"/>
                    <w:snapToGrid w:val="0"/>
                    <w:jc w:val="center"/>
                    <w:rPr>
                      <w:color w:val="000000"/>
                      <w:sz w:val="21"/>
                      <w:szCs w:val="21"/>
                    </w:rPr>
                  </w:pPr>
                </w:p>
              </w:tc>
            </w:tr>
            <w:tr w14:paraId="3567E1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06F955E3">
                  <w:pPr>
                    <w:widowControl/>
                    <w:overflowPunct w:val="0"/>
                    <w:autoSpaceDE w:val="0"/>
                    <w:autoSpaceDN w:val="0"/>
                    <w:adjustRightInd w:val="0"/>
                    <w:snapToGrid w:val="0"/>
                    <w:jc w:val="center"/>
                    <w:rPr>
                      <w:color w:val="000000"/>
                      <w:sz w:val="21"/>
                      <w:szCs w:val="21"/>
                    </w:rPr>
                  </w:pPr>
                  <w:r>
                    <w:rPr>
                      <w:rFonts w:hint="eastAsia"/>
                      <w:color w:val="000000"/>
                      <w:sz w:val="21"/>
                      <w:szCs w:val="21"/>
                    </w:rPr>
                    <w:t>26</w:t>
                  </w:r>
                </w:p>
              </w:tc>
              <w:tc>
                <w:tcPr>
                  <w:tcW w:w="1277" w:type="pct"/>
                  <w:noWrap w:val="0"/>
                  <w:vAlign w:val="center"/>
                </w:tcPr>
                <w:p w14:paraId="3263449E">
                  <w:pPr>
                    <w:widowControl/>
                    <w:overflowPunct w:val="0"/>
                    <w:autoSpaceDE w:val="0"/>
                    <w:autoSpaceDN w:val="0"/>
                    <w:adjustRightInd w:val="0"/>
                    <w:snapToGrid w:val="0"/>
                    <w:jc w:val="center"/>
                    <w:rPr>
                      <w:color w:val="000000"/>
                      <w:sz w:val="21"/>
                      <w:szCs w:val="21"/>
                    </w:rPr>
                  </w:pPr>
                  <w:r>
                    <w:rPr>
                      <w:rFonts w:hint="eastAsia"/>
                      <w:color w:val="000000"/>
                      <w:sz w:val="21"/>
                      <w:szCs w:val="21"/>
                    </w:rPr>
                    <w:t>叉车</w:t>
                  </w:r>
                </w:p>
              </w:tc>
              <w:tc>
                <w:tcPr>
                  <w:tcW w:w="689" w:type="pct"/>
                  <w:noWrap w:val="0"/>
                  <w:vAlign w:val="center"/>
                </w:tcPr>
                <w:p w14:paraId="43669A6D">
                  <w:pPr>
                    <w:overflowPunct w:val="0"/>
                    <w:autoSpaceDE w:val="0"/>
                    <w:autoSpaceDN w:val="0"/>
                    <w:adjustRightInd w:val="0"/>
                    <w:snapToGrid w:val="0"/>
                    <w:jc w:val="center"/>
                    <w:rPr>
                      <w:rFonts w:hint="eastAsia"/>
                      <w:color w:val="000000"/>
                      <w:sz w:val="21"/>
                      <w:szCs w:val="21"/>
                    </w:rPr>
                  </w:pPr>
                  <w:r>
                    <w:rPr>
                      <w:rFonts w:hint="eastAsia"/>
                      <w:color w:val="000000"/>
                      <w:sz w:val="21"/>
                      <w:szCs w:val="21"/>
                    </w:rPr>
                    <w:t>内部运输</w:t>
                  </w:r>
                </w:p>
              </w:tc>
              <w:tc>
                <w:tcPr>
                  <w:tcW w:w="544" w:type="pct"/>
                  <w:noWrap w:val="0"/>
                  <w:vAlign w:val="center"/>
                </w:tcPr>
                <w:p w14:paraId="2316B43D">
                  <w:pPr>
                    <w:overflowPunct w:val="0"/>
                    <w:autoSpaceDE w:val="0"/>
                    <w:autoSpaceDN w:val="0"/>
                    <w:adjustRightInd w:val="0"/>
                    <w:snapToGrid w:val="0"/>
                    <w:jc w:val="center"/>
                    <w:rPr>
                      <w:rFonts w:hint="eastAsia"/>
                      <w:color w:val="000000"/>
                      <w:sz w:val="21"/>
                      <w:szCs w:val="21"/>
                    </w:rPr>
                  </w:pPr>
                  <w:r>
                    <w:rPr>
                      <w:rFonts w:hint="eastAsia"/>
                      <w:color w:val="000000"/>
                      <w:sz w:val="21"/>
                      <w:szCs w:val="21"/>
                    </w:rPr>
                    <w:t>台</w:t>
                  </w:r>
                </w:p>
              </w:tc>
              <w:tc>
                <w:tcPr>
                  <w:tcW w:w="935" w:type="pct"/>
                  <w:noWrap w:val="0"/>
                  <w:vAlign w:val="center"/>
                </w:tcPr>
                <w:p w14:paraId="658F8EAD">
                  <w:pPr>
                    <w:widowControl/>
                    <w:overflowPunct w:val="0"/>
                    <w:autoSpaceDE w:val="0"/>
                    <w:autoSpaceDN w:val="0"/>
                    <w:adjustRightInd w:val="0"/>
                    <w:snapToGrid w:val="0"/>
                    <w:jc w:val="center"/>
                    <w:rPr>
                      <w:color w:val="000000"/>
                      <w:sz w:val="21"/>
                      <w:szCs w:val="21"/>
                    </w:rPr>
                  </w:pPr>
                  <w:r>
                    <w:rPr>
                      <w:rFonts w:hint="eastAsia"/>
                      <w:color w:val="000000"/>
                      <w:sz w:val="21"/>
                      <w:szCs w:val="21"/>
                    </w:rPr>
                    <w:t>/</w:t>
                  </w:r>
                </w:p>
              </w:tc>
              <w:tc>
                <w:tcPr>
                  <w:tcW w:w="458" w:type="pct"/>
                  <w:noWrap w:val="0"/>
                  <w:vAlign w:val="center"/>
                </w:tcPr>
                <w:p w14:paraId="5B88EC59">
                  <w:pPr>
                    <w:widowControl/>
                    <w:overflowPunct w:val="0"/>
                    <w:autoSpaceDE w:val="0"/>
                    <w:autoSpaceDN w:val="0"/>
                    <w:adjustRightInd w:val="0"/>
                    <w:snapToGrid w:val="0"/>
                    <w:jc w:val="center"/>
                    <w:rPr>
                      <w:color w:val="000000"/>
                      <w:sz w:val="21"/>
                      <w:szCs w:val="21"/>
                    </w:rPr>
                  </w:pPr>
                  <w:r>
                    <w:rPr>
                      <w:rFonts w:hint="eastAsia"/>
                      <w:color w:val="000000"/>
                      <w:sz w:val="21"/>
                      <w:szCs w:val="21"/>
                    </w:rPr>
                    <w:t>3</w:t>
                  </w:r>
                </w:p>
              </w:tc>
              <w:tc>
                <w:tcPr>
                  <w:tcW w:w="594" w:type="pct"/>
                  <w:vMerge w:val="continue"/>
                  <w:noWrap w:val="0"/>
                  <w:vAlign w:val="center"/>
                </w:tcPr>
                <w:p w14:paraId="49A6C2DD">
                  <w:pPr>
                    <w:overflowPunct w:val="0"/>
                    <w:autoSpaceDE w:val="0"/>
                    <w:autoSpaceDN w:val="0"/>
                    <w:adjustRightInd w:val="0"/>
                    <w:snapToGrid w:val="0"/>
                    <w:jc w:val="center"/>
                    <w:rPr>
                      <w:color w:val="000000"/>
                      <w:sz w:val="21"/>
                      <w:szCs w:val="21"/>
                    </w:rPr>
                  </w:pPr>
                </w:p>
              </w:tc>
            </w:tr>
            <w:tr w14:paraId="213051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noWrap w:val="0"/>
                  <w:vAlign w:val="center"/>
                </w:tcPr>
                <w:p w14:paraId="4AE0371D">
                  <w:pPr>
                    <w:widowControl/>
                    <w:overflowPunct w:val="0"/>
                    <w:autoSpaceDE w:val="0"/>
                    <w:autoSpaceDN w:val="0"/>
                    <w:adjustRightInd w:val="0"/>
                    <w:snapToGrid w:val="0"/>
                    <w:jc w:val="center"/>
                    <w:rPr>
                      <w:color w:val="000000"/>
                      <w:sz w:val="21"/>
                      <w:szCs w:val="21"/>
                    </w:rPr>
                  </w:pPr>
                  <w:r>
                    <w:rPr>
                      <w:rFonts w:hint="eastAsia"/>
                      <w:color w:val="000000"/>
                      <w:sz w:val="21"/>
                      <w:szCs w:val="21"/>
                    </w:rPr>
                    <w:t>27</w:t>
                  </w:r>
                </w:p>
              </w:tc>
              <w:tc>
                <w:tcPr>
                  <w:tcW w:w="1277" w:type="pct"/>
                  <w:noWrap w:val="0"/>
                  <w:vAlign w:val="center"/>
                </w:tcPr>
                <w:p w14:paraId="661D34BC">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废气处理设施风机</w:t>
                  </w:r>
                </w:p>
              </w:tc>
              <w:tc>
                <w:tcPr>
                  <w:tcW w:w="689" w:type="pct"/>
                  <w:noWrap w:val="0"/>
                  <w:vAlign w:val="center"/>
                </w:tcPr>
                <w:p w14:paraId="2D99D2AC">
                  <w:pPr>
                    <w:overflowPunct w:val="0"/>
                    <w:autoSpaceDE w:val="0"/>
                    <w:autoSpaceDN w:val="0"/>
                    <w:adjustRightInd w:val="0"/>
                    <w:snapToGrid w:val="0"/>
                    <w:jc w:val="center"/>
                    <w:rPr>
                      <w:rFonts w:hint="eastAsia"/>
                      <w:color w:val="000000"/>
                      <w:sz w:val="21"/>
                      <w:szCs w:val="21"/>
                    </w:rPr>
                  </w:pPr>
                  <w:r>
                    <w:rPr>
                      <w:rFonts w:hint="eastAsia"/>
                      <w:color w:val="000000"/>
                      <w:sz w:val="21"/>
                      <w:szCs w:val="21"/>
                    </w:rPr>
                    <w:t>废气处理</w:t>
                  </w:r>
                </w:p>
              </w:tc>
              <w:tc>
                <w:tcPr>
                  <w:tcW w:w="544" w:type="pct"/>
                  <w:noWrap w:val="0"/>
                  <w:vAlign w:val="center"/>
                </w:tcPr>
                <w:p w14:paraId="71EE2002">
                  <w:pPr>
                    <w:overflowPunct w:val="0"/>
                    <w:autoSpaceDE w:val="0"/>
                    <w:autoSpaceDN w:val="0"/>
                    <w:adjustRightInd w:val="0"/>
                    <w:snapToGrid w:val="0"/>
                    <w:jc w:val="center"/>
                    <w:rPr>
                      <w:rFonts w:hint="eastAsia"/>
                      <w:color w:val="000000"/>
                      <w:sz w:val="21"/>
                      <w:szCs w:val="21"/>
                    </w:rPr>
                  </w:pPr>
                  <w:r>
                    <w:rPr>
                      <w:rFonts w:hint="eastAsia"/>
                      <w:color w:val="000000"/>
                      <w:sz w:val="21"/>
                      <w:szCs w:val="21"/>
                    </w:rPr>
                    <w:t>台</w:t>
                  </w:r>
                </w:p>
              </w:tc>
              <w:tc>
                <w:tcPr>
                  <w:tcW w:w="935" w:type="pct"/>
                  <w:noWrap w:val="0"/>
                  <w:vAlign w:val="center"/>
                </w:tcPr>
                <w:p w14:paraId="266B5E0A">
                  <w:pPr>
                    <w:widowControl/>
                    <w:overflowPunct w:val="0"/>
                    <w:autoSpaceDE w:val="0"/>
                    <w:autoSpaceDN w:val="0"/>
                    <w:adjustRightInd w:val="0"/>
                    <w:snapToGrid w:val="0"/>
                    <w:jc w:val="center"/>
                    <w:rPr>
                      <w:color w:val="000000"/>
                      <w:sz w:val="21"/>
                      <w:szCs w:val="21"/>
                    </w:rPr>
                  </w:pPr>
                  <w:r>
                    <w:rPr>
                      <w:rFonts w:hint="eastAsia"/>
                      <w:color w:val="000000"/>
                      <w:sz w:val="21"/>
                      <w:szCs w:val="21"/>
                    </w:rPr>
                    <w:t>4套废气处理设施配套风机</w:t>
                  </w:r>
                </w:p>
              </w:tc>
              <w:tc>
                <w:tcPr>
                  <w:tcW w:w="458" w:type="pct"/>
                  <w:noWrap w:val="0"/>
                  <w:vAlign w:val="center"/>
                </w:tcPr>
                <w:p w14:paraId="7D38FF1F">
                  <w:pPr>
                    <w:widowControl/>
                    <w:overflowPunct w:val="0"/>
                    <w:autoSpaceDE w:val="0"/>
                    <w:autoSpaceDN w:val="0"/>
                    <w:adjustRightInd w:val="0"/>
                    <w:snapToGrid w:val="0"/>
                    <w:jc w:val="center"/>
                    <w:rPr>
                      <w:rFonts w:hint="eastAsia"/>
                      <w:color w:val="000000"/>
                      <w:sz w:val="21"/>
                      <w:szCs w:val="21"/>
                    </w:rPr>
                  </w:pPr>
                  <w:r>
                    <w:rPr>
                      <w:rFonts w:hint="eastAsia"/>
                      <w:color w:val="000000"/>
                      <w:sz w:val="21"/>
                      <w:szCs w:val="21"/>
                    </w:rPr>
                    <w:t>4</w:t>
                  </w:r>
                </w:p>
              </w:tc>
              <w:tc>
                <w:tcPr>
                  <w:tcW w:w="594" w:type="pct"/>
                  <w:vMerge w:val="continue"/>
                  <w:noWrap w:val="0"/>
                  <w:vAlign w:val="center"/>
                </w:tcPr>
                <w:p w14:paraId="0C574211">
                  <w:pPr>
                    <w:overflowPunct w:val="0"/>
                    <w:autoSpaceDE w:val="0"/>
                    <w:autoSpaceDN w:val="0"/>
                    <w:adjustRightInd w:val="0"/>
                    <w:snapToGrid w:val="0"/>
                    <w:jc w:val="center"/>
                    <w:rPr>
                      <w:color w:val="000000"/>
                      <w:sz w:val="21"/>
                      <w:szCs w:val="21"/>
                    </w:rPr>
                  </w:pPr>
                </w:p>
              </w:tc>
            </w:tr>
          </w:tbl>
          <w:p w14:paraId="3D9E9AF8">
            <w:pPr>
              <w:pStyle w:val="8"/>
              <w:spacing w:after="0" w:line="360" w:lineRule="auto"/>
              <w:ind w:left="0" w:leftChars="0" w:firstLine="480" w:firstLineChars="200"/>
              <w:rPr>
                <w:rFonts w:hint="eastAsia"/>
                <w:bCs/>
                <w:color w:val="000000"/>
              </w:rPr>
            </w:pPr>
            <w:r>
              <w:rPr>
                <w:rFonts w:hint="eastAsia"/>
                <w:color w:val="000000"/>
              </w:rPr>
              <w:t>对照《产业结构调整指导目录（</w:t>
            </w:r>
            <w:r>
              <w:rPr>
                <w:color w:val="000000"/>
              </w:rPr>
              <w:t>20</w:t>
            </w:r>
            <w:r>
              <w:rPr>
                <w:rFonts w:hint="eastAsia"/>
                <w:color w:val="000000"/>
              </w:rPr>
              <w:t>24年本）》</w:t>
            </w:r>
            <w:r>
              <w:rPr>
                <w:bCs/>
                <w:color w:val="000000"/>
              </w:rPr>
              <w:t>等</w:t>
            </w:r>
            <w:r>
              <w:rPr>
                <w:rFonts w:hint="eastAsia"/>
                <w:bCs/>
                <w:color w:val="000000"/>
              </w:rPr>
              <w:t>相关</w:t>
            </w:r>
            <w:r>
              <w:rPr>
                <w:bCs/>
                <w:color w:val="000000"/>
              </w:rPr>
              <w:t>文件，拟使用的设备均不属于国家规定限制使用或淘汰的设备</w:t>
            </w:r>
            <w:r>
              <w:rPr>
                <w:rFonts w:hint="eastAsia"/>
                <w:bCs/>
                <w:color w:val="000000"/>
              </w:rPr>
              <w:t>。</w:t>
            </w:r>
          </w:p>
          <w:p w14:paraId="3144089A">
            <w:pPr>
              <w:pStyle w:val="8"/>
              <w:spacing w:after="0" w:line="360" w:lineRule="auto"/>
              <w:ind w:left="0" w:leftChars="0" w:firstLine="480" w:firstLineChars="200"/>
              <w:rPr>
                <w:bCs/>
                <w:color w:val="000000"/>
              </w:rPr>
            </w:pPr>
            <w:r>
              <w:rPr>
                <w:rFonts w:hint="eastAsia"/>
                <w:b/>
                <w:color w:val="000000"/>
              </w:rPr>
              <w:t>产能匹配性分析</w:t>
            </w:r>
            <w:r>
              <w:rPr>
                <w:rFonts w:hint="eastAsia"/>
                <w:bCs/>
                <w:color w:val="000000"/>
              </w:rPr>
              <w:t>：</w:t>
            </w:r>
          </w:p>
          <w:p w14:paraId="694D0F80">
            <w:pPr>
              <w:pStyle w:val="8"/>
              <w:spacing w:after="0" w:line="360" w:lineRule="auto"/>
              <w:ind w:left="0" w:leftChars="0" w:firstLine="480" w:firstLineChars="200"/>
              <w:rPr>
                <w:rFonts w:hint="eastAsia"/>
                <w:color w:val="000000"/>
              </w:rPr>
            </w:pPr>
            <w:r>
              <w:rPr>
                <w:rFonts w:hint="eastAsia"/>
                <w:bCs/>
                <w:color w:val="000000"/>
              </w:rPr>
              <w:t>本项目2个产品的产能按各个工段设备的实际生产能力进行分析，根据表2-4给出的设备产能分析，</w:t>
            </w:r>
            <w:r>
              <w:rPr>
                <w:color w:val="000000"/>
              </w:rPr>
              <w:t>双阶混炼挤出机组</w:t>
            </w:r>
            <w:r>
              <w:rPr>
                <w:rFonts w:hint="eastAsia"/>
                <w:color w:val="000000"/>
              </w:rPr>
              <w:t>均为两个产品生产线的产能关键设备</w:t>
            </w:r>
            <w:r>
              <w:rPr>
                <w:rFonts w:hint="eastAsia"/>
                <w:bCs/>
                <w:color w:val="000000"/>
              </w:rPr>
              <w:t>。本项目年生产300天，每天8小时计，按</w:t>
            </w:r>
            <w:r>
              <w:rPr>
                <w:color w:val="000000"/>
              </w:rPr>
              <w:t>双阶混炼挤出机组</w:t>
            </w:r>
            <w:r>
              <w:rPr>
                <w:rFonts w:hint="eastAsia"/>
                <w:color w:val="000000"/>
              </w:rPr>
              <w:t>计算</w:t>
            </w:r>
            <w:r>
              <w:rPr>
                <w:rFonts w:hint="eastAsia"/>
                <w:color w:val="000000"/>
                <w:lang w:eastAsia="zh-CN"/>
              </w:rPr>
              <w:t>设计产能</w:t>
            </w:r>
            <w:r>
              <w:rPr>
                <w:rFonts w:hint="eastAsia"/>
                <w:color w:val="000000"/>
              </w:rPr>
              <w:t>为8328t/a，与项目备案证的8200t/a相匹配，详见表2-5。</w:t>
            </w:r>
          </w:p>
          <w:p w14:paraId="528E3878">
            <w:pPr>
              <w:pStyle w:val="8"/>
              <w:spacing w:after="0"/>
              <w:ind w:left="0" w:leftChars="0"/>
              <w:jc w:val="center"/>
              <w:rPr>
                <w:color w:val="000000"/>
              </w:rPr>
            </w:pPr>
            <w:r>
              <w:rPr>
                <w:rFonts w:hint="eastAsia"/>
                <w:b/>
                <w:bCs/>
                <w:color w:val="000000"/>
                <w:szCs w:val="32"/>
              </w:rPr>
              <w:t>表2-5</w:t>
            </w:r>
            <w:r>
              <w:rPr>
                <w:b/>
                <w:bCs/>
                <w:color w:val="000000"/>
                <w:szCs w:val="32"/>
              </w:rPr>
              <w:t xml:space="preserve"> </w:t>
            </w:r>
            <w:r>
              <w:rPr>
                <w:rFonts w:hint="eastAsia"/>
                <w:b/>
                <w:bCs/>
                <w:color w:val="000000"/>
                <w:szCs w:val="32"/>
              </w:rPr>
              <w:t>项目主要生产设施设备一览表</w:t>
            </w:r>
          </w:p>
          <w:tbl>
            <w:tblPr>
              <w:tblStyle w:val="16"/>
              <w:tblW w:w="84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199"/>
              <w:gridCol w:w="1244"/>
              <w:gridCol w:w="1170"/>
              <w:gridCol w:w="1134"/>
              <w:gridCol w:w="1182"/>
              <w:gridCol w:w="1182"/>
            </w:tblGrid>
            <w:tr w14:paraId="42388F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27" w:type="dxa"/>
                  <w:noWrap/>
                  <w:vAlign w:val="center"/>
                </w:tcPr>
                <w:p w14:paraId="69E38CA8">
                  <w:pPr>
                    <w:widowControl/>
                    <w:adjustRightInd w:val="0"/>
                    <w:snapToGrid w:val="0"/>
                    <w:jc w:val="center"/>
                    <w:rPr>
                      <w:color w:val="000000"/>
                      <w:sz w:val="21"/>
                      <w:szCs w:val="21"/>
                    </w:rPr>
                  </w:pPr>
                  <w:r>
                    <w:rPr>
                      <w:color w:val="000000"/>
                      <w:sz w:val="21"/>
                      <w:szCs w:val="21"/>
                    </w:rPr>
                    <w:t>生产线</w:t>
                  </w:r>
                </w:p>
              </w:tc>
              <w:tc>
                <w:tcPr>
                  <w:tcW w:w="1195" w:type="dxa"/>
                  <w:noWrap/>
                  <w:vAlign w:val="center"/>
                </w:tcPr>
                <w:p w14:paraId="11B108C5">
                  <w:pPr>
                    <w:widowControl/>
                    <w:adjustRightInd w:val="0"/>
                    <w:snapToGrid w:val="0"/>
                    <w:jc w:val="center"/>
                    <w:textAlignment w:val="center"/>
                    <w:rPr>
                      <w:color w:val="000000"/>
                      <w:sz w:val="21"/>
                      <w:szCs w:val="21"/>
                    </w:rPr>
                  </w:pPr>
                  <w:r>
                    <w:rPr>
                      <w:color w:val="000000"/>
                      <w:kern w:val="0"/>
                      <w:sz w:val="21"/>
                      <w:szCs w:val="21"/>
                      <w:lang w:bidi="ar"/>
                    </w:rPr>
                    <w:t>单条生产线生产能力（kg/h）</w:t>
                  </w:r>
                </w:p>
              </w:tc>
              <w:tc>
                <w:tcPr>
                  <w:tcW w:w="1244" w:type="dxa"/>
                  <w:noWrap/>
                  <w:vAlign w:val="center"/>
                </w:tcPr>
                <w:p w14:paraId="7C9B0813">
                  <w:pPr>
                    <w:widowControl/>
                    <w:adjustRightInd w:val="0"/>
                    <w:snapToGrid w:val="0"/>
                    <w:jc w:val="center"/>
                    <w:textAlignment w:val="center"/>
                    <w:rPr>
                      <w:color w:val="000000"/>
                      <w:kern w:val="0"/>
                      <w:sz w:val="21"/>
                      <w:szCs w:val="21"/>
                      <w:lang w:bidi="ar"/>
                    </w:rPr>
                  </w:pPr>
                  <w:r>
                    <w:rPr>
                      <w:color w:val="000000"/>
                      <w:kern w:val="0"/>
                      <w:sz w:val="21"/>
                      <w:szCs w:val="21"/>
                      <w:lang w:bidi="ar"/>
                    </w:rPr>
                    <w:t>单条生产线每天产能</w:t>
                  </w:r>
                </w:p>
                <w:p w14:paraId="22C4B76B">
                  <w:pPr>
                    <w:widowControl/>
                    <w:adjustRightInd w:val="0"/>
                    <w:snapToGrid w:val="0"/>
                    <w:jc w:val="center"/>
                    <w:textAlignment w:val="center"/>
                    <w:rPr>
                      <w:color w:val="000000"/>
                      <w:sz w:val="21"/>
                      <w:szCs w:val="21"/>
                    </w:rPr>
                  </w:pPr>
                  <w:r>
                    <w:rPr>
                      <w:color w:val="000000"/>
                      <w:kern w:val="0"/>
                      <w:sz w:val="21"/>
                      <w:szCs w:val="21"/>
                      <w:lang w:bidi="ar"/>
                    </w:rPr>
                    <w:t>（kg/d）</w:t>
                  </w:r>
                </w:p>
              </w:tc>
              <w:tc>
                <w:tcPr>
                  <w:tcW w:w="1171" w:type="dxa"/>
                  <w:noWrap/>
                  <w:vAlign w:val="center"/>
                </w:tcPr>
                <w:p w14:paraId="58B31428">
                  <w:pPr>
                    <w:widowControl/>
                    <w:adjustRightInd w:val="0"/>
                    <w:snapToGrid w:val="0"/>
                    <w:jc w:val="center"/>
                    <w:textAlignment w:val="center"/>
                    <w:rPr>
                      <w:color w:val="000000"/>
                      <w:kern w:val="0"/>
                      <w:sz w:val="21"/>
                      <w:szCs w:val="21"/>
                      <w:lang w:bidi="ar"/>
                    </w:rPr>
                  </w:pPr>
                  <w:r>
                    <w:rPr>
                      <w:color w:val="000000"/>
                      <w:kern w:val="0"/>
                      <w:sz w:val="21"/>
                      <w:szCs w:val="21"/>
                      <w:lang w:bidi="ar"/>
                    </w:rPr>
                    <w:t>单条生产线每年产能</w:t>
                  </w:r>
                </w:p>
                <w:p w14:paraId="7E7555D9">
                  <w:pPr>
                    <w:widowControl/>
                    <w:adjustRightInd w:val="0"/>
                    <w:snapToGrid w:val="0"/>
                    <w:jc w:val="center"/>
                    <w:textAlignment w:val="center"/>
                    <w:rPr>
                      <w:color w:val="000000"/>
                      <w:sz w:val="21"/>
                      <w:szCs w:val="21"/>
                    </w:rPr>
                  </w:pPr>
                  <w:r>
                    <w:rPr>
                      <w:color w:val="000000"/>
                      <w:kern w:val="0"/>
                      <w:sz w:val="21"/>
                      <w:szCs w:val="21"/>
                      <w:lang w:bidi="ar"/>
                    </w:rPr>
                    <w:t>（t/a）</w:t>
                  </w:r>
                </w:p>
              </w:tc>
              <w:tc>
                <w:tcPr>
                  <w:tcW w:w="1135" w:type="dxa"/>
                  <w:noWrap/>
                  <w:vAlign w:val="center"/>
                </w:tcPr>
                <w:p w14:paraId="3503F2AD">
                  <w:pPr>
                    <w:widowControl/>
                    <w:adjustRightInd w:val="0"/>
                    <w:snapToGrid w:val="0"/>
                    <w:jc w:val="center"/>
                    <w:textAlignment w:val="center"/>
                    <w:rPr>
                      <w:color w:val="000000"/>
                      <w:sz w:val="21"/>
                      <w:szCs w:val="21"/>
                    </w:rPr>
                  </w:pPr>
                  <w:r>
                    <w:rPr>
                      <w:color w:val="000000"/>
                      <w:kern w:val="0"/>
                      <w:sz w:val="21"/>
                      <w:szCs w:val="21"/>
                      <w:lang w:bidi="ar"/>
                    </w:rPr>
                    <w:t>生产线数量</w:t>
                  </w:r>
                </w:p>
              </w:tc>
              <w:tc>
                <w:tcPr>
                  <w:tcW w:w="1183" w:type="dxa"/>
                  <w:noWrap/>
                  <w:vAlign w:val="center"/>
                </w:tcPr>
                <w:p w14:paraId="7F7AD0DB">
                  <w:pPr>
                    <w:widowControl/>
                    <w:adjustRightInd w:val="0"/>
                    <w:snapToGrid w:val="0"/>
                    <w:jc w:val="center"/>
                    <w:textAlignment w:val="center"/>
                    <w:rPr>
                      <w:color w:val="000000"/>
                      <w:sz w:val="21"/>
                      <w:szCs w:val="21"/>
                    </w:rPr>
                  </w:pPr>
                  <w:r>
                    <w:rPr>
                      <w:rFonts w:hint="eastAsia"/>
                      <w:color w:val="000000"/>
                      <w:kern w:val="0"/>
                      <w:sz w:val="21"/>
                      <w:szCs w:val="21"/>
                      <w:lang w:eastAsia="zh-CN" w:bidi="ar"/>
                    </w:rPr>
                    <w:t>设计产能</w:t>
                  </w:r>
                  <w:r>
                    <w:rPr>
                      <w:color w:val="000000"/>
                      <w:kern w:val="0"/>
                      <w:sz w:val="21"/>
                      <w:szCs w:val="21"/>
                      <w:lang w:bidi="ar"/>
                    </w:rPr>
                    <w:t>（t/a）</w:t>
                  </w:r>
                </w:p>
              </w:tc>
              <w:tc>
                <w:tcPr>
                  <w:tcW w:w="1183" w:type="dxa"/>
                  <w:noWrap/>
                  <w:vAlign w:val="center"/>
                </w:tcPr>
                <w:p w14:paraId="4B65DF1B">
                  <w:pPr>
                    <w:widowControl/>
                    <w:adjustRightInd w:val="0"/>
                    <w:snapToGrid w:val="0"/>
                    <w:jc w:val="center"/>
                    <w:textAlignment w:val="center"/>
                    <w:rPr>
                      <w:color w:val="000000"/>
                      <w:kern w:val="0"/>
                      <w:sz w:val="21"/>
                      <w:szCs w:val="21"/>
                      <w:lang w:bidi="ar"/>
                    </w:rPr>
                  </w:pPr>
                  <w:r>
                    <w:rPr>
                      <w:rFonts w:hint="eastAsia"/>
                      <w:color w:val="000000"/>
                      <w:kern w:val="0"/>
                      <w:sz w:val="21"/>
                      <w:szCs w:val="21"/>
                      <w:lang w:eastAsia="zh-CN" w:bidi="ar"/>
                    </w:rPr>
                    <w:t>产品规模（t/a）</w:t>
                  </w:r>
                </w:p>
              </w:tc>
            </w:tr>
            <w:tr w14:paraId="6312C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27" w:type="dxa"/>
                  <w:noWrap/>
                  <w:vAlign w:val="center"/>
                </w:tcPr>
                <w:p w14:paraId="695E6620">
                  <w:pPr>
                    <w:widowControl/>
                    <w:adjustRightInd w:val="0"/>
                    <w:snapToGrid w:val="0"/>
                    <w:jc w:val="center"/>
                    <w:textAlignment w:val="center"/>
                    <w:rPr>
                      <w:color w:val="000000"/>
                      <w:sz w:val="21"/>
                      <w:szCs w:val="21"/>
                    </w:rPr>
                  </w:pPr>
                  <w:r>
                    <w:rPr>
                      <w:color w:val="000000"/>
                      <w:kern w:val="0"/>
                      <w:sz w:val="21"/>
                      <w:szCs w:val="21"/>
                      <w:lang w:bidi="ar"/>
                    </w:rPr>
                    <w:t>PVC电缆料生产线</w:t>
                  </w:r>
                </w:p>
              </w:tc>
              <w:tc>
                <w:tcPr>
                  <w:tcW w:w="1195" w:type="dxa"/>
                  <w:noWrap/>
                  <w:vAlign w:val="center"/>
                </w:tcPr>
                <w:p w14:paraId="53D48917">
                  <w:pPr>
                    <w:widowControl/>
                    <w:adjustRightInd w:val="0"/>
                    <w:snapToGrid w:val="0"/>
                    <w:jc w:val="center"/>
                    <w:textAlignment w:val="center"/>
                    <w:rPr>
                      <w:color w:val="000000"/>
                      <w:sz w:val="21"/>
                      <w:szCs w:val="21"/>
                    </w:rPr>
                  </w:pPr>
                  <w:r>
                    <w:rPr>
                      <w:color w:val="000000"/>
                      <w:kern w:val="0"/>
                      <w:sz w:val="21"/>
                      <w:szCs w:val="21"/>
                      <w:lang w:bidi="ar"/>
                    </w:rPr>
                    <w:t>8</w:t>
                  </w:r>
                  <w:r>
                    <w:rPr>
                      <w:rFonts w:hint="eastAsia"/>
                      <w:color w:val="000000"/>
                      <w:kern w:val="0"/>
                      <w:sz w:val="21"/>
                      <w:szCs w:val="21"/>
                      <w:lang w:bidi="ar"/>
                    </w:rPr>
                    <w:t>20</w:t>
                  </w:r>
                </w:p>
              </w:tc>
              <w:tc>
                <w:tcPr>
                  <w:tcW w:w="1244" w:type="dxa"/>
                  <w:noWrap/>
                  <w:vAlign w:val="center"/>
                </w:tcPr>
                <w:p w14:paraId="39F4B9F2">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6560</w:t>
                  </w:r>
                </w:p>
              </w:tc>
              <w:tc>
                <w:tcPr>
                  <w:tcW w:w="1171" w:type="dxa"/>
                  <w:noWrap/>
                  <w:vAlign w:val="center"/>
                </w:tcPr>
                <w:p w14:paraId="291FCE9A">
                  <w:pPr>
                    <w:widowControl/>
                    <w:adjustRightInd w:val="0"/>
                    <w:snapToGrid w:val="0"/>
                    <w:jc w:val="center"/>
                    <w:textAlignment w:val="center"/>
                    <w:rPr>
                      <w:color w:val="000000"/>
                    </w:rPr>
                  </w:pPr>
                  <w:r>
                    <w:rPr>
                      <w:rFonts w:hint="eastAsia"/>
                      <w:color w:val="000000"/>
                      <w:kern w:val="0"/>
                      <w:sz w:val="21"/>
                      <w:szCs w:val="21"/>
                      <w:lang w:bidi="ar"/>
                    </w:rPr>
                    <w:t>1968</w:t>
                  </w:r>
                </w:p>
              </w:tc>
              <w:tc>
                <w:tcPr>
                  <w:tcW w:w="1135" w:type="dxa"/>
                  <w:noWrap/>
                  <w:vAlign w:val="center"/>
                </w:tcPr>
                <w:p w14:paraId="0E256B01">
                  <w:pPr>
                    <w:widowControl/>
                    <w:adjustRightInd w:val="0"/>
                    <w:snapToGrid w:val="0"/>
                    <w:jc w:val="center"/>
                    <w:textAlignment w:val="center"/>
                    <w:rPr>
                      <w:color w:val="000000"/>
                      <w:sz w:val="21"/>
                      <w:szCs w:val="21"/>
                    </w:rPr>
                  </w:pPr>
                  <w:r>
                    <w:rPr>
                      <w:color w:val="000000"/>
                      <w:kern w:val="0"/>
                      <w:sz w:val="21"/>
                      <w:szCs w:val="21"/>
                      <w:lang w:bidi="ar"/>
                    </w:rPr>
                    <w:t>2条</w:t>
                  </w:r>
                </w:p>
              </w:tc>
              <w:tc>
                <w:tcPr>
                  <w:tcW w:w="1183" w:type="dxa"/>
                  <w:noWrap/>
                  <w:vAlign w:val="center"/>
                </w:tcPr>
                <w:p w14:paraId="7FF38DD0">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3936</w:t>
                  </w:r>
                </w:p>
              </w:tc>
              <w:tc>
                <w:tcPr>
                  <w:tcW w:w="1183" w:type="dxa"/>
                  <w:noWrap/>
                  <w:vAlign w:val="center"/>
                </w:tcPr>
                <w:p w14:paraId="32BAF841">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3900</w:t>
                  </w:r>
                </w:p>
              </w:tc>
            </w:tr>
            <w:tr w14:paraId="69B7E7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27" w:type="dxa"/>
                  <w:noWrap/>
                  <w:vAlign w:val="center"/>
                </w:tcPr>
                <w:p w14:paraId="6C5E281D">
                  <w:pPr>
                    <w:widowControl/>
                    <w:adjustRightInd w:val="0"/>
                    <w:snapToGrid w:val="0"/>
                    <w:jc w:val="center"/>
                    <w:textAlignment w:val="center"/>
                    <w:rPr>
                      <w:color w:val="000000"/>
                      <w:sz w:val="21"/>
                      <w:szCs w:val="21"/>
                    </w:rPr>
                  </w:pPr>
                  <w:r>
                    <w:rPr>
                      <w:color w:val="000000"/>
                      <w:kern w:val="0"/>
                      <w:sz w:val="21"/>
                      <w:szCs w:val="21"/>
                      <w:lang w:bidi="ar"/>
                    </w:rPr>
                    <w:t>低烟无卤电缆料生产线</w:t>
                  </w:r>
                </w:p>
              </w:tc>
              <w:tc>
                <w:tcPr>
                  <w:tcW w:w="1195" w:type="dxa"/>
                  <w:noWrap/>
                  <w:vAlign w:val="center"/>
                </w:tcPr>
                <w:p w14:paraId="518B5DB4">
                  <w:pPr>
                    <w:widowControl/>
                    <w:adjustRightInd w:val="0"/>
                    <w:snapToGrid w:val="0"/>
                    <w:jc w:val="center"/>
                    <w:textAlignment w:val="center"/>
                    <w:rPr>
                      <w:color w:val="000000"/>
                      <w:sz w:val="21"/>
                      <w:szCs w:val="21"/>
                    </w:rPr>
                  </w:pPr>
                  <w:r>
                    <w:rPr>
                      <w:color w:val="000000"/>
                      <w:kern w:val="0"/>
                      <w:sz w:val="21"/>
                      <w:szCs w:val="21"/>
                      <w:lang w:bidi="ar"/>
                    </w:rPr>
                    <w:t>6</w:t>
                  </w:r>
                  <w:r>
                    <w:rPr>
                      <w:rFonts w:hint="eastAsia"/>
                      <w:color w:val="000000"/>
                      <w:kern w:val="0"/>
                      <w:sz w:val="21"/>
                      <w:szCs w:val="21"/>
                      <w:lang w:bidi="ar"/>
                    </w:rPr>
                    <w:t>10</w:t>
                  </w:r>
                </w:p>
              </w:tc>
              <w:tc>
                <w:tcPr>
                  <w:tcW w:w="1244" w:type="dxa"/>
                  <w:noWrap/>
                  <w:vAlign w:val="center"/>
                </w:tcPr>
                <w:p w14:paraId="3FAAB9D1">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4880</w:t>
                  </w:r>
                </w:p>
              </w:tc>
              <w:tc>
                <w:tcPr>
                  <w:tcW w:w="1171" w:type="dxa"/>
                  <w:noWrap/>
                  <w:vAlign w:val="center"/>
                </w:tcPr>
                <w:p w14:paraId="1778AC2F">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1464</w:t>
                  </w:r>
                </w:p>
              </w:tc>
              <w:tc>
                <w:tcPr>
                  <w:tcW w:w="1135" w:type="dxa"/>
                  <w:noWrap/>
                  <w:vAlign w:val="center"/>
                </w:tcPr>
                <w:p w14:paraId="7B1406EB">
                  <w:pPr>
                    <w:widowControl/>
                    <w:adjustRightInd w:val="0"/>
                    <w:snapToGrid w:val="0"/>
                    <w:jc w:val="center"/>
                    <w:textAlignment w:val="center"/>
                    <w:rPr>
                      <w:color w:val="000000"/>
                      <w:sz w:val="21"/>
                      <w:szCs w:val="21"/>
                    </w:rPr>
                  </w:pPr>
                  <w:r>
                    <w:rPr>
                      <w:color w:val="000000"/>
                      <w:kern w:val="0"/>
                      <w:sz w:val="21"/>
                      <w:szCs w:val="21"/>
                      <w:lang w:bidi="ar"/>
                    </w:rPr>
                    <w:t>3条</w:t>
                  </w:r>
                </w:p>
              </w:tc>
              <w:tc>
                <w:tcPr>
                  <w:tcW w:w="1183" w:type="dxa"/>
                  <w:noWrap/>
                  <w:vAlign w:val="center"/>
                </w:tcPr>
                <w:p w14:paraId="2432A399">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4392</w:t>
                  </w:r>
                </w:p>
              </w:tc>
              <w:tc>
                <w:tcPr>
                  <w:tcW w:w="1183" w:type="dxa"/>
                  <w:noWrap/>
                  <w:vAlign w:val="center"/>
                </w:tcPr>
                <w:p w14:paraId="346105C0">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4300</w:t>
                  </w:r>
                </w:p>
              </w:tc>
            </w:tr>
            <w:tr w14:paraId="6FC3C3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23" w:type="dxa"/>
                  <w:noWrap/>
                  <w:vAlign w:val="center"/>
                </w:tcPr>
                <w:p w14:paraId="58025924">
                  <w:pPr>
                    <w:widowControl/>
                    <w:adjustRightInd w:val="0"/>
                    <w:snapToGrid w:val="0"/>
                    <w:rPr>
                      <w:color w:val="000000"/>
                      <w:sz w:val="21"/>
                      <w:szCs w:val="21"/>
                    </w:rPr>
                  </w:pPr>
                  <w:r>
                    <w:rPr>
                      <w:color w:val="000000"/>
                      <w:sz w:val="21"/>
                      <w:szCs w:val="21"/>
                    </w:rPr>
                    <w:t>合计总产能</w:t>
                  </w:r>
                </w:p>
              </w:tc>
              <w:tc>
                <w:tcPr>
                  <w:tcW w:w="1199" w:type="dxa"/>
                  <w:noWrap/>
                  <w:vAlign w:val="center"/>
                </w:tcPr>
                <w:p w14:paraId="52C87908">
                  <w:pPr>
                    <w:widowControl/>
                    <w:adjustRightInd w:val="0"/>
                    <w:snapToGrid w:val="0"/>
                    <w:jc w:val="center"/>
                    <w:rPr>
                      <w:rFonts w:hint="eastAsia"/>
                      <w:color w:val="000000"/>
                      <w:sz w:val="21"/>
                      <w:szCs w:val="21"/>
                    </w:rPr>
                  </w:pPr>
                  <w:r>
                    <w:rPr>
                      <w:rFonts w:hint="eastAsia"/>
                      <w:color w:val="000000"/>
                      <w:sz w:val="21"/>
                      <w:szCs w:val="21"/>
                    </w:rPr>
                    <w:t>/</w:t>
                  </w:r>
                </w:p>
              </w:tc>
              <w:tc>
                <w:tcPr>
                  <w:tcW w:w="1244" w:type="dxa"/>
                  <w:noWrap/>
                  <w:vAlign w:val="center"/>
                </w:tcPr>
                <w:p w14:paraId="0F1215AE">
                  <w:pPr>
                    <w:widowControl/>
                    <w:adjustRightInd w:val="0"/>
                    <w:snapToGrid w:val="0"/>
                    <w:jc w:val="center"/>
                    <w:rPr>
                      <w:rFonts w:hint="eastAsia"/>
                      <w:color w:val="000000"/>
                      <w:sz w:val="21"/>
                      <w:szCs w:val="21"/>
                    </w:rPr>
                  </w:pPr>
                  <w:r>
                    <w:rPr>
                      <w:rFonts w:hint="eastAsia"/>
                      <w:color w:val="000000"/>
                      <w:sz w:val="21"/>
                      <w:szCs w:val="21"/>
                    </w:rPr>
                    <w:t>/</w:t>
                  </w:r>
                </w:p>
              </w:tc>
              <w:tc>
                <w:tcPr>
                  <w:tcW w:w="1171" w:type="dxa"/>
                  <w:noWrap/>
                  <w:vAlign w:val="center"/>
                </w:tcPr>
                <w:p w14:paraId="5C6A3650">
                  <w:pPr>
                    <w:widowControl/>
                    <w:adjustRightInd w:val="0"/>
                    <w:snapToGrid w:val="0"/>
                    <w:jc w:val="center"/>
                    <w:rPr>
                      <w:rFonts w:hint="eastAsia"/>
                      <w:color w:val="000000"/>
                      <w:sz w:val="21"/>
                      <w:szCs w:val="21"/>
                    </w:rPr>
                  </w:pPr>
                  <w:r>
                    <w:rPr>
                      <w:rFonts w:hint="eastAsia"/>
                      <w:color w:val="000000"/>
                      <w:sz w:val="21"/>
                      <w:szCs w:val="21"/>
                    </w:rPr>
                    <w:t>/</w:t>
                  </w:r>
                </w:p>
              </w:tc>
              <w:tc>
                <w:tcPr>
                  <w:tcW w:w="1135" w:type="dxa"/>
                  <w:noWrap/>
                  <w:vAlign w:val="center"/>
                </w:tcPr>
                <w:p w14:paraId="18931ED3">
                  <w:pPr>
                    <w:widowControl/>
                    <w:adjustRightInd w:val="0"/>
                    <w:snapToGrid w:val="0"/>
                    <w:jc w:val="center"/>
                    <w:rPr>
                      <w:rFonts w:hint="eastAsia"/>
                      <w:color w:val="000000"/>
                      <w:sz w:val="21"/>
                      <w:szCs w:val="21"/>
                    </w:rPr>
                  </w:pPr>
                  <w:r>
                    <w:rPr>
                      <w:rFonts w:hint="eastAsia"/>
                      <w:color w:val="000000"/>
                      <w:sz w:val="21"/>
                      <w:szCs w:val="21"/>
                    </w:rPr>
                    <w:t>/</w:t>
                  </w:r>
                </w:p>
              </w:tc>
              <w:tc>
                <w:tcPr>
                  <w:tcW w:w="1183" w:type="dxa"/>
                  <w:noWrap/>
                  <w:vAlign w:val="center"/>
                </w:tcPr>
                <w:p w14:paraId="4740E52E">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8328</w:t>
                  </w:r>
                </w:p>
              </w:tc>
              <w:tc>
                <w:tcPr>
                  <w:tcW w:w="1183" w:type="dxa"/>
                  <w:noWrap/>
                  <w:vAlign w:val="center"/>
                </w:tcPr>
                <w:p w14:paraId="73817E11">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8200</w:t>
                  </w:r>
                </w:p>
              </w:tc>
            </w:tr>
          </w:tbl>
          <w:p w14:paraId="07E8D5FB">
            <w:pPr>
              <w:adjustRightInd w:val="0"/>
              <w:snapToGrid w:val="0"/>
              <w:spacing w:line="360" w:lineRule="auto"/>
              <w:jc w:val="left"/>
              <w:rPr>
                <w:b/>
                <w:bCs/>
                <w:color w:val="000000"/>
              </w:rPr>
            </w:pPr>
            <w:r>
              <w:rPr>
                <w:b/>
                <w:bCs/>
                <w:color w:val="000000"/>
              </w:rPr>
              <w:t>2.</w:t>
            </w:r>
            <w:r>
              <w:rPr>
                <w:rFonts w:hint="eastAsia"/>
                <w:b/>
                <w:bCs/>
                <w:color w:val="000000"/>
              </w:rPr>
              <w:t>3</w:t>
            </w:r>
            <w:r>
              <w:rPr>
                <w:b/>
                <w:bCs/>
                <w:color w:val="000000"/>
              </w:rPr>
              <w:t>主要原辅材料</w:t>
            </w:r>
          </w:p>
          <w:p w14:paraId="00449387">
            <w:pPr>
              <w:adjustRightInd w:val="0"/>
              <w:snapToGrid w:val="0"/>
              <w:spacing w:line="360" w:lineRule="auto"/>
              <w:ind w:firstLine="420" w:firstLineChars="200"/>
              <w:jc w:val="left"/>
              <w:rPr>
                <w:color w:val="000000"/>
              </w:rPr>
            </w:pPr>
            <w:r>
              <w:rPr>
                <w:color w:val="000000"/>
              </w:rPr>
              <w:t>本项目主要原辅材料消耗情况见表</w:t>
            </w:r>
            <w:r>
              <w:rPr>
                <w:rFonts w:hint="eastAsia"/>
                <w:color w:val="000000"/>
              </w:rPr>
              <w:t>2-6</w:t>
            </w:r>
            <w:r>
              <w:rPr>
                <w:color w:val="000000"/>
              </w:rPr>
              <w:t>。</w:t>
            </w:r>
          </w:p>
          <w:p w14:paraId="0899121F">
            <w:pPr>
              <w:spacing w:before="24"/>
              <w:jc w:val="center"/>
              <w:rPr>
                <w:b/>
                <w:bCs/>
                <w:color w:val="000000"/>
                <w:szCs w:val="32"/>
              </w:rPr>
            </w:pPr>
            <w:r>
              <w:rPr>
                <w:b/>
                <w:bCs/>
                <w:color w:val="000000"/>
                <w:szCs w:val="32"/>
              </w:rPr>
              <w:t>表</w:t>
            </w:r>
            <w:r>
              <w:rPr>
                <w:rFonts w:hint="eastAsia"/>
                <w:b/>
                <w:bCs/>
                <w:color w:val="000000"/>
                <w:szCs w:val="32"/>
              </w:rPr>
              <w:t>2-6</w:t>
            </w:r>
            <w:r>
              <w:rPr>
                <w:b/>
                <w:bCs/>
                <w:color w:val="000000"/>
                <w:szCs w:val="32"/>
              </w:rPr>
              <w:t xml:space="preserve">  本项目主要原辅材料消耗表</w:t>
            </w:r>
          </w:p>
          <w:tbl>
            <w:tblPr>
              <w:tblStyle w:val="16"/>
              <w:tblW w:w="5000" w:type="pct"/>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565"/>
              <w:gridCol w:w="1661"/>
              <w:gridCol w:w="2021"/>
              <w:gridCol w:w="380"/>
              <w:gridCol w:w="689"/>
              <w:gridCol w:w="1020"/>
              <w:gridCol w:w="505"/>
              <w:gridCol w:w="1286"/>
              <w:gridCol w:w="314"/>
            </w:tblGrid>
            <w:tr w14:paraId="3218885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334" w:type="pct"/>
                  <w:noWrap w:val="0"/>
                  <w:vAlign w:val="center"/>
                </w:tcPr>
                <w:p w14:paraId="6D7BFA3A">
                  <w:pPr>
                    <w:overflowPunct w:val="0"/>
                    <w:autoSpaceDE w:val="0"/>
                    <w:autoSpaceDN w:val="0"/>
                    <w:adjustRightInd w:val="0"/>
                    <w:snapToGrid w:val="0"/>
                    <w:jc w:val="center"/>
                    <w:rPr>
                      <w:color w:val="000000"/>
                      <w:sz w:val="18"/>
                      <w:szCs w:val="18"/>
                    </w:rPr>
                  </w:pPr>
                  <w:r>
                    <w:rPr>
                      <w:color w:val="000000"/>
                      <w:sz w:val="18"/>
                      <w:szCs w:val="18"/>
                    </w:rPr>
                    <w:t>序号</w:t>
                  </w:r>
                </w:p>
              </w:tc>
              <w:tc>
                <w:tcPr>
                  <w:tcW w:w="983" w:type="pct"/>
                  <w:noWrap w:val="0"/>
                  <w:vAlign w:val="center"/>
                </w:tcPr>
                <w:p w14:paraId="0278AE47">
                  <w:pPr>
                    <w:overflowPunct w:val="0"/>
                    <w:autoSpaceDE w:val="0"/>
                    <w:autoSpaceDN w:val="0"/>
                    <w:adjustRightInd w:val="0"/>
                    <w:snapToGrid w:val="0"/>
                    <w:jc w:val="center"/>
                    <w:rPr>
                      <w:color w:val="000000"/>
                      <w:sz w:val="18"/>
                      <w:szCs w:val="18"/>
                    </w:rPr>
                  </w:pPr>
                  <w:r>
                    <w:rPr>
                      <w:color w:val="000000"/>
                      <w:sz w:val="18"/>
                      <w:szCs w:val="18"/>
                    </w:rPr>
                    <w:t>原辅材料名称</w:t>
                  </w:r>
                </w:p>
              </w:tc>
              <w:tc>
                <w:tcPr>
                  <w:tcW w:w="1196" w:type="pct"/>
                  <w:noWrap w:val="0"/>
                  <w:vAlign w:val="center"/>
                </w:tcPr>
                <w:p w14:paraId="4A0FD0DD">
                  <w:pPr>
                    <w:overflowPunct w:val="0"/>
                    <w:autoSpaceDE w:val="0"/>
                    <w:autoSpaceDN w:val="0"/>
                    <w:adjustRightInd w:val="0"/>
                    <w:snapToGrid w:val="0"/>
                    <w:jc w:val="center"/>
                    <w:rPr>
                      <w:color w:val="000000"/>
                      <w:sz w:val="18"/>
                      <w:szCs w:val="18"/>
                    </w:rPr>
                  </w:pPr>
                  <w:r>
                    <w:rPr>
                      <w:color w:val="000000"/>
                      <w:sz w:val="18"/>
                      <w:szCs w:val="18"/>
                    </w:rPr>
                    <w:t>主要规格、成分</w:t>
                  </w:r>
                </w:p>
              </w:tc>
              <w:tc>
                <w:tcPr>
                  <w:tcW w:w="225" w:type="pct"/>
                  <w:noWrap w:val="0"/>
                  <w:vAlign w:val="center"/>
                </w:tcPr>
                <w:p w14:paraId="29EE4657">
                  <w:pPr>
                    <w:overflowPunct w:val="0"/>
                    <w:autoSpaceDE w:val="0"/>
                    <w:autoSpaceDN w:val="0"/>
                    <w:adjustRightInd w:val="0"/>
                    <w:snapToGrid w:val="0"/>
                    <w:jc w:val="center"/>
                    <w:rPr>
                      <w:color w:val="000000"/>
                      <w:sz w:val="18"/>
                      <w:szCs w:val="18"/>
                    </w:rPr>
                  </w:pPr>
                  <w:r>
                    <w:rPr>
                      <w:color w:val="000000"/>
                      <w:sz w:val="18"/>
                      <w:szCs w:val="18"/>
                    </w:rPr>
                    <w:t>单位</w:t>
                  </w:r>
                </w:p>
              </w:tc>
              <w:tc>
                <w:tcPr>
                  <w:tcW w:w="408" w:type="pct"/>
                  <w:noWrap w:val="0"/>
                  <w:vAlign w:val="center"/>
                </w:tcPr>
                <w:p w14:paraId="096D68BD">
                  <w:pPr>
                    <w:overflowPunct w:val="0"/>
                    <w:autoSpaceDE w:val="0"/>
                    <w:autoSpaceDN w:val="0"/>
                    <w:adjustRightInd w:val="0"/>
                    <w:snapToGrid w:val="0"/>
                    <w:jc w:val="center"/>
                    <w:rPr>
                      <w:color w:val="000000"/>
                      <w:sz w:val="18"/>
                      <w:szCs w:val="18"/>
                    </w:rPr>
                  </w:pPr>
                  <w:r>
                    <w:rPr>
                      <w:color w:val="000000"/>
                      <w:sz w:val="18"/>
                      <w:szCs w:val="18"/>
                    </w:rPr>
                    <w:t>年用量</w:t>
                  </w:r>
                </w:p>
              </w:tc>
              <w:tc>
                <w:tcPr>
                  <w:tcW w:w="604" w:type="pct"/>
                  <w:noWrap w:val="0"/>
                  <w:vAlign w:val="center"/>
                </w:tcPr>
                <w:p w14:paraId="6DF637F8">
                  <w:pPr>
                    <w:overflowPunct w:val="0"/>
                    <w:autoSpaceDE w:val="0"/>
                    <w:autoSpaceDN w:val="0"/>
                    <w:adjustRightInd w:val="0"/>
                    <w:snapToGrid w:val="0"/>
                    <w:jc w:val="center"/>
                    <w:rPr>
                      <w:color w:val="000000"/>
                      <w:sz w:val="18"/>
                      <w:szCs w:val="18"/>
                    </w:rPr>
                  </w:pPr>
                  <w:r>
                    <w:rPr>
                      <w:color w:val="000000"/>
                      <w:sz w:val="18"/>
                      <w:szCs w:val="18"/>
                    </w:rPr>
                    <w:t>包括规格</w:t>
                  </w:r>
                </w:p>
              </w:tc>
              <w:tc>
                <w:tcPr>
                  <w:tcW w:w="299" w:type="pct"/>
                  <w:noWrap w:val="0"/>
                  <w:vAlign w:val="center"/>
                </w:tcPr>
                <w:p w14:paraId="27ED36EA">
                  <w:pPr>
                    <w:overflowPunct w:val="0"/>
                    <w:autoSpaceDE w:val="0"/>
                    <w:autoSpaceDN w:val="0"/>
                    <w:adjustRightInd w:val="0"/>
                    <w:snapToGrid w:val="0"/>
                    <w:jc w:val="center"/>
                    <w:rPr>
                      <w:color w:val="000000"/>
                      <w:sz w:val="18"/>
                      <w:szCs w:val="18"/>
                    </w:rPr>
                  </w:pPr>
                  <w:r>
                    <w:rPr>
                      <w:color w:val="000000"/>
                      <w:sz w:val="18"/>
                      <w:szCs w:val="18"/>
                    </w:rPr>
                    <w:t>最大储存量</w:t>
                  </w:r>
                </w:p>
              </w:tc>
              <w:tc>
                <w:tcPr>
                  <w:tcW w:w="761" w:type="pct"/>
                  <w:noWrap w:val="0"/>
                  <w:vAlign w:val="center"/>
                </w:tcPr>
                <w:p w14:paraId="520933E1">
                  <w:pPr>
                    <w:overflowPunct w:val="0"/>
                    <w:autoSpaceDE w:val="0"/>
                    <w:autoSpaceDN w:val="0"/>
                    <w:adjustRightInd w:val="0"/>
                    <w:snapToGrid w:val="0"/>
                    <w:jc w:val="center"/>
                    <w:rPr>
                      <w:color w:val="000000"/>
                      <w:sz w:val="18"/>
                      <w:szCs w:val="18"/>
                    </w:rPr>
                  </w:pPr>
                  <w:r>
                    <w:rPr>
                      <w:color w:val="000000"/>
                      <w:sz w:val="18"/>
                      <w:szCs w:val="18"/>
                    </w:rPr>
                    <w:t>状态</w:t>
                  </w:r>
                </w:p>
              </w:tc>
              <w:tc>
                <w:tcPr>
                  <w:tcW w:w="186" w:type="pct"/>
                  <w:noWrap w:val="0"/>
                  <w:vAlign w:val="center"/>
                </w:tcPr>
                <w:p w14:paraId="453FD939">
                  <w:pPr>
                    <w:tabs>
                      <w:tab w:val="left" w:pos="720"/>
                    </w:tabs>
                    <w:overflowPunct w:val="0"/>
                    <w:autoSpaceDE w:val="0"/>
                    <w:autoSpaceDN w:val="0"/>
                    <w:adjustRightInd w:val="0"/>
                    <w:snapToGrid w:val="0"/>
                    <w:jc w:val="center"/>
                    <w:rPr>
                      <w:color w:val="000000"/>
                      <w:sz w:val="18"/>
                      <w:szCs w:val="18"/>
                    </w:rPr>
                  </w:pPr>
                  <w:r>
                    <w:rPr>
                      <w:color w:val="000000"/>
                      <w:sz w:val="18"/>
                      <w:szCs w:val="18"/>
                    </w:rPr>
                    <w:t>备注</w:t>
                  </w:r>
                </w:p>
              </w:tc>
            </w:tr>
            <w:tr w14:paraId="6192B75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334" w:type="pct"/>
                  <w:noWrap w:val="0"/>
                  <w:vAlign w:val="center"/>
                </w:tcPr>
                <w:p w14:paraId="6FCFA1B1">
                  <w:pPr>
                    <w:overflowPunct w:val="0"/>
                    <w:autoSpaceDE w:val="0"/>
                    <w:autoSpaceDN w:val="0"/>
                    <w:adjustRightInd w:val="0"/>
                    <w:snapToGrid w:val="0"/>
                    <w:jc w:val="center"/>
                    <w:rPr>
                      <w:color w:val="000000"/>
                      <w:sz w:val="18"/>
                      <w:szCs w:val="18"/>
                    </w:rPr>
                  </w:pPr>
                  <w:r>
                    <w:rPr>
                      <w:color w:val="000000"/>
                      <w:sz w:val="18"/>
                      <w:szCs w:val="18"/>
                    </w:rPr>
                    <w:t>1</w:t>
                  </w:r>
                </w:p>
              </w:tc>
              <w:tc>
                <w:tcPr>
                  <w:tcW w:w="983" w:type="pct"/>
                  <w:noWrap w:val="0"/>
                  <w:vAlign w:val="center"/>
                </w:tcPr>
                <w:p w14:paraId="03B71B76">
                  <w:pPr>
                    <w:overflowPunct w:val="0"/>
                    <w:autoSpaceDE w:val="0"/>
                    <w:autoSpaceDN w:val="0"/>
                    <w:adjustRightInd w:val="0"/>
                    <w:snapToGrid w:val="0"/>
                    <w:jc w:val="center"/>
                    <w:rPr>
                      <w:color w:val="000000"/>
                      <w:sz w:val="18"/>
                      <w:szCs w:val="18"/>
                    </w:rPr>
                  </w:pPr>
                  <w:r>
                    <w:rPr>
                      <w:color w:val="000000"/>
                      <w:sz w:val="18"/>
                      <w:szCs w:val="18"/>
                    </w:rPr>
                    <w:t>PVC树脂粉</w:t>
                  </w:r>
                </w:p>
              </w:tc>
              <w:tc>
                <w:tcPr>
                  <w:tcW w:w="1196" w:type="pct"/>
                  <w:noWrap w:val="0"/>
                  <w:vAlign w:val="center"/>
                </w:tcPr>
                <w:p w14:paraId="63E36052">
                  <w:pPr>
                    <w:overflowPunct w:val="0"/>
                    <w:autoSpaceDE w:val="0"/>
                    <w:autoSpaceDN w:val="0"/>
                    <w:adjustRightInd w:val="0"/>
                    <w:snapToGrid w:val="0"/>
                    <w:jc w:val="center"/>
                    <w:rPr>
                      <w:color w:val="000000"/>
                      <w:sz w:val="18"/>
                      <w:szCs w:val="18"/>
                    </w:rPr>
                  </w:pPr>
                  <w:r>
                    <w:rPr>
                      <w:color w:val="000000"/>
                      <w:sz w:val="18"/>
                      <w:szCs w:val="18"/>
                    </w:rPr>
                    <w:t>聚氯乙烯树脂</w:t>
                  </w:r>
                </w:p>
              </w:tc>
              <w:tc>
                <w:tcPr>
                  <w:tcW w:w="225" w:type="pct"/>
                  <w:noWrap w:val="0"/>
                  <w:vAlign w:val="center"/>
                </w:tcPr>
                <w:p w14:paraId="739F3A07">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2F9B3D98">
                  <w:pPr>
                    <w:overflowPunct w:val="0"/>
                    <w:autoSpaceDE w:val="0"/>
                    <w:autoSpaceDN w:val="0"/>
                    <w:adjustRightInd w:val="0"/>
                    <w:snapToGrid w:val="0"/>
                    <w:jc w:val="center"/>
                    <w:rPr>
                      <w:color w:val="000000"/>
                      <w:sz w:val="18"/>
                      <w:szCs w:val="18"/>
                    </w:rPr>
                  </w:pPr>
                  <w:r>
                    <w:rPr>
                      <w:rFonts w:hint="eastAsia"/>
                      <w:color w:val="000000"/>
                      <w:sz w:val="18"/>
                      <w:szCs w:val="18"/>
                    </w:rPr>
                    <w:t>2100</w:t>
                  </w:r>
                </w:p>
              </w:tc>
              <w:tc>
                <w:tcPr>
                  <w:tcW w:w="604" w:type="pct"/>
                  <w:noWrap w:val="0"/>
                  <w:vAlign w:val="center"/>
                </w:tcPr>
                <w:p w14:paraId="07F6F8AA">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2D637CD5">
                  <w:pPr>
                    <w:overflowPunct w:val="0"/>
                    <w:autoSpaceDE w:val="0"/>
                    <w:autoSpaceDN w:val="0"/>
                    <w:adjustRightInd w:val="0"/>
                    <w:snapToGrid w:val="0"/>
                    <w:jc w:val="center"/>
                    <w:rPr>
                      <w:color w:val="000000"/>
                      <w:sz w:val="18"/>
                      <w:szCs w:val="18"/>
                    </w:rPr>
                  </w:pPr>
                  <w:r>
                    <w:rPr>
                      <w:color w:val="000000"/>
                      <w:sz w:val="18"/>
                      <w:szCs w:val="18"/>
                    </w:rPr>
                    <w:t>50t</w:t>
                  </w:r>
                </w:p>
              </w:tc>
              <w:tc>
                <w:tcPr>
                  <w:tcW w:w="761" w:type="pct"/>
                  <w:noWrap w:val="0"/>
                  <w:vAlign w:val="center"/>
                </w:tcPr>
                <w:p w14:paraId="291EC8FA">
                  <w:pPr>
                    <w:overflowPunct w:val="0"/>
                    <w:autoSpaceDE w:val="0"/>
                    <w:autoSpaceDN w:val="0"/>
                    <w:adjustRightInd w:val="0"/>
                    <w:snapToGrid w:val="0"/>
                    <w:ind w:right="-5"/>
                    <w:jc w:val="center"/>
                    <w:rPr>
                      <w:color w:val="000000"/>
                      <w:sz w:val="18"/>
                      <w:szCs w:val="18"/>
                    </w:rPr>
                  </w:pPr>
                  <w:r>
                    <w:rPr>
                      <w:rFonts w:hint="eastAsia"/>
                      <w:color w:val="000000"/>
                      <w:sz w:val="18"/>
                      <w:szCs w:val="18"/>
                    </w:rPr>
                    <w:t>固态，粒径0.06~0.25mm</w:t>
                  </w:r>
                </w:p>
              </w:tc>
              <w:tc>
                <w:tcPr>
                  <w:tcW w:w="186" w:type="pct"/>
                  <w:vMerge w:val="restart"/>
                  <w:noWrap w:val="0"/>
                  <w:vAlign w:val="center"/>
                </w:tcPr>
                <w:p w14:paraId="6474454C">
                  <w:pPr>
                    <w:overflowPunct w:val="0"/>
                    <w:autoSpaceDE w:val="0"/>
                    <w:autoSpaceDN w:val="0"/>
                    <w:adjustRightInd w:val="0"/>
                    <w:snapToGrid w:val="0"/>
                    <w:jc w:val="center"/>
                    <w:rPr>
                      <w:color w:val="000000"/>
                      <w:sz w:val="18"/>
                      <w:szCs w:val="18"/>
                    </w:rPr>
                  </w:pPr>
                  <w:r>
                    <w:rPr>
                      <w:color w:val="000000"/>
                      <w:sz w:val="18"/>
                      <w:szCs w:val="18"/>
                    </w:rPr>
                    <w:t>PVC电缆料原辅料</w:t>
                  </w:r>
                </w:p>
              </w:tc>
            </w:tr>
            <w:tr w14:paraId="0CECD85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334" w:type="pct"/>
                  <w:noWrap w:val="0"/>
                  <w:vAlign w:val="center"/>
                </w:tcPr>
                <w:p w14:paraId="4DD2B43E">
                  <w:pPr>
                    <w:overflowPunct w:val="0"/>
                    <w:autoSpaceDE w:val="0"/>
                    <w:autoSpaceDN w:val="0"/>
                    <w:adjustRightInd w:val="0"/>
                    <w:snapToGrid w:val="0"/>
                    <w:jc w:val="center"/>
                    <w:rPr>
                      <w:color w:val="000000"/>
                      <w:sz w:val="18"/>
                      <w:szCs w:val="18"/>
                    </w:rPr>
                  </w:pPr>
                  <w:r>
                    <w:rPr>
                      <w:color w:val="000000"/>
                      <w:sz w:val="18"/>
                      <w:szCs w:val="18"/>
                    </w:rPr>
                    <w:t>2</w:t>
                  </w:r>
                </w:p>
              </w:tc>
              <w:tc>
                <w:tcPr>
                  <w:tcW w:w="983" w:type="pct"/>
                  <w:noWrap w:val="0"/>
                  <w:vAlign w:val="center"/>
                </w:tcPr>
                <w:p w14:paraId="7A7FB225">
                  <w:pPr>
                    <w:overflowPunct w:val="0"/>
                    <w:autoSpaceDE w:val="0"/>
                    <w:autoSpaceDN w:val="0"/>
                    <w:adjustRightInd w:val="0"/>
                    <w:snapToGrid w:val="0"/>
                    <w:jc w:val="center"/>
                    <w:rPr>
                      <w:color w:val="000000"/>
                      <w:sz w:val="18"/>
                      <w:szCs w:val="18"/>
                    </w:rPr>
                  </w:pPr>
                  <w:r>
                    <w:rPr>
                      <w:color w:val="000000"/>
                      <w:sz w:val="18"/>
                      <w:szCs w:val="18"/>
                    </w:rPr>
                    <w:t>碳酸钙</w:t>
                  </w:r>
                </w:p>
              </w:tc>
              <w:tc>
                <w:tcPr>
                  <w:tcW w:w="1196" w:type="pct"/>
                  <w:noWrap w:val="0"/>
                  <w:vAlign w:val="center"/>
                </w:tcPr>
                <w:p w14:paraId="17D73B6C">
                  <w:pPr>
                    <w:overflowPunct w:val="0"/>
                    <w:autoSpaceDE w:val="0"/>
                    <w:autoSpaceDN w:val="0"/>
                    <w:adjustRightInd w:val="0"/>
                    <w:snapToGrid w:val="0"/>
                    <w:jc w:val="center"/>
                    <w:rPr>
                      <w:color w:val="000000"/>
                      <w:sz w:val="18"/>
                      <w:szCs w:val="18"/>
                    </w:rPr>
                  </w:pPr>
                  <w:r>
                    <w:rPr>
                      <w:color w:val="000000"/>
                      <w:sz w:val="18"/>
                      <w:szCs w:val="18"/>
                    </w:rPr>
                    <w:t>CaCO3</w:t>
                  </w:r>
                </w:p>
              </w:tc>
              <w:tc>
                <w:tcPr>
                  <w:tcW w:w="225" w:type="pct"/>
                  <w:noWrap w:val="0"/>
                  <w:vAlign w:val="center"/>
                </w:tcPr>
                <w:p w14:paraId="23B20BC4">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63FC586C">
                  <w:pPr>
                    <w:overflowPunct w:val="0"/>
                    <w:autoSpaceDE w:val="0"/>
                    <w:autoSpaceDN w:val="0"/>
                    <w:adjustRightInd w:val="0"/>
                    <w:snapToGrid w:val="0"/>
                    <w:jc w:val="center"/>
                    <w:rPr>
                      <w:color w:val="000000"/>
                      <w:sz w:val="18"/>
                      <w:szCs w:val="18"/>
                    </w:rPr>
                  </w:pPr>
                  <w:r>
                    <w:rPr>
                      <w:rFonts w:hint="eastAsia"/>
                      <w:color w:val="000000"/>
                      <w:sz w:val="18"/>
                      <w:szCs w:val="18"/>
                    </w:rPr>
                    <w:t>900</w:t>
                  </w:r>
                </w:p>
              </w:tc>
              <w:tc>
                <w:tcPr>
                  <w:tcW w:w="604" w:type="pct"/>
                  <w:noWrap w:val="0"/>
                  <w:vAlign w:val="center"/>
                </w:tcPr>
                <w:p w14:paraId="4086A96B">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5CE95FE2">
                  <w:pPr>
                    <w:overflowPunct w:val="0"/>
                    <w:autoSpaceDE w:val="0"/>
                    <w:autoSpaceDN w:val="0"/>
                    <w:adjustRightInd w:val="0"/>
                    <w:snapToGrid w:val="0"/>
                    <w:jc w:val="center"/>
                    <w:rPr>
                      <w:color w:val="000000"/>
                      <w:sz w:val="18"/>
                      <w:szCs w:val="18"/>
                    </w:rPr>
                  </w:pPr>
                  <w:r>
                    <w:rPr>
                      <w:color w:val="000000"/>
                      <w:sz w:val="18"/>
                      <w:szCs w:val="18"/>
                    </w:rPr>
                    <w:t>50t</w:t>
                  </w:r>
                </w:p>
              </w:tc>
              <w:tc>
                <w:tcPr>
                  <w:tcW w:w="761" w:type="pct"/>
                  <w:noWrap w:val="0"/>
                  <w:vAlign w:val="center"/>
                </w:tcPr>
                <w:p w14:paraId="325B74F4">
                  <w:pPr>
                    <w:overflowPunct w:val="0"/>
                    <w:autoSpaceDE w:val="0"/>
                    <w:autoSpaceDN w:val="0"/>
                    <w:adjustRightInd w:val="0"/>
                    <w:snapToGrid w:val="0"/>
                    <w:jc w:val="center"/>
                    <w:rPr>
                      <w:color w:val="000000"/>
                      <w:sz w:val="18"/>
                      <w:szCs w:val="18"/>
                    </w:rPr>
                  </w:pPr>
                  <w:r>
                    <w:rPr>
                      <w:rFonts w:hint="eastAsia"/>
                      <w:color w:val="000000"/>
                      <w:sz w:val="18"/>
                      <w:szCs w:val="18"/>
                    </w:rPr>
                    <w:t>固态，粒径0.01~0.25mm</w:t>
                  </w:r>
                </w:p>
              </w:tc>
              <w:tc>
                <w:tcPr>
                  <w:tcW w:w="186" w:type="pct"/>
                  <w:vMerge w:val="continue"/>
                  <w:noWrap w:val="0"/>
                  <w:vAlign w:val="center"/>
                </w:tcPr>
                <w:p w14:paraId="14F558C5">
                  <w:pPr>
                    <w:overflowPunct w:val="0"/>
                    <w:autoSpaceDE w:val="0"/>
                    <w:autoSpaceDN w:val="0"/>
                    <w:adjustRightInd w:val="0"/>
                    <w:snapToGrid w:val="0"/>
                    <w:jc w:val="center"/>
                    <w:rPr>
                      <w:color w:val="000000"/>
                      <w:sz w:val="18"/>
                      <w:szCs w:val="18"/>
                    </w:rPr>
                  </w:pPr>
                </w:p>
              </w:tc>
            </w:tr>
            <w:tr w14:paraId="71D5036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58A375BC">
                  <w:pPr>
                    <w:overflowPunct w:val="0"/>
                    <w:autoSpaceDE w:val="0"/>
                    <w:autoSpaceDN w:val="0"/>
                    <w:adjustRightInd w:val="0"/>
                    <w:snapToGrid w:val="0"/>
                    <w:jc w:val="center"/>
                    <w:rPr>
                      <w:color w:val="000000"/>
                      <w:sz w:val="18"/>
                      <w:szCs w:val="18"/>
                    </w:rPr>
                  </w:pPr>
                  <w:r>
                    <w:rPr>
                      <w:color w:val="000000"/>
                      <w:sz w:val="18"/>
                      <w:szCs w:val="18"/>
                    </w:rPr>
                    <w:t>3</w:t>
                  </w:r>
                </w:p>
              </w:tc>
              <w:tc>
                <w:tcPr>
                  <w:tcW w:w="983" w:type="pct"/>
                  <w:noWrap w:val="0"/>
                  <w:vAlign w:val="center"/>
                </w:tcPr>
                <w:p w14:paraId="740CAA08">
                  <w:pPr>
                    <w:overflowPunct w:val="0"/>
                    <w:autoSpaceDE w:val="0"/>
                    <w:autoSpaceDN w:val="0"/>
                    <w:adjustRightInd w:val="0"/>
                    <w:snapToGrid w:val="0"/>
                    <w:jc w:val="center"/>
                    <w:rPr>
                      <w:color w:val="000000"/>
                      <w:sz w:val="18"/>
                      <w:szCs w:val="18"/>
                    </w:rPr>
                  </w:pPr>
                  <w:r>
                    <w:rPr>
                      <w:color w:val="000000"/>
                      <w:sz w:val="18"/>
                      <w:szCs w:val="18"/>
                    </w:rPr>
                    <w:t>高岭土</w:t>
                  </w:r>
                </w:p>
              </w:tc>
              <w:tc>
                <w:tcPr>
                  <w:tcW w:w="1196" w:type="pct"/>
                  <w:noWrap w:val="0"/>
                  <w:vAlign w:val="center"/>
                </w:tcPr>
                <w:p w14:paraId="7D71168E">
                  <w:pPr>
                    <w:overflowPunct w:val="0"/>
                    <w:autoSpaceDE w:val="0"/>
                    <w:autoSpaceDN w:val="0"/>
                    <w:adjustRightInd w:val="0"/>
                    <w:snapToGrid w:val="0"/>
                    <w:jc w:val="center"/>
                    <w:rPr>
                      <w:color w:val="000000"/>
                      <w:sz w:val="18"/>
                      <w:szCs w:val="18"/>
                    </w:rPr>
                  </w:pPr>
                  <w:r>
                    <w:rPr>
                      <w:rFonts w:hint="eastAsia"/>
                      <w:color w:val="000000"/>
                      <w:sz w:val="18"/>
                      <w:szCs w:val="18"/>
                      <w:lang w:val="en-US" w:eastAsia="zh-CN"/>
                    </w:rPr>
                    <w:t>SiO</w:t>
                  </w:r>
                  <w:r>
                    <w:rPr>
                      <w:rFonts w:hint="eastAsia"/>
                      <w:color w:val="000000"/>
                      <w:sz w:val="18"/>
                      <w:szCs w:val="18"/>
                      <w:vertAlign w:val="subscript"/>
                      <w:lang w:val="en-US" w:eastAsia="zh-CN"/>
                    </w:rPr>
                    <w:t>2</w:t>
                  </w:r>
                  <w:r>
                    <w:rPr>
                      <w:rFonts w:hint="eastAsia"/>
                      <w:color w:val="000000"/>
                      <w:sz w:val="18"/>
                      <w:szCs w:val="18"/>
                      <w:vertAlign w:val="baseline"/>
                      <w:lang w:val="en-US" w:eastAsia="zh-CN"/>
                    </w:rPr>
                    <w:t>、Al</w:t>
                  </w:r>
                  <w:r>
                    <w:rPr>
                      <w:rFonts w:hint="eastAsia"/>
                      <w:color w:val="000000"/>
                      <w:sz w:val="18"/>
                      <w:szCs w:val="18"/>
                      <w:vertAlign w:val="subscript"/>
                      <w:lang w:val="en-US" w:eastAsia="zh-CN"/>
                    </w:rPr>
                    <w:t>2</w:t>
                  </w:r>
                  <w:r>
                    <w:rPr>
                      <w:rFonts w:hint="eastAsia"/>
                      <w:color w:val="000000"/>
                      <w:sz w:val="18"/>
                      <w:szCs w:val="18"/>
                      <w:vertAlign w:val="baseline"/>
                      <w:lang w:val="en-US" w:eastAsia="zh-CN"/>
                    </w:rPr>
                    <w:t>O</w:t>
                  </w:r>
                  <w:r>
                    <w:rPr>
                      <w:rFonts w:hint="eastAsia"/>
                      <w:color w:val="000000"/>
                      <w:sz w:val="18"/>
                      <w:szCs w:val="18"/>
                      <w:vertAlign w:val="subscript"/>
                      <w:lang w:val="en-US" w:eastAsia="zh-CN"/>
                    </w:rPr>
                    <w:t>3</w:t>
                  </w:r>
                  <w:r>
                    <w:rPr>
                      <w:rFonts w:hint="eastAsia"/>
                      <w:color w:val="000000"/>
                      <w:sz w:val="18"/>
                      <w:szCs w:val="18"/>
                      <w:vertAlign w:val="baseline"/>
                      <w:lang w:val="en-US" w:eastAsia="zh-CN"/>
                    </w:rPr>
                    <w:t>、Fe</w:t>
                  </w:r>
                  <w:r>
                    <w:rPr>
                      <w:rFonts w:hint="eastAsia"/>
                      <w:color w:val="000000"/>
                      <w:sz w:val="18"/>
                      <w:szCs w:val="18"/>
                      <w:vertAlign w:val="subscript"/>
                      <w:lang w:val="en-US" w:eastAsia="zh-CN"/>
                    </w:rPr>
                    <w:t>2</w:t>
                  </w:r>
                  <w:r>
                    <w:rPr>
                      <w:rFonts w:hint="eastAsia"/>
                      <w:color w:val="000000"/>
                      <w:sz w:val="18"/>
                      <w:szCs w:val="18"/>
                      <w:vertAlign w:val="baseline"/>
                      <w:lang w:val="en-US" w:eastAsia="zh-CN"/>
                    </w:rPr>
                    <w:t>O</w:t>
                  </w:r>
                  <w:r>
                    <w:rPr>
                      <w:rFonts w:hint="eastAsia"/>
                      <w:color w:val="000000"/>
                      <w:sz w:val="18"/>
                      <w:szCs w:val="18"/>
                      <w:vertAlign w:val="subscript"/>
                      <w:lang w:val="en-US" w:eastAsia="zh-CN"/>
                    </w:rPr>
                    <w:t>3</w:t>
                  </w:r>
                </w:p>
              </w:tc>
              <w:tc>
                <w:tcPr>
                  <w:tcW w:w="225" w:type="pct"/>
                  <w:noWrap w:val="0"/>
                  <w:vAlign w:val="center"/>
                </w:tcPr>
                <w:p w14:paraId="6D3907F1">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8CE57CD">
                  <w:pPr>
                    <w:overflowPunct w:val="0"/>
                    <w:autoSpaceDE w:val="0"/>
                    <w:autoSpaceDN w:val="0"/>
                    <w:adjustRightInd w:val="0"/>
                    <w:snapToGrid w:val="0"/>
                    <w:jc w:val="center"/>
                    <w:rPr>
                      <w:color w:val="000000"/>
                      <w:sz w:val="18"/>
                      <w:szCs w:val="18"/>
                    </w:rPr>
                  </w:pPr>
                  <w:r>
                    <w:rPr>
                      <w:rFonts w:hint="eastAsia"/>
                      <w:color w:val="000000"/>
                      <w:sz w:val="18"/>
                      <w:szCs w:val="18"/>
                    </w:rPr>
                    <w:t>115</w:t>
                  </w:r>
                </w:p>
              </w:tc>
              <w:tc>
                <w:tcPr>
                  <w:tcW w:w="604" w:type="pct"/>
                  <w:noWrap w:val="0"/>
                  <w:vAlign w:val="center"/>
                </w:tcPr>
                <w:p w14:paraId="72DF059C">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1F47243E">
                  <w:pPr>
                    <w:overflowPunct w:val="0"/>
                    <w:autoSpaceDE w:val="0"/>
                    <w:autoSpaceDN w:val="0"/>
                    <w:adjustRightInd w:val="0"/>
                    <w:snapToGrid w:val="0"/>
                    <w:jc w:val="center"/>
                    <w:rPr>
                      <w:color w:val="000000"/>
                      <w:sz w:val="18"/>
                      <w:szCs w:val="18"/>
                    </w:rPr>
                  </w:pPr>
                  <w:r>
                    <w:rPr>
                      <w:color w:val="000000"/>
                      <w:sz w:val="18"/>
                      <w:szCs w:val="18"/>
                    </w:rPr>
                    <w:t>10t</w:t>
                  </w:r>
                </w:p>
              </w:tc>
              <w:tc>
                <w:tcPr>
                  <w:tcW w:w="761" w:type="pct"/>
                  <w:noWrap w:val="0"/>
                  <w:vAlign w:val="center"/>
                </w:tcPr>
                <w:p w14:paraId="70D1BD4E">
                  <w:pPr>
                    <w:overflowPunct w:val="0"/>
                    <w:autoSpaceDE w:val="0"/>
                    <w:autoSpaceDN w:val="0"/>
                    <w:adjustRightInd w:val="0"/>
                    <w:snapToGrid w:val="0"/>
                    <w:jc w:val="center"/>
                    <w:rPr>
                      <w:color w:val="000000"/>
                      <w:sz w:val="18"/>
                      <w:szCs w:val="18"/>
                    </w:rPr>
                  </w:pPr>
                  <w:r>
                    <w:rPr>
                      <w:rFonts w:hint="eastAsia"/>
                      <w:color w:val="000000"/>
                      <w:sz w:val="18"/>
                      <w:szCs w:val="18"/>
                    </w:rPr>
                    <w:t>固态，粒径0.002~0.01mm</w:t>
                  </w:r>
                </w:p>
              </w:tc>
              <w:tc>
                <w:tcPr>
                  <w:tcW w:w="186" w:type="pct"/>
                  <w:vMerge w:val="continue"/>
                  <w:noWrap w:val="0"/>
                  <w:vAlign w:val="center"/>
                </w:tcPr>
                <w:p w14:paraId="446CDFFC">
                  <w:pPr>
                    <w:overflowPunct w:val="0"/>
                    <w:autoSpaceDE w:val="0"/>
                    <w:autoSpaceDN w:val="0"/>
                    <w:adjustRightInd w:val="0"/>
                    <w:snapToGrid w:val="0"/>
                    <w:jc w:val="center"/>
                    <w:rPr>
                      <w:color w:val="000000"/>
                      <w:sz w:val="18"/>
                      <w:szCs w:val="18"/>
                    </w:rPr>
                  </w:pPr>
                </w:p>
              </w:tc>
            </w:tr>
            <w:tr w14:paraId="4FEBA82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60F38EA6">
                  <w:pPr>
                    <w:overflowPunct w:val="0"/>
                    <w:autoSpaceDE w:val="0"/>
                    <w:autoSpaceDN w:val="0"/>
                    <w:adjustRightInd w:val="0"/>
                    <w:snapToGrid w:val="0"/>
                    <w:jc w:val="center"/>
                    <w:rPr>
                      <w:color w:val="000000"/>
                      <w:sz w:val="18"/>
                      <w:szCs w:val="18"/>
                    </w:rPr>
                  </w:pPr>
                  <w:r>
                    <w:rPr>
                      <w:color w:val="000000"/>
                      <w:sz w:val="18"/>
                      <w:szCs w:val="18"/>
                    </w:rPr>
                    <w:t>4</w:t>
                  </w:r>
                </w:p>
              </w:tc>
              <w:tc>
                <w:tcPr>
                  <w:tcW w:w="983" w:type="pct"/>
                  <w:noWrap w:val="0"/>
                  <w:vAlign w:val="center"/>
                </w:tcPr>
                <w:p w14:paraId="3B7E1FDD">
                  <w:pPr>
                    <w:overflowPunct w:val="0"/>
                    <w:autoSpaceDE w:val="0"/>
                    <w:autoSpaceDN w:val="0"/>
                    <w:adjustRightInd w:val="0"/>
                    <w:snapToGrid w:val="0"/>
                    <w:jc w:val="center"/>
                    <w:rPr>
                      <w:color w:val="000000"/>
                      <w:sz w:val="18"/>
                      <w:szCs w:val="18"/>
                    </w:rPr>
                  </w:pPr>
                  <w:r>
                    <w:rPr>
                      <w:color w:val="000000"/>
                      <w:sz w:val="18"/>
                      <w:szCs w:val="18"/>
                    </w:rPr>
                    <w:t>ESO环氧大豆油</w:t>
                  </w:r>
                </w:p>
              </w:tc>
              <w:tc>
                <w:tcPr>
                  <w:tcW w:w="1196" w:type="pct"/>
                  <w:noWrap w:val="0"/>
                  <w:vAlign w:val="center"/>
                </w:tcPr>
                <w:p w14:paraId="399036C8">
                  <w:pPr>
                    <w:overflowPunct w:val="0"/>
                    <w:autoSpaceDE w:val="0"/>
                    <w:autoSpaceDN w:val="0"/>
                    <w:adjustRightInd w:val="0"/>
                    <w:snapToGrid w:val="0"/>
                    <w:jc w:val="center"/>
                    <w:rPr>
                      <w:color w:val="000000"/>
                      <w:sz w:val="18"/>
                      <w:szCs w:val="18"/>
                    </w:rPr>
                  </w:pPr>
                  <w:r>
                    <w:rPr>
                      <w:color w:val="000000"/>
                      <w:sz w:val="18"/>
                      <w:szCs w:val="18"/>
                    </w:rPr>
                    <w:t>含有环氧基团，作为增塑剂</w:t>
                  </w:r>
                </w:p>
              </w:tc>
              <w:tc>
                <w:tcPr>
                  <w:tcW w:w="225" w:type="pct"/>
                  <w:noWrap w:val="0"/>
                  <w:vAlign w:val="center"/>
                </w:tcPr>
                <w:p w14:paraId="74F8B637">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0F494FA6">
                  <w:pPr>
                    <w:overflowPunct w:val="0"/>
                    <w:autoSpaceDE w:val="0"/>
                    <w:autoSpaceDN w:val="0"/>
                    <w:adjustRightInd w:val="0"/>
                    <w:snapToGrid w:val="0"/>
                    <w:jc w:val="center"/>
                    <w:rPr>
                      <w:color w:val="000000"/>
                      <w:sz w:val="18"/>
                      <w:szCs w:val="18"/>
                    </w:rPr>
                  </w:pPr>
                  <w:r>
                    <w:rPr>
                      <w:rFonts w:hint="eastAsia"/>
                      <w:color w:val="000000"/>
                      <w:sz w:val="18"/>
                      <w:szCs w:val="18"/>
                    </w:rPr>
                    <w:t>250</w:t>
                  </w:r>
                </w:p>
              </w:tc>
              <w:tc>
                <w:tcPr>
                  <w:tcW w:w="604" w:type="pct"/>
                  <w:noWrap w:val="0"/>
                  <w:vAlign w:val="center"/>
                </w:tcPr>
                <w:p w14:paraId="55AC123F">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6271C822">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64BF90E1">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0B2481B2">
                  <w:pPr>
                    <w:overflowPunct w:val="0"/>
                    <w:autoSpaceDE w:val="0"/>
                    <w:autoSpaceDN w:val="0"/>
                    <w:adjustRightInd w:val="0"/>
                    <w:snapToGrid w:val="0"/>
                    <w:jc w:val="center"/>
                    <w:rPr>
                      <w:color w:val="000000"/>
                      <w:sz w:val="18"/>
                      <w:szCs w:val="18"/>
                    </w:rPr>
                  </w:pPr>
                </w:p>
              </w:tc>
            </w:tr>
            <w:tr w14:paraId="77CDDE4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334" w:type="pct"/>
                  <w:noWrap w:val="0"/>
                  <w:vAlign w:val="center"/>
                </w:tcPr>
                <w:p w14:paraId="3CEBDE8F">
                  <w:pPr>
                    <w:overflowPunct w:val="0"/>
                    <w:autoSpaceDE w:val="0"/>
                    <w:autoSpaceDN w:val="0"/>
                    <w:adjustRightInd w:val="0"/>
                    <w:snapToGrid w:val="0"/>
                    <w:jc w:val="center"/>
                    <w:rPr>
                      <w:color w:val="000000"/>
                      <w:sz w:val="18"/>
                      <w:szCs w:val="18"/>
                    </w:rPr>
                  </w:pPr>
                  <w:r>
                    <w:rPr>
                      <w:color w:val="000000"/>
                      <w:sz w:val="18"/>
                      <w:szCs w:val="18"/>
                    </w:rPr>
                    <w:t>5</w:t>
                  </w:r>
                </w:p>
              </w:tc>
              <w:tc>
                <w:tcPr>
                  <w:tcW w:w="983" w:type="pct"/>
                  <w:noWrap w:val="0"/>
                  <w:vAlign w:val="center"/>
                </w:tcPr>
                <w:p w14:paraId="036AD025">
                  <w:pPr>
                    <w:overflowPunct w:val="0"/>
                    <w:autoSpaceDE w:val="0"/>
                    <w:autoSpaceDN w:val="0"/>
                    <w:adjustRightInd w:val="0"/>
                    <w:snapToGrid w:val="0"/>
                    <w:jc w:val="center"/>
                    <w:rPr>
                      <w:color w:val="000000"/>
                      <w:sz w:val="18"/>
                      <w:szCs w:val="18"/>
                    </w:rPr>
                  </w:pPr>
                  <w:r>
                    <w:rPr>
                      <w:color w:val="000000"/>
                      <w:sz w:val="18"/>
                      <w:szCs w:val="18"/>
                    </w:rPr>
                    <w:t>氯化石蜡</w:t>
                  </w:r>
                </w:p>
              </w:tc>
              <w:tc>
                <w:tcPr>
                  <w:tcW w:w="1196" w:type="pct"/>
                  <w:noWrap w:val="0"/>
                  <w:vAlign w:val="center"/>
                </w:tcPr>
                <w:p w14:paraId="59278A5B">
                  <w:pPr>
                    <w:overflowPunct w:val="0"/>
                    <w:autoSpaceDE w:val="0"/>
                    <w:autoSpaceDN w:val="0"/>
                    <w:adjustRightInd w:val="0"/>
                    <w:snapToGrid w:val="0"/>
                    <w:jc w:val="center"/>
                    <w:rPr>
                      <w:color w:val="000000"/>
                      <w:sz w:val="18"/>
                      <w:szCs w:val="18"/>
                    </w:rPr>
                  </w:pPr>
                  <w:r>
                    <w:rPr>
                      <w:color w:val="000000"/>
                      <w:sz w:val="18"/>
                      <w:szCs w:val="18"/>
                    </w:rPr>
                    <w:t>氯化石蜡，含氯量为52%±2%</w:t>
                  </w:r>
                </w:p>
              </w:tc>
              <w:tc>
                <w:tcPr>
                  <w:tcW w:w="225" w:type="pct"/>
                  <w:noWrap w:val="0"/>
                  <w:vAlign w:val="center"/>
                </w:tcPr>
                <w:p w14:paraId="53714822">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057B4C9">
                  <w:pPr>
                    <w:overflowPunct w:val="0"/>
                    <w:autoSpaceDE w:val="0"/>
                    <w:autoSpaceDN w:val="0"/>
                    <w:adjustRightInd w:val="0"/>
                    <w:snapToGrid w:val="0"/>
                    <w:jc w:val="center"/>
                    <w:rPr>
                      <w:color w:val="000000"/>
                      <w:sz w:val="18"/>
                      <w:szCs w:val="18"/>
                    </w:rPr>
                  </w:pPr>
                  <w:r>
                    <w:rPr>
                      <w:rFonts w:hint="eastAsia"/>
                      <w:color w:val="000000"/>
                      <w:sz w:val="18"/>
                      <w:szCs w:val="18"/>
                    </w:rPr>
                    <w:t>250</w:t>
                  </w:r>
                </w:p>
              </w:tc>
              <w:tc>
                <w:tcPr>
                  <w:tcW w:w="604" w:type="pct"/>
                  <w:noWrap w:val="0"/>
                  <w:vAlign w:val="center"/>
                </w:tcPr>
                <w:p w14:paraId="6EC27FF8">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65493216">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16F41B0B">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5FE2DF79">
                  <w:pPr>
                    <w:overflowPunct w:val="0"/>
                    <w:autoSpaceDE w:val="0"/>
                    <w:autoSpaceDN w:val="0"/>
                    <w:adjustRightInd w:val="0"/>
                    <w:snapToGrid w:val="0"/>
                    <w:jc w:val="center"/>
                    <w:rPr>
                      <w:color w:val="000000"/>
                      <w:sz w:val="18"/>
                      <w:szCs w:val="18"/>
                    </w:rPr>
                  </w:pPr>
                </w:p>
              </w:tc>
            </w:tr>
            <w:tr w14:paraId="08A144F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15B80BA4">
                  <w:pPr>
                    <w:overflowPunct w:val="0"/>
                    <w:autoSpaceDE w:val="0"/>
                    <w:autoSpaceDN w:val="0"/>
                    <w:adjustRightInd w:val="0"/>
                    <w:snapToGrid w:val="0"/>
                    <w:jc w:val="center"/>
                    <w:rPr>
                      <w:color w:val="000000"/>
                      <w:sz w:val="18"/>
                      <w:szCs w:val="18"/>
                    </w:rPr>
                  </w:pPr>
                  <w:r>
                    <w:rPr>
                      <w:color w:val="000000"/>
                      <w:sz w:val="18"/>
                      <w:szCs w:val="18"/>
                    </w:rPr>
                    <w:t>6</w:t>
                  </w:r>
                </w:p>
              </w:tc>
              <w:tc>
                <w:tcPr>
                  <w:tcW w:w="983" w:type="pct"/>
                  <w:noWrap w:val="0"/>
                  <w:vAlign w:val="center"/>
                </w:tcPr>
                <w:p w14:paraId="7F33CF2D">
                  <w:pPr>
                    <w:overflowPunct w:val="0"/>
                    <w:autoSpaceDE w:val="0"/>
                    <w:autoSpaceDN w:val="0"/>
                    <w:adjustRightInd w:val="0"/>
                    <w:snapToGrid w:val="0"/>
                    <w:jc w:val="center"/>
                    <w:rPr>
                      <w:color w:val="000000"/>
                      <w:sz w:val="18"/>
                      <w:szCs w:val="18"/>
                    </w:rPr>
                  </w:pPr>
                  <w:r>
                    <w:rPr>
                      <w:color w:val="000000"/>
                      <w:sz w:val="18"/>
                      <w:szCs w:val="18"/>
                    </w:rPr>
                    <w:t>TOTM</w:t>
                  </w:r>
                </w:p>
              </w:tc>
              <w:tc>
                <w:tcPr>
                  <w:tcW w:w="1196" w:type="pct"/>
                  <w:noWrap w:val="0"/>
                  <w:vAlign w:val="center"/>
                </w:tcPr>
                <w:p w14:paraId="6CCCB9CF">
                  <w:pPr>
                    <w:overflowPunct w:val="0"/>
                    <w:autoSpaceDE w:val="0"/>
                    <w:autoSpaceDN w:val="0"/>
                    <w:adjustRightInd w:val="0"/>
                    <w:snapToGrid w:val="0"/>
                    <w:jc w:val="center"/>
                    <w:rPr>
                      <w:color w:val="000000"/>
                      <w:sz w:val="18"/>
                      <w:szCs w:val="18"/>
                    </w:rPr>
                  </w:pPr>
                  <w:r>
                    <w:rPr>
                      <w:color w:val="000000"/>
                      <w:sz w:val="18"/>
                      <w:szCs w:val="18"/>
                    </w:rPr>
                    <w:t>偏苯三甲酸三辛酯</w:t>
                  </w:r>
                </w:p>
              </w:tc>
              <w:tc>
                <w:tcPr>
                  <w:tcW w:w="225" w:type="pct"/>
                  <w:noWrap w:val="0"/>
                  <w:vAlign w:val="center"/>
                </w:tcPr>
                <w:p w14:paraId="7A205EC7">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6FEF9AE2">
                  <w:pPr>
                    <w:overflowPunct w:val="0"/>
                    <w:autoSpaceDE w:val="0"/>
                    <w:autoSpaceDN w:val="0"/>
                    <w:adjustRightInd w:val="0"/>
                    <w:snapToGrid w:val="0"/>
                    <w:jc w:val="center"/>
                    <w:rPr>
                      <w:color w:val="000000"/>
                      <w:sz w:val="18"/>
                      <w:szCs w:val="18"/>
                    </w:rPr>
                  </w:pPr>
                  <w:r>
                    <w:rPr>
                      <w:rFonts w:hint="eastAsia"/>
                      <w:color w:val="000000"/>
                      <w:sz w:val="18"/>
                      <w:szCs w:val="18"/>
                    </w:rPr>
                    <w:t>70</w:t>
                  </w:r>
                </w:p>
              </w:tc>
              <w:tc>
                <w:tcPr>
                  <w:tcW w:w="604" w:type="pct"/>
                  <w:noWrap w:val="0"/>
                  <w:vAlign w:val="center"/>
                </w:tcPr>
                <w:p w14:paraId="0CB10FA6">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7258BED8">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6126AD45">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55F1B6AD">
                  <w:pPr>
                    <w:overflowPunct w:val="0"/>
                    <w:autoSpaceDE w:val="0"/>
                    <w:autoSpaceDN w:val="0"/>
                    <w:adjustRightInd w:val="0"/>
                    <w:snapToGrid w:val="0"/>
                    <w:jc w:val="center"/>
                    <w:rPr>
                      <w:color w:val="000000"/>
                      <w:sz w:val="18"/>
                      <w:szCs w:val="18"/>
                    </w:rPr>
                  </w:pPr>
                </w:p>
              </w:tc>
            </w:tr>
            <w:tr w14:paraId="0BF28CE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7BD85255">
                  <w:pPr>
                    <w:overflowPunct w:val="0"/>
                    <w:autoSpaceDE w:val="0"/>
                    <w:autoSpaceDN w:val="0"/>
                    <w:adjustRightInd w:val="0"/>
                    <w:snapToGrid w:val="0"/>
                    <w:jc w:val="center"/>
                    <w:rPr>
                      <w:color w:val="000000"/>
                      <w:sz w:val="18"/>
                      <w:szCs w:val="18"/>
                    </w:rPr>
                  </w:pPr>
                  <w:r>
                    <w:rPr>
                      <w:color w:val="000000"/>
                      <w:sz w:val="18"/>
                      <w:szCs w:val="18"/>
                    </w:rPr>
                    <w:t>7</w:t>
                  </w:r>
                </w:p>
              </w:tc>
              <w:tc>
                <w:tcPr>
                  <w:tcW w:w="983" w:type="pct"/>
                  <w:noWrap w:val="0"/>
                  <w:vAlign w:val="center"/>
                </w:tcPr>
                <w:p w14:paraId="5D927259">
                  <w:pPr>
                    <w:overflowPunct w:val="0"/>
                    <w:autoSpaceDE w:val="0"/>
                    <w:autoSpaceDN w:val="0"/>
                    <w:adjustRightInd w:val="0"/>
                    <w:snapToGrid w:val="0"/>
                    <w:jc w:val="center"/>
                    <w:rPr>
                      <w:color w:val="000000"/>
                      <w:sz w:val="18"/>
                      <w:szCs w:val="18"/>
                    </w:rPr>
                  </w:pPr>
                  <w:r>
                    <w:rPr>
                      <w:color w:val="000000"/>
                      <w:sz w:val="18"/>
                      <w:szCs w:val="18"/>
                    </w:rPr>
                    <w:t>DOTP</w:t>
                  </w:r>
                </w:p>
              </w:tc>
              <w:tc>
                <w:tcPr>
                  <w:tcW w:w="1196" w:type="pct"/>
                  <w:noWrap w:val="0"/>
                  <w:vAlign w:val="center"/>
                </w:tcPr>
                <w:p w14:paraId="66AB4ADE">
                  <w:pPr>
                    <w:overflowPunct w:val="0"/>
                    <w:autoSpaceDE w:val="0"/>
                    <w:autoSpaceDN w:val="0"/>
                    <w:adjustRightInd w:val="0"/>
                    <w:snapToGrid w:val="0"/>
                    <w:jc w:val="center"/>
                    <w:rPr>
                      <w:color w:val="000000"/>
                      <w:sz w:val="18"/>
                      <w:szCs w:val="18"/>
                    </w:rPr>
                  </w:pPr>
                  <w:r>
                    <w:rPr>
                      <w:color w:val="000000"/>
                      <w:sz w:val="18"/>
                      <w:szCs w:val="18"/>
                    </w:rPr>
                    <w:t>对苯二甲酸二辛酯</w:t>
                  </w:r>
                </w:p>
              </w:tc>
              <w:tc>
                <w:tcPr>
                  <w:tcW w:w="225" w:type="pct"/>
                  <w:noWrap w:val="0"/>
                  <w:vAlign w:val="center"/>
                </w:tcPr>
                <w:p w14:paraId="47C465C1">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635A4450">
                  <w:pPr>
                    <w:overflowPunct w:val="0"/>
                    <w:autoSpaceDE w:val="0"/>
                    <w:autoSpaceDN w:val="0"/>
                    <w:adjustRightInd w:val="0"/>
                    <w:snapToGrid w:val="0"/>
                    <w:jc w:val="center"/>
                    <w:rPr>
                      <w:color w:val="000000"/>
                      <w:sz w:val="18"/>
                      <w:szCs w:val="18"/>
                    </w:rPr>
                  </w:pPr>
                  <w:r>
                    <w:rPr>
                      <w:rFonts w:hint="eastAsia"/>
                      <w:color w:val="000000"/>
                      <w:sz w:val="18"/>
                      <w:szCs w:val="18"/>
                    </w:rPr>
                    <w:t>70</w:t>
                  </w:r>
                </w:p>
              </w:tc>
              <w:tc>
                <w:tcPr>
                  <w:tcW w:w="604" w:type="pct"/>
                  <w:noWrap w:val="0"/>
                  <w:vAlign w:val="center"/>
                </w:tcPr>
                <w:p w14:paraId="74DCE47D">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25A04BF6">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153A70E7">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64341775">
                  <w:pPr>
                    <w:overflowPunct w:val="0"/>
                    <w:autoSpaceDE w:val="0"/>
                    <w:autoSpaceDN w:val="0"/>
                    <w:adjustRightInd w:val="0"/>
                    <w:snapToGrid w:val="0"/>
                    <w:jc w:val="center"/>
                    <w:rPr>
                      <w:color w:val="000000"/>
                      <w:sz w:val="18"/>
                      <w:szCs w:val="18"/>
                    </w:rPr>
                  </w:pPr>
                </w:p>
              </w:tc>
            </w:tr>
            <w:tr w14:paraId="69F3272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73B26721">
                  <w:pPr>
                    <w:overflowPunct w:val="0"/>
                    <w:autoSpaceDE w:val="0"/>
                    <w:autoSpaceDN w:val="0"/>
                    <w:adjustRightInd w:val="0"/>
                    <w:snapToGrid w:val="0"/>
                    <w:jc w:val="center"/>
                    <w:rPr>
                      <w:color w:val="000000"/>
                      <w:sz w:val="18"/>
                      <w:szCs w:val="18"/>
                    </w:rPr>
                  </w:pPr>
                  <w:r>
                    <w:rPr>
                      <w:color w:val="000000"/>
                      <w:sz w:val="18"/>
                      <w:szCs w:val="18"/>
                    </w:rPr>
                    <w:t>8</w:t>
                  </w:r>
                </w:p>
              </w:tc>
              <w:tc>
                <w:tcPr>
                  <w:tcW w:w="983" w:type="pct"/>
                  <w:noWrap w:val="0"/>
                  <w:vAlign w:val="center"/>
                </w:tcPr>
                <w:p w14:paraId="74D1A7AD">
                  <w:pPr>
                    <w:overflowPunct w:val="0"/>
                    <w:autoSpaceDE w:val="0"/>
                    <w:autoSpaceDN w:val="0"/>
                    <w:adjustRightInd w:val="0"/>
                    <w:snapToGrid w:val="0"/>
                    <w:jc w:val="center"/>
                    <w:rPr>
                      <w:color w:val="000000"/>
                      <w:sz w:val="18"/>
                      <w:szCs w:val="18"/>
                    </w:rPr>
                  </w:pPr>
                  <w:r>
                    <w:rPr>
                      <w:color w:val="000000"/>
                      <w:sz w:val="18"/>
                      <w:szCs w:val="18"/>
                    </w:rPr>
                    <w:t>DOA</w:t>
                  </w:r>
                </w:p>
              </w:tc>
              <w:tc>
                <w:tcPr>
                  <w:tcW w:w="1196" w:type="pct"/>
                  <w:noWrap w:val="0"/>
                  <w:vAlign w:val="center"/>
                </w:tcPr>
                <w:p w14:paraId="149458BB">
                  <w:pPr>
                    <w:overflowPunct w:val="0"/>
                    <w:autoSpaceDE w:val="0"/>
                    <w:autoSpaceDN w:val="0"/>
                    <w:adjustRightInd w:val="0"/>
                    <w:snapToGrid w:val="0"/>
                    <w:jc w:val="center"/>
                    <w:rPr>
                      <w:color w:val="000000"/>
                      <w:sz w:val="18"/>
                      <w:szCs w:val="18"/>
                    </w:rPr>
                  </w:pPr>
                  <w:r>
                    <w:rPr>
                      <w:color w:val="000000"/>
                      <w:sz w:val="18"/>
                      <w:szCs w:val="18"/>
                    </w:rPr>
                    <w:t>己二酸二辛酯</w:t>
                  </w:r>
                </w:p>
              </w:tc>
              <w:tc>
                <w:tcPr>
                  <w:tcW w:w="225" w:type="pct"/>
                  <w:noWrap w:val="0"/>
                  <w:vAlign w:val="center"/>
                </w:tcPr>
                <w:p w14:paraId="2A044910">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2CCBA786">
                  <w:pPr>
                    <w:overflowPunct w:val="0"/>
                    <w:autoSpaceDE w:val="0"/>
                    <w:autoSpaceDN w:val="0"/>
                    <w:adjustRightInd w:val="0"/>
                    <w:snapToGrid w:val="0"/>
                    <w:jc w:val="center"/>
                    <w:rPr>
                      <w:color w:val="000000"/>
                      <w:sz w:val="18"/>
                      <w:szCs w:val="18"/>
                    </w:rPr>
                  </w:pPr>
                  <w:r>
                    <w:rPr>
                      <w:rFonts w:hint="eastAsia"/>
                      <w:color w:val="000000"/>
                      <w:sz w:val="18"/>
                      <w:szCs w:val="18"/>
                    </w:rPr>
                    <w:t>80</w:t>
                  </w:r>
                </w:p>
              </w:tc>
              <w:tc>
                <w:tcPr>
                  <w:tcW w:w="604" w:type="pct"/>
                  <w:noWrap w:val="0"/>
                  <w:vAlign w:val="center"/>
                </w:tcPr>
                <w:p w14:paraId="77CD394A">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11FBFDEF">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596D0BD1">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539AE1A4">
                  <w:pPr>
                    <w:overflowPunct w:val="0"/>
                    <w:autoSpaceDE w:val="0"/>
                    <w:autoSpaceDN w:val="0"/>
                    <w:adjustRightInd w:val="0"/>
                    <w:snapToGrid w:val="0"/>
                    <w:jc w:val="center"/>
                    <w:rPr>
                      <w:color w:val="000000"/>
                      <w:sz w:val="18"/>
                      <w:szCs w:val="18"/>
                    </w:rPr>
                  </w:pPr>
                </w:p>
              </w:tc>
            </w:tr>
            <w:tr w14:paraId="266D5AB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54A67270">
                  <w:pPr>
                    <w:overflowPunct w:val="0"/>
                    <w:autoSpaceDE w:val="0"/>
                    <w:autoSpaceDN w:val="0"/>
                    <w:adjustRightInd w:val="0"/>
                    <w:snapToGrid w:val="0"/>
                    <w:jc w:val="center"/>
                    <w:rPr>
                      <w:color w:val="000000"/>
                      <w:sz w:val="18"/>
                      <w:szCs w:val="18"/>
                    </w:rPr>
                  </w:pPr>
                  <w:r>
                    <w:rPr>
                      <w:color w:val="000000"/>
                      <w:sz w:val="18"/>
                      <w:szCs w:val="18"/>
                    </w:rPr>
                    <w:t>9</w:t>
                  </w:r>
                </w:p>
              </w:tc>
              <w:tc>
                <w:tcPr>
                  <w:tcW w:w="983" w:type="pct"/>
                  <w:noWrap w:val="0"/>
                  <w:vAlign w:val="center"/>
                </w:tcPr>
                <w:p w14:paraId="69DCE575">
                  <w:pPr>
                    <w:overflowPunct w:val="0"/>
                    <w:autoSpaceDE w:val="0"/>
                    <w:autoSpaceDN w:val="0"/>
                    <w:adjustRightInd w:val="0"/>
                    <w:snapToGrid w:val="0"/>
                    <w:jc w:val="center"/>
                    <w:rPr>
                      <w:color w:val="000000"/>
                      <w:sz w:val="18"/>
                      <w:szCs w:val="18"/>
                    </w:rPr>
                  </w:pPr>
                  <w:r>
                    <w:rPr>
                      <w:color w:val="000000"/>
                      <w:sz w:val="18"/>
                      <w:szCs w:val="18"/>
                    </w:rPr>
                    <w:t>DOS</w:t>
                  </w:r>
                </w:p>
              </w:tc>
              <w:tc>
                <w:tcPr>
                  <w:tcW w:w="1196" w:type="pct"/>
                  <w:noWrap w:val="0"/>
                  <w:vAlign w:val="center"/>
                </w:tcPr>
                <w:p w14:paraId="0331D2FD">
                  <w:pPr>
                    <w:overflowPunct w:val="0"/>
                    <w:autoSpaceDE w:val="0"/>
                    <w:autoSpaceDN w:val="0"/>
                    <w:adjustRightInd w:val="0"/>
                    <w:snapToGrid w:val="0"/>
                    <w:jc w:val="center"/>
                    <w:rPr>
                      <w:color w:val="000000"/>
                      <w:sz w:val="18"/>
                      <w:szCs w:val="18"/>
                    </w:rPr>
                  </w:pPr>
                  <w:r>
                    <w:rPr>
                      <w:color w:val="000000"/>
                      <w:sz w:val="18"/>
                      <w:szCs w:val="18"/>
                    </w:rPr>
                    <w:t>癸二酸二异辛酯</w:t>
                  </w:r>
                </w:p>
              </w:tc>
              <w:tc>
                <w:tcPr>
                  <w:tcW w:w="225" w:type="pct"/>
                  <w:noWrap w:val="0"/>
                  <w:vAlign w:val="center"/>
                </w:tcPr>
                <w:p w14:paraId="6AA019D6">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71860717">
                  <w:pPr>
                    <w:overflowPunct w:val="0"/>
                    <w:autoSpaceDE w:val="0"/>
                    <w:autoSpaceDN w:val="0"/>
                    <w:adjustRightInd w:val="0"/>
                    <w:snapToGrid w:val="0"/>
                    <w:jc w:val="center"/>
                    <w:rPr>
                      <w:color w:val="000000"/>
                      <w:sz w:val="18"/>
                      <w:szCs w:val="18"/>
                    </w:rPr>
                  </w:pPr>
                  <w:r>
                    <w:rPr>
                      <w:rFonts w:hint="eastAsia"/>
                      <w:color w:val="000000"/>
                      <w:sz w:val="18"/>
                      <w:szCs w:val="18"/>
                    </w:rPr>
                    <w:t>70</w:t>
                  </w:r>
                </w:p>
              </w:tc>
              <w:tc>
                <w:tcPr>
                  <w:tcW w:w="604" w:type="pct"/>
                  <w:noWrap w:val="0"/>
                  <w:vAlign w:val="center"/>
                </w:tcPr>
                <w:p w14:paraId="6ACC7775">
                  <w:pPr>
                    <w:overflowPunct w:val="0"/>
                    <w:autoSpaceDE w:val="0"/>
                    <w:autoSpaceDN w:val="0"/>
                    <w:adjustRightInd w:val="0"/>
                    <w:snapToGrid w:val="0"/>
                    <w:jc w:val="center"/>
                    <w:rPr>
                      <w:color w:val="000000"/>
                      <w:sz w:val="18"/>
                      <w:szCs w:val="18"/>
                    </w:rPr>
                  </w:pPr>
                  <w:r>
                    <w:rPr>
                      <w:color w:val="000000"/>
                      <w:sz w:val="18"/>
                      <w:szCs w:val="18"/>
                    </w:rPr>
                    <w:t>储罐</w:t>
                  </w:r>
                </w:p>
              </w:tc>
              <w:tc>
                <w:tcPr>
                  <w:tcW w:w="299" w:type="pct"/>
                  <w:noWrap w:val="0"/>
                  <w:vAlign w:val="center"/>
                </w:tcPr>
                <w:p w14:paraId="15791EC6">
                  <w:pPr>
                    <w:overflowPunct w:val="0"/>
                    <w:autoSpaceDE w:val="0"/>
                    <w:autoSpaceDN w:val="0"/>
                    <w:adjustRightInd w:val="0"/>
                    <w:snapToGrid w:val="0"/>
                    <w:jc w:val="center"/>
                    <w:rPr>
                      <w:color w:val="000000"/>
                      <w:sz w:val="18"/>
                      <w:szCs w:val="18"/>
                    </w:rPr>
                  </w:pPr>
                  <w:r>
                    <w:rPr>
                      <w:color w:val="000000"/>
                      <w:sz w:val="18"/>
                      <w:szCs w:val="18"/>
                    </w:rPr>
                    <w:t>70</w:t>
                  </w:r>
                  <w:r>
                    <w:rPr>
                      <w:rFonts w:hint="eastAsia"/>
                      <w:color w:val="000000"/>
                      <w:sz w:val="18"/>
                      <w:szCs w:val="18"/>
                    </w:rPr>
                    <w:t>m</w:t>
                  </w:r>
                  <w:r>
                    <w:rPr>
                      <w:rFonts w:hint="eastAsia"/>
                      <w:color w:val="000000"/>
                      <w:sz w:val="18"/>
                      <w:szCs w:val="18"/>
                      <w:vertAlign w:val="superscript"/>
                    </w:rPr>
                    <w:t>3</w:t>
                  </w:r>
                </w:p>
              </w:tc>
              <w:tc>
                <w:tcPr>
                  <w:tcW w:w="761" w:type="pct"/>
                  <w:noWrap w:val="0"/>
                  <w:vAlign w:val="center"/>
                </w:tcPr>
                <w:p w14:paraId="00E8A3C3">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044D4C7B">
                  <w:pPr>
                    <w:overflowPunct w:val="0"/>
                    <w:autoSpaceDE w:val="0"/>
                    <w:autoSpaceDN w:val="0"/>
                    <w:adjustRightInd w:val="0"/>
                    <w:snapToGrid w:val="0"/>
                    <w:jc w:val="center"/>
                    <w:rPr>
                      <w:color w:val="000000"/>
                      <w:sz w:val="18"/>
                      <w:szCs w:val="18"/>
                    </w:rPr>
                  </w:pPr>
                </w:p>
              </w:tc>
            </w:tr>
            <w:tr w14:paraId="5EC9B3E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1A1EF8D3">
                  <w:pPr>
                    <w:overflowPunct w:val="0"/>
                    <w:autoSpaceDE w:val="0"/>
                    <w:autoSpaceDN w:val="0"/>
                    <w:adjustRightInd w:val="0"/>
                    <w:snapToGrid w:val="0"/>
                    <w:jc w:val="center"/>
                    <w:rPr>
                      <w:color w:val="000000"/>
                      <w:sz w:val="18"/>
                      <w:szCs w:val="18"/>
                    </w:rPr>
                  </w:pPr>
                  <w:r>
                    <w:rPr>
                      <w:color w:val="000000"/>
                      <w:sz w:val="18"/>
                      <w:szCs w:val="18"/>
                    </w:rPr>
                    <w:t>10</w:t>
                  </w:r>
                </w:p>
              </w:tc>
              <w:tc>
                <w:tcPr>
                  <w:tcW w:w="983" w:type="pct"/>
                  <w:noWrap/>
                  <w:vAlign w:val="center"/>
                </w:tcPr>
                <w:p w14:paraId="15163CFD">
                  <w:pPr>
                    <w:overflowPunct w:val="0"/>
                    <w:autoSpaceDE w:val="0"/>
                    <w:autoSpaceDN w:val="0"/>
                    <w:adjustRightInd w:val="0"/>
                    <w:snapToGrid w:val="0"/>
                    <w:jc w:val="center"/>
                    <w:rPr>
                      <w:color w:val="000000"/>
                      <w:sz w:val="18"/>
                      <w:szCs w:val="18"/>
                    </w:rPr>
                  </w:pPr>
                  <w:r>
                    <w:rPr>
                      <w:color w:val="000000"/>
                      <w:sz w:val="18"/>
                      <w:szCs w:val="18"/>
                    </w:rPr>
                    <w:t>颜料</w:t>
                  </w:r>
                </w:p>
              </w:tc>
              <w:tc>
                <w:tcPr>
                  <w:tcW w:w="1196" w:type="pct"/>
                  <w:noWrap/>
                  <w:vAlign w:val="center"/>
                </w:tcPr>
                <w:p w14:paraId="4A79EF40">
                  <w:pPr>
                    <w:overflowPunct w:val="0"/>
                    <w:autoSpaceDE w:val="0"/>
                    <w:autoSpaceDN w:val="0"/>
                    <w:adjustRightInd w:val="0"/>
                    <w:snapToGrid w:val="0"/>
                    <w:jc w:val="center"/>
                    <w:rPr>
                      <w:color w:val="000000"/>
                      <w:sz w:val="18"/>
                      <w:szCs w:val="18"/>
                    </w:rPr>
                  </w:pPr>
                  <w:r>
                    <w:rPr>
                      <w:rFonts w:hint="eastAsia"/>
                      <w:color w:val="000000"/>
                      <w:sz w:val="18"/>
                      <w:szCs w:val="18"/>
                    </w:rPr>
                    <w:t>钛白粉等</w:t>
                  </w:r>
                </w:p>
              </w:tc>
              <w:tc>
                <w:tcPr>
                  <w:tcW w:w="225" w:type="pct"/>
                  <w:noWrap w:val="0"/>
                  <w:vAlign w:val="center"/>
                </w:tcPr>
                <w:p w14:paraId="5C639A96">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E0FEF61">
                  <w:pPr>
                    <w:overflowPunct w:val="0"/>
                    <w:autoSpaceDE w:val="0"/>
                    <w:autoSpaceDN w:val="0"/>
                    <w:adjustRightInd w:val="0"/>
                    <w:snapToGrid w:val="0"/>
                    <w:jc w:val="center"/>
                    <w:rPr>
                      <w:color w:val="000000"/>
                      <w:sz w:val="18"/>
                      <w:szCs w:val="18"/>
                    </w:rPr>
                  </w:pPr>
                  <w:r>
                    <w:rPr>
                      <w:color w:val="000000"/>
                      <w:sz w:val="18"/>
                      <w:szCs w:val="18"/>
                    </w:rPr>
                    <w:t>0.5</w:t>
                  </w:r>
                </w:p>
              </w:tc>
              <w:tc>
                <w:tcPr>
                  <w:tcW w:w="604" w:type="pct"/>
                  <w:noWrap w:val="0"/>
                  <w:vAlign w:val="center"/>
                </w:tcPr>
                <w:p w14:paraId="48F8F136">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7CF26969">
                  <w:pPr>
                    <w:overflowPunct w:val="0"/>
                    <w:autoSpaceDE w:val="0"/>
                    <w:autoSpaceDN w:val="0"/>
                    <w:adjustRightInd w:val="0"/>
                    <w:snapToGrid w:val="0"/>
                    <w:jc w:val="center"/>
                    <w:rPr>
                      <w:color w:val="000000"/>
                      <w:sz w:val="18"/>
                      <w:szCs w:val="18"/>
                    </w:rPr>
                  </w:pPr>
                  <w:r>
                    <w:rPr>
                      <w:color w:val="000000"/>
                      <w:sz w:val="18"/>
                      <w:szCs w:val="18"/>
                    </w:rPr>
                    <w:t>0.1t</w:t>
                  </w:r>
                </w:p>
              </w:tc>
              <w:tc>
                <w:tcPr>
                  <w:tcW w:w="761" w:type="pct"/>
                  <w:noWrap w:val="0"/>
                  <w:vAlign w:val="center"/>
                </w:tcPr>
                <w:p w14:paraId="73586C6C">
                  <w:pPr>
                    <w:overflowPunct w:val="0"/>
                    <w:autoSpaceDE w:val="0"/>
                    <w:autoSpaceDN w:val="0"/>
                    <w:adjustRightInd w:val="0"/>
                    <w:snapToGrid w:val="0"/>
                    <w:jc w:val="center"/>
                    <w:rPr>
                      <w:color w:val="000000"/>
                      <w:sz w:val="18"/>
                      <w:szCs w:val="18"/>
                    </w:rPr>
                  </w:pPr>
                  <w:r>
                    <w:rPr>
                      <w:rFonts w:hint="eastAsia"/>
                      <w:color w:val="000000"/>
                      <w:sz w:val="18"/>
                      <w:szCs w:val="18"/>
                    </w:rPr>
                    <w:t>固态，粒径0.00015~0.0003mm</w:t>
                  </w:r>
                </w:p>
              </w:tc>
              <w:tc>
                <w:tcPr>
                  <w:tcW w:w="186" w:type="pct"/>
                  <w:vMerge w:val="continue"/>
                  <w:noWrap w:val="0"/>
                  <w:vAlign w:val="center"/>
                </w:tcPr>
                <w:p w14:paraId="66E821FA">
                  <w:pPr>
                    <w:overflowPunct w:val="0"/>
                    <w:autoSpaceDE w:val="0"/>
                    <w:autoSpaceDN w:val="0"/>
                    <w:adjustRightInd w:val="0"/>
                    <w:snapToGrid w:val="0"/>
                    <w:jc w:val="center"/>
                    <w:rPr>
                      <w:color w:val="000000"/>
                      <w:sz w:val="18"/>
                      <w:szCs w:val="18"/>
                    </w:rPr>
                  </w:pPr>
                </w:p>
              </w:tc>
            </w:tr>
            <w:tr w14:paraId="290DA50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61D47512">
                  <w:pPr>
                    <w:overflowPunct w:val="0"/>
                    <w:autoSpaceDE w:val="0"/>
                    <w:autoSpaceDN w:val="0"/>
                    <w:adjustRightInd w:val="0"/>
                    <w:snapToGrid w:val="0"/>
                    <w:jc w:val="center"/>
                    <w:rPr>
                      <w:color w:val="000000"/>
                      <w:sz w:val="18"/>
                      <w:szCs w:val="18"/>
                    </w:rPr>
                  </w:pPr>
                  <w:r>
                    <w:rPr>
                      <w:color w:val="000000"/>
                      <w:sz w:val="18"/>
                      <w:szCs w:val="18"/>
                    </w:rPr>
                    <w:t>11</w:t>
                  </w:r>
                </w:p>
              </w:tc>
              <w:tc>
                <w:tcPr>
                  <w:tcW w:w="983" w:type="pct"/>
                  <w:noWrap/>
                  <w:vAlign w:val="center"/>
                </w:tcPr>
                <w:p w14:paraId="4514922F">
                  <w:pPr>
                    <w:overflowPunct w:val="0"/>
                    <w:autoSpaceDE w:val="0"/>
                    <w:autoSpaceDN w:val="0"/>
                    <w:adjustRightInd w:val="0"/>
                    <w:snapToGrid w:val="0"/>
                    <w:jc w:val="center"/>
                    <w:rPr>
                      <w:color w:val="000000"/>
                      <w:sz w:val="18"/>
                      <w:szCs w:val="18"/>
                    </w:rPr>
                  </w:pPr>
                  <w:r>
                    <w:rPr>
                      <w:rFonts w:hint="eastAsia"/>
                      <w:color w:val="000000"/>
                      <w:sz w:val="18"/>
                      <w:szCs w:val="18"/>
                    </w:rPr>
                    <w:t>Sb</w:t>
                  </w:r>
                  <w:r>
                    <w:rPr>
                      <w:color w:val="000000"/>
                      <w:sz w:val="18"/>
                      <w:szCs w:val="18"/>
                      <w:vertAlign w:val="subscript"/>
                    </w:rPr>
                    <w:t>2</w:t>
                  </w:r>
                  <w:r>
                    <w:rPr>
                      <w:color w:val="000000"/>
                      <w:sz w:val="18"/>
                      <w:szCs w:val="18"/>
                    </w:rPr>
                    <w:t>O</w:t>
                  </w:r>
                  <w:r>
                    <w:rPr>
                      <w:color w:val="000000"/>
                      <w:sz w:val="18"/>
                      <w:szCs w:val="18"/>
                      <w:vertAlign w:val="subscript"/>
                    </w:rPr>
                    <w:t>3</w:t>
                  </w:r>
                </w:p>
              </w:tc>
              <w:tc>
                <w:tcPr>
                  <w:tcW w:w="1196" w:type="pct"/>
                  <w:noWrap/>
                  <w:vAlign w:val="center"/>
                </w:tcPr>
                <w:p w14:paraId="6885955D">
                  <w:pPr>
                    <w:overflowPunct w:val="0"/>
                    <w:autoSpaceDE w:val="0"/>
                    <w:autoSpaceDN w:val="0"/>
                    <w:adjustRightInd w:val="0"/>
                    <w:snapToGrid w:val="0"/>
                    <w:jc w:val="center"/>
                    <w:rPr>
                      <w:color w:val="000000"/>
                      <w:sz w:val="18"/>
                      <w:szCs w:val="18"/>
                    </w:rPr>
                  </w:pPr>
                  <w:r>
                    <w:rPr>
                      <w:rFonts w:hint="eastAsia"/>
                      <w:color w:val="000000"/>
                      <w:sz w:val="18"/>
                      <w:szCs w:val="18"/>
                    </w:rPr>
                    <w:t>Sb</w:t>
                  </w:r>
                  <w:r>
                    <w:rPr>
                      <w:color w:val="000000"/>
                      <w:sz w:val="18"/>
                      <w:szCs w:val="18"/>
                      <w:vertAlign w:val="subscript"/>
                    </w:rPr>
                    <w:t>2</w:t>
                  </w:r>
                  <w:r>
                    <w:rPr>
                      <w:color w:val="000000"/>
                      <w:sz w:val="18"/>
                      <w:szCs w:val="18"/>
                    </w:rPr>
                    <w:t>O</w:t>
                  </w:r>
                  <w:r>
                    <w:rPr>
                      <w:color w:val="000000"/>
                      <w:sz w:val="18"/>
                      <w:szCs w:val="18"/>
                      <w:vertAlign w:val="subscript"/>
                    </w:rPr>
                    <w:t>3</w:t>
                  </w:r>
                </w:p>
              </w:tc>
              <w:tc>
                <w:tcPr>
                  <w:tcW w:w="225" w:type="pct"/>
                  <w:noWrap w:val="0"/>
                  <w:vAlign w:val="center"/>
                </w:tcPr>
                <w:p w14:paraId="40DDDFE2">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3AF531E">
                  <w:pPr>
                    <w:overflowPunct w:val="0"/>
                    <w:autoSpaceDE w:val="0"/>
                    <w:autoSpaceDN w:val="0"/>
                    <w:adjustRightInd w:val="0"/>
                    <w:snapToGrid w:val="0"/>
                    <w:jc w:val="center"/>
                    <w:rPr>
                      <w:color w:val="000000"/>
                      <w:sz w:val="18"/>
                      <w:szCs w:val="18"/>
                    </w:rPr>
                  </w:pPr>
                  <w:r>
                    <w:rPr>
                      <w:rFonts w:hint="eastAsia"/>
                      <w:color w:val="000000"/>
                      <w:sz w:val="18"/>
                      <w:szCs w:val="18"/>
                    </w:rPr>
                    <w:t>0</w:t>
                  </w:r>
                  <w:r>
                    <w:rPr>
                      <w:color w:val="000000"/>
                      <w:sz w:val="18"/>
                      <w:szCs w:val="18"/>
                    </w:rPr>
                    <w:t>.5</w:t>
                  </w:r>
                </w:p>
              </w:tc>
              <w:tc>
                <w:tcPr>
                  <w:tcW w:w="604" w:type="pct"/>
                  <w:noWrap w:val="0"/>
                  <w:vAlign w:val="center"/>
                </w:tcPr>
                <w:p w14:paraId="7FAFE3A4">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088FA5BC">
                  <w:pPr>
                    <w:overflowPunct w:val="0"/>
                    <w:autoSpaceDE w:val="0"/>
                    <w:autoSpaceDN w:val="0"/>
                    <w:adjustRightInd w:val="0"/>
                    <w:snapToGrid w:val="0"/>
                    <w:jc w:val="center"/>
                    <w:rPr>
                      <w:color w:val="000000"/>
                      <w:sz w:val="18"/>
                      <w:szCs w:val="18"/>
                    </w:rPr>
                  </w:pPr>
                  <w:r>
                    <w:rPr>
                      <w:color w:val="000000"/>
                      <w:sz w:val="18"/>
                      <w:szCs w:val="18"/>
                    </w:rPr>
                    <w:t>0.1t</w:t>
                  </w:r>
                </w:p>
              </w:tc>
              <w:tc>
                <w:tcPr>
                  <w:tcW w:w="761" w:type="pct"/>
                  <w:noWrap w:val="0"/>
                  <w:vAlign w:val="center"/>
                </w:tcPr>
                <w:p w14:paraId="6C74DDDD">
                  <w:pPr>
                    <w:overflowPunct w:val="0"/>
                    <w:autoSpaceDE w:val="0"/>
                    <w:autoSpaceDN w:val="0"/>
                    <w:adjustRightInd w:val="0"/>
                    <w:snapToGrid w:val="0"/>
                    <w:jc w:val="center"/>
                    <w:rPr>
                      <w:color w:val="000000"/>
                      <w:sz w:val="18"/>
                      <w:szCs w:val="18"/>
                    </w:rPr>
                  </w:pPr>
                  <w:r>
                    <w:rPr>
                      <w:rFonts w:hint="eastAsia"/>
                      <w:color w:val="000000"/>
                      <w:sz w:val="18"/>
                      <w:szCs w:val="18"/>
                    </w:rPr>
                    <w:t>固态，粒径0.0003~0.0016mm</w:t>
                  </w:r>
                </w:p>
              </w:tc>
              <w:tc>
                <w:tcPr>
                  <w:tcW w:w="186" w:type="pct"/>
                  <w:vMerge w:val="continue"/>
                  <w:noWrap w:val="0"/>
                  <w:vAlign w:val="center"/>
                </w:tcPr>
                <w:p w14:paraId="3828E9A1">
                  <w:pPr>
                    <w:overflowPunct w:val="0"/>
                    <w:autoSpaceDE w:val="0"/>
                    <w:autoSpaceDN w:val="0"/>
                    <w:adjustRightInd w:val="0"/>
                    <w:snapToGrid w:val="0"/>
                    <w:jc w:val="center"/>
                    <w:rPr>
                      <w:color w:val="000000"/>
                      <w:sz w:val="18"/>
                      <w:szCs w:val="18"/>
                    </w:rPr>
                  </w:pPr>
                </w:p>
              </w:tc>
            </w:tr>
            <w:tr w14:paraId="2EA2AC5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2ED150B0">
                  <w:pPr>
                    <w:overflowPunct w:val="0"/>
                    <w:autoSpaceDE w:val="0"/>
                    <w:autoSpaceDN w:val="0"/>
                    <w:adjustRightInd w:val="0"/>
                    <w:snapToGrid w:val="0"/>
                    <w:jc w:val="center"/>
                    <w:rPr>
                      <w:color w:val="000000"/>
                      <w:sz w:val="18"/>
                      <w:szCs w:val="18"/>
                    </w:rPr>
                  </w:pPr>
                  <w:r>
                    <w:rPr>
                      <w:color w:val="000000"/>
                      <w:sz w:val="18"/>
                      <w:szCs w:val="18"/>
                    </w:rPr>
                    <w:t>12</w:t>
                  </w:r>
                </w:p>
              </w:tc>
              <w:tc>
                <w:tcPr>
                  <w:tcW w:w="983" w:type="pct"/>
                  <w:noWrap/>
                  <w:vAlign w:val="center"/>
                </w:tcPr>
                <w:p w14:paraId="61343A2D">
                  <w:pPr>
                    <w:overflowPunct w:val="0"/>
                    <w:autoSpaceDE w:val="0"/>
                    <w:autoSpaceDN w:val="0"/>
                    <w:adjustRightInd w:val="0"/>
                    <w:snapToGrid w:val="0"/>
                    <w:jc w:val="center"/>
                    <w:rPr>
                      <w:color w:val="000000"/>
                      <w:sz w:val="18"/>
                      <w:szCs w:val="18"/>
                    </w:rPr>
                  </w:pPr>
                  <w:r>
                    <w:rPr>
                      <w:color w:val="000000"/>
                      <w:sz w:val="18"/>
                      <w:szCs w:val="18"/>
                    </w:rPr>
                    <w:t>硼酸锌</w:t>
                  </w:r>
                </w:p>
              </w:tc>
              <w:tc>
                <w:tcPr>
                  <w:tcW w:w="1196" w:type="pct"/>
                  <w:noWrap/>
                  <w:vAlign w:val="center"/>
                </w:tcPr>
                <w:p w14:paraId="28053B56">
                  <w:pPr>
                    <w:overflowPunct w:val="0"/>
                    <w:autoSpaceDE w:val="0"/>
                    <w:autoSpaceDN w:val="0"/>
                    <w:adjustRightInd w:val="0"/>
                    <w:snapToGrid w:val="0"/>
                    <w:jc w:val="center"/>
                    <w:rPr>
                      <w:color w:val="000000"/>
                      <w:sz w:val="18"/>
                      <w:szCs w:val="18"/>
                    </w:rPr>
                  </w:pPr>
                  <w:r>
                    <w:rPr>
                      <w:color w:val="000000"/>
                      <w:sz w:val="18"/>
                      <w:szCs w:val="18"/>
                    </w:rPr>
                    <w:t>硼酸锌</w:t>
                  </w:r>
                </w:p>
              </w:tc>
              <w:tc>
                <w:tcPr>
                  <w:tcW w:w="225" w:type="pct"/>
                  <w:noWrap w:val="0"/>
                  <w:vAlign w:val="center"/>
                </w:tcPr>
                <w:p w14:paraId="0955F113">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5885D822">
                  <w:pPr>
                    <w:overflowPunct w:val="0"/>
                    <w:autoSpaceDE w:val="0"/>
                    <w:autoSpaceDN w:val="0"/>
                    <w:adjustRightInd w:val="0"/>
                    <w:snapToGrid w:val="0"/>
                    <w:jc w:val="center"/>
                    <w:rPr>
                      <w:color w:val="000000"/>
                      <w:sz w:val="18"/>
                      <w:szCs w:val="18"/>
                    </w:rPr>
                  </w:pPr>
                  <w:r>
                    <w:rPr>
                      <w:color w:val="000000"/>
                      <w:sz w:val="18"/>
                      <w:szCs w:val="18"/>
                    </w:rPr>
                    <w:t>1.5</w:t>
                  </w:r>
                </w:p>
              </w:tc>
              <w:tc>
                <w:tcPr>
                  <w:tcW w:w="604" w:type="pct"/>
                  <w:noWrap w:val="0"/>
                  <w:vAlign w:val="center"/>
                </w:tcPr>
                <w:p w14:paraId="66ECA64D">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265FD72A">
                  <w:pPr>
                    <w:overflowPunct w:val="0"/>
                    <w:autoSpaceDE w:val="0"/>
                    <w:autoSpaceDN w:val="0"/>
                    <w:adjustRightInd w:val="0"/>
                    <w:snapToGrid w:val="0"/>
                    <w:jc w:val="center"/>
                    <w:rPr>
                      <w:color w:val="000000"/>
                      <w:sz w:val="18"/>
                      <w:szCs w:val="18"/>
                    </w:rPr>
                  </w:pPr>
                  <w:r>
                    <w:rPr>
                      <w:color w:val="000000"/>
                      <w:sz w:val="18"/>
                      <w:szCs w:val="18"/>
                    </w:rPr>
                    <w:t>0.1t</w:t>
                  </w:r>
                </w:p>
              </w:tc>
              <w:tc>
                <w:tcPr>
                  <w:tcW w:w="761" w:type="pct"/>
                  <w:noWrap w:val="0"/>
                  <w:vAlign w:val="center"/>
                </w:tcPr>
                <w:p w14:paraId="300DDD28">
                  <w:pPr>
                    <w:overflowPunct w:val="0"/>
                    <w:autoSpaceDE w:val="0"/>
                    <w:autoSpaceDN w:val="0"/>
                    <w:adjustRightInd w:val="0"/>
                    <w:snapToGrid w:val="0"/>
                    <w:jc w:val="center"/>
                    <w:rPr>
                      <w:color w:val="000000"/>
                      <w:sz w:val="18"/>
                      <w:szCs w:val="18"/>
                    </w:rPr>
                  </w:pPr>
                  <w:r>
                    <w:rPr>
                      <w:rFonts w:hint="eastAsia"/>
                      <w:color w:val="000000"/>
                      <w:sz w:val="18"/>
                      <w:szCs w:val="18"/>
                    </w:rPr>
                    <w:t>固态，粒径0.002~0.01mm</w:t>
                  </w:r>
                </w:p>
              </w:tc>
              <w:tc>
                <w:tcPr>
                  <w:tcW w:w="186" w:type="pct"/>
                  <w:vMerge w:val="continue"/>
                  <w:noWrap w:val="0"/>
                  <w:vAlign w:val="center"/>
                </w:tcPr>
                <w:p w14:paraId="0C8E2CFF">
                  <w:pPr>
                    <w:overflowPunct w:val="0"/>
                    <w:autoSpaceDE w:val="0"/>
                    <w:autoSpaceDN w:val="0"/>
                    <w:adjustRightInd w:val="0"/>
                    <w:snapToGrid w:val="0"/>
                    <w:jc w:val="center"/>
                    <w:rPr>
                      <w:color w:val="000000"/>
                      <w:sz w:val="18"/>
                      <w:szCs w:val="18"/>
                    </w:rPr>
                  </w:pPr>
                </w:p>
              </w:tc>
            </w:tr>
            <w:tr w14:paraId="270F21C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74BA3C39">
                  <w:pPr>
                    <w:overflowPunct w:val="0"/>
                    <w:autoSpaceDE w:val="0"/>
                    <w:autoSpaceDN w:val="0"/>
                    <w:adjustRightInd w:val="0"/>
                    <w:snapToGrid w:val="0"/>
                    <w:jc w:val="center"/>
                    <w:rPr>
                      <w:color w:val="000000"/>
                      <w:sz w:val="18"/>
                      <w:szCs w:val="18"/>
                    </w:rPr>
                  </w:pPr>
                  <w:r>
                    <w:rPr>
                      <w:color w:val="000000"/>
                      <w:sz w:val="18"/>
                      <w:szCs w:val="18"/>
                    </w:rPr>
                    <w:t>13</w:t>
                  </w:r>
                </w:p>
              </w:tc>
              <w:tc>
                <w:tcPr>
                  <w:tcW w:w="983" w:type="pct"/>
                  <w:noWrap/>
                  <w:vAlign w:val="center"/>
                </w:tcPr>
                <w:p w14:paraId="02B09B45">
                  <w:pPr>
                    <w:overflowPunct w:val="0"/>
                    <w:autoSpaceDE w:val="0"/>
                    <w:autoSpaceDN w:val="0"/>
                    <w:adjustRightInd w:val="0"/>
                    <w:snapToGrid w:val="0"/>
                    <w:jc w:val="center"/>
                    <w:rPr>
                      <w:color w:val="000000"/>
                      <w:sz w:val="18"/>
                      <w:szCs w:val="18"/>
                    </w:rPr>
                  </w:pPr>
                  <w:r>
                    <w:rPr>
                      <w:rFonts w:hint="eastAsia"/>
                      <w:color w:val="000000"/>
                      <w:sz w:val="18"/>
                      <w:szCs w:val="18"/>
                    </w:rPr>
                    <w:t>稳定剂</w:t>
                  </w:r>
                </w:p>
              </w:tc>
              <w:tc>
                <w:tcPr>
                  <w:tcW w:w="1196" w:type="pct"/>
                  <w:noWrap/>
                  <w:vAlign w:val="center"/>
                </w:tcPr>
                <w:p w14:paraId="4C08EEC2">
                  <w:pPr>
                    <w:overflowPunct w:val="0"/>
                    <w:autoSpaceDE w:val="0"/>
                    <w:autoSpaceDN w:val="0"/>
                    <w:adjustRightInd w:val="0"/>
                    <w:snapToGrid w:val="0"/>
                    <w:jc w:val="center"/>
                    <w:rPr>
                      <w:color w:val="000000"/>
                      <w:sz w:val="18"/>
                      <w:szCs w:val="18"/>
                    </w:rPr>
                  </w:pPr>
                  <w:r>
                    <w:rPr>
                      <w:rFonts w:hint="eastAsia"/>
                      <w:color w:val="000000"/>
                      <w:sz w:val="18"/>
                      <w:szCs w:val="18"/>
                    </w:rPr>
                    <w:t>水滑石，镁铝、锌铝等双金属氢氧化物</w:t>
                  </w:r>
                </w:p>
              </w:tc>
              <w:tc>
                <w:tcPr>
                  <w:tcW w:w="225" w:type="pct"/>
                  <w:noWrap w:val="0"/>
                  <w:vAlign w:val="center"/>
                </w:tcPr>
                <w:p w14:paraId="496B2DC8">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66A42083">
                  <w:pPr>
                    <w:overflowPunct w:val="0"/>
                    <w:autoSpaceDE w:val="0"/>
                    <w:autoSpaceDN w:val="0"/>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7.1</w:t>
                  </w:r>
                </w:p>
              </w:tc>
              <w:tc>
                <w:tcPr>
                  <w:tcW w:w="604" w:type="pct"/>
                  <w:noWrap w:val="0"/>
                  <w:vAlign w:val="center"/>
                </w:tcPr>
                <w:p w14:paraId="0FB1AE68">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3676B616">
                  <w:pPr>
                    <w:overflowPunct w:val="0"/>
                    <w:autoSpaceDE w:val="0"/>
                    <w:autoSpaceDN w:val="0"/>
                    <w:adjustRightInd w:val="0"/>
                    <w:snapToGrid w:val="0"/>
                    <w:jc w:val="center"/>
                    <w:rPr>
                      <w:color w:val="000000"/>
                      <w:sz w:val="18"/>
                      <w:szCs w:val="18"/>
                    </w:rPr>
                  </w:pPr>
                  <w:r>
                    <w:rPr>
                      <w:color w:val="000000"/>
                      <w:sz w:val="18"/>
                      <w:szCs w:val="18"/>
                    </w:rPr>
                    <w:t>0.1t</w:t>
                  </w:r>
                </w:p>
              </w:tc>
              <w:tc>
                <w:tcPr>
                  <w:tcW w:w="761" w:type="pct"/>
                  <w:noWrap w:val="0"/>
                  <w:vAlign w:val="center"/>
                </w:tcPr>
                <w:p w14:paraId="354E9AC1">
                  <w:pPr>
                    <w:overflowPunct w:val="0"/>
                    <w:autoSpaceDE w:val="0"/>
                    <w:autoSpaceDN w:val="0"/>
                    <w:adjustRightInd w:val="0"/>
                    <w:snapToGrid w:val="0"/>
                    <w:jc w:val="center"/>
                    <w:rPr>
                      <w:color w:val="000000"/>
                      <w:sz w:val="18"/>
                      <w:szCs w:val="18"/>
                    </w:rPr>
                  </w:pPr>
                  <w:r>
                    <w:rPr>
                      <w:rFonts w:hint="eastAsia"/>
                      <w:color w:val="000000"/>
                      <w:sz w:val="18"/>
                      <w:szCs w:val="18"/>
                    </w:rPr>
                    <w:t>固态，粒径0.0004~0.001mm</w:t>
                  </w:r>
                </w:p>
              </w:tc>
              <w:tc>
                <w:tcPr>
                  <w:tcW w:w="186" w:type="pct"/>
                  <w:vMerge w:val="continue"/>
                  <w:noWrap w:val="0"/>
                  <w:vAlign w:val="center"/>
                </w:tcPr>
                <w:p w14:paraId="41C6874D">
                  <w:pPr>
                    <w:overflowPunct w:val="0"/>
                    <w:autoSpaceDE w:val="0"/>
                    <w:autoSpaceDN w:val="0"/>
                    <w:adjustRightInd w:val="0"/>
                    <w:snapToGrid w:val="0"/>
                    <w:jc w:val="center"/>
                    <w:rPr>
                      <w:color w:val="000000"/>
                      <w:sz w:val="18"/>
                      <w:szCs w:val="18"/>
                    </w:rPr>
                  </w:pPr>
                </w:p>
              </w:tc>
            </w:tr>
            <w:tr w14:paraId="2BAA9AF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334" w:type="pct"/>
                  <w:noWrap w:val="0"/>
                  <w:vAlign w:val="center"/>
                </w:tcPr>
                <w:p w14:paraId="023AA1D7">
                  <w:pPr>
                    <w:overflowPunct w:val="0"/>
                    <w:autoSpaceDE w:val="0"/>
                    <w:autoSpaceDN w:val="0"/>
                    <w:adjustRightInd w:val="0"/>
                    <w:snapToGrid w:val="0"/>
                    <w:jc w:val="center"/>
                    <w:rPr>
                      <w:color w:val="000000"/>
                      <w:sz w:val="18"/>
                      <w:szCs w:val="18"/>
                    </w:rPr>
                  </w:pPr>
                  <w:r>
                    <w:rPr>
                      <w:color w:val="000000"/>
                      <w:sz w:val="18"/>
                      <w:szCs w:val="18"/>
                    </w:rPr>
                    <w:t>14</w:t>
                  </w:r>
                </w:p>
              </w:tc>
              <w:tc>
                <w:tcPr>
                  <w:tcW w:w="983" w:type="pct"/>
                  <w:noWrap/>
                  <w:vAlign w:val="center"/>
                </w:tcPr>
                <w:p w14:paraId="5865F18C">
                  <w:pPr>
                    <w:overflowPunct w:val="0"/>
                    <w:autoSpaceDE w:val="0"/>
                    <w:autoSpaceDN w:val="0"/>
                    <w:adjustRightInd w:val="0"/>
                    <w:snapToGrid w:val="0"/>
                    <w:jc w:val="center"/>
                    <w:rPr>
                      <w:color w:val="000000"/>
                      <w:sz w:val="18"/>
                      <w:szCs w:val="18"/>
                    </w:rPr>
                  </w:pPr>
                  <w:r>
                    <w:rPr>
                      <w:color w:val="000000"/>
                      <w:sz w:val="18"/>
                      <w:szCs w:val="18"/>
                    </w:rPr>
                    <w:t>EVA</w:t>
                  </w:r>
                </w:p>
              </w:tc>
              <w:tc>
                <w:tcPr>
                  <w:tcW w:w="1196" w:type="pct"/>
                  <w:noWrap/>
                  <w:vAlign w:val="center"/>
                </w:tcPr>
                <w:p w14:paraId="4A190DBA">
                  <w:pPr>
                    <w:overflowPunct w:val="0"/>
                    <w:autoSpaceDE w:val="0"/>
                    <w:autoSpaceDN w:val="0"/>
                    <w:adjustRightInd w:val="0"/>
                    <w:snapToGrid w:val="0"/>
                    <w:jc w:val="center"/>
                    <w:rPr>
                      <w:color w:val="000000"/>
                      <w:sz w:val="18"/>
                      <w:szCs w:val="18"/>
                    </w:rPr>
                  </w:pPr>
                  <w:r>
                    <w:rPr>
                      <w:color w:val="000000"/>
                      <w:sz w:val="18"/>
                      <w:szCs w:val="18"/>
                    </w:rPr>
                    <w:t>乙烯-醋酸乙烯共聚物</w:t>
                  </w:r>
                </w:p>
              </w:tc>
              <w:tc>
                <w:tcPr>
                  <w:tcW w:w="225" w:type="pct"/>
                  <w:noWrap w:val="0"/>
                  <w:vAlign w:val="center"/>
                </w:tcPr>
                <w:p w14:paraId="7DDCD847">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5DFFF323">
                  <w:pPr>
                    <w:overflowPunct w:val="0"/>
                    <w:autoSpaceDE w:val="0"/>
                    <w:autoSpaceDN w:val="0"/>
                    <w:adjustRightInd w:val="0"/>
                    <w:snapToGrid w:val="0"/>
                    <w:jc w:val="center"/>
                    <w:rPr>
                      <w:color w:val="000000"/>
                      <w:sz w:val="18"/>
                      <w:szCs w:val="18"/>
                    </w:rPr>
                  </w:pPr>
                  <w:r>
                    <w:rPr>
                      <w:rFonts w:hint="eastAsia"/>
                      <w:color w:val="000000"/>
                      <w:sz w:val="18"/>
                      <w:szCs w:val="18"/>
                    </w:rPr>
                    <w:t>1250</w:t>
                  </w:r>
                </w:p>
              </w:tc>
              <w:tc>
                <w:tcPr>
                  <w:tcW w:w="604" w:type="pct"/>
                  <w:noWrap w:val="0"/>
                  <w:vAlign w:val="center"/>
                </w:tcPr>
                <w:p w14:paraId="5DD6A5D9">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2BF17DB6">
                  <w:pPr>
                    <w:overflowPunct w:val="0"/>
                    <w:autoSpaceDE w:val="0"/>
                    <w:autoSpaceDN w:val="0"/>
                    <w:adjustRightInd w:val="0"/>
                    <w:snapToGrid w:val="0"/>
                    <w:jc w:val="center"/>
                    <w:rPr>
                      <w:color w:val="000000"/>
                      <w:sz w:val="18"/>
                      <w:szCs w:val="18"/>
                    </w:rPr>
                  </w:pPr>
                  <w:r>
                    <w:rPr>
                      <w:color w:val="000000"/>
                      <w:sz w:val="18"/>
                      <w:szCs w:val="18"/>
                    </w:rPr>
                    <w:t>50t</w:t>
                  </w:r>
                </w:p>
              </w:tc>
              <w:tc>
                <w:tcPr>
                  <w:tcW w:w="761" w:type="pct"/>
                  <w:noWrap w:val="0"/>
                  <w:vAlign w:val="center"/>
                </w:tcPr>
                <w:p w14:paraId="22A2B893">
                  <w:pPr>
                    <w:overflowPunct w:val="0"/>
                    <w:autoSpaceDE w:val="0"/>
                    <w:autoSpaceDN w:val="0"/>
                    <w:adjustRightInd w:val="0"/>
                    <w:snapToGrid w:val="0"/>
                    <w:jc w:val="center"/>
                    <w:rPr>
                      <w:color w:val="000000"/>
                      <w:sz w:val="18"/>
                      <w:szCs w:val="18"/>
                    </w:rPr>
                  </w:pPr>
                  <w:r>
                    <w:rPr>
                      <w:rFonts w:hint="eastAsia"/>
                      <w:color w:val="000000"/>
                      <w:sz w:val="18"/>
                      <w:szCs w:val="18"/>
                    </w:rPr>
                    <w:t>固态，粒径2~5mm</w:t>
                  </w:r>
                </w:p>
              </w:tc>
              <w:tc>
                <w:tcPr>
                  <w:tcW w:w="186" w:type="pct"/>
                  <w:vMerge w:val="restart"/>
                  <w:noWrap w:val="0"/>
                  <w:vAlign w:val="center"/>
                </w:tcPr>
                <w:p w14:paraId="1DC8029E">
                  <w:pPr>
                    <w:overflowPunct w:val="0"/>
                    <w:autoSpaceDE w:val="0"/>
                    <w:autoSpaceDN w:val="0"/>
                    <w:adjustRightInd w:val="0"/>
                    <w:snapToGrid w:val="0"/>
                    <w:jc w:val="center"/>
                    <w:rPr>
                      <w:color w:val="000000"/>
                      <w:sz w:val="18"/>
                      <w:szCs w:val="18"/>
                    </w:rPr>
                  </w:pPr>
                  <w:r>
                    <w:rPr>
                      <w:rFonts w:hint="eastAsia"/>
                      <w:color w:val="000000"/>
                      <w:sz w:val="18"/>
                      <w:szCs w:val="18"/>
                    </w:rPr>
                    <w:t>低烟无卤电缆料</w:t>
                  </w:r>
                  <w:r>
                    <w:rPr>
                      <w:color w:val="000000"/>
                      <w:sz w:val="18"/>
                      <w:szCs w:val="18"/>
                    </w:rPr>
                    <w:t>原辅料</w:t>
                  </w:r>
                </w:p>
              </w:tc>
            </w:tr>
            <w:tr w14:paraId="4AE4426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312A4B06">
                  <w:pPr>
                    <w:overflowPunct w:val="0"/>
                    <w:autoSpaceDE w:val="0"/>
                    <w:autoSpaceDN w:val="0"/>
                    <w:adjustRightInd w:val="0"/>
                    <w:snapToGrid w:val="0"/>
                    <w:jc w:val="center"/>
                    <w:rPr>
                      <w:color w:val="000000"/>
                      <w:sz w:val="18"/>
                      <w:szCs w:val="18"/>
                    </w:rPr>
                  </w:pPr>
                  <w:r>
                    <w:rPr>
                      <w:color w:val="000000"/>
                      <w:sz w:val="18"/>
                      <w:szCs w:val="18"/>
                    </w:rPr>
                    <w:t>15</w:t>
                  </w:r>
                </w:p>
              </w:tc>
              <w:tc>
                <w:tcPr>
                  <w:tcW w:w="983" w:type="pct"/>
                  <w:noWrap/>
                  <w:vAlign w:val="center"/>
                </w:tcPr>
                <w:p w14:paraId="69D94B21">
                  <w:pPr>
                    <w:overflowPunct w:val="0"/>
                    <w:autoSpaceDE w:val="0"/>
                    <w:autoSpaceDN w:val="0"/>
                    <w:adjustRightInd w:val="0"/>
                    <w:snapToGrid w:val="0"/>
                    <w:jc w:val="center"/>
                    <w:rPr>
                      <w:color w:val="000000"/>
                      <w:sz w:val="18"/>
                      <w:szCs w:val="18"/>
                    </w:rPr>
                  </w:pPr>
                  <w:r>
                    <w:rPr>
                      <w:color w:val="000000"/>
                      <w:sz w:val="18"/>
                      <w:szCs w:val="18"/>
                    </w:rPr>
                    <w:t>LLDPE</w:t>
                  </w:r>
                </w:p>
              </w:tc>
              <w:tc>
                <w:tcPr>
                  <w:tcW w:w="1196" w:type="pct"/>
                  <w:noWrap/>
                  <w:vAlign w:val="center"/>
                </w:tcPr>
                <w:p w14:paraId="789066F2">
                  <w:pPr>
                    <w:overflowPunct w:val="0"/>
                    <w:autoSpaceDE w:val="0"/>
                    <w:autoSpaceDN w:val="0"/>
                    <w:adjustRightInd w:val="0"/>
                    <w:snapToGrid w:val="0"/>
                    <w:jc w:val="center"/>
                    <w:rPr>
                      <w:color w:val="000000"/>
                      <w:sz w:val="18"/>
                      <w:szCs w:val="18"/>
                    </w:rPr>
                  </w:pPr>
                  <w:r>
                    <w:rPr>
                      <w:color w:val="000000"/>
                      <w:sz w:val="18"/>
                      <w:szCs w:val="18"/>
                    </w:rPr>
                    <w:t>线型低密度聚乙烯</w:t>
                  </w:r>
                </w:p>
              </w:tc>
              <w:tc>
                <w:tcPr>
                  <w:tcW w:w="225" w:type="pct"/>
                  <w:noWrap w:val="0"/>
                  <w:vAlign w:val="center"/>
                </w:tcPr>
                <w:p w14:paraId="76E5BD19">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4F494A9A">
                  <w:pPr>
                    <w:overflowPunct w:val="0"/>
                    <w:autoSpaceDE w:val="0"/>
                    <w:autoSpaceDN w:val="0"/>
                    <w:adjustRightInd w:val="0"/>
                    <w:snapToGrid w:val="0"/>
                    <w:jc w:val="center"/>
                    <w:rPr>
                      <w:color w:val="000000"/>
                      <w:sz w:val="18"/>
                      <w:szCs w:val="18"/>
                    </w:rPr>
                  </w:pPr>
                  <w:r>
                    <w:rPr>
                      <w:rFonts w:hint="eastAsia"/>
                      <w:color w:val="000000"/>
                      <w:sz w:val="18"/>
                      <w:szCs w:val="18"/>
                    </w:rPr>
                    <w:t>120</w:t>
                  </w:r>
                </w:p>
              </w:tc>
              <w:tc>
                <w:tcPr>
                  <w:tcW w:w="604" w:type="pct"/>
                  <w:noWrap w:val="0"/>
                  <w:vAlign w:val="center"/>
                </w:tcPr>
                <w:p w14:paraId="24CFF23F">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62122889">
                  <w:pPr>
                    <w:overflowPunct w:val="0"/>
                    <w:autoSpaceDE w:val="0"/>
                    <w:autoSpaceDN w:val="0"/>
                    <w:adjustRightInd w:val="0"/>
                    <w:snapToGrid w:val="0"/>
                    <w:jc w:val="center"/>
                    <w:rPr>
                      <w:color w:val="000000"/>
                      <w:sz w:val="18"/>
                      <w:szCs w:val="18"/>
                    </w:rPr>
                  </w:pPr>
                  <w:r>
                    <w:rPr>
                      <w:color w:val="000000"/>
                      <w:sz w:val="18"/>
                      <w:szCs w:val="18"/>
                    </w:rPr>
                    <w:t>20t</w:t>
                  </w:r>
                </w:p>
              </w:tc>
              <w:tc>
                <w:tcPr>
                  <w:tcW w:w="761" w:type="pct"/>
                  <w:noWrap w:val="0"/>
                  <w:vAlign w:val="center"/>
                </w:tcPr>
                <w:p w14:paraId="28697F5A">
                  <w:pPr>
                    <w:overflowPunct w:val="0"/>
                    <w:autoSpaceDE w:val="0"/>
                    <w:autoSpaceDN w:val="0"/>
                    <w:adjustRightInd w:val="0"/>
                    <w:snapToGrid w:val="0"/>
                    <w:jc w:val="center"/>
                    <w:rPr>
                      <w:color w:val="000000"/>
                      <w:sz w:val="18"/>
                      <w:szCs w:val="18"/>
                    </w:rPr>
                  </w:pPr>
                  <w:r>
                    <w:rPr>
                      <w:rFonts w:hint="eastAsia"/>
                      <w:color w:val="000000"/>
                      <w:sz w:val="18"/>
                      <w:szCs w:val="18"/>
                    </w:rPr>
                    <w:t>固态，粒径3~5mm</w:t>
                  </w:r>
                </w:p>
              </w:tc>
              <w:tc>
                <w:tcPr>
                  <w:tcW w:w="186" w:type="pct"/>
                  <w:vMerge w:val="continue"/>
                  <w:noWrap w:val="0"/>
                  <w:vAlign w:val="center"/>
                </w:tcPr>
                <w:p w14:paraId="0511A385">
                  <w:pPr>
                    <w:overflowPunct w:val="0"/>
                    <w:autoSpaceDE w:val="0"/>
                    <w:autoSpaceDN w:val="0"/>
                    <w:adjustRightInd w:val="0"/>
                    <w:snapToGrid w:val="0"/>
                    <w:jc w:val="center"/>
                    <w:rPr>
                      <w:color w:val="000000"/>
                      <w:sz w:val="18"/>
                      <w:szCs w:val="18"/>
                    </w:rPr>
                  </w:pPr>
                </w:p>
              </w:tc>
            </w:tr>
            <w:tr w14:paraId="49B0F25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45BE3705">
                  <w:pPr>
                    <w:overflowPunct w:val="0"/>
                    <w:autoSpaceDE w:val="0"/>
                    <w:autoSpaceDN w:val="0"/>
                    <w:adjustRightInd w:val="0"/>
                    <w:snapToGrid w:val="0"/>
                    <w:jc w:val="center"/>
                    <w:rPr>
                      <w:color w:val="000000"/>
                      <w:sz w:val="18"/>
                      <w:szCs w:val="18"/>
                    </w:rPr>
                  </w:pPr>
                  <w:r>
                    <w:rPr>
                      <w:color w:val="000000"/>
                      <w:sz w:val="18"/>
                      <w:szCs w:val="18"/>
                    </w:rPr>
                    <w:t>16</w:t>
                  </w:r>
                </w:p>
              </w:tc>
              <w:tc>
                <w:tcPr>
                  <w:tcW w:w="983" w:type="pct"/>
                  <w:noWrap/>
                  <w:vAlign w:val="center"/>
                </w:tcPr>
                <w:p w14:paraId="1C9A8915">
                  <w:pPr>
                    <w:overflowPunct w:val="0"/>
                    <w:autoSpaceDE w:val="0"/>
                    <w:autoSpaceDN w:val="0"/>
                    <w:adjustRightInd w:val="0"/>
                    <w:snapToGrid w:val="0"/>
                    <w:jc w:val="center"/>
                    <w:rPr>
                      <w:color w:val="000000"/>
                      <w:sz w:val="18"/>
                      <w:szCs w:val="18"/>
                    </w:rPr>
                  </w:pPr>
                  <w:r>
                    <w:rPr>
                      <w:color w:val="000000"/>
                      <w:sz w:val="18"/>
                      <w:szCs w:val="18"/>
                    </w:rPr>
                    <w:t>POE</w:t>
                  </w:r>
                </w:p>
              </w:tc>
              <w:tc>
                <w:tcPr>
                  <w:tcW w:w="1196" w:type="pct"/>
                  <w:noWrap/>
                  <w:vAlign w:val="center"/>
                </w:tcPr>
                <w:p w14:paraId="0464C686">
                  <w:pPr>
                    <w:overflowPunct w:val="0"/>
                    <w:autoSpaceDE w:val="0"/>
                    <w:autoSpaceDN w:val="0"/>
                    <w:adjustRightInd w:val="0"/>
                    <w:snapToGrid w:val="0"/>
                    <w:jc w:val="center"/>
                    <w:rPr>
                      <w:color w:val="000000"/>
                      <w:sz w:val="18"/>
                      <w:szCs w:val="18"/>
                    </w:rPr>
                  </w:pPr>
                  <w:r>
                    <w:rPr>
                      <w:color w:val="000000"/>
                      <w:sz w:val="18"/>
                      <w:szCs w:val="18"/>
                    </w:rPr>
                    <w:t>聚烯烃弹性体</w:t>
                  </w:r>
                </w:p>
              </w:tc>
              <w:tc>
                <w:tcPr>
                  <w:tcW w:w="225" w:type="pct"/>
                  <w:noWrap w:val="0"/>
                  <w:vAlign w:val="center"/>
                </w:tcPr>
                <w:p w14:paraId="0D11752D">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30BFFB86">
                  <w:pPr>
                    <w:overflowPunct w:val="0"/>
                    <w:autoSpaceDE w:val="0"/>
                    <w:autoSpaceDN w:val="0"/>
                    <w:adjustRightInd w:val="0"/>
                    <w:snapToGrid w:val="0"/>
                    <w:jc w:val="center"/>
                    <w:rPr>
                      <w:color w:val="000000"/>
                      <w:sz w:val="18"/>
                      <w:szCs w:val="18"/>
                    </w:rPr>
                  </w:pPr>
                  <w:r>
                    <w:rPr>
                      <w:rFonts w:hint="eastAsia"/>
                      <w:color w:val="000000"/>
                      <w:sz w:val="18"/>
                      <w:szCs w:val="18"/>
                    </w:rPr>
                    <w:t>235</w:t>
                  </w:r>
                </w:p>
              </w:tc>
              <w:tc>
                <w:tcPr>
                  <w:tcW w:w="604" w:type="pct"/>
                  <w:noWrap w:val="0"/>
                  <w:vAlign w:val="center"/>
                </w:tcPr>
                <w:p w14:paraId="49E3178C">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2039224D">
                  <w:pPr>
                    <w:overflowPunct w:val="0"/>
                    <w:autoSpaceDE w:val="0"/>
                    <w:autoSpaceDN w:val="0"/>
                    <w:adjustRightInd w:val="0"/>
                    <w:snapToGrid w:val="0"/>
                    <w:jc w:val="center"/>
                    <w:rPr>
                      <w:color w:val="000000"/>
                      <w:sz w:val="18"/>
                      <w:szCs w:val="18"/>
                    </w:rPr>
                  </w:pPr>
                  <w:r>
                    <w:rPr>
                      <w:color w:val="000000"/>
                      <w:sz w:val="18"/>
                      <w:szCs w:val="18"/>
                    </w:rPr>
                    <w:t>20t</w:t>
                  </w:r>
                </w:p>
              </w:tc>
              <w:tc>
                <w:tcPr>
                  <w:tcW w:w="761" w:type="pct"/>
                  <w:noWrap w:val="0"/>
                  <w:vAlign w:val="center"/>
                </w:tcPr>
                <w:p w14:paraId="7C238445">
                  <w:pPr>
                    <w:overflowPunct w:val="0"/>
                    <w:autoSpaceDE w:val="0"/>
                    <w:autoSpaceDN w:val="0"/>
                    <w:adjustRightInd w:val="0"/>
                    <w:snapToGrid w:val="0"/>
                    <w:jc w:val="center"/>
                    <w:rPr>
                      <w:color w:val="000000"/>
                      <w:sz w:val="18"/>
                      <w:szCs w:val="18"/>
                    </w:rPr>
                  </w:pPr>
                  <w:r>
                    <w:rPr>
                      <w:rFonts w:hint="eastAsia"/>
                      <w:color w:val="000000"/>
                      <w:sz w:val="18"/>
                      <w:szCs w:val="18"/>
                    </w:rPr>
                    <w:t>固态，粒径2~5mm</w:t>
                  </w:r>
                </w:p>
              </w:tc>
              <w:tc>
                <w:tcPr>
                  <w:tcW w:w="186" w:type="pct"/>
                  <w:vMerge w:val="continue"/>
                  <w:noWrap w:val="0"/>
                  <w:vAlign w:val="center"/>
                </w:tcPr>
                <w:p w14:paraId="52703BAA">
                  <w:pPr>
                    <w:overflowPunct w:val="0"/>
                    <w:autoSpaceDE w:val="0"/>
                    <w:autoSpaceDN w:val="0"/>
                    <w:adjustRightInd w:val="0"/>
                    <w:snapToGrid w:val="0"/>
                    <w:jc w:val="center"/>
                    <w:rPr>
                      <w:color w:val="000000"/>
                      <w:sz w:val="18"/>
                      <w:szCs w:val="18"/>
                    </w:rPr>
                  </w:pPr>
                </w:p>
              </w:tc>
            </w:tr>
            <w:tr w14:paraId="7923704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334" w:type="pct"/>
                  <w:noWrap w:val="0"/>
                  <w:vAlign w:val="center"/>
                </w:tcPr>
                <w:p w14:paraId="46EE0F31">
                  <w:pPr>
                    <w:overflowPunct w:val="0"/>
                    <w:autoSpaceDE w:val="0"/>
                    <w:autoSpaceDN w:val="0"/>
                    <w:adjustRightInd w:val="0"/>
                    <w:snapToGrid w:val="0"/>
                    <w:jc w:val="center"/>
                    <w:rPr>
                      <w:color w:val="000000"/>
                      <w:sz w:val="18"/>
                      <w:szCs w:val="18"/>
                    </w:rPr>
                  </w:pPr>
                  <w:r>
                    <w:rPr>
                      <w:color w:val="000000"/>
                      <w:sz w:val="18"/>
                      <w:szCs w:val="18"/>
                    </w:rPr>
                    <w:t>17</w:t>
                  </w:r>
                </w:p>
              </w:tc>
              <w:tc>
                <w:tcPr>
                  <w:tcW w:w="983" w:type="pct"/>
                  <w:noWrap/>
                  <w:vAlign w:val="center"/>
                </w:tcPr>
                <w:p w14:paraId="7DCD4730">
                  <w:pPr>
                    <w:overflowPunct w:val="0"/>
                    <w:autoSpaceDE w:val="0"/>
                    <w:autoSpaceDN w:val="0"/>
                    <w:adjustRightInd w:val="0"/>
                    <w:snapToGrid w:val="0"/>
                    <w:jc w:val="center"/>
                    <w:rPr>
                      <w:color w:val="000000"/>
                      <w:sz w:val="18"/>
                      <w:szCs w:val="18"/>
                    </w:rPr>
                  </w:pPr>
                  <w:r>
                    <w:rPr>
                      <w:color w:val="000000"/>
                      <w:sz w:val="18"/>
                      <w:szCs w:val="18"/>
                    </w:rPr>
                    <w:t>氢氧化铝</w:t>
                  </w:r>
                </w:p>
              </w:tc>
              <w:tc>
                <w:tcPr>
                  <w:tcW w:w="1196" w:type="pct"/>
                  <w:noWrap/>
                  <w:vAlign w:val="center"/>
                </w:tcPr>
                <w:p w14:paraId="555FF993">
                  <w:pPr>
                    <w:overflowPunct w:val="0"/>
                    <w:autoSpaceDE w:val="0"/>
                    <w:autoSpaceDN w:val="0"/>
                    <w:adjustRightInd w:val="0"/>
                    <w:snapToGrid w:val="0"/>
                    <w:jc w:val="center"/>
                    <w:rPr>
                      <w:color w:val="000000"/>
                      <w:sz w:val="18"/>
                      <w:szCs w:val="18"/>
                    </w:rPr>
                  </w:pPr>
                  <w:r>
                    <w:rPr>
                      <w:color w:val="000000"/>
                      <w:sz w:val="18"/>
                      <w:szCs w:val="18"/>
                    </w:rPr>
                    <w:t>Al(OH)</w:t>
                  </w:r>
                  <w:r>
                    <w:rPr>
                      <w:color w:val="000000"/>
                      <w:sz w:val="18"/>
                      <w:szCs w:val="18"/>
                      <w:vertAlign w:val="subscript"/>
                    </w:rPr>
                    <w:t>3</w:t>
                  </w:r>
                </w:p>
              </w:tc>
              <w:tc>
                <w:tcPr>
                  <w:tcW w:w="225" w:type="pct"/>
                  <w:noWrap w:val="0"/>
                  <w:vAlign w:val="center"/>
                </w:tcPr>
                <w:p w14:paraId="536A038B">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B6609C5">
                  <w:pPr>
                    <w:overflowPunct w:val="0"/>
                    <w:autoSpaceDE w:val="0"/>
                    <w:autoSpaceDN w:val="0"/>
                    <w:adjustRightInd w:val="0"/>
                    <w:snapToGrid w:val="0"/>
                    <w:jc w:val="center"/>
                    <w:rPr>
                      <w:color w:val="000000"/>
                      <w:sz w:val="18"/>
                      <w:szCs w:val="18"/>
                    </w:rPr>
                  </w:pPr>
                  <w:r>
                    <w:rPr>
                      <w:rFonts w:hint="eastAsia"/>
                      <w:color w:val="000000"/>
                      <w:sz w:val="18"/>
                      <w:szCs w:val="18"/>
                    </w:rPr>
                    <w:t>2310</w:t>
                  </w:r>
                </w:p>
              </w:tc>
              <w:tc>
                <w:tcPr>
                  <w:tcW w:w="604" w:type="pct"/>
                  <w:noWrap w:val="0"/>
                  <w:vAlign w:val="center"/>
                </w:tcPr>
                <w:p w14:paraId="275E58BD">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26964DEE">
                  <w:pPr>
                    <w:overflowPunct w:val="0"/>
                    <w:autoSpaceDE w:val="0"/>
                    <w:autoSpaceDN w:val="0"/>
                    <w:adjustRightInd w:val="0"/>
                    <w:snapToGrid w:val="0"/>
                    <w:jc w:val="center"/>
                    <w:rPr>
                      <w:color w:val="000000"/>
                      <w:sz w:val="18"/>
                      <w:szCs w:val="18"/>
                    </w:rPr>
                  </w:pPr>
                  <w:r>
                    <w:rPr>
                      <w:color w:val="000000"/>
                      <w:sz w:val="18"/>
                      <w:szCs w:val="18"/>
                    </w:rPr>
                    <w:t>50t</w:t>
                  </w:r>
                </w:p>
              </w:tc>
              <w:tc>
                <w:tcPr>
                  <w:tcW w:w="761" w:type="pct"/>
                  <w:noWrap w:val="0"/>
                  <w:vAlign w:val="center"/>
                </w:tcPr>
                <w:p w14:paraId="7BB9DDA2">
                  <w:pPr>
                    <w:overflowPunct w:val="0"/>
                    <w:autoSpaceDE w:val="0"/>
                    <w:autoSpaceDN w:val="0"/>
                    <w:adjustRightInd w:val="0"/>
                    <w:snapToGrid w:val="0"/>
                    <w:jc w:val="center"/>
                    <w:rPr>
                      <w:color w:val="000000"/>
                      <w:sz w:val="18"/>
                      <w:szCs w:val="18"/>
                    </w:rPr>
                  </w:pPr>
                  <w:r>
                    <w:rPr>
                      <w:rFonts w:hint="eastAsia"/>
                      <w:color w:val="000000"/>
                      <w:sz w:val="18"/>
                      <w:szCs w:val="18"/>
                    </w:rPr>
                    <w:t>固态，粒径0.001~0.01mm</w:t>
                  </w:r>
                </w:p>
              </w:tc>
              <w:tc>
                <w:tcPr>
                  <w:tcW w:w="186" w:type="pct"/>
                  <w:vMerge w:val="continue"/>
                  <w:noWrap w:val="0"/>
                  <w:vAlign w:val="center"/>
                </w:tcPr>
                <w:p w14:paraId="182E6F32">
                  <w:pPr>
                    <w:overflowPunct w:val="0"/>
                    <w:autoSpaceDE w:val="0"/>
                    <w:autoSpaceDN w:val="0"/>
                    <w:adjustRightInd w:val="0"/>
                    <w:snapToGrid w:val="0"/>
                    <w:jc w:val="center"/>
                    <w:rPr>
                      <w:color w:val="000000"/>
                      <w:sz w:val="18"/>
                      <w:szCs w:val="18"/>
                    </w:rPr>
                  </w:pPr>
                </w:p>
              </w:tc>
            </w:tr>
            <w:tr w14:paraId="340B73C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649D4159">
                  <w:pPr>
                    <w:overflowPunct w:val="0"/>
                    <w:autoSpaceDE w:val="0"/>
                    <w:autoSpaceDN w:val="0"/>
                    <w:adjustRightInd w:val="0"/>
                    <w:snapToGrid w:val="0"/>
                    <w:jc w:val="center"/>
                    <w:rPr>
                      <w:color w:val="000000"/>
                      <w:sz w:val="18"/>
                      <w:szCs w:val="18"/>
                    </w:rPr>
                  </w:pPr>
                  <w:r>
                    <w:rPr>
                      <w:color w:val="000000"/>
                      <w:sz w:val="18"/>
                      <w:szCs w:val="18"/>
                    </w:rPr>
                    <w:t>18</w:t>
                  </w:r>
                </w:p>
              </w:tc>
              <w:tc>
                <w:tcPr>
                  <w:tcW w:w="983" w:type="pct"/>
                  <w:noWrap/>
                  <w:vAlign w:val="center"/>
                </w:tcPr>
                <w:p w14:paraId="0E650AE5">
                  <w:pPr>
                    <w:overflowPunct w:val="0"/>
                    <w:autoSpaceDE w:val="0"/>
                    <w:autoSpaceDN w:val="0"/>
                    <w:adjustRightInd w:val="0"/>
                    <w:snapToGrid w:val="0"/>
                    <w:jc w:val="center"/>
                    <w:rPr>
                      <w:color w:val="000000"/>
                      <w:sz w:val="18"/>
                      <w:szCs w:val="18"/>
                    </w:rPr>
                  </w:pPr>
                  <w:r>
                    <w:rPr>
                      <w:color w:val="000000"/>
                      <w:sz w:val="18"/>
                      <w:szCs w:val="18"/>
                    </w:rPr>
                    <w:t>相容剂</w:t>
                  </w:r>
                </w:p>
              </w:tc>
              <w:tc>
                <w:tcPr>
                  <w:tcW w:w="1196" w:type="pct"/>
                  <w:noWrap/>
                  <w:vAlign w:val="center"/>
                </w:tcPr>
                <w:p w14:paraId="599E89A9">
                  <w:pPr>
                    <w:overflowPunct w:val="0"/>
                    <w:autoSpaceDE w:val="0"/>
                    <w:autoSpaceDN w:val="0"/>
                    <w:adjustRightInd w:val="0"/>
                    <w:snapToGrid w:val="0"/>
                    <w:jc w:val="center"/>
                    <w:rPr>
                      <w:color w:val="000000"/>
                      <w:sz w:val="18"/>
                      <w:szCs w:val="18"/>
                    </w:rPr>
                  </w:pPr>
                  <w:r>
                    <w:rPr>
                      <w:color w:val="000000"/>
                      <w:sz w:val="18"/>
                      <w:szCs w:val="18"/>
                    </w:rPr>
                    <w:t>马来酸酐接枝聚烯烃</w:t>
                  </w:r>
                </w:p>
              </w:tc>
              <w:tc>
                <w:tcPr>
                  <w:tcW w:w="225" w:type="pct"/>
                  <w:noWrap w:val="0"/>
                  <w:vAlign w:val="center"/>
                </w:tcPr>
                <w:p w14:paraId="2394AFD7">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2DA699EE">
                  <w:pPr>
                    <w:overflowPunct w:val="0"/>
                    <w:autoSpaceDE w:val="0"/>
                    <w:autoSpaceDN w:val="0"/>
                    <w:adjustRightInd w:val="0"/>
                    <w:snapToGrid w:val="0"/>
                    <w:jc w:val="center"/>
                    <w:rPr>
                      <w:color w:val="000000"/>
                      <w:sz w:val="18"/>
                      <w:szCs w:val="18"/>
                    </w:rPr>
                  </w:pPr>
                  <w:r>
                    <w:rPr>
                      <w:rFonts w:hint="eastAsia"/>
                      <w:color w:val="000000"/>
                      <w:sz w:val="18"/>
                      <w:szCs w:val="18"/>
                    </w:rPr>
                    <w:t>220</w:t>
                  </w:r>
                </w:p>
              </w:tc>
              <w:tc>
                <w:tcPr>
                  <w:tcW w:w="604" w:type="pct"/>
                  <w:noWrap w:val="0"/>
                  <w:vAlign w:val="center"/>
                </w:tcPr>
                <w:p w14:paraId="369BF17D">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050546F1">
                  <w:pPr>
                    <w:overflowPunct w:val="0"/>
                    <w:autoSpaceDE w:val="0"/>
                    <w:autoSpaceDN w:val="0"/>
                    <w:adjustRightInd w:val="0"/>
                    <w:snapToGrid w:val="0"/>
                    <w:jc w:val="center"/>
                    <w:rPr>
                      <w:color w:val="000000"/>
                      <w:sz w:val="18"/>
                      <w:szCs w:val="18"/>
                    </w:rPr>
                  </w:pPr>
                  <w:r>
                    <w:rPr>
                      <w:color w:val="000000"/>
                      <w:sz w:val="18"/>
                      <w:szCs w:val="18"/>
                    </w:rPr>
                    <w:t>50t</w:t>
                  </w:r>
                </w:p>
              </w:tc>
              <w:tc>
                <w:tcPr>
                  <w:tcW w:w="761" w:type="pct"/>
                  <w:noWrap w:val="0"/>
                  <w:vAlign w:val="center"/>
                </w:tcPr>
                <w:p w14:paraId="0E3826DC">
                  <w:pPr>
                    <w:overflowPunct w:val="0"/>
                    <w:autoSpaceDE w:val="0"/>
                    <w:autoSpaceDN w:val="0"/>
                    <w:adjustRightInd w:val="0"/>
                    <w:snapToGrid w:val="0"/>
                    <w:jc w:val="center"/>
                    <w:rPr>
                      <w:color w:val="000000"/>
                      <w:sz w:val="18"/>
                      <w:szCs w:val="18"/>
                    </w:rPr>
                  </w:pPr>
                  <w:r>
                    <w:rPr>
                      <w:rFonts w:hint="eastAsia"/>
                      <w:color w:val="000000"/>
                      <w:sz w:val="18"/>
                      <w:szCs w:val="18"/>
                    </w:rPr>
                    <w:t>固态，粒径2~5mm</w:t>
                  </w:r>
                </w:p>
              </w:tc>
              <w:tc>
                <w:tcPr>
                  <w:tcW w:w="186" w:type="pct"/>
                  <w:vMerge w:val="continue"/>
                  <w:noWrap w:val="0"/>
                  <w:vAlign w:val="center"/>
                </w:tcPr>
                <w:p w14:paraId="30AFABF8">
                  <w:pPr>
                    <w:overflowPunct w:val="0"/>
                    <w:autoSpaceDE w:val="0"/>
                    <w:autoSpaceDN w:val="0"/>
                    <w:adjustRightInd w:val="0"/>
                    <w:snapToGrid w:val="0"/>
                    <w:jc w:val="center"/>
                    <w:rPr>
                      <w:color w:val="000000"/>
                      <w:sz w:val="18"/>
                      <w:szCs w:val="18"/>
                    </w:rPr>
                  </w:pPr>
                </w:p>
              </w:tc>
            </w:tr>
            <w:tr w14:paraId="43F355F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6E8AA91F">
                  <w:pPr>
                    <w:overflowPunct w:val="0"/>
                    <w:autoSpaceDE w:val="0"/>
                    <w:autoSpaceDN w:val="0"/>
                    <w:adjustRightInd w:val="0"/>
                    <w:snapToGrid w:val="0"/>
                    <w:jc w:val="center"/>
                    <w:rPr>
                      <w:color w:val="000000"/>
                      <w:sz w:val="18"/>
                      <w:szCs w:val="18"/>
                    </w:rPr>
                  </w:pPr>
                  <w:r>
                    <w:rPr>
                      <w:color w:val="000000"/>
                      <w:sz w:val="18"/>
                      <w:szCs w:val="18"/>
                    </w:rPr>
                    <w:t>19</w:t>
                  </w:r>
                </w:p>
              </w:tc>
              <w:tc>
                <w:tcPr>
                  <w:tcW w:w="983" w:type="pct"/>
                  <w:noWrap/>
                  <w:vAlign w:val="center"/>
                </w:tcPr>
                <w:p w14:paraId="669AD3F4">
                  <w:pPr>
                    <w:overflowPunct w:val="0"/>
                    <w:autoSpaceDE w:val="0"/>
                    <w:autoSpaceDN w:val="0"/>
                    <w:adjustRightInd w:val="0"/>
                    <w:snapToGrid w:val="0"/>
                    <w:jc w:val="center"/>
                    <w:rPr>
                      <w:color w:val="000000"/>
                      <w:sz w:val="18"/>
                      <w:szCs w:val="18"/>
                    </w:rPr>
                  </w:pPr>
                  <w:r>
                    <w:rPr>
                      <w:color w:val="000000"/>
                      <w:sz w:val="18"/>
                      <w:szCs w:val="18"/>
                    </w:rPr>
                    <w:t>润滑剂</w:t>
                  </w:r>
                </w:p>
              </w:tc>
              <w:tc>
                <w:tcPr>
                  <w:tcW w:w="1196" w:type="pct"/>
                  <w:noWrap/>
                  <w:vAlign w:val="center"/>
                </w:tcPr>
                <w:p w14:paraId="77FB08C2">
                  <w:pPr>
                    <w:overflowPunct w:val="0"/>
                    <w:autoSpaceDE w:val="0"/>
                    <w:autoSpaceDN w:val="0"/>
                    <w:adjustRightInd w:val="0"/>
                    <w:snapToGrid w:val="0"/>
                    <w:jc w:val="center"/>
                    <w:rPr>
                      <w:color w:val="000000"/>
                      <w:sz w:val="18"/>
                      <w:szCs w:val="18"/>
                    </w:rPr>
                  </w:pPr>
                  <w:r>
                    <w:rPr>
                      <w:color w:val="000000"/>
                      <w:sz w:val="18"/>
                      <w:szCs w:val="18"/>
                    </w:rPr>
                    <w:t>硬脂酸单甘油酯</w:t>
                  </w:r>
                </w:p>
              </w:tc>
              <w:tc>
                <w:tcPr>
                  <w:tcW w:w="225" w:type="pct"/>
                  <w:noWrap w:val="0"/>
                  <w:vAlign w:val="center"/>
                </w:tcPr>
                <w:p w14:paraId="29A30418">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3D643077">
                  <w:pPr>
                    <w:overflowPunct w:val="0"/>
                    <w:autoSpaceDE w:val="0"/>
                    <w:autoSpaceDN w:val="0"/>
                    <w:adjustRightInd w:val="0"/>
                    <w:snapToGrid w:val="0"/>
                    <w:jc w:val="center"/>
                    <w:rPr>
                      <w:color w:val="000000"/>
                      <w:sz w:val="18"/>
                      <w:szCs w:val="18"/>
                    </w:rPr>
                  </w:pPr>
                  <w:r>
                    <w:rPr>
                      <w:color w:val="000000"/>
                      <w:sz w:val="18"/>
                      <w:szCs w:val="18"/>
                    </w:rPr>
                    <w:t>10</w:t>
                  </w:r>
                </w:p>
              </w:tc>
              <w:tc>
                <w:tcPr>
                  <w:tcW w:w="604" w:type="pct"/>
                  <w:noWrap w:val="0"/>
                  <w:vAlign w:val="center"/>
                </w:tcPr>
                <w:p w14:paraId="59628678">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0F71C712">
                  <w:pPr>
                    <w:overflowPunct w:val="0"/>
                    <w:autoSpaceDE w:val="0"/>
                    <w:autoSpaceDN w:val="0"/>
                    <w:adjustRightInd w:val="0"/>
                    <w:snapToGrid w:val="0"/>
                    <w:jc w:val="center"/>
                    <w:rPr>
                      <w:color w:val="000000"/>
                      <w:sz w:val="18"/>
                      <w:szCs w:val="18"/>
                    </w:rPr>
                  </w:pPr>
                  <w:r>
                    <w:rPr>
                      <w:color w:val="000000"/>
                      <w:sz w:val="18"/>
                      <w:szCs w:val="18"/>
                    </w:rPr>
                    <w:t>2t</w:t>
                  </w:r>
                </w:p>
              </w:tc>
              <w:tc>
                <w:tcPr>
                  <w:tcW w:w="761" w:type="pct"/>
                  <w:noWrap w:val="0"/>
                  <w:vAlign w:val="center"/>
                </w:tcPr>
                <w:p w14:paraId="0C6FCFE0">
                  <w:pPr>
                    <w:overflowPunct w:val="0"/>
                    <w:autoSpaceDE w:val="0"/>
                    <w:autoSpaceDN w:val="0"/>
                    <w:adjustRightInd w:val="0"/>
                    <w:snapToGrid w:val="0"/>
                    <w:jc w:val="center"/>
                    <w:rPr>
                      <w:color w:val="000000"/>
                      <w:sz w:val="18"/>
                      <w:szCs w:val="18"/>
                    </w:rPr>
                  </w:pPr>
                  <w:r>
                    <w:rPr>
                      <w:rFonts w:hint="eastAsia"/>
                      <w:color w:val="000000"/>
                      <w:sz w:val="18"/>
                      <w:szCs w:val="18"/>
                    </w:rPr>
                    <w:t>固态，粒径0.08~0.42mm</w:t>
                  </w:r>
                </w:p>
              </w:tc>
              <w:tc>
                <w:tcPr>
                  <w:tcW w:w="186" w:type="pct"/>
                  <w:vMerge w:val="continue"/>
                  <w:noWrap w:val="0"/>
                  <w:vAlign w:val="center"/>
                </w:tcPr>
                <w:p w14:paraId="10357A40">
                  <w:pPr>
                    <w:overflowPunct w:val="0"/>
                    <w:autoSpaceDE w:val="0"/>
                    <w:autoSpaceDN w:val="0"/>
                    <w:adjustRightInd w:val="0"/>
                    <w:snapToGrid w:val="0"/>
                    <w:jc w:val="center"/>
                    <w:rPr>
                      <w:color w:val="000000"/>
                      <w:sz w:val="18"/>
                      <w:szCs w:val="18"/>
                    </w:rPr>
                  </w:pPr>
                </w:p>
              </w:tc>
            </w:tr>
            <w:tr w14:paraId="1507049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3C16C5B9">
                  <w:pPr>
                    <w:overflowPunct w:val="0"/>
                    <w:autoSpaceDE w:val="0"/>
                    <w:autoSpaceDN w:val="0"/>
                    <w:adjustRightInd w:val="0"/>
                    <w:snapToGrid w:val="0"/>
                    <w:jc w:val="center"/>
                    <w:rPr>
                      <w:color w:val="000000"/>
                      <w:sz w:val="18"/>
                      <w:szCs w:val="18"/>
                    </w:rPr>
                  </w:pPr>
                  <w:r>
                    <w:rPr>
                      <w:color w:val="000000"/>
                      <w:sz w:val="18"/>
                      <w:szCs w:val="18"/>
                    </w:rPr>
                    <w:t>20</w:t>
                  </w:r>
                </w:p>
              </w:tc>
              <w:tc>
                <w:tcPr>
                  <w:tcW w:w="983" w:type="pct"/>
                  <w:noWrap/>
                  <w:vAlign w:val="center"/>
                </w:tcPr>
                <w:p w14:paraId="5BE275AB">
                  <w:pPr>
                    <w:overflowPunct w:val="0"/>
                    <w:autoSpaceDE w:val="0"/>
                    <w:autoSpaceDN w:val="0"/>
                    <w:adjustRightInd w:val="0"/>
                    <w:snapToGrid w:val="0"/>
                    <w:jc w:val="center"/>
                    <w:rPr>
                      <w:color w:val="000000"/>
                      <w:sz w:val="18"/>
                      <w:szCs w:val="18"/>
                    </w:rPr>
                  </w:pPr>
                  <w:r>
                    <w:rPr>
                      <w:color w:val="000000"/>
                      <w:sz w:val="18"/>
                      <w:szCs w:val="18"/>
                    </w:rPr>
                    <w:t>抗氧剂</w:t>
                  </w:r>
                </w:p>
              </w:tc>
              <w:tc>
                <w:tcPr>
                  <w:tcW w:w="1196" w:type="pct"/>
                  <w:noWrap/>
                  <w:vAlign w:val="center"/>
                </w:tcPr>
                <w:p w14:paraId="221B57FE">
                  <w:pPr>
                    <w:overflowPunct w:val="0"/>
                    <w:autoSpaceDE w:val="0"/>
                    <w:autoSpaceDN w:val="0"/>
                    <w:adjustRightInd w:val="0"/>
                    <w:snapToGrid w:val="0"/>
                    <w:jc w:val="center"/>
                    <w:rPr>
                      <w:color w:val="000000"/>
                      <w:sz w:val="18"/>
                      <w:szCs w:val="18"/>
                    </w:rPr>
                  </w:pPr>
                  <w:r>
                    <w:rPr>
                      <w:color w:val="000000"/>
                      <w:sz w:val="18"/>
                      <w:szCs w:val="18"/>
                    </w:rPr>
                    <w:t>硫代二丙酸双十二醇酯</w:t>
                  </w:r>
                </w:p>
              </w:tc>
              <w:tc>
                <w:tcPr>
                  <w:tcW w:w="225" w:type="pct"/>
                  <w:noWrap w:val="0"/>
                  <w:vAlign w:val="center"/>
                </w:tcPr>
                <w:p w14:paraId="085A4BF1">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21CA6625">
                  <w:pPr>
                    <w:overflowPunct w:val="0"/>
                    <w:autoSpaceDE w:val="0"/>
                    <w:autoSpaceDN w:val="0"/>
                    <w:adjustRightInd w:val="0"/>
                    <w:snapToGrid w:val="0"/>
                    <w:jc w:val="center"/>
                    <w:rPr>
                      <w:color w:val="000000"/>
                      <w:sz w:val="18"/>
                      <w:szCs w:val="18"/>
                    </w:rPr>
                  </w:pPr>
                  <w:r>
                    <w:rPr>
                      <w:color w:val="000000"/>
                      <w:sz w:val="18"/>
                      <w:szCs w:val="18"/>
                    </w:rPr>
                    <w:t>10</w:t>
                  </w:r>
                </w:p>
              </w:tc>
              <w:tc>
                <w:tcPr>
                  <w:tcW w:w="604" w:type="pct"/>
                  <w:noWrap w:val="0"/>
                  <w:vAlign w:val="center"/>
                </w:tcPr>
                <w:p w14:paraId="694C34D0">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0E0AAC47">
                  <w:pPr>
                    <w:overflowPunct w:val="0"/>
                    <w:autoSpaceDE w:val="0"/>
                    <w:autoSpaceDN w:val="0"/>
                    <w:adjustRightInd w:val="0"/>
                    <w:snapToGrid w:val="0"/>
                    <w:jc w:val="center"/>
                    <w:rPr>
                      <w:color w:val="000000"/>
                      <w:sz w:val="18"/>
                      <w:szCs w:val="18"/>
                    </w:rPr>
                  </w:pPr>
                  <w:r>
                    <w:rPr>
                      <w:color w:val="000000"/>
                      <w:sz w:val="18"/>
                      <w:szCs w:val="18"/>
                    </w:rPr>
                    <w:t>2t</w:t>
                  </w:r>
                </w:p>
              </w:tc>
              <w:tc>
                <w:tcPr>
                  <w:tcW w:w="761" w:type="pct"/>
                  <w:noWrap w:val="0"/>
                  <w:vAlign w:val="center"/>
                </w:tcPr>
                <w:p w14:paraId="4CCC80AE">
                  <w:pPr>
                    <w:overflowPunct w:val="0"/>
                    <w:autoSpaceDE w:val="0"/>
                    <w:autoSpaceDN w:val="0"/>
                    <w:adjustRightInd w:val="0"/>
                    <w:snapToGrid w:val="0"/>
                    <w:jc w:val="center"/>
                    <w:rPr>
                      <w:color w:val="000000"/>
                      <w:sz w:val="18"/>
                      <w:szCs w:val="18"/>
                    </w:rPr>
                  </w:pPr>
                  <w:r>
                    <w:rPr>
                      <w:rFonts w:hint="eastAsia"/>
                      <w:color w:val="000000"/>
                      <w:sz w:val="18"/>
                      <w:szCs w:val="18"/>
                    </w:rPr>
                    <w:t>固态，粒径0.04~0.25mm</w:t>
                  </w:r>
                </w:p>
              </w:tc>
              <w:tc>
                <w:tcPr>
                  <w:tcW w:w="186" w:type="pct"/>
                  <w:vMerge w:val="continue"/>
                  <w:noWrap w:val="0"/>
                  <w:vAlign w:val="center"/>
                </w:tcPr>
                <w:p w14:paraId="1DAFFF7B">
                  <w:pPr>
                    <w:overflowPunct w:val="0"/>
                    <w:autoSpaceDE w:val="0"/>
                    <w:autoSpaceDN w:val="0"/>
                    <w:adjustRightInd w:val="0"/>
                    <w:snapToGrid w:val="0"/>
                    <w:jc w:val="center"/>
                    <w:rPr>
                      <w:color w:val="000000"/>
                      <w:sz w:val="18"/>
                      <w:szCs w:val="18"/>
                    </w:rPr>
                  </w:pPr>
                </w:p>
              </w:tc>
            </w:tr>
            <w:tr w14:paraId="12CE1D9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3BDEF5AF">
                  <w:pPr>
                    <w:overflowPunct w:val="0"/>
                    <w:autoSpaceDE w:val="0"/>
                    <w:autoSpaceDN w:val="0"/>
                    <w:adjustRightInd w:val="0"/>
                    <w:snapToGrid w:val="0"/>
                    <w:jc w:val="center"/>
                    <w:rPr>
                      <w:color w:val="000000"/>
                      <w:sz w:val="18"/>
                      <w:szCs w:val="18"/>
                    </w:rPr>
                  </w:pPr>
                  <w:r>
                    <w:rPr>
                      <w:color w:val="000000"/>
                      <w:sz w:val="18"/>
                      <w:szCs w:val="18"/>
                    </w:rPr>
                    <w:t>21</w:t>
                  </w:r>
                </w:p>
              </w:tc>
              <w:tc>
                <w:tcPr>
                  <w:tcW w:w="983" w:type="pct"/>
                  <w:noWrap/>
                  <w:vAlign w:val="center"/>
                </w:tcPr>
                <w:p w14:paraId="17B349AA">
                  <w:pPr>
                    <w:overflowPunct w:val="0"/>
                    <w:autoSpaceDE w:val="0"/>
                    <w:autoSpaceDN w:val="0"/>
                    <w:adjustRightInd w:val="0"/>
                    <w:snapToGrid w:val="0"/>
                    <w:jc w:val="center"/>
                    <w:rPr>
                      <w:color w:val="000000"/>
                      <w:sz w:val="18"/>
                      <w:szCs w:val="18"/>
                    </w:rPr>
                  </w:pPr>
                  <w:r>
                    <w:rPr>
                      <w:color w:val="000000"/>
                      <w:sz w:val="18"/>
                      <w:szCs w:val="18"/>
                    </w:rPr>
                    <w:t>颜料</w:t>
                  </w:r>
                </w:p>
              </w:tc>
              <w:tc>
                <w:tcPr>
                  <w:tcW w:w="1196" w:type="pct"/>
                  <w:noWrap/>
                  <w:vAlign w:val="center"/>
                </w:tcPr>
                <w:p w14:paraId="459F09F6">
                  <w:pPr>
                    <w:overflowPunct w:val="0"/>
                    <w:autoSpaceDE w:val="0"/>
                    <w:autoSpaceDN w:val="0"/>
                    <w:adjustRightInd w:val="0"/>
                    <w:snapToGrid w:val="0"/>
                    <w:jc w:val="center"/>
                    <w:rPr>
                      <w:color w:val="000000"/>
                      <w:sz w:val="18"/>
                      <w:szCs w:val="18"/>
                    </w:rPr>
                  </w:pPr>
                  <w:r>
                    <w:rPr>
                      <w:rFonts w:hint="eastAsia"/>
                      <w:color w:val="000000"/>
                      <w:sz w:val="18"/>
                      <w:szCs w:val="18"/>
                    </w:rPr>
                    <w:t>钛白粉</w:t>
                  </w:r>
                </w:p>
              </w:tc>
              <w:tc>
                <w:tcPr>
                  <w:tcW w:w="225" w:type="pct"/>
                  <w:noWrap w:val="0"/>
                  <w:vAlign w:val="center"/>
                </w:tcPr>
                <w:p w14:paraId="7F5A540A">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2CDFAEFD">
                  <w:pPr>
                    <w:overflowPunct w:val="0"/>
                    <w:autoSpaceDE w:val="0"/>
                    <w:autoSpaceDN w:val="0"/>
                    <w:adjustRightInd w:val="0"/>
                    <w:snapToGrid w:val="0"/>
                    <w:jc w:val="center"/>
                    <w:rPr>
                      <w:color w:val="000000"/>
                      <w:sz w:val="18"/>
                      <w:szCs w:val="18"/>
                    </w:rPr>
                  </w:pPr>
                  <w:r>
                    <w:rPr>
                      <w:color w:val="000000"/>
                      <w:sz w:val="18"/>
                      <w:szCs w:val="18"/>
                    </w:rPr>
                    <w:t>0.5</w:t>
                  </w:r>
                </w:p>
              </w:tc>
              <w:tc>
                <w:tcPr>
                  <w:tcW w:w="604" w:type="pct"/>
                  <w:noWrap w:val="0"/>
                  <w:vAlign w:val="center"/>
                </w:tcPr>
                <w:p w14:paraId="298DAC9C">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52EA19D0">
                  <w:pPr>
                    <w:overflowPunct w:val="0"/>
                    <w:autoSpaceDE w:val="0"/>
                    <w:autoSpaceDN w:val="0"/>
                    <w:adjustRightInd w:val="0"/>
                    <w:snapToGrid w:val="0"/>
                    <w:jc w:val="center"/>
                    <w:rPr>
                      <w:color w:val="000000"/>
                      <w:sz w:val="18"/>
                      <w:szCs w:val="18"/>
                    </w:rPr>
                  </w:pPr>
                  <w:r>
                    <w:rPr>
                      <w:color w:val="000000"/>
                      <w:sz w:val="18"/>
                      <w:szCs w:val="18"/>
                    </w:rPr>
                    <w:t>0.1t</w:t>
                  </w:r>
                </w:p>
              </w:tc>
              <w:tc>
                <w:tcPr>
                  <w:tcW w:w="761" w:type="pct"/>
                  <w:noWrap w:val="0"/>
                  <w:vAlign w:val="center"/>
                </w:tcPr>
                <w:p w14:paraId="27761589">
                  <w:pPr>
                    <w:overflowPunct w:val="0"/>
                    <w:autoSpaceDE w:val="0"/>
                    <w:autoSpaceDN w:val="0"/>
                    <w:adjustRightInd w:val="0"/>
                    <w:snapToGrid w:val="0"/>
                    <w:jc w:val="center"/>
                    <w:rPr>
                      <w:color w:val="000000"/>
                      <w:sz w:val="18"/>
                      <w:szCs w:val="18"/>
                    </w:rPr>
                  </w:pPr>
                  <w:r>
                    <w:rPr>
                      <w:rFonts w:hint="eastAsia"/>
                      <w:color w:val="000000"/>
                      <w:sz w:val="18"/>
                      <w:szCs w:val="18"/>
                    </w:rPr>
                    <w:t>固态，粒径0.00015~0.0003mm</w:t>
                  </w:r>
                </w:p>
              </w:tc>
              <w:tc>
                <w:tcPr>
                  <w:tcW w:w="186" w:type="pct"/>
                  <w:vMerge w:val="continue"/>
                  <w:noWrap w:val="0"/>
                  <w:vAlign w:val="center"/>
                </w:tcPr>
                <w:p w14:paraId="1B058D0C">
                  <w:pPr>
                    <w:overflowPunct w:val="0"/>
                    <w:autoSpaceDE w:val="0"/>
                    <w:autoSpaceDN w:val="0"/>
                    <w:adjustRightInd w:val="0"/>
                    <w:snapToGrid w:val="0"/>
                    <w:jc w:val="center"/>
                    <w:rPr>
                      <w:color w:val="000000"/>
                      <w:sz w:val="18"/>
                      <w:szCs w:val="18"/>
                    </w:rPr>
                  </w:pPr>
                </w:p>
              </w:tc>
            </w:tr>
            <w:tr w14:paraId="484442E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4E17CF7D">
                  <w:pPr>
                    <w:overflowPunct w:val="0"/>
                    <w:autoSpaceDE w:val="0"/>
                    <w:autoSpaceDN w:val="0"/>
                    <w:adjustRightInd w:val="0"/>
                    <w:snapToGrid w:val="0"/>
                    <w:jc w:val="center"/>
                    <w:rPr>
                      <w:color w:val="000000"/>
                      <w:sz w:val="18"/>
                      <w:szCs w:val="18"/>
                    </w:rPr>
                  </w:pPr>
                  <w:r>
                    <w:rPr>
                      <w:color w:val="000000"/>
                      <w:sz w:val="18"/>
                      <w:szCs w:val="18"/>
                    </w:rPr>
                    <w:t>22</w:t>
                  </w:r>
                </w:p>
              </w:tc>
              <w:tc>
                <w:tcPr>
                  <w:tcW w:w="983" w:type="pct"/>
                  <w:noWrap/>
                  <w:vAlign w:val="center"/>
                </w:tcPr>
                <w:p w14:paraId="0EBE3755">
                  <w:pPr>
                    <w:overflowPunct w:val="0"/>
                    <w:autoSpaceDE w:val="0"/>
                    <w:autoSpaceDN w:val="0"/>
                    <w:adjustRightInd w:val="0"/>
                    <w:snapToGrid w:val="0"/>
                    <w:jc w:val="center"/>
                    <w:rPr>
                      <w:color w:val="000000"/>
                      <w:sz w:val="18"/>
                      <w:szCs w:val="18"/>
                    </w:rPr>
                  </w:pPr>
                  <w:r>
                    <w:rPr>
                      <w:color w:val="000000"/>
                      <w:sz w:val="18"/>
                      <w:szCs w:val="18"/>
                    </w:rPr>
                    <w:t>二苯甲酮</w:t>
                  </w:r>
                </w:p>
              </w:tc>
              <w:tc>
                <w:tcPr>
                  <w:tcW w:w="1196" w:type="pct"/>
                  <w:noWrap/>
                  <w:vAlign w:val="center"/>
                </w:tcPr>
                <w:p w14:paraId="2519E1CC">
                  <w:pPr>
                    <w:overflowPunct w:val="0"/>
                    <w:autoSpaceDE w:val="0"/>
                    <w:autoSpaceDN w:val="0"/>
                    <w:adjustRightInd w:val="0"/>
                    <w:snapToGrid w:val="0"/>
                    <w:jc w:val="center"/>
                    <w:rPr>
                      <w:color w:val="000000"/>
                      <w:sz w:val="18"/>
                      <w:szCs w:val="18"/>
                    </w:rPr>
                  </w:pPr>
                  <w:r>
                    <w:rPr>
                      <w:rFonts w:hint="eastAsia"/>
                      <w:color w:val="000000"/>
                      <w:sz w:val="18"/>
                      <w:szCs w:val="18"/>
                    </w:rPr>
                    <w:t>交联剂</w:t>
                  </w:r>
                </w:p>
              </w:tc>
              <w:tc>
                <w:tcPr>
                  <w:tcW w:w="225" w:type="pct"/>
                  <w:noWrap w:val="0"/>
                  <w:vAlign w:val="center"/>
                </w:tcPr>
                <w:p w14:paraId="4CE71D36">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78B4728E">
                  <w:pPr>
                    <w:overflowPunct w:val="0"/>
                    <w:autoSpaceDE w:val="0"/>
                    <w:autoSpaceDN w:val="0"/>
                    <w:adjustRightInd w:val="0"/>
                    <w:snapToGrid w:val="0"/>
                    <w:jc w:val="center"/>
                    <w:rPr>
                      <w:color w:val="000000"/>
                      <w:sz w:val="18"/>
                      <w:szCs w:val="18"/>
                    </w:rPr>
                  </w:pPr>
                  <w:r>
                    <w:rPr>
                      <w:rFonts w:hint="eastAsia"/>
                      <w:color w:val="000000"/>
                      <w:sz w:val="18"/>
                      <w:szCs w:val="18"/>
                    </w:rPr>
                    <w:t>29.821</w:t>
                  </w:r>
                </w:p>
              </w:tc>
              <w:tc>
                <w:tcPr>
                  <w:tcW w:w="604" w:type="pct"/>
                  <w:noWrap w:val="0"/>
                  <w:vAlign w:val="center"/>
                </w:tcPr>
                <w:p w14:paraId="48A9E493">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3D276CFC">
                  <w:pPr>
                    <w:overflowPunct w:val="0"/>
                    <w:autoSpaceDE w:val="0"/>
                    <w:autoSpaceDN w:val="0"/>
                    <w:adjustRightInd w:val="0"/>
                    <w:snapToGrid w:val="0"/>
                    <w:jc w:val="center"/>
                    <w:rPr>
                      <w:color w:val="000000"/>
                      <w:sz w:val="18"/>
                      <w:szCs w:val="18"/>
                    </w:rPr>
                  </w:pPr>
                  <w:r>
                    <w:rPr>
                      <w:color w:val="000000"/>
                      <w:sz w:val="18"/>
                      <w:szCs w:val="18"/>
                    </w:rPr>
                    <w:t>5t</w:t>
                  </w:r>
                </w:p>
              </w:tc>
              <w:tc>
                <w:tcPr>
                  <w:tcW w:w="761" w:type="pct"/>
                  <w:noWrap w:val="0"/>
                  <w:vAlign w:val="center"/>
                </w:tcPr>
                <w:p w14:paraId="2274213F">
                  <w:pPr>
                    <w:overflowPunct w:val="0"/>
                    <w:autoSpaceDE w:val="0"/>
                    <w:autoSpaceDN w:val="0"/>
                    <w:adjustRightInd w:val="0"/>
                    <w:snapToGrid w:val="0"/>
                    <w:jc w:val="center"/>
                    <w:rPr>
                      <w:color w:val="000000"/>
                      <w:sz w:val="18"/>
                      <w:szCs w:val="18"/>
                    </w:rPr>
                  </w:pPr>
                  <w:r>
                    <w:rPr>
                      <w:rFonts w:hint="eastAsia"/>
                      <w:color w:val="000000"/>
                      <w:sz w:val="18"/>
                      <w:szCs w:val="18"/>
                    </w:rPr>
                    <w:t>固态，粒径0.5~3mm</w:t>
                  </w:r>
                </w:p>
              </w:tc>
              <w:tc>
                <w:tcPr>
                  <w:tcW w:w="186" w:type="pct"/>
                  <w:vMerge w:val="continue"/>
                  <w:noWrap w:val="0"/>
                  <w:vAlign w:val="center"/>
                </w:tcPr>
                <w:p w14:paraId="11D8600E">
                  <w:pPr>
                    <w:overflowPunct w:val="0"/>
                    <w:autoSpaceDE w:val="0"/>
                    <w:autoSpaceDN w:val="0"/>
                    <w:adjustRightInd w:val="0"/>
                    <w:snapToGrid w:val="0"/>
                    <w:jc w:val="center"/>
                    <w:rPr>
                      <w:color w:val="000000"/>
                      <w:sz w:val="18"/>
                      <w:szCs w:val="18"/>
                    </w:rPr>
                  </w:pPr>
                </w:p>
              </w:tc>
            </w:tr>
            <w:tr w14:paraId="04CCCF7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334" w:type="pct"/>
                  <w:noWrap w:val="0"/>
                  <w:vAlign w:val="center"/>
                </w:tcPr>
                <w:p w14:paraId="11F9B925">
                  <w:pPr>
                    <w:overflowPunct w:val="0"/>
                    <w:autoSpaceDE w:val="0"/>
                    <w:autoSpaceDN w:val="0"/>
                    <w:adjustRightInd w:val="0"/>
                    <w:snapToGrid w:val="0"/>
                    <w:jc w:val="center"/>
                    <w:rPr>
                      <w:color w:val="000000"/>
                      <w:sz w:val="18"/>
                      <w:szCs w:val="18"/>
                    </w:rPr>
                  </w:pPr>
                  <w:r>
                    <w:rPr>
                      <w:color w:val="000000"/>
                      <w:sz w:val="18"/>
                      <w:szCs w:val="18"/>
                    </w:rPr>
                    <w:t>23</w:t>
                  </w:r>
                </w:p>
              </w:tc>
              <w:tc>
                <w:tcPr>
                  <w:tcW w:w="983" w:type="pct"/>
                  <w:noWrap/>
                  <w:vAlign w:val="center"/>
                </w:tcPr>
                <w:p w14:paraId="017E8404">
                  <w:pPr>
                    <w:overflowPunct w:val="0"/>
                    <w:autoSpaceDE w:val="0"/>
                    <w:autoSpaceDN w:val="0"/>
                    <w:adjustRightInd w:val="0"/>
                    <w:snapToGrid w:val="0"/>
                    <w:jc w:val="center"/>
                    <w:rPr>
                      <w:color w:val="000000"/>
                      <w:sz w:val="18"/>
                      <w:szCs w:val="18"/>
                    </w:rPr>
                  </w:pPr>
                  <w:r>
                    <w:rPr>
                      <w:color w:val="000000"/>
                      <w:sz w:val="18"/>
                      <w:szCs w:val="18"/>
                    </w:rPr>
                    <w:t>氢氧化镁</w:t>
                  </w:r>
                </w:p>
              </w:tc>
              <w:tc>
                <w:tcPr>
                  <w:tcW w:w="1196" w:type="pct"/>
                  <w:noWrap/>
                  <w:vAlign w:val="center"/>
                </w:tcPr>
                <w:p w14:paraId="53379FBC">
                  <w:pPr>
                    <w:overflowPunct w:val="0"/>
                    <w:autoSpaceDE w:val="0"/>
                    <w:autoSpaceDN w:val="0"/>
                    <w:adjustRightInd w:val="0"/>
                    <w:snapToGrid w:val="0"/>
                    <w:jc w:val="center"/>
                    <w:rPr>
                      <w:color w:val="000000"/>
                      <w:sz w:val="18"/>
                      <w:szCs w:val="18"/>
                    </w:rPr>
                  </w:pPr>
                  <w:r>
                    <w:rPr>
                      <w:color w:val="000000"/>
                      <w:sz w:val="18"/>
                      <w:szCs w:val="18"/>
                    </w:rPr>
                    <w:t>Mg</w:t>
                  </w:r>
                  <w:r>
                    <w:rPr>
                      <w:rFonts w:hint="eastAsia"/>
                      <w:color w:val="000000"/>
                      <w:sz w:val="18"/>
                      <w:szCs w:val="18"/>
                    </w:rPr>
                    <w:t>(</w:t>
                  </w:r>
                  <w:r>
                    <w:rPr>
                      <w:color w:val="000000"/>
                      <w:sz w:val="18"/>
                      <w:szCs w:val="18"/>
                    </w:rPr>
                    <w:t>OH</w:t>
                  </w:r>
                  <w:r>
                    <w:rPr>
                      <w:rFonts w:hint="eastAsia"/>
                      <w:color w:val="000000"/>
                      <w:sz w:val="18"/>
                      <w:szCs w:val="18"/>
                    </w:rPr>
                    <w:t>)</w:t>
                  </w:r>
                  <w:r>
                    <w:rPr>
                      <w:color w:val="000000"/>
                      <w:sz w:val="18"/>
                      <w:szCs w:val="18"/>
                      <w:vertAlign w:val="subscript"/>
                    </w:rPr>
                    <w:t>2</w:t>
                  </w:r>
                </w:p>
              </w:tc>
              <w:tc>
                <w:tcPr>
                  <w:tcW w:w="225" w:type="pct"/>
                  <w:noWrap w:val="0"/>
                  <w:vAlign w:val="center"/>
                </w:tcPr>
                <w:p w14:paraId="3F6F89B4">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087E2A42">
                  <w:pPr>
                    <w:overflowPunct w:val="0"/>
                    <w:autoSpaceDE w:val="0"/>
                    <w:autoSpaceDN w:val="0"/>
                    <w:adjustRightInd w:val="0"/>
                    <w:snapToGrid w:val="0"/>
                    <w:jc w:val="center"/>
                    <w:rPr>
                      <w:color w:val="000000"/>
                      <w:sz w:val="18"/>
                      <w:szCs w:val="18"/>
                    </w:rPr>
                  </w:pPr>
                  <w:r>
                    <w:rPr>
                      <w:rFonts w:hint="eastAsia"/>
                      <w:color w:val="000000"/>
                      <w:sz w:val="18"/>
                      <w:szCs w:val="18"/>
                    </w:rPr>
                    <w:t>120</w:t>
                  </w:r>
                </w:p>
              </w:tc>
              <w:tc>
                <w:tcPr>
                  <w:tcW w:w="604" w:type="pct"/>
                  <w:noWrap w:val="0"/>
                  <w:vAlign w:val="center"/>
                </w:tcPr>
                <w:p w14:paraId="639129F3">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13A53B0B">
                  <w:pPr>
                    <w:overflowPunct w:val="0"/>
                    <w:autoSpaceDE w:val="0"/>
                    <w:autoSpaceDN w:val="0"/>
                    <w:adjustRightInd w:val="0"/>
                    <w:snapToGrid w:val="0"/>
                    <w:jc w:val="center"/>
                    <w:rPr>
                      <w:color w:val="000000"/>
                      <w:sz w:val="18"/>
                      <w:szCs w:val="18"/>
                    </w:rPr>
                  </w:pPr>
                  <w:r>
                    <w:rPr>
                      <w:color w:val="000000"/>
                      <w:sz w:val="18"/>
                      <w:szCs w:val="18"/>
                    </w:rPr>
                    <w:t>10t</w:t>
                  </w:r>
                </w:p>
              </w:tc>
              <w:tc>
                <w:tcPr>
                  <w:tcW w:w="761" w:type="pct"/>
                  <w:noWrap w:val="0"/>
                  <w:vAlign w:val="center"/>
                </w:tcPr>
                <w:p w14:paraId="3C9A4FE8">
                  <w:pPr>
                    <w:overflowPunct w:val="0"/>
                    <w:autoSpaceDE w:val="0"/>
                    <w:autoSpaceDN w:val="0"/>
                    <w:adjustRightInd w:val="0"/>
                    <w:snapToGrid w:val="0"/>
                    <w:jc w:val="center"/>
                    <w:rPr>
                      <w:color w:val="000000"/>
                      <w:sz w:val="18"/>
                      <w:szCs w:val="18"/>
                    </w:rPr>
                  </w:pPr>
                  <w:r>
                    <w:rPr>
                      <w:rFonts w:hint="eastAsia"/>
                      <w:color w:val="000000"/>
                      <w:sz w:val="18"/>
                      <w:szCs w:val="18"/>
                    </w:rPr>
                    <w:t>固态，粒径0.001~0.005mm</w:t>
                  </w:r>
                </w:p>
              </w:tc>
              <w:tc>
                <w:tcPr>
                  <w:tcW w:w="186" w:type="pct"/>
                  <w:vMerge w:val="continue"/>
                  <w:noWrap w:val="0"/>
                  <w:vAlign w:val="center"/>
                </w:tcPr>
                <w:p w14:paraId="142DBCBD">
                  <w:pPr>
                    <w:overflowPunct w:val="0"/>
                    <w:autoSpaceDE w:val="0"/>
                    <w:autoSpaceDN w:val="0"/>
                    <w:adjustRightInd w:val="0"/>
                    <w:snapToGrid w:val="0"/>
                    <w:jc w:val="center"/>
                    <w:rPr>
                      <w:color w:val="000000"/>
                      <w:sz w:val="18"/>
                      <w:szCs w:val="18"/>
                    </w:rPr>
                  </w:pPr>
                </w:p>
              </w:tc>
            </w:tr>
            <w:tr w14:paraId="579F981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77E29222">
                  <w:pPr>
                    <w:overflowPunct w:val="0"/>
                    <w:autoSpaceDE w:val="0"/>
                    <w:autoSpaceDN w:val="0"/>
                    <w:adjustRightInd w:val="0"/>
                    <w:snapToGrid w:val="0"/>
                    <w:jc w:val="center"/>
                    <w:rPr>
                      <w:color w:val="000000"/>
                      <w:sz w:val="18"/>
                      <w:szCs w:val="18"/>
                    </w:rPr>
                  </w:pPr>
                  <w:r>
                    <w:rPr>
                      <w:color w:val="000000"/>
                      <w:sz w:val="18"/>
                      <w:szCs w:val="18"/>
                    </w:rPr>
                    <w:t>2</w:t>
                  </w:r>
                  <w:r>
                    <w:rPr>
                      <w:rFonts w:hint="eastAsia"/>
                      <w:color w:val="000000"/>
                      <w:sz w:val="18"/>
                      <w:szCs w:val="18"/>
                    </w:rPr>
                    <w:t>8</w:t>
                  </w:r>
                </w:p>
              </w:tc>
              <w:tc>
                <w:tcPr>
                  <w:tcW w:w="983" w:type="pct"/>
                  <w:noWrap/>
                  <w:vAlign w:val="center"/>
                </w:tcPr>
                <w:p w14:paraId="53F202FA">
                  <w:pPr>
                    <w:overflowPunct w:val="0"/>
                    <w:autoSpaceDE w:val="0"/>
                    <w:autoSpaceDN w:val="0"/>
                    <w:adjustRightInd w:val="0"/>
                    <w:snapToGrid w:val="0"/>
                    <w:jc w:val="center"/>
                    <w:rPr>
                      <w:color w:val="000000"/>
                      <w:sz w:val="18"/>
                      <w:szCs w:val="18"/>
                    </w:rPr>
                  </w:pPr>
                  <w:r>
                    <w:rPr>
                      <w:color w:val="000000"/>
                      <w:sz w:val="18"/>
                      <w:szCs w:val="18"/>
                    </w:rPr>
                    <w:t>硫代二丙酸双十二醇酯</w:t>
                  </w:r>
                </w:p>
              </w:tc>
              <w:tc>
                <w:tcPr>
                  <w:tcW w:w="1196" w:type="pct"/>
                  <w:noWrap/>
                  <w:vAlign w:val="center"/>
                </w:tcPr>
                <w:p w14:paraId="58C16908">
                  <w:pPr>
                    <w:overflowPunct w:val="0"/>
                    <w:autoSpaceDE w:val="0"/>
                    <w:autoSpaceDN w:val="0"/>
                    <w:adjustRightInd w:val="0"/>
                    <w:snapToGrid w:val="0"/>
                    <w:jc w:val="center"/>
                    <w:rPr>
                      <w:color w:val="000000"/>
                      <w:sz w:val="18"/>
                      <w:szCs w:val="18"/>
                    </w:rPr>
                  </w:pPr>
                  <w:r>
                    <w:rPr>
                      <w:color w:val="000000"/>
                      <w:sz w:val="18"/>
                      <w:szCs w:val="18"/>
                    </w:rPr>
                    <w:t>抗氧剂</w:t>
                  </w:r>
                </w:p>
              </w:tc>
              <w:tc>
                <w:tcPr>
                  <w:tcW w:w="225" w:type="pct"/>
                  <w:noWrap w:val="0"/>
                  <w:vAlign w:val="center"/>
                </w:tcPr>
                <w:p w14:paraId="188A886C">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99989C9">
                  <w:pPr>
                    <w:overflowPunct w:val="0"/>
                    <w:autoSpaceDE w:val="0"/>
                    <w:autoSpaceDN w:val="0"/>
                    <w:adjustRightInd w:val="0"/>
                    <w:snapToGrid w:val="0"/>
                    <w:jc w:val="center"/>
                    <w:rPr>
                      <w:color w:val="000000"/>
                      <w:sz w:val="18"/>
                      <w:szCs w:val="18"/>
                    </w:rPr>
                  </w:pPr>
                  <w:r>
                    <w:rPr>
                      <w:color w:val="000000"/>
                      <w:sz w:val="18"/>
                      <w:szCs w:val="18"/>
                    </w:rPr>
                    <w:t>25</w:t>
                  </w:r>
                </w:p>
              </w:tc>
              <w:tc>
                <w:tcPr>
                  <w:tcW w:w="604" w:type="pct"/>
                  <w:noWrap w:val="0"/>
                  <w:vAlign w:val="center"/>
                </w:tcPr>
                <w:p w14:paraId="26913364">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265D1A5D">
                  <w:pPr>
                    <w:overflowPunct w:val="0"/>
                    <w:autoSpaceDE w:val="0"/>
                    <w:autoSpaceDN w:val="0"/>
                    <w:adjustRightInd w:val="0"/>
                    <w:snapToGrid w:val="0"/>
                    <w:jc w:val="center"/>
                    <w:rPr>
                      <w:color w:val="000000"/>
                      <w:sz w:val="18"/>
                      <w:szCs w:val="18"/>
                    </w:rPr>
                  </w:pPr>
                  <w:r>
                    <w:rPr>
                      <w:rFonts w:hint="eastAsia"/>
                      <w:color w:val="000000"/>
                      <w:sz w:val="18"/>
                      <w:szCs w:val="18"/>
                    </w:rPr>
                    <w:t>1</w:t>
                  </w:r>
                  <w:r>
                    <w:rPr>
                      <w:color w:val="000000"/>
                      <w:sz w:val="18"/>
                      <w:szCs w:val="18"/>
                    </w:rPr>
                    <w:t>t</w:t>
                  </w:r>
                </w:p>
              </w:tc>
              <w:tc>
                <w:tcPr>
                  <w:tcW w:w="761" w:type="pct"/>
                  <w:noWrap w:val="0"/>
                  <w:vAlign w:val="center"/>
                </w:tcPr>
                <w:p w14:paraId="0842C792">
                  <w:pPr>
                    <w:overflowPunct w:val="0"/>
                    <w:autoSpaceDE w:val="0"/>
                    <w:autoSpaceDN w:val="0"/>
                    <w:adjustRightInd w:val="0"/>
                    <w:snapToGrid w:val="0"/>
                    <w:jc w:val="center"/>
                    <w:rPr>
                      <w:color w:val="000000"/>
                      <w:sz w:val="18"/>
                      <w:szCs w:val="18"/>
                    </w:rPr>
                  </w:pPr>
                  <w:r>
                    <w:rPr>
                      <w:rFonts w:hint="eastAsia"/>
                      <w:color w:val="000000"/>
                      <w:sz w:val="18"/>
                      <w:szCs w:val="18"/>
                    </w:rPr>
                    <w:t>固态，粒径0.18~0.42mm</w:t>
                  </w:r>
                </w:p>
              </w:tc>
              <w:tc>
                <w:tcPr>
                  <w:tcW w:w="186" w:type="pct"/>
                  <w:vMerge w:val="continue"/>
                  <w:noWrap w:val="0"/>
                  <w:vAlign w:val="center"/>
                </w:tcPr>
                <w:p w14:paraId="44A581E3">
                  <w:pPr>
                    <w:overflowPunct w:val="0"/>
                    <w:autoSpaceDE w:val="0"/>
                    <w:autoSpaceDN w:val="0"/>
                    <w:adjustRightInd w:val="0"/>
                    <w:snapToGrid w:val="0"/>
                    <w:jc w:val="center"/>
                    <w:rPr>
                      <w:color w:val="000000"/>
                      <w:sz w:val="18"/>
                      <w:szCs w:val="18"/>
                    </w:rPr>
                  </w:pPr>
                </w:p>
              </w:tc>
            </w:tr>
            <w:tr w14:paraId="4B8E447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466F193E">
                  <w:pPr>
                    <w:overflowPunct w:val="0"/>
                    <w:autoSpaceDE w:val="0"/>
                    <w:autoSpaceDN w:val="0"/>
                    <w:adjustRightInd w:val="0"/>
                    <w:snapToGrid w:val="0"/>
                    <w:jc w:val="center"/>
                    <w:rPr>
                      <w:color w:val="000000"/>
                      <w:sz w:val="18"/>
                      <w:szCs w:val="18"/>
                    </w:rPr>
                  </w:pPr>
                  <w:r>
                    <w:rPr>
                      <w:rFonts w:hint="eastAsia"/>
                      <w:color w:val="000000"/>
                      <w:sz w:val="18"/>
                      <w:szCs w:val="18"/>
                    </w:rPr>
                    <w:t>29</w:t>
                  </w:r>
                </w:p>
              </w:tc>
              <w:tc>
                <w:tcPr>
                  <w:tcW w:w="983" w:type="pct"/>
                  <w:noWrap/>
                  <w:vAlign w:val="center"/>
                </w:tcPr>
                <w:p w14:paraId="57D52BF4">
                  <w:pPr>
                    <w:overflowPunct w:val="0"/>
                    <w:autoSpaceDE w:val="0"/>
                    <w:autoSpaceDN w:val="0"/>
                    <w:adjustRightInd w:val="0"/>
                    <w:snapToGrid w:val="0"/>
                    <w:jc w:val="center"/>
                    <w:rPr>
                      <w:color w:val="000000"/>
                      <w:sz w:val="18"/>
                      <w:szCs w:val="18"/>
                    </w:rPr>
                  </w:pPr>
                  <w:r>
                    <w:rPr>
                      <w:rFonts w:hint="eastAsia"/>
                      <w:color w:val="000000"/>
                      <w:sz w:val="18"/>
                      <w:szCs w:val="18"/>
                    </w:rPr>
                    <w:t>冷却水阻垢剂</w:t>
                  </w:r>
                </w:p>
              </w:tc>
              <w:tc>
                <w:tcPr>
                  <w:tcW w:w="1196" w:type="pct"/>
                  <w:noWrap/>
                  <w:vAlign w:val="center"/>
                </w:tcPr>
                <w:p w14:paraId="59B024EB">
                  <w:pPr>
                    <w:overflowPunct w:val="0"/>
                    <w:autoSpaceDE w:val="0"/>
                    <w:autoSpaceDN w:val="0"/>
                    <w:adjustRightInd w:val="0"/>
                    <w:snapToGrid w:val="0"/>
                    <w:jc w:val="center"/>
                    <w:rPr>
                      <w:color w:val="000000"/>
                      <w:sz w:val="18"/>
                      <w:szCs w:val="18"/>
                    </w:rPr>
                  </w:pPr>
                  <w:r>
                    <w:rPr>
                      <w:color w:val="000000"/>
                      <w:sz w:val="18"/>
                      <w:szCs w:val="18"/>
                    </w:rPr>
                    <w:t>聚丙烯酸钠</w:t>
                  </w:r>
                </w:p>
              </w:tc>
              <w:tc>
                <w:tcPr>
                  <w:tcW w:w="225" w:type="pct"/>
                  <w:noWrap w:val="0"/>
                  <w:vAlign w:val="center"/>
                </w:tcPr>
                <w:p w14:paraId="58F6A485">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4B14FC8A">
                  <w:pPr>
                    <w:overflowPunct w:val="0"/>
                    <w:autoSpaceDE w:val="0"/>
                    <w:autoSpaceDN w:val="0"/>
                    <w:adjustRightInd w:val="0"/>
                    <w:snapToGrid w:val="0"/>
                    <w:jc w:val="center"/>
                    <w:rPr>
                      <w:color w:val="000000"/>
                      <w:sz w:val="18"/>
                      <w:szCs w:val="18"/>
                    </w:rPr>
                  </w:pPr>
                  <w:r>
                    <w:rPr>
                      <w:rFonts w:hint="eastAsia"/>
                      <w:color w:val="000000"/>
                      <w:sz w:val="18"/>
                      <w:szCs w:val="18"/>
                    </w:rPr>
                    <w:t>0.3</w:t>
                  </w:r>
                </w:p>
              </w:tc>
              <w:tc>
                <w:tcPr>
                  <w:tcW w:w="604" w:type="pct"/>
                  <w:noWrap w:val="0"/>
                  <w:vAlign w:val="center"/>
                </w:tcPr>
                <w:p w14:paraId="439381B0">
                  <w:pPr>
                    <w:overflowPunct w:val="0"/>
                    <w:autoSpaceDE w:val="0"/>
                    <w:autoSpaceDN w:val="0"/>
                    <w:adjustRightInd w:val="0"/>
                    <w:snapToGrid w:val="0"/>
                    <w:jc w:val="center"/>
                    <w:rPr>
                      <w:color w:val="000000"/>
                      <w:sz w:val="18"/>
                      <w:szCs w:val="18"/>
                    </w:rPr>
                  </w:pPr>
                  <w:r>
                    <w:rPr>
                      <w:color w:val="000000"/>
                      <w:sz w:val="18"/>
                      <w:szCs w:val="18"/>
                    </w:rPr>
                    <w:t>25kg/袋</w:t>
                  </w:r>
                </w:p>
              </w:tc>
              <w:tc>
                <w:tcPr>
                  <w:tcW w:w="299" w:type="pct"/>
                  <w:noWrap w:val="0"/>
                  <w:vAlign w:val="center"/>
                </w:tcPr>
                <w:p w14:paraId="6A6E1499">
                  <w:pPr>
                    <w:overflowPunct w:val="0"/>
                    <w:autoSpaceDE w:val="0"/>
                    <w:autoSpaceDN w:val="0"/>
                    <w:adjustRightInd w:val="0"/>
                    <w:snapToGrid w:val="0"/>
                    <w:jc w:val="center"/>
                    <w:rPr>
                      <w:color w:val="000000"/>
                      <w:sz w:val="18"/>
                      <w:szCs w:val="18"/>
                    </w:rPr>
                  </w:pPr>
                  <w:r>
                    <w:rPr>
                      <w:rFonts w:hint="eastAsia"/>
                      <w:color w:val="000000"/>
                      <w:sz w:val="18"/>
                      <w:szCs w:val="18"/>
                    </w:rPr>
                    <w:t>0.1t</w:t>
                  </w:r>
                </w:p>
              </w:tc>
              <w:tc>
                <w:tcPr>
                  <w:tcW w:w="761" w:type="pct"/>
                  <w:noWrap w:val="0"/>
                  <w:vAlign w:val="center"/>
                </w:tcPr>
                <w:p w14:paraId="578EDBD3">
                  <w:pPr>
                    <w:overflowPunct w:val="0"/>
                    <w:autoSpaceDE w:val="0"/>
                    <w:autoSpaceDN w:val="0"/>
                    <w:adjustRightInd w:val="0"/>
                    <w:snapToGrid w:val="0"/>
                    <w:jc w:val="center"/>
                    <w:rPr>
                      <w:color w:val="000000"/>
                      <w:sz w:val="18"/>
                      <w:szCs w:val="18"/>
                    </w:rPr>
                  </w:pPr>
                  <w:r>
                    <w:rPr>
                      <w:rFonts w:hint="eastAsia"/>
                      <w:color w:val="000000"/>
                      <w:sz w:val="18"/>
                      <w:szCs w:val="18"/>
                    </w:rPr>
                    <w:t>粉状</w:t>
                  </w:r>
                </w:p>
              </w:tc>
              <w:tc>
                <w:tcPr>
                  <w:tcW w:w="186" w:type="pct"/>
                  <w:vMerge w:val="restart"/>
                  <w:noWrap w:val="0"/>
                  <w:vAlign w:val="center"/>
                </w:tcPr>
                <w:p w14:paraId="57F75DB8">
                  <w:pPr>
                    <w:overflowPunct w:val="0"/>
                    <w:autoSpaceDE w:val="0"/>
                    <w:autoSpaceDN w:val="0"/>
                    <w:adjustRightInd w:val="0"/>
                    <w:snapToGrid w:val="0"/>
                    <w:jc w:val="center"/>
                    <w:rPr>
                      <w:color w:val="000000"/>
                      <w:sz w:val="18"/>
                      <w:szCs w:val="18"/>
                    </w:rPr>
                  </w:pPr>
                  <w:r>
                    <w:rPr>
                      <w:rFonts w:hint="eastAsia"/>
                      <w:color w:val="000000"/>
                      <w:sz w:val="18"/>
                      <w:szCs w:val="18"/>
                    </w:rPr>
                    <w:t>/</w:t>
                  </w:r>
                </w:p>
              </w:tc>
            </w:tr>
            <w:tr w14:paraId="125FB77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72D54A78">
                  <w:pPr>
                    <w:overflowPunct w:val="0"/>
                    <w:autoSpaceDE w:val="0"/>
                    <w:autoSpaceDN w:val="0"/>
                    <w:adjustRightInd w:val="0"/>
                    <w:snapToGrid w:val="0"/>
                    <w:jc w:val="center"/>
                    <w:rPr>
                      <w:color w:val="000000"/>
                      <w:sz w:val="18"/>
                      <w:szCs w:val="18"/>
                    </w:rPr>
                  </w:pPr>
                  <w:r>
                    <w:rPr>
                      <w:rFonts w:hint="eastAsia"/>
                      <w:color w:val="000000"/>
                      <w:sz w:val="18"/>
                      <w:szCs w:val="18"/>
                    </w:rPr>
                    <w:t>30</w:t>
                  </w:r>
                </w:p>
              </w:tc>
              <w:tc>
                <w:tcPr>
                  <w:tcW w:w="983" w:type="pct"/>
                  <w:noWrap/>
                  <w:vAlign w:val="center"/>
                </w:tcPr>
                <w:p w14:paraId="317547B3">
                  <w:pPr>
                    <w:overflowPunct w:val="0"/>
                    <w:autoSpaceDE w:val="0"/>
                    <w:autoSpaceDN w:val="0"/>
                    <w:adjustRightInd w:val="0"/>
                    <w:snapToGrid w:val="0"/>
                    <w:jc w:val="center"/>
                    <w:rPr>
                      <w:color w:val="000000"/>
                      <w:sz w:val="18"/>
                      <w:szCs w:val="18"/>
                    </w:rPr>
                  </w:pPr>
                  <w:r>
                    <w:rPr>
                      <w:rFonts w:hint="eastAsia"/>
                      <w:color w:val="000000"/>
                      <w:sz w:val="18"/>
                      <w:szCs w:val="18"/>
                    </w:rPr>
                    <w:t>除菌剂</w:t>
                  </w:r>
                </w:p>
              </w:tc>
              <w:tc>
                <w:tcPr>
                  <w:tcW w:w="1196" w:type="pct"/>
                  <w:noWrap/>
                  <w:vAlign w:val="center"/>
                </w:tcPr>
                <w:p w14:paraId="6E3008ED">
                  <w:pPr>
                    <w:overflowPunct w:val="0"/>
                    <w:autoSpaceDE w:val="0"/>
                    <w:autoSpaceDN w:val="0"/>
                    <w:adjustRightInd w:val="0"/>
                    <w:snapToGrid w:val="0"/>
                    <w:jc w:val="center"/>
                    <w:rPr>
                      <w:color w:val="000000"/>
                      <w:sz w:val="18"/>
                      <w:szCs w:val="18"/>
                    </w:rPr>
                  </w:pPr>
                  <w:r>
                    <w:rPr>
                      <w:color w:val="000000"/>
                      <w:sz w:val="18"/>
                      <w:szCs w:val="18"/>
                    </w:rPr>
                    <w:t>次氯酸钠</w:t>
                  </w:r>
                </w:p>
              </w:tc>
              <w:tc>
                <w:tcPr>
                  <w:tcW w:w="225" w:type="pct"/>
                  <w:noWrap w:val="0"/>
                  <w:vAlign w:val="center"/>
                </w:tcPr>
                <w:p w14:paraId="4FAE2A84">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03817645">
                  <w:pPr>
                    <w:overflowPunct w:val="0"/>
                    <w:autoSpaceDE w:val="0"/>
                    <w:autoSpaceDN w:val="0"/>
                    <w:adjustRightInd w:val="0"/>
                    <w:snapToGrid w:val="0"/>
                    <w:jc w:val="center"/>
                    <w:rPr>
                      <w:color w:val="000000"/>
                      <w:sz w:val="18"/>
                      <w:szCs w:val="18"/>
                    </w:rPr>
                  </w:pPr>
                  <w:r>
                    <w:rPr>
                      <w:rFonts w:hint="eastAsia"/>
                      <w:color w:val="000000"/>
                      <w:sz w:val="18"/>
                      <w:szCs w:val="18"/>
                    </w:rPr>
                    <w:t>0.03</w:t>
                  </w:r>
                </w:p>
              </w:tc>
              <w:tc>
                <w:tcPr>
                  <w:tcW w:w="604" w:type="pct"/>
                  <w:noWrap w:val="0"/>
                  <w:vAlign w:val="center"/>
                </w:tcPr>
                <w:p w14:paraId="4BD9FF5A">
                  <w:pPr>
                    <w:overflowPunct w:val="0"/>
                    <w:autoSpaceDE w:val="0"/>
                    <w:autoSpaceDN w:val="0"/>
                    <w:adjustRightInd w:val="0"/>
                    <w:snapToGrid w:val="0"/>
                    <w:jc w:val="center"/>
                    <w:rPr>
                      <w:color w:val="000000"/>
                      <w:sz w:val="18"/>
                      <w:szCs w:val="18"/>
                    </w:rPr>
                  </w:pPr>
                  <w:r>
                    <w:rPr>
                      <w:color w:val="000000"/>
                      <w:sz w:val="18"/>
                      <w:szCs w:val="18"/>
                    </w:rPr>
                    <w:t>25kg/</w:t>
                  </w:r>
                  <w:r>
                    <w:rPr>
                      <w:rFonts w:hint="eastAsia"/>
                      <w:color w:val="000000"/>
                      <w:sz w:val="18"/>
                      <w:szCs w:val="18"/>
                    </w:rPr>
                    <w:t>桶</w:t>
                  </w:r>
                </w:p>
              </w:tc>
              <w:tc>
                <w:tcPr>
                  <w:tcW w:w="299" w:type="pct"/>
                  <w:noWrap w:val="0"/>
                  <w:vAlign w:val="center"/>
                </w:tcPr>
                <w:p w14:paraId="29F4E49B">
                  <w:pPr>
                    <w:overflowPunct w:val="0"/>
                    <w:autoSpaceDE w:val="0"/>
                    <w:autoSpaceDN w:val="0"/>
                    <w:adjustRightInd w:val="0"/>
                    <w:snapToGrid w:val="0"/>
                    <w:jc w:val="center"/>
                    <w:rPr>
                      <w:rFonts w:hint="eastAsia"/>
                      <w:color w:val="000000"/>
                      <w:sz w:val="18"/>
                      <w:szCs w:val="18"/>
                    </w:rPr>
                  </w:pPr>
                  <w:r>
                    <w:rPr>
                      <w:color w:val="000000"/>
                      <w:sz w:val="18"/>
                      <w:szCs w:val="18"/>
                    </w:rPr>
                    <w:t>0.</w:t>
                  </w:r>
                  <w:r>
                    <w:rPr>
                      <w:rFonts w:hint="eastAsia"/>
                      <w:color w:val="000000"/>
                      <w:sz w:val="18"/>
                      <w:szCs w:val="18"/>
                    </w:rPr>
                    <w:t>01</w:t>
                  </w:r>
                  <w:r>
                    <w:rPr>
                      <w:color w:val="000000"/>
                      <w:sz w:val="18"/>
                      <w:szCs w:val="18"/>
                    </w:rPr>
                    <w:t>t</w:t>
                  </w:r>
                </w:p>
              </w:tc>
              <w:tc>
                <w:tcPr>
                  <w:tcW w:w="761" w:type="pct"/>
                  <w:noWrap w:val="0"/>
                  <w:vAlign w:val="center"/>
                </w:tcPr>
                <w:p w14:paraId="5ADE3FE7">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0452FF8C">
                  <w:pPr>
                    <w:overflowPunct w:val="0"/>
                    <w:autoSpaceDE w:val="0"/>
                    <w:autoSpaceDN w:val="0"/>
                    <w:adjustRightInd w:val="0"/>
                    <w:snapToGrid w:val="0"/>
                    <w:jc w:val="center"/>
                    <w:rPr>
                      <w:color w:val="000000"/>
                      <w:sz w:val="18"/>
                      <w:szCs w:val="18"/>
                    </w:rPr>
                  </w:pPr>
                </w:p>
              </w:tc>
            </w:tr>
            <w:tr w14:paraId="6303AA6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078C651A">
                  <w:pPr>
                    <w:overflowPunct w:val="0"/>
                    <w:autoSpaceDE w:val="0"/>
                    <w:autoSpaceDN w:val="0"/>
                    <w:adjustRightInd w:val="0"/>
                    <w:snapToGrid w:val="0"/>
                    <w:jc w:val="center"/>
                    <w:rPr>
                      <w:color w:val="000000"/>
                      <w:sz w:val="18"/>
                      <w:szCs w:val="18"/>
                    </w:rPr>
                  </w:pPr>
                  <w:r>
                    <w:rPr>
                      <w:rFonts w:hint="eastAsia"/>
                      <w:color w:val="000000"/>
                      <w:sz w:val="18"/>
                      <w:szCs w:val="18"/>
                    </w:rPr>
                    <w:t>31</w:t>
                  </w:r>
                </w:p>
              </w:tc>
              <w:tc>
                <w:tcPr>
                  <w:tcW w:w="983" w:type="pct"/>
                  <w:noWrap/>
                  <w:vAlign w:val="center"/>
                </w:tcPr>
                <w:p w14:paraId="285243E1">
                  <w:pPr>
                    <w:overflowPunct w:val="0"/>
                    <w:autoSpaceDE w:val="0"/>
                    <w:autoSpaceDN w:val="0"/>
                    <w:adjustRightInd w:val="0"/>
                    <w:snapToGrid w:val="0"/>
                    <w:jc w:val="center"/>
                    <w:rPr>
                      <w:color w:val="000000"/>
                      <w:sz w:val="18"/>
                      <w:szCs w:val="18"/>
                    </w:rPr>
                  </w:pPr>
                  <w:r>
                    <w:rPr>
                      <w:rFonts w:hint="eastAsia"/>
                      <w:color w:val="000000"/>
                      <w:sz w:val="18"/>
                      <w:szCs w:val="18"/>
                    </w:rPr>
                    <w:t>活性炭</w:t>
                  </w:r>
                </w:p>
              </w:tc>
              <w:tc>
                <w:tcPr>
                  <w:tcW w:w="1196" w:type="pct"/>
                  <w:noWrap/>
                  <w:vAlign w:val="center"/>
                </w:tcPr>
                <w:p w14:paraId="14B09230">
                  <w:pPr>
                    <w:overflowPunct w:val="0"/>
                    <w:autoSpaceDE w:val="0"/>
                    <w:autoSpaceDN w:val="0"/>
                    <w:adjustRightInd w:val="0"/>
                    <w:snapToGrid w:val="0"/>
                    <w:jc w:val="center"/>
                    <w:rPr>
                      <w:color w:val="000000"/>
                      <w:sz w:val="18"/>
                      <w:szCs w:val="18"/>
                    </w:rPr>
                  </w:pPr>
                  <w:r>
                    <w:rPr>
                      <w:rFonts w:hint="eastAsia"/>
                      <w:color w:val="000000"/>
                      <w:sz w:val="18"/>
                      <w:szCs w:val="18"/>
                    </w:rPr>
                    <w:t>碳</w:t>
                  </w:r>
                </w:p>
              </w:tc>
              <w:tc>
                <w:tcPr>
                  <w:tcW w:w="225" w:type="pct"/>
                  <w:noWrap w:val="0"/>
                  <w:vAlign w:val="center"/>
                </w:tcPr>
                <w:p w14:paraId="7ECABB76">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04A746D7">
                  <w:pPr>
                    <w:overflowPunct w:val="0"/>
                    <w:autoSpaceDE w:val="0"/>
                    <w:autoSpaceDN w:val="0"/>
                    <w:adjustRightInd w:val="0"/>
                    <w:snapToGrid w:val="0"/>
                    <w:jc w:val="center"/>
                    <w:rPr>
                      <w:color w:val="000000"/>
                      <w:sz w:val="18"/>
                      <w:szCs w:val="18"/>
                    </w:rPr>
                  </w:pPr>
                  <w:r>
                    <w:rPr>
                      <w:rFonts w:hint="eastAsia"/>
                      <w:color w:val="000000"/>
                      <w:sz w:val="18"/>
                      <w:szCs w:val="18"/>
                    </w:rPr>
                    <w:t>32</w:t>
                  </w:r>
                </w:p>
              </w:tc>
              <w:tc>
                <w:tcPr>
                  <w:tcW w:w="604" w:type="pct"/>
                  <w:noWrap w:val="0"/>
                  <w:vAlign w:val="center"/>
                </w:tcPr>
                <w:p w14:paraId="39F33892">
                  <w:pPr>
                    <w:overflowPunct w:val="0"/>
                    <w:autoSpaceDE w:val="0"/>
                    <w:autoSpaceDN w:val="0"/>
                    <w:adjustRightInd w:val="0"/>
                    <w:snapToGrid w:val="0"/>
                    <w:jc w:val="center"/>
                    <w:rPr>
                      <w:color w:val="000000"/>
                      <w:sz w:val="18"/>
                      <w:szCs w:val="18"/>
                    </w:rPr>
                  </w:pPr>
                  <w:r>
                    <w:rPr>
                      <w:color w:val="000000"/>
                      <w:sz w:val="18"/>
                      <w:szCs w:val="18"/>
                    </w:rPr>
                    <w:t>1000kg/袋</w:t>
                  </w:r>
                </w:p>
              </w:tc>
              <w:tc>
                <w:tcPr>
                  <w:tcW w:w="299" w:type="pct"/>
                  <w:noWrap w:val="0"/>
                  <w:vAlign w:val="center"/>
                </w:tcPr>
                <w:p w14:paraId="5D1B23C9">
                  <w:pPr>
                    <w:overflowPunct w:val="0"/>
                    <w:autoSpaceDE w:val="0"/>
                    <w:autoSpaceDN w:val="0"/>
                    <w:adjustRightInd w:val="0"/>
                    <w:snapToGrid w:val="0"/>
                    <w:jc w:val="center"/>
                    <w:rPr>
                      <w:rFonts w:hint="eastAsia"/>
                      <w:color w:val="000000"/>
                      <w:sz w:val="18"/>
                      <w:szCs w:val="18"/>
                    </w:rPr>
                  </w:pPr>
                  <w:r>
                    <w:rPr>
                      <w:color w:val="000000"/>
                      <w:sz w:val="18"/>
                      <w:szCs w:val="18"/>
                    </w:rPr>
                    <w:t>5t</w:t>
                  </w:r>
                </w:p>
              </w:tc>
              <w:tc>
                <w:tcPr>
                  <w:tcW w:w="761" w:type="pct"/>
                  <w:noWrap w:val="0"/>
                  <w:vAlign w:val="center"/>
                </w:tcPr>
                <w:p w14:paraId="5EA72CF3">
                  <w:pPr>
                    <w:overflowPunct w:val="0"/>
                    <w:autoSpaceDE w:val="0"/>
                    <w:autoSpaceDN w:val="0"/>
                    <w:adjustRightInd w:val="0"/>
                    <w:snapToGrid w:val="0"/>
                    <w:jc w:val="center"/>
                    <w:rPr>
                      <w:rFonts w:hint="eastAsia"/>
                      <w:color w:val="000000"/>
                      <w:sz w:val="18"/>
                      <w:szCs w:val="18"/>
                    </w:rPr>
                  </w:pPr>
                  <w:r>
                    <w:rPr>
                      <w:rFonts w:hint="eastAsia"/>
                      <w:color w:val="000000"/>
                      <w:sz w:val="18"/>
                      <w:szCs w:val="18"/>
                    </w:rPr>
                    <w:t>固态，粒径0.01~0.15mm</w:t>
                  </w:r>
                </w:p>
              </w:tc>
              <w:tc>
                <w:tcPr>
                  <w:tcW w:w="186" w:type="pct"/>
                  <w:vMerge w:val="continue"/>
                  <w:noWrap w:val="0"/>
                  <w:vAlign w:val="center"/>
                </w:tcPr>
                <w:p w14:paraId="3538AE5C">
                  <w:pPr>
                    <w:overflowPunct w:val="0"/>
                    <w:autoSpaceDE w:val="0"/>
                    <w:autoSpaceDN w:val="0"/>
                    <w:adjustRightInd w:val="0"/>
                    <w:snapToGrid w:val="0"/>
                    <w:jc w:val="center"/>
                    <w:rPr>
                      <w:color w:val="000000"/>
                      <w:sz w:val="18"/>
                      <w:szCs w:val="18"/>
                    </w:rPr>
                  </w:pPr>
                </w:p>
              </w:tc>
            </w:tr>
            <w:tr w14:paraId="182601C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54A8A86C">
                  <w:pPr>
                    <w:overflowPunct w:val="0"/>
                    <w:autoSpaceDE w:val="0"/>
                    <w:autoSpaceDN w:val="0"/>
                    <w:adjustRightInd w:val="0"/>
                    <w:snapToGrid w:val="0"/>
                    <w:jc w:val="center"/>
                    <w:rPr>
                      <w:color w:val="000000"/>
                      <w:sz w:val="18"/>
                      <w:szCs w:val="18"/>
                    </w:rPr>
                  </w:pPr>
                  <w:r>
                    <w:rPr>
                      <w:rFonts w:hint="eastAsia"/>
                      <w:color w:val="000000"/>
                      <w:sz w:val="18"/>
                      <w:szCs w:val="18"/>
                    </w:rPr>
                    <w:t>32</w:t>
                  </w:r>
                </w:p>
              </w:tc>
              <w:tc>
                <w:tcPr>
                  <w:tcW w:w="983" w:type="pct"/>
                  <w:noWrap/>
                  <w:vAlign w:val="center"/>
                </w:tcPr>
                <w:p w14:paraId="1B4120BF">
                  <w:pPr>
                    <w:overflowPunct w:val="0"/>
                    <w:autoSpaceDE w:val="0"/>
                    <w:autoSpaceDN w:val="0"/>
                    <w:adjustRightInd w:val="0"/>
                    <w:snapToGrid w:val="0"/>
                    <w:jc w:val="center"/>
                    <w:rPr>
                      <w:color w:val="000000"/>
                      <w:sz w:val="18"/>
                      <w:szCs w:val="18"/>
                    </w:rPr>
                  </w:pPr>
                  <w:r>
                    <w:rPr>
                      <w:rFonts w:hint="eastAsia"/>
                      <w:color w:val="000000"/>
                      <w:sz w:val="18"/>
                      <w:szCs w:val="18"/>
                    </w:rPr>
                    <w:t>机油</w:t>
                  </w:r>
                </w:p>
              </w:tc>
              <w:tc>
                <w:tcPr>
                  <w:tcW w:w="1196" w:type="pct"/>
                  <w:noWrap/>
                  <w:vAlign w:val="center"/>
                </w:tcPr>
                <w:p w14:paraId="34FF66FF">
                  <w:pPr>
                    <w:overflowPunct w:val="0"/>
                    <w:autoSpaceDE w:val="0"/>
                    <w:autoSpaceDN w:val="0"/>
                    <w:adjustRightInd w:val="0"/>
                    <w:snapToGrid w:val="0"/>
                    <w:jc w:val="center"/>
                    <w:rPr>
                      <w:color w:val="000000"/>
                      <w:sz w:val="18"/>
                      <w:szCs w:val="18"/>
                    </w:rPr>
                  </w:pPr>
                  <w:r>
                    <w:rPr>
                      <w:rFonts w:hint="eastAsia"/>
                      <w:color w:val="000000"/>
                      <w:sz w:val="18"/>
                      <w:szCs w:val="18"/>
                    </w:rPr>
                    <w:t>润滑油</w:t>
                  </w:r>
                </w:p>
              </w:tc>
              <w:tc>
                <w:tcPr>
                  <w:tcW w:w="225" w:type="pct"/>
                  <w:noWrap w:val="0"/>
                  <w:vAlign w:val="center"/>
                </w:tcPr>
                <w:p w14:paraId="36102BAD">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3F00EFD2">
                  <w:pPr>
                    <w:overflowPunct w:val="0"/>
                    <w:autoSpaceDE w:val="0"/>
                    <w:autoSpaceDN w:val="0"/>
                    <w:adjustRightInd w:val="0"/>
                    <w:snapToGrid w:val="0"/>
                    <w:jc w:val="center"/>
                    <w:rPr>
                      <w:color w:val="000000"/>
                      <w:sz w:val="18"/>
                      <w:szCs w:val="18"/>
                    </w:rPr>
                  </w:pPr>
                  <w:r>
                    <w:rPr>
                      <w:rFonts w:hint="eastAsia"/>
                      <w:color w:val="000000"/>
                      <w:sz w:val="18"/>
                      <w:szCs w:val="18"/>
                    </w:rPr>
                    <w:t>1</w:t>
                  </w:r>
                </w:p>
              </w:tc>
              <w:tc>
                <w:tcPr>
                  <w:tcW w:w="604" w:type="pct"/>
                  <w:noWrap w:val="0"/>
                  <w:vAlign w:val="center"/>
                </w:tcPr>
                <w:p w14:paraId="42DF45E8">
                  <w:pPr>
                    <w:overflowPunct w:val="0"/>
                    <w:autoSpaceDE w:val="0"/>
                    <w:autoSpaceDN w:val="0"/>
                    <w:adjustRightInd w:val="0"/>
                    <w:snapToGrid w:val="0"/>
                    <w:jc w:val="center"/>
                    <w:rPr>
                      <w:color w:val="000000"/>
                      <w:sz w:val="18"/>
                      <w:szCs w:val="18"/>
                    </w:rPr>
                  </w:pPr>
                  <w:r>
                    <w:rPr>
                      <w:rFonts w:hint="eastAsia"/>
                      <w:color w:val="000000"/>
                      <w:sz w:val="18"/>
                      <w:szCs w:val="18"/>
                    </w:rPr>
                    <w:t>0.2t/桶</w:t>
                  </w:r>
                </w:p>
              </w:tc>
              <w:tc>
                <w:tcPr>
                  <w:tcW w:w="299" w:type="pct"/>
                  <w:noWrap w:val="0"/>
                  <w:vAlign w:val="center"/>
                </w:tcPr>
                <w:p w14:paraId="47534CAC">
                  <w:pPr>
                    <w:overflowPunct w:val="0"/>
                    <w:autoSpaceDE w:val="0"/>
                    <w:autoSpaceDN w:val="0"/>
                    <w:adjustRightInd w:val="0"/>
                    <w:snapToGrid w:val="0"/>
                    <w:jc w:val="center"/>
                    <w:rPr>
                      <w:color w:val="000000"/>
                      <w:sz w:val="18"/>
                      <w:szCs w:val="18"/>
                    </w:rPr>
                  </w:pPr>
                  <w:r>
                    <w:rPr>
                      <w:rFonts w:hint="eastAsia"/>
                      <w:color w:val="000000"/>
                      <w:sz w:val="18"/>
                      <w:szCs w:val="18"/>
                    </w:rPr>
                    <w:t>1</w:t>
                  </w:r>
                </w:p>
              </w:tc>
              <w:tc>
                <w:tcPr>
                  <w:tcW w:w="761" w:type="pct"/>
                  <w:noWrap w:val="0"/>
                  <w:vAlign w:val="center"/>
                </w:tcPr>
                <w:p w14:paraId="7248E126">
                  <w:pPr>
                    <w:overflowPunct w:val="0"/>
                    <w:autoSpaceDE w:val="0"/>
                    <w:autoSpaceDN w:val="0"/>
                    <w:adjustRightInd w:val="0"/>
                    <w:snapToGrid w:val="0"/>
                    <w:jc w:val="center"/>
                    <w:rPr>
                      <w:color w:val="000000"/>
                      <w:sz w:val="18"/>
                      <w:szCs w:val="18"/>
                    </w:rPr>
                  </w:pPr>
                  <w:r>
                    <w:rPr>
                      <w:rFonts w:hint="eastAsia"/>
                      <w:color w:val="000000"/>
                      <w:sz w:val="18"/>
                      <w:szCs w:val="18"/>
                    </w:rPr>
                    <w:t>液态</w:t>
                  </w:r>
                </w:p>
              </w:tc>
              <w:tc>
                <w:tcPr>
                  <w:tcW w:w="186" w:type="pct"/>
                  <w:vMerge w:val="continue"/>
                  <w:noWrap w:val="0"/>
                  <w:vAlign w:val="center"/>
                </w:tcPr>
                <w:p w14:paraId="5BDA223D">
                  <w:pPr>
                    <w:overflowPunct w:val="0"/>
                    <w:autoSpaceDE w:val="0"/>
                    <w:autoSpaceDN w:val="0"/>
                    <w:adjustRightInd w:val="0"/>
                    <w:snapToGrid w:val="0"/>
                    <w:jc w:val="center"/>
                    <w:rPr>
                      <w:color w:val="000000"/>
                      <w:sz w:val="18"/>
                      <w:szCs w:val="18"/>
                    </w:rPr>
                  </w:pPr>
                </w:p>
              </w:tc>
            </w:tr>
            <w:tr w14:paraId="707E7E4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34" w:type="pct"/>
                  <w:noWrap w:val="0"/>
                  <w:vAlign w:val="center"/>
                </w:tcPr>
                <w:p w14:paraId="09289765">
                  <w:pPr>
                    <w:overflowPunct w:val="0"/>
                    <w:autoSpaceDE w:val="0"/>
                    <w:autoSpaceDN w:val="0"/>
                    <w:adjustRightInd w:val="0"/>
                    <w:snapToGrid w:val="0"/>
                    <w:jc w:val="center"/>
                    <w:rPr>
                      <w:color w:val="000000"/>
                      <w:sz w:val="18"/>
                      <w:szCs w:val="18"/>
                    </w:rPr>
                  </w:pPr>
                  <w:r>
                    <w:rPr>
                      <w:rFonts w:hint="eastAsia"/>
                      <w:color w:val="000000"/>
                      <w:sz w:val="18"/>
                      <w:szCs w:val="18"/>
                    </w:rPr>
                    <w:t>33</w:t>
                  </w:r>
                </w:p>
              </w:tc>
              <w:tc>
                <w:tcPr>
                  <w:tcW w:w="983" w:type="pct"/>
                  <w:noWrap/>
                  <w:vAlign w:val="center"/>
                </w:tcPr>
                <w:p w14:paraId="567607C3">
                  <w:pPr>
                    <w:overflowPunct w:val="0"/>
                    <w:autoSpaceDE w:val="0"/>
                    <w:autoSpaceDN w:val="0"/>
                    <w:adjustRightInd w:val="0"/>
                    <w:snapToGrid w:val="0"/>
                    <w:jc w:val="center"/>
                    <w:rPr>
                      <w:rFonts w:hint="eastAsia" w:eastAsia="宋体"/>
                      <w:color w:val="000000"/>
                      <w:sz w:val="18"/>
                      <w:szCs w:val="18"/>
                      <w:lang w:eastAsia="zh-CN"/>
                    </w:rPr>
                  </w:pPr>
                  <w:r>
                    <w:rPr>
                      <w:rFonts w:hint="eastAsia"/>
                      <w:color w:val="000000"/>
                      <w:sz w:val="18"/>
                      <w:szCs w:val="18"/>
                      <w:lang w:val="en-US" w:eastAsia="zh-CN"/>
                    </w:rPr>
                    <w:t>片碱</w:t>
                  </w:r>
                </w:p>
              </w:tc>
              <w:tc>
                <w:tcPr>
                  <w:tcW w:w="1196" w:type="pct"/>
                  <w:noWrap/>
                  <w:vAlign w:val="center"/>
                </w:tcPr>
                <w:p w14:paraId="30E121E2">
                  <w:pPr>
                    <w:overflowPunct w:val="0"/>
                    <w:autoSpaceDE w:val="0"/>
                    <w:autoSpaceDN w:val="0"/>
                    <w:adjustRightInd w:val="0"/>
                    <w:snapToGrid w:val="0"/>
                    <w:jc w:val="center"/>
                    <w:rPr>
                      <w:rFonts w:hint="eastAsia" w:eastAsia="宋体"/>
                      <w:color w:val="000000"/>
                      <w:sz w:val="18"/>
                      <w:szCs w:val="18"/>
                      <w:lang w:eastAsia="zh-CN"/>
                    </w:rPr>
                  </w:pPr>
                  <w:r>
                    <w:rPr>
                      <w:rFonts w:hint="eastAsia"/>
                      <w:color w:val="000000"/>
                      <w:sz w:val="18"/>
                      <w:szCs w:val="18"/>
                      <w:lang w:val="en-US" w:eastAsia="zh-CN"/>
                    </w:rPr>
                    <w:t>氢氧化钠</w:t>
                  </w:r>
                </w:p>
              </w:tc>
              <w:tc>
                <w:tcPr>
                  <w:tcW w:w="225" w:type="pct"/>
                  <w:noWrap w:val="0"/>
                  <w:vAlign w:val="center"/>
                </w:tcPr>
                <w:p w14:paraId="7BAF281D">
                  <w:pPr>
                    <w:overflowPunct w:val="0"/>
                    <w:autoSpaceDE w:val="0"/>
                    <w:autoSpaceDN w:val="0"/>
                    <w:adjustRightInd w:val="0"/>
                    <w:snapToGrid w:val="0"/>
                    <w:jc w:val="center"/>
                    <w:rPr>
                      <w:color w:val="000000"/>
                      <w:sz w:val="18"/>
                      <w:szCs w:val="18"/>
                    </w:rPr>
                  </w:pPr>
                  <w:r>
                    <w:rPr>
                      <w:color w:val="000000"/>
                      <w:sz w:val="18"/>
                      <w:szCs w:val="18"/>
                    </w:rPr>
                    <w:t>t/a</w:t>
                  </w:r>
                </w:p>
              </w:tc>
              <w:tc>
                <w:tcPr>
                  <w:tcW w:w="408" w:type="pct"/>
                  <w:noWrap w:val="0"/>
                  <w:vAlign w:val="center"/>
                </w:tcPr>
                <w:p w14:paraId="19B96BDB">
                  <w:pPr>
                    <w:overflowPunct w:val="0"/>
                    <w:autoSpaceDE w:val="0"/>
                    <w:autoSpaceDN w:val="0"/>
                    <w:adjustRightInd w:val="0"/>
                    <w:snapToGrid w:val="0"/>
                    <w:jc w:val="center"/>
                    <w:rPr>
                      <w:color w:val="000000"/>
                      <w:sz w:val="18"/>
                      <w:szCs w:val="18"/>
                    </w:rPr>
                  </w:pPr>
                  <w:r>
                    <w:rPr>
                      <w:rFonts w:hint="eastAsia"/>
                      <w:color w:val="000000"/>
                      <w:sz w:val="18"/>
                      <w:szCs w:val="18"/>
                    </w:rPr>
                    <w:t>0.05</w:t>
                  </w:r>
                </w:p>
              </w:tc>
              <w:tc>
                <w:tcPr>
                  <w:tcW w:w="604" w:type="pct"/>
                  <w:noWrap w:val="0"/>
                  <w:vAlign w:val="center"/>
                </w:tcPr>
                <w:p w14:paraId="6D0048B2">
                  <w:pPr>
                    <w:overflowPunct w:val="0"/>
                    <w:autoSpaceDE w:val="0"/>
                    <w:autoSpaceDN w:val="0"/>
                    <w:adjustRightInd w:val="0"/>
                    <w:snapToGrid w:val="0"/>
                    <w:jc w:val="center"/>
                    <w:rPr>
                      <w:rFonts w:hint="eastAsia" w:eastAsia="宋体"/>
                      <w:color w:val="000000"/>
                      <w:sz w:val="18"/>
                      <w:szCs w:val="18"/>
                      <w:lang w:val="en-US" w:eastAsia="zh-CN"/>
                    </w:rPr>
                  </w:pPr>
                  <w:r>
                    <w:rPr>
                      <w:rFonts w:hint="eastAsia"/>
                      <w:color w:val="000000"/>
                      <w:sz w:val="18"/>
                      <w:szCs w:val="18"/>
                    </w:rPr>
                    <w:t>0.025t/</w:t>
                  </w:r>
                  <w:r>
                    <w:rPr>
                      <w:rFonts w:hint="eastAsia"/>
                      <w:color w:val="000000"/>
                      <w:sz w:val="18"/>
                      <w:szCs w:val="18"/>
                      <w:lang w:val="en-US" w:eastAsia="zh-CN"/>
                    </w:rPr>
                    <w:t>袋</w:t>
                  </w:r>
                </w:p>
              </w:tc>
              <w:tc>
                <w:tcPr>
                  <w:tcW w:w="299" w:type="pct"/>
                  <w:noWrap w:val="0"/>
                  <w:vAlign w:val="center"/>
                </w:tcPr>
                <w:p w14:paraId="08B287C5">
                  <w:pPr>
                    <w:overflowPunct w:val="0"/>
                    <w:autoSpaceDE w:val="0"/>
                    <w:autoSpaceDN w:val="0"/>
                    <w:adjustRightInd w:val="0"/>
                    <w:snapToGrid w:val="0"/>
                    <w:jc w:val="center"/>
                    <w:rPr>
                      <w:color w:val="000000"/>
                      <w:sz w:val="18"/>
                      <w:szCs w:val="18"/>
                    </w:rPr>
                  </w:pPr>
                  <w:r>
                    <w:rPr>
                      <w:rFonts w:hint="eastAsia"/>
                      <w:color w:val="000000"/>
                      <w:sz w:val="18"/>
                      <w:szCs w:val="18"/>
                    </w:rPr>
                    <w:t>0.05</w:t>
                  </w:r>
                </w:p>
              </w:tc>
              <w:tc>
                <w:tcPr>
                  <w:tcW w:w="761" w:type="pct"/>
                  <w:noWrap w:val="0"/>
                  <w:vAlign w:val="center"/>
                </w:tcPr>
                <w:p w14:paraId="04D543A1">
                  <w:pPr>
                    <w:overflowPunct w:val="0"/>
                    <w:autoSpaceDE w:val="0"/>
                    <w:autoSpaceDN w:val="0"/>
                    <w:adjustRightInd w:val="0"/>
                    <w:snapToGrid w:val="0"/>
                    <w:jc w:val="center"/>
                    <w:rPr>
                      <w:rFonts w:hint="eastAsia" w:eastAsia="宋体"/>
                      <w:color w:val="000000"/>
                      <w:sz w:val="18"/>
                      <w:szCs w:val="18"/>
                      <w:lang w:eastAsia="zh-CN"/>
                    </w:rPr>
                  </w:pPr>
                  <w:r>
                    <w:rPr>
                      <w:rFonts w:hint="eastAsia"/>
                      <w:color w:val="000000"/>
                      <w:sz w:val="18"/>
                      <w:szCs w:val="18"/>
                      <w:lang w:val="en-US" w:eastAsia="zh-CN"/>
                    </w:rPr>
                    <w:t>固态</w:t>
                  </w:r>
                </w:p>
              </w:tc>
              <w:tc>
                <w:tcPr>
                  <w:tcW w:w="186" w:type="pct"/>
                  <w:vMerge w:val="continue"/>
                  <w:noWrap w:val="0"/>
                  <w:vAlign w:val="center"/>
                </w:tcPr>
                <w:p w14:paraId="04FB407F">
                  <w:pPr>
                    <w:overflowPunct w:val="0"/>
                    <w:autoSpaceDE w:val="0"/>
                    <w:autoSpaceDN w:val="0"/>
                    <w:adjustRightInd w:val="0"/>
                    <w:snapToGrid w:val="0"/>
                    <w:jc w:val="center"/>
                    <w:rPr>
                      <w:color w:val="000000"/>
                      <w:sz w:val="18"/>
                      <w:szCs w:val="18"/>
                    </w:rPr>
                  </w:pPr>
                </w:p>
              </w:tc>
            </w:tr>
          </w:tbl>
          <w:p w14:paraId="0483204B">
            <w:pPr>
              <w:spacing w:line="360" w:lineRule="auto"/>
              <w:ind w:firstLine="420" w:firstLineChars="200"/>
              <w:rPr>
                <w:b/>
                <w:bCs/>
                <w:color w:val="000000"/>
              </w:rPr>
            </w:pPr>
            <w:r>
              <w:rPr>
                <w:color w:val="000000"/>
                <w:szCs w:val="32"/>
              </w:rPr>
              <w:t>主要</w:t>
            </w:r>
            <w:r>
              <w:rPr>
                <w:rFonts w:hint="eastAsia"/>
                <w:color w:val="000000"/>
                <w:szCs w:val="32"/>
              </w:rPr>
              <w:t>试剂理化性质见下表。</w:t>
            </w:r>
          </w:p>
          <w:p w14:paraId="5F271C7F">
            <w:pPr>
              <w:pStyle w:val="8"/>
              <w:spacing w:after="0"/>
              <w:ind w:left="0" w:leftChars="0"/>
              <w:jc w:val="center"/>
              <w:rPr>
                <w:b/>
                <w:bCs/>
                <w:color w:val="000000"/>
              </w:rPr>
            </w:pPr>
            <w:r>
              <w:rPr>
                <w:rFonts w:hint="eastAsia"/>
                <w:b/>
                <w:bCs/>
                <w:color w:val="000000"/>
              </w:rPr>
              <w:t xml:space="preserve">表2-7 </w:t>
            </w:r>
            <w:r>
              <w:rPr>
                <w:b/>
                <w:bCs/>
                <w:color w:val="000000"/>
              </w:rPr>
              <w:t>主要试剂理化</w:t>
            </w:r>
            <w:r>
              <w:rPr>
                <w:rFonts w:hint="eastAsia"/>
                <w:b/>
                <w:bCs/>
                <w:color w:val="000000"/>
                <w:szCs w:val="32"/>
              </w:rPr>
              <w:t>性质</w:t>
            </w:r>
            <w:r>
              <w:rPr>
                <w:b/>
                <w:bCs/>
                <w:color w:val="000000"/>
              </w:rPr>
              <w:t>一览表</w:t>
            </w:r>
          </w:p>
          <w:tbl>
            <w:tblPr>
              <w:tblStyle w:val="16"/>
              <w:tblW w:w="4998" w:type="pct"/>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368"/>
              <w:gridCol w:w="680"/>
              <w:gridCol w:w="969"/>
              <w:gridCol w:w="1281"/>
              <w:gridCol w:w="5140"/>
            </w:tblGrid>
            <w:tr w14:paraId="3492F59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218" w:type="pct"/>
                  <w:noWrap w:val="0"/>
                  <w:vAlign w:val="center"/>
                </w:tcPr>
                <w:p w14:paraId="3C48B23E">
                  <w:pPr>
                    <w:overflowPunct w:val="0"/>
                    <w:autoSpaceDE w:val="0"/>
                    <w:autoSpaceDN w:val="0"/>
                    <w:adjustRightInd w:val="0"/>
                    <w:snapToGrid w:val="0"/>
                    <w:jc w:val="center"/>
                    <w:rPr>
                      <w:color w:val="000000"/>
                      <w:sz w:val="18"/>
                      <w:szCs w:val="18"/>
                    </w:rPr>
                  </w:pPr>
                  <w:r>
                    <w:rPr>
                      <w:color w:val="000000"/>
                      <w:sz w:val="18"/>
                      <w:szCs w:val="18"/>
                    </w:rPr>
                    <w:t>序号</w:t>
                  </w:r>
                </w:p>
              </w:tc>
              <w:tc>
                <w:tcPr>
                  <w:tcW w:w="403" w:type="pct"/>
                  <w:noWrap w:val="0"/>
                  <w:vAlign w:val="center"/>
                </w:tcPr>
                <w:p w14:paraId="49649D93">
                  <w:pPr>
                    <w:overflowPunct w:val="0"/>
                    <w:autoSpaceDE w:val="0"/>
                    <w:autoSpaceDN w:val="0"/>
                    <w:adjustRightInd w:val="0"/>
                    <w:snapToGrid w:val="0"/>
                    <w:jc w:val="center"/>
                    <w:rPr>
                      <w:color w:val="000000"/>
                      <w:sz w:val="18"/>
                      <w:szCs w:val="18"/>
                    </w:rPr>
                  </w:pPr>
                  <w:r>
                    <w:rPr>
                      <w:color w:val="000000"/>
                      <w:sz w:val="18"/>
                      <w:szCs w:val="18"/>
                    </w:rPr>
                    <w:t>原辅材料名称</w:t>
                  </w:r>
                </w:p>
              </w:tc>
              <w:tc>
                <w:tcPr>
                  <w:tcW w:w="574" w:type="pct"/>
                  <w:noWrap w:val="0"/>
                  <w:vAlign w:val="center"/>
                </w:tcPr>
                <w:p w14:paraId="611A7FA1">
                  <w:pPr>
                    <w:overflowPunct w:val="0"/>
                    <w:autoSpaceDE w:val="0"/>
                    <w:autoSpaceDN w:val="0"/>
                    <w:adjustRightInd w:val="0"/>
                    <w:snapToGrid w:val="0"/>
                    <w:jc w:val="center"/>
                    <w:rPr>
                      <w:color w:val="000000"/>
                      <w:sz w:val="18"/>
                      <w:szCs w:val="18"/>
                    </w:rPr>
                  </w:pPr>
                  <w:r>
                    <w:rPr>
                      <w:color w:val="000000"/>
                      <w:sz w:val="18"/>
                      <w:szCs w:val="18"/>
                    </w:rPr>
                    <w:t>主要规格、成分</w:t>
                  </w:r>
                </w:p>
              </w:tc>
              <w:tc>
                <w:tcPr>
                  <w:tcW w:w="759" w:type="pct"/>
                  <w:noWrap w:val="0"/>
                  <w:vAlign w:val="center"/>
                </w:tcPr>
                <w:p w14:paraId="35B97239">
                  <w:pPr>
                    <w:overflowPunct w:val="0"/>
                    <w:autoSpaceDE w:val="0"/>
                    <w:autoSpaceDN w:val="0"/>
                    <w:adjustRightInd w:val="0"/>
                    <w:snapToGrid w:val="0"/>
                    <w:jc w:val="center"/>
                    <w:rPr>
                      <w:color w:val="000000"/>
                      <w:sz w:val="18"/>
                      <w:szCs w:val="18"/>
                    </w:rPr>
                  </w:pPr>
                  <w:r>
                    <w:rPr>
                      <w:rFonts w:hint="eastAsia"/>
                      <w:color w:val="000000"/>
                      <w:sz w:val="18"/>
                      <w:szCs w:val="18"/>
                    </w:rPr>
                    <w:t>化学式</w:t>
                  </w:r>
                </w:p>
              </w:tc>
              <w:tc>
                <w:tcPr>
                  <w:tcW w:w="3045" w:type="pct"/>
                  <w:noWrap w:val="0"/>
                  <w:vAlign w:val="center"/>
                </w:tcPr>
                <w:p w14:paraId="54A73221">
                  <w:pPr>
                    <w:overflowPunct w:val="0"/>
                    <w:autoSpaceDE w:val="0"/>
                    <w:autoSpaceDN w:val="0"/>
                    <w:adjustRightInd w:val="0"/>
                    <w:snapToGrid w:val="0"/>
                    <w:jc w:val="center"/>
                    <w:rPr>
                      <w:color w:val="000000"/>
                      <w:sz w:val="18"/>
                      <w:szCs w:val="18"/>
                    </w:rPr>
                  </w:pPr>
                  <w:r>
                    <w:rPr>
                      <w:rFonts w:hint="eastAsia"/>
                      <w:color w:val="000000"/>
                      <w:sz w:val="18"/>
                      <w:szCs w:val="18"/>
                    </w:rPr>
                    <w:t>理化性质</w:t>
                  </w:r>
                </w:p>
              </w:tc>
            </w:tr>
            <w:tr w14:paraId="53BB559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218" w:type="pct"/>
                  <w:noWrap w:val="0"/>
                  <w:vAlign w:val="center"/>
                </w:tcPr>
                <w:p w14:paraId="42589CA4">
                  <w:pPr>
                    <w:overflowPunct w:val="0"/>
                    <w:autoSpaceDE w:val="0"/>
                    <w:autoSpaceDN w:val="0"/>
                    <w:adjustRightInd w:val="0"/>
                    <w:snapToGrid w:val="0"/>
                    <w:jc w:val="center"/>
                    <w:rPr>
                      <w:color w:val="000000"/>
                      <w:sz w:val="18"/>
                      <w:szCs w:val="18"/>
                    </w:rPr>
                  </w:pPr>
                  <w:r>
                    <w:rPr>
                      <w:color w:val="000000"/>
                      <w:sz w:val="18"/>
                      <w:szCs w:val="18"/>
                    </w:rPr>
                    <w:t>1</w:t>
                  </w:r>
                </w:p>
              </w:tc>
              <w:tc>
                <w:tcPr>
                  <w:tcW w:w="403" w:type="pct"/>
                  <w:noWrap w:val="0"/>
                  <w:vAlign w:val="center"/>
                </w:tcPr>
                <w:p w14:paraId="2CC2EFBA">
                  <w:pPr>
                    <w:overflowPunct w:val="0"/>
                    <w:autoSpaceDE w:val="0"/>
                    <w:autoSpaceDN w:val="0"/>
                    <w:adjustRightInd w:val="0"/>
                    <w:snapToGrid w:val="0"/>
                    <w:jc w:val="center"/>
                    <w:rPr>
                      <w:color w:val="000000"/>
                      <w:sz w:val="18"/>
                      <w:szCs w:val="18"/>
                    </w:rPr>
                  </w:pPr>
                  <w:r>
                    <w:rPr>
                      <w:color w:val="000000"/>
                      <w:sz w:val="18"/>
                      <w:szCs w:val="18"/>
                    </w:rPr>
                    <w:t>PVC树脂粉</w:t>
                  </w:r>
                </w:p>
              </w:tc>
              <w:tc>
                <w:tcPr>
                  <w:tcW w:w="574" w:type="pct"/>
                  <w:noWrap w:val="0"/>
                  <w:vAlign w:val="center"/>
                </w:tcPr>
                <w:p w14:paraId="7CEC111D">
                  <w:pPr>
                    <w:overflowPunct w:val="0"/>
                    <w:autoSpaceDE w:val="0"/>
                    <w:autoSpaceDN w:val="0"/>
                    <w:adjustRightInd w:val="0"/>
                    <w:snapToGrid w:val="0"/>
                    <w:jc w:val="center"/>
                    <w:rPr>
                      <w:color w:val="000000"/>
                      <w:sz w:val="18"/>
                      <w:szCs w:val="18"/>
                    </w:rPr>
                  </w:pPr>
                  <w:r>
                    <w:rPr>
                      <w:color w:val="000000"/>
                      <w:sz w:val="18"/>
                      <w:szCs w:val="18"/>
                    </w:rPr>
                    <w:t>聚氯乙烯树脂</w:t>
                  </w:r>
                </w:p>
              </w:tc>
              <w:tc>
                <w:tcPr>
                  <w:tcW w:w="759" w:type="pct"/>
                  <w:noWrap w:val="0"/>
                  <w:vAlign w:val="center"/>
                </w:tcPr>
                <w:p w14:paraId="2A175ACA">
                  <w:pPr>
                    <w:overflowPunct w:val="0"/>
                    <w:autoSpaceDE w:val="0"/>
                    <w:autoSpaceDN w:val="0"/>
                    <w:adjustRightInd w:val="0"/>
                    <w:snapToGrid w:val="0"/>
                    <w:jc w:val="center"/>
                    <w:rPr>
                      <w:color w:val="000000"/>
                      <w:sz w:val="18"/>
                      <w:szCs w:val="18"/>
                    </w:rPr>
                  </w:pPr>
                  <w:r>
                    <w:rPr>
                      <w:color w:val="000000"/>
                      <w:sz w:val="18"/>
                      <w:szCs w:val="18"/>
                    </w:rPr>
                    <w:t>(C</w:t>
                  </w:r>
                  <w:r>
                    <w:rPr>
                      <w:color w:val="000000"/>
                      <w:sz w:val="18"/>
                      <w:szCs w:val="18"/>
                      <w:vertAlign w:val="subscript"/>
                    </w:rPr>
                    <w:t>2</w:t>
                  </w:r>
                  <w:r>
                    <w:rPr>
                      <w:color w:val="000000"/>
                      <w:sz w:val="18"/>
                      <w:szCs w:val="18"/>
                    </w:rPr>
                    <w:t>H</w:t>
                  </w:r>
                  <w:r>
                    <w:rPr>
                      <w:color w:val="000000"/>
                      <w:sz w:val="18"/>
                      <w:szCs w:val="18"/>
                      <w:vertAlign w:val="subscript"/>
                    </w:rPr>
                    <w:t>3</w:t>
                  </w:r>
                  <w:r>
                    <w:rPr>
                      <w:color w:val="000000"/>
                      <w:sz w:val="18"/>
                      <w:szCs w:val="18"/>
                    </w:rPr>
                    <w:t>Cl)</w:t>
                  </w:r>
                  <w:r>
                    <w:rPr>
                      <w:color w:val="000000"/>
                      <w:sz w:val="18"/>
                      <w:szCs w:val="18"/>
                      <w:vertAlign w:val="subscript"/>
                    </w:rPr>
                    <w:t>n</w:t>
                  </w:r>
                </w:p>
              </w:tc>
              <w:tc>
                <w:tcPr>
                  <w:tcW w:w="3045" w:type="pct"/>
                  <w:noWrap w:val="0"/>
                  <w:vAlign w:val="center"/>
                </w:tcPr>
                <w:p w14:paraId="0C773758">
                  <w:pPr>
                    <w:overflowPunct w:val="0"/>
                    <w:autoSpaceDE w:val="0"/>
                    <w:autoSpaceDN w:val="0"/>
                    <w:adjustRightInd w:val="0"/>
                    <w:snapToGrid w:val="0"/>
                    <w:jc w:val="center"/>
                    <w:rPr>
                      <w:color w:val="000000"/>
                      <w:sz w:val="18"/>
                      <w:szCs w:val="18"/>
                    </w:rPr>
                  </w:pPr>
                  <w:r>
                    <w:rPr>
                      <w:color w:val="000000"/>
                      <w:sz w:val="18"/>
                      <w:szCs w:val="18"/>
                    </w:rPr>
                    <w:t>常温物理性状：白色无定形粉末；熔点：210-240℃（加热分解，无明确熔点）；沸点：无（热分解不沸腾）；闪点：391℃；分解温度：</w:t>
                  </w:r>
                  <w:r>
                    <w:rPr>
                      <w:rFonts w:hint="eastAsia"/>
                      <w:color w:val="000000"/>
                      <w:sz w:val="18"/>
                      <w:szCs w:val="18"/>
                    </w:rPr>
                    <w:t>16</w:t>
                  </w:r>
                  <w:r>
                    <w:rPr>
                      <w:color w:val="000000"/>
                      <w:sz w:val="18"/>
                      <w:szCs w:val="18"/>
                    </w:rPr>
                    <w:t>0-240℃</w:t>
                  </w:r>
                  <w:r>
                    <w:rPr>
                      <w:rFonts w:hint="eastAsia"/>
                      <w:color w:val="000000"/>
                      <w:sz w:val="18"/>
                      <w:szCs w:val="18"/>
                    </w:rPr>
                    <w:t>（分解产物主要为氯化氢、氯乙烯、非甲烷总烃等）</w:t>
                  </w:r>
                  <w:r>
                    <w:rPr>
                      <w:color w:val="000000"/>
                      <w:sz w:val="18"/>
                      <w:szCs w:val="18"/>
                    </w:rPr>
                    <w:t>；毒性数据：低毒，LD₅₀（大鼠经口）&gt;5000mg/kg；溶解情况：不溶于水、乙醇，溶于酮类、酯类、氯代烃等有机溶剂</w:t>
                  </w:r>
                  <w:r>
                    <w:rPr>
                      <w:rFonts w:hint="eastAsia"/>
                      <w:color w:val="000000"/>
                      <w:sz w:val="18"/>
                      <w:szCs w:val="18"/>
                    </w:rPr>
                    <w:t>。常温无臭，加热后有刺鼻酸臭味。</w:t>
                  </w:r>
                </w:p>
              </w:tc>
            </w:tr>
            <w:tr w14:paraId="43E6035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218" w:type="pct"/>
                  <w:noWrap w:val="0"/>
                  <w:vAlign w:val="center"/>
                </w:tcPr>
                <w:p w14:paraId="69F02FA8">
                  <w:pPr>
                    <w:overflowPunct w:val="0"/>
                    <w:autoSpaceDE w:val="0"/>
                    <w:autoSpaceDN w:val="0"/>
                    <w:adjustRightInd w:val="0"/>
                    <w:snapToGrid w:val="0"/>
                    <w:jc w:val="center"/>
                    <w:rPr>
                      <w:color w:val="000000"/>
                      <w:sz w:val="18"/>
                      <w:szCs w:val="18"/>
                    </w:rPr>
                  </w:pPr>
                  <w:r>
                    <w:rPr>
                      <w:color w:val="000000"/>
                      <w:sz w:val="18"/>
                      <w:szCs w:val="18"/>
                    </w:rPr>
                    <w:t>2</w:t>
                  </w:r>
                </w:p>
              </w:tc>
              <w:tc>
                <w:tcPr>
                  <w:tcW w:w="403" w:type="pct"/>
                  <w:noWrap w:val="0"/>
                  <w:vAlign w:val="center"/>
                </w:tcPr>
                <w:p w14:paraId="5574403F">
                  <w:pPr>
                    <w:overflowPunct w:val="0"/>
                    <w:autoSpaceDE w:val="0"/>
                    <w:autoSpaceDN w:val="0"/>
                    <w:adjustRightInd w:val="0"/>
                    <w:snapToGrid w:val="0"/>
                    <w:jc w:val="center"/>
                    <w:rPr>
                      <w:color w:val="000000"/>
                      <w:sz w:val="18"/>
                      <w:szCs w:val="18"/>
                    </w:rPr>
                  </w:pPr>
                  <w:r>
                    <w:rPr>
                      <w:color w:val="000000"/>
                      <w:sz w:val="18"/>
                      <w:szCs w:val="18"/>
                    </w:rPr>
                    <w:t>碳酸钙</w:t>
                  </w:r>
                </w:p>
              </w:tc>
              <w:tc>
                <w:tcPr>
                  <w:tcW w:w="574" w:type="pct"/>
                  <w:noWrap w:val="0"/>
                  <w:vAlign w:val="center"/>
                </w:tcPr>
                <w:p w14:paraId="44187A50">
                  <w:pPr>
                    <w:overflowPunct w:val="0"/>
                    <w:autoSpaceDE w:val="0"/>
                    <w:autoSpaceDN w:val="0"/>
                    <w:adjustRightInd w:val="0"/>
                    <w:snapToGrid w:val="0"/>
                    <w:jc w:val="center"/>
                    <w:rPr>
                      <w:color w:val="000000"/>
                      <w:sz w:val="18"/>
                      <w:szCs w:val="18"/>
                    </w:rPr>
                  </w:pPr>
                  <w:r>
                    <w:rPr>
                      <w:color w:val="000000"/>
                      <w:sz w:val="18"/>
                      <w:szCs w:val="18"/>
                    </w:rPr>
                    <w:t>CaCO</w:t>
                  </w:r>
                  <w:r>
                    <w:rPr>
                      <w:color w:val="000000"/>
                      <w:sz w:val="18"/>
                      <w:szCs w:val="18"/>
                      <w:vertAlign w:val="subscript"/>
                    </w:rPr>
                    <w:t>3</w:t>
                  </w:r>
                </w:p>
              </w:tc>
              <w:tc>
                <w:tcPr>
                  <w:tcW w:w="759" w:type="pct"/>
                  <w:noWrap w:val="0"/>
                  <w:vAlign w:val="center"/>
                </w:tcPr>
                <w:p w14:paraId="31EA5F58">
                  <w:pPr>
                    <w:overflowPunct w:val="0"/>
                    <w:autoSpaceDE w:val="0"/>
                    <w:autoSpaceDN w:val="0"/>
                    <w:adjustRightInd w:val="0"/>
                    <w:snapToGrid w:val="0"/>
                    <w:jc w:val="center"/>
                    <w:rPr>
                      <w:color w:val="000000"/>
                      <w:sz w:val="18"/>
                      <w:szCs w:val="18"/>
                    </w:rPr>
                  </w:pPr>
                  <w:r>
                    <w:rPr>
                      <w:color w:val="000000"/>
                      <w:sz w:val="18"/>
                      <w:szCs w:val="18"/>
                    </w:rPr>
                    <w:t>CaCO</w:t>
                  </w:r>
                  <w:r>
                    <w:rPr>
                      <w:color w:val="000000"/>
                      <w:sz w:val="18"/>
                      <w:szCs w:val="18"/>
                      <w:vertAlign w:val="subscript"/>
                    </w:rPr>
                    <w:t>3</w:t>
                  </w:r>
                </w:p>
              </w:tc>
              <w:tc>
                <w:tcPr>
                  <w:tcW w:w="3045" w:type="pct"/>
                  <w:noWrap w:val="0"/>
                  <w:vAlign w:val="center"/>
                </w:tcPr>
                <w:p w14:paraId="19938BD8">
                  <w:pPr>
                    <w:overflowPunct w:val="0"/>
                    <w:autoSpaceDE w:val="0"/>
                    <w:autoSpaceDN w:val="0"/>
                    <w:adjustRightInd w:val="0"/>
                    <w:snapToGrid w:val="0"/>
                    <w:jc w:val="center"/>
                    <w:rPr>
                      <w:color w:val="000000"/>
                      <w:sz w:val="18"/>
                      <w:szCs w:val="18"/>
                    </w:rPr>
                  </w:pPr>
                  <w:r>
                    <w:rPr>
                      <w:color w:val="000000"/>
                      <w:sz w:val="18"/>
                      <w:szCs w:val="18"/>
                    </w:rPr>
                    <w:t>常温物理性状：白色粉末，无臭无味；熔点：1339℃（分解）；分解温度：1339℃；毒性数据：无毒；溶解情况：不溶于水，溶于稀盐酸、硝酸等强酸</w:t>
                  </w:r>
                  <w:r>
                    <w:rPr>
                      <w:rFonts w:hint="eastAsia"/>
                      <w:color w:val="000000"/>
                      <w:sz w:val="18"/>
                      <w:szCs w:val="18"/>
                    </w:rPr>
                    <w:t>。</w:t>
                  </w:r>
                </w:p>
              </w:tc>
            </w:tr>
            <w:tr w14:paraId="070EF98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201667FC">
                  <w:pPr>
                    <w:overflowPunct w:val="0"/>
                    <w:autoSpaceDE w:val="0"/>
                    <w:autoSpaceDN w:val="0"/>
                    <w:adjustRightInd w:val="0"/>
                    <w:snapToGrid w:val="0"/>
                    <w:jc w:val="center"/>
                    <w:rPr>
                      <w:color w:val="000000"/>
                      <w:sz w:val="18"/>
                      <w:szCs w:val="18"/>
                    </w:rPr>
                  </w:pPr>
                  <w:r>
                    <w:rPr>
                      <w:color w:val="000000"/>
                      <w:sz w:val="18"/>
                      <w:szCs w:val="18"/>
                    </w:rPr>
                    <w:t>3</w:t>
                  </w:r>
                </w:p>
              </w:tc>
              <w:tc>
                <w:tcPr>
                  <w:tcW w:w="403" w:type="pct"/>
                  <w:noWrap w:val="0"/>
                  <w:vAlign w:val="center"/>
                </w:tcPr>
                <w:p w14:paraId="656939B4">
                  <w:pPr>
                    <w:overflowPunct w:val="0"/>
                    <w:autoSpaceDE w:val="0"/>
                    <w:autoSpaceDN w:val="0"/>
                    <w:adjustRightInd w:val="0"/>
                    <w:snapToGrid w:val="0"/>
                    <w:jc w:val="center"/>
                    <w:rPr>
                      <w:color w:val="000000"/>
                      <w:sz w:val="18"/>
                      <w:szCs w:val="18"/>
                    </w:rPr>
                  </w:pPr>
                  <w:r>
                    <w:rPr>
                      <w:color w:val="000000"/>
                      <w:sz w:val="18"/>
                      <w:szCs w:val="18"/>
                    </w:rPr>
                    <w:t>高岭土</w:t>
                  </w:r>
                </w:p>
              </w:tc>
              <w:tc>
                <w:tcPr>
                  <w:tcW w:w="574" w:type="pct"/>
                  <w:noWrap w:val="0"/>
                  <w:vAlign w:val="center"/>
                </w:tcPr>
                <w:p w14:paraId="7105A07D">
                  <w:pPr>
                    <w:overflowPunct w:val="0"/>
                    <w:autoSpaceDE w:val="0"/>
                    <w:autoSpaceDN w:val="0"/>
                    <w:adjustRightInd w:val="0"/>
                    <w:snapToGrid w:val="0"/>
                    <w:jc w:val="center"/>
                    <w:rPr>
                      <w:rFonts w:hint="default" w:eastAsia="宋体"/>
                      <w:color w:val="000000"/>
                      <w:sz w:val="18"/>
                      <w:szCs w:val="18"/>
                      <w:vertAlign w:val="baseline"/>
                      <w:lang w:val="en-US" w:eastAsia="zh-CN"/>
                    </w:rPr>
                  </w:pPr>
                  <w:r>
                    <w:rPr>
                      <w:rFonts w:hint="eastAsia"/>
                      <w:color w:val="000000"/>
                      <w:sz w:val="18"/>
                      <w:szCs w:val="18"/>
                      <w:lang w:val="en-US" w:eastAsia="zh-CN"/>
                    </w:rPr>
                    <w:t>SiO</w:t>
                  </w:r>
                  <w:r>
                    <w:rPr>
                      <w:rFonts w:hint="eastAsia"/>
                      <w:color w:val="000000"/>
                      <w:sz w:val="18"/>
                      <w:szCs w:val="18"/>
                      <w:vertAlign w:val="subscript"/>
                      <w:lang w:val="en-US" w:eastAsia="zh-CN"/>
                    </w:rPr>
                    <w:t>2</w:t>
                  </w:r>
                  <w:r>
                    <w:rPr>
                      <w:rFonts w:hint="eastAsia"/>
                      <w:color w:val="000000"/>
                      <w:sz w:val="18"/>
                      <w:szCs w:val="18"/>
                      <w:vertAlign w:val="baseline"/>
                      <w:lang w:val="en-US" w:eastAsia="zh-CN"/>
                    </w:rPr>
                    <w:t>、Al</w:t>
                  </w:r>
                  <w:r>
                    <w:rPr>
                      <w:rFonts w:hint="eastAsia"/>
                      <w:color w:val="000000"/>
                      <w:sz w:val="18"/>
                      <w:szCs w:val="18"/>
                      <w:vertAlign w:val="subscript"/>
                      <w:lang w:val="en-US" w:eastAsia="zh-CN"/>
                    </w:rPr>
                    <w:t>2</w:t>
                  </w:r>
                  <w:r>
                    <w:rPr>
                      <w:rFonts w:hint="eastAsia"/>
                      <w:color w:val="000000"/>
                      <w:sz w:val="18"/>
                      <w:szCs w:val="18"/>
                      <w:vertAlign w:val="baseline"/>
                      <w:lang w:val="en-US" w:eastAsia="zh-CN"/>
                    </w:rPr>
                    <w:t>O</w:t>
                  </w:r>
                  <w:r>
                    <w:rPr>
                      <w:rFonts w:hint="eastAsia"/>
                      <w:color w:val="000000"/>
                      <w:sz w:val="18"/>
                      <w:szCs w:val="18"/>
                      <w:vertAlign w:val="subscript"/>
                      <w:lang w:val="en-US" w:eastAsia="zh-CN"/>
                    </w:rPr>
                    <w:t>3</w:t>
                  </w:r>
                  <w:r>
                    <w:rPr>
                      <w:rFonts w:hint="eastAsia"/>
                      <w:color w:val="000000"/>
                      <w:sz w:val="18"/>
                      <w:szCs w:val="18"/>
                      <w:vertAlign w:val="baseline"/>
                      <w:lang w:val="en-US" w:eastAsia="zh-CN"/>
                    </w:rPr>
                    <w:t>、Fe</w:t>
                  </w:r>
                  <w:r>
                    <w:rPr>
                      <w:rFonts w:hint="eastAsia"/>
                      <w:color w:val="000000"/>
                      <w:sz w:val="18"/>
                      <w:szCs w:val="18"/>
                      <w:vertAlign w:val="subscript"/>
                      <w:lang w:val="en-US" w:eastAsia="zh-CN"/>
                    </w:rPr>
                    <w:t>2</w:t>
                  </w:r>
                  <w:r>
                    <w:rPr>
                      <w:rFonts w:hint="eastAsia"/>
                      <w:color w:val="000000"/>
                      <w:sz w:val="18"/>
                      <w:szCs w:val="18"/>
                      <w:vertAlign w:val="baseline"/>
                      <w:lang w:val="en-US" w:eastAsia="zh-CN"/>
                    </w:rPr>
                    <w:t>O</w:t>
                  </w:r>
                  <w:r>
                    <w:rPr>
                      <w:rFonts w:hint="eastAsia"/>
                      <w:color w:val="000000"/>
                      <w:sz w:val="18"/>
                      <w:szCs w:val="18"/>
                      <w:vertAlign w:val="subscript"/>
                      <w:lang w:val="en-US" w:eastAsia="zh-CN"/>
                    </w:rPr>
                    <w:t>3</w:t>
                  </w:r>
                </w:p>
              </w:tc>
              <w:tc>
                <w:tcPr>
                  <w:tcW w:w="759" w:type="pct"/>
                  <w:noWrap w:val="0"/>
                  <w:vAlign w:val="center"/>
                </w:tcPr>
                <w:p w14:paraId="6ABBFC18">
                  <w:pPr>
                    <w:overflowPunct w:val="0"/>
                    <w:autoSpaceDE w:val="0"/>
                    <w:autoSpaceDN w:val="0"/>
                    <w:adjustRightInd w:val="0"/>
                    <w:snapToGrid w:val="0"/>
                    <w:jc w:val="center"/>
                    <w:rPr>
                      <w:color w:val="000000"/>
                      <w:sz w:val="18"/>
                      <w:szCs w:val="18"/>
                    </w:rPr>
                  </w:pPr>
                  <w:r>
                    <w:rPr>
                      <w:color w:val="000000"/>
                      <w:sz w:val="18"/>
                      <w:szCs w:val="18"/>
                    </w:rPr>
                    <w:t>‌Al</w:t>
                  </w:r>
                  <w:r>
                    <w:rPr>
                      <w:rFonts w:hint="eastAsia"/>
                      <w:color w:val="000000"/>
                      <w:sz w:val="18"/>
                      <w:szCs w:val="18"/>
                      <w:vertAlign w:val="subscript"/>
                    </w:rPr>
                    <w:t>2</w:t>
                  </w:r>
                  <w:r>
                    <w:rPr>
                      <w:color w:val="000000"/>
                      <w:sz w:val="18"/>
                      <w:szCs w:val="18"/>
                    </w:rPr>
                    <w:t>Si</w:t>
                  </w:r>
                  <w:r>
                    <w:rPr>
                      <w:rFonts w:hint="eastAsia"/>
                      <w:color w:val="000000"/>
                      <w:sz w:val="18"/>
                      <w:szCs w:val="18"/>
                      <w:vertAlign w:val="subscript"/>
                    </w:rPr>
                    <w:t>2</w:t>
                  </w:r>
                  <w:r>
                    <w:rPr>
                      <w:color w:val="000000"/>
                      <w:sz w:val="18"/>
                      <w:szCs w:val="18"/>
                    </w:rPr>
                    <w:t>O</w:t>
                  </w:r>
                  <w:r>
                    <w:rPr>
                      <w:rFonts w:hint="eastAsia"/>
                      <w:color w:val="000000"/>
                      <w:sz w:val="18"/>
                      <w:szCs w:val="18"/>
                      <w:vertAlign w:val="subscript"/>
                    </w:rPr>
                    <w:t>5</w:t>
                  </w:r>
                  <w:r>
                    <w:rPr>
                      <w:color w:val="000000"/>
                      <w:sz w:val="18"/>
                      <w:szCs w:val="18"/>
                    </w:rPr>
                    <w:t>(OH)</w:t>
                  </w:r>
                  <w:r>
                    <w:rPr>
                      <w:rFonts w:hint="eastAsia"/>
                      <w:color w:val="000000"/>
                      <w:sz w:val="18"/>
                      <w:szCs w:val="18"/>
                      <w:vertAlign w:val="subscript"/>
                    </w:rPr>
                    <w:t>4</w:t>
                  </w:r>
                </w:p>
              </w:tc>
              <w:tc>
                <w:tcPr>
                  <w:tcW w:w="3045" w:type="pct"/>
                  <w:noWrap w:val="0"/>
                  <w:vAlign w:val="center"/>
                </w:tcPr>
                <w:p w14:paraId="36960779">
                  <w:pPr>
                    <w:overflowPunct w:val="0"/>
                    <w:autoSpaceDE w:val="0"/>
                    <w:autoSpaceDN w:val="0"/>
                    <w:adjustRightInd w:val="0"/>
                    <w:snapToGrid w:val="0"/>
                    <w:jc w:val="center"/>
                    <w:rPr>
                      <w:color w:val="000000"/>
                      <w:sz w:val="18"/>
                      <w:szCs w:val="18"/>
                    </w:rPr>
                  </w:pPr>
                  <w:r>
                    <w:rPr>
                      <w:color w:val="000000"/>
                      <w:sz w:val="18"/>
                      <w:szCs w:val="18"/>
                    </w:rPr>
                    <w:t>常温物理性状：白色 / 灰白色粉末，无臭；熔点：1780℃左右；分解温度：1780℃（熔融分解）；毒性数据：无毒；溶解情况：不溶于水、乙醇，难溶于强酸，具吸附性</w:t>
                  </w:r>
                  <w:r>
                    <w:rPr>
                      <w:rFonts w:hint="eastAsia"/>
                      <w:color w:val="000000"/>
                      <w:sz w:val="18"/>
                      <w:szCs w:val="18"/>
                    </w:rPr>
                    <w:t>。</w:t>
                  </w:r>
                </w:p>
              </w:tc>
            </w:tr>
            <w:tr w14:paraId="7D3F0C8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28EF7A6C">
                  <w:pPr>
                    <w:overflowPunct w:val="0"/>
                    <w:autoSpaceDE w:val="0"/>
                    <w:autoSpaceDN w:val="0"/>
                    <w:adjustRightInd w:val="0"/>
                    <w:snapToGrid w:val="0"/>
                    <w:jc w:val="center"/>
                    <w:rPr>
                      <w:color w:val="000000"/>
                      <w:sz w:val="18"/>
                      <w:szCs w:val="18"/>
                    </w:rPr>
                  </w:pPr>
                  <w:r>
                    <w:rPr>
                      <w:color w:val="000000"/>
                      <w:sz w:val="18"/>
                      <w:szCs w:val="18"/>
                    </w:rPr>
                    <w:t>4</w:t>
                  </w:r>
                </w:p>
              </w:tc>
              <w:tc>
                <w:tcPr>
                  <w:tcW w:w="403" w:type="pct"/>
                  <w:noWrap w:val="0"/>
                  <w:vAlign w:val="center"/>
                </w:tcPr>
                <w:p w14:paraId="67794130">
                  <w:pPr>
                    <w:overflowPunct w:val="0"/>
                    <w:autoSpaceDE w:val="0"/>
                    <w:autoSpaceDN w:val="0"/>
                    <w:adjustRightInd w:val="0"/>
                    <w:snapToGrid w:val="0"/>
                    <w:jc w:val="center"/>
                    <w:rPr>
                      <w:color w:val="000000"/>
                      <w:sz w:val="18"/>
                      <w:szCs w:val="18"/>
                    </w:rPr>
                  </w:pPr>
                  <w:r>
                    <w:rPr>
                      <w:color w:val="000000"/>
                      <w:sz w:val="18"/>
                      <w:szCs w:val="18"/>
                    </w:rPr>
                    <w:t>ESO环氧大豆油</w:t>
                  </w:r>
                </w:p>
              </w:tc>
              <w:tc>
                <w:tcPr>
                  <w:tcW w:w="574" w:type="pct"/>
                  <w:noWrap w:val="0"/>
                  <w:vAlign w:val="center"/>
                </w:tcPr>
                <w:p w14:paraId="0138B339">
                  <w:pPr>
                    <w:overflowPunct w:val="0"/>
                    <w:autoSpaceDE w:val="0"/>
                    <w:autoSpaceDN w:val="0"/>
                    <w:adjustRightInd w:val="0"/>
                    <w:snapToGrid w:val="0"/>
                    <w:jc w:val="center"/>
                    <w:rPr>
                      <w:color w:val="000000"/>
                      <w:sz w:val="18"/>
                      <w:szCs w:val="18"/>
                    </w:rPr>
                  </w:pPr>
                  <w:r>
                    <w:rPr>
                      <w:color w:val="000000"/>
                      <w:sz w:val="18"/>
                      <w:szCs w:val="18"/>
                    </w:rPr>
                    <w:t>含有环氧基团，作为增塑剂</w:t>
                  </w:r>
                </w:p>
              </w:tc>
              <w:tc>
                <w:tcPr>
                  <w:tcW w:w="759" w:type="pct"/>
                  <w:noWrap w:val="0"/>
                  <w:vAlign w:val="center"/>
                </w:tcPr>
                <w:p w14:paraId="5032EBFA">
                  <w:pPr>
                    <w:overflowPunct w:val="0"/>
                    <w:autoSpaceDE w:val="0"/>
                    <w:autoSpaceDN w:val="0"/>
                    <w:adjustRightInd w:val="0"/>
                    <w:snapToGrid w:val="0"/>
                    <w:jc w:val="center"/>
                    <w:rPr>
                      <w:color w:val="000000"/>
                      <w:sz w:val="18"/>
                      <w:szCs w:val="18"/>
                    </w:rPr>
                  </w:pPr>
                  <w:r>
                    <w:rPr>
                      <w:color w:val="000000"/>
                      <w:sz w:val="18"/>
                      <w:szCs w:val="18"/>
                    </w:rPr>
                    <w:t>C</w:t>
                  </w:r>
                  <w:r>
                    <w:rPr>
                      <w:rFonts w:hint="eastAsia"/>
                      <w:color w:val="000000"/>
                      <w:sz w:val="18"/>
                      <w:szCs w:val="18"/>
                      <w:vertAlign w:val="subscript"/>
                    </w:rPr>
                    <w:t>57</w:t>
                  </w:r>
                  <w:r>
                    <w:rPr>
                      <w:color w:val="000000"/>
                      <w:sz w:val="18"/>
                      <w:szCs w:val="18"/>
                    </w:rPr>
                    <w:t>H</w:t>
                  </w:r>
                  <w:r>
                    <w:rPr>
                      <w:rFonts w:hint="eastAsia"/>
                      <w:color w:val="000000"/>
                      <w:sz w:val="18"/>
                      <w:szCs w:val="18"/>
                      <w:vertAlign w:val="subscript"/>
                    </w:rPr>
                    <w:t>106</w:t>
                  </w:r>
                  <w:r>
                    <w:rPr>
                      <w:color w:val="000000"/>
                      <w:sz w:val="18"/>
                      <w:szCs w:val="18"/>
                    </w:rPr>
                    <w:t>O</w:t>
                  </w:r>
                  <w:r>
                    <w:rPr>
                      <w:rFonts w:hint="eastAsia"/>
                      <w:color w:val="000000"/>
                      <w:sz w:val="18"/>
                      <w:szCs w:val="18"/>
                      <w:vertAlign w:val="subscript"/>
                    </w:rPr>
                    <w:t>10</w:t>
                  </w:r>
                </w:p>
              </w:tc>
              <w:tc>
                <w:tcPr>
                  <w:tcW w:w="3045" w:type="pct"/>
                  <w:noWrap w:val="0"/>
                  <w:vAlign w:val="center"/>
                </w:tcPr>
                <w:p w14:paraId="1401DEC0">
                  <w:pPr>
                    <w:overflowPunct w:val="0"/>
                    <w:autoSpaceDE w:val="0"/>
                    <w:autoSpaceDN w:val="0"/>
                    <w:adjustRightInd w:val="0"/>
                    <w:snapToGrid w:val="0"/>
                    <w:jc w:val="center"/>
                    <w:rPr>
                      <w:color w:val="000000"/>
                      <w:sz w:val="18"/>
                      <w:szCs w:val="18"/>
                    </w:rPr>
                  </w:pPr>
                  <w:r>
                    <w:rPr>
                      <w:color w:val="000000"/>
                      <w:sz w:val="18"/>
                      <w:szCs w:val="18"/>
                    </w:rPr>
                    <w:t>常温物理性状：淡黄色透明油状液体；熔点：-10~-5℃；沸点：220℃（0.67kPa）；闪点：280℃以上；分解温度：300℃左右；毒性数据：无毒；溶解情况：溶于苯、甲苯、酯类等有机溶剂，不溶于水</w:t>
                  </w:r>
                  <w:r>
                    <w:rPr>
                      <w:rFonts w:hint="eastAsia"/>
                      <w:color w:val="000000"/>
                      <w:sz w:val="18"/>
                      <w:szCs w:val="18"/>
                    </w:rPr>
                    <w:t>。</w:t>
                  </w:r>
                </w:p>
              </w:tc>
            </w:tr>
            <w:tr w14:paraId="654EE79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218" w:type="pct"/>
                  <w:noWrap w:val="0"/>
                  <w:vAlign w:val="center"/>
                </w:tcPr>
                <w:p w14:paraId="21593863">
                  <w:pPr>
                    <w:overflowPunct w:val="0"/>
                    <w:autoSpaceDE w:val="0"/>
                    <w:autoSpaceDN w:val="0"/>
                    <w:adjustRightInd w:val="0"/>
                    <w:snapToGrid w:val="0"/>
                    <w:jc w:val="center"/>
                    <w:rPr>
                      <w:color w:val="000000"/>
                      <w:sz w:val="18"/>
                      <w:szCs w:val="18"/>
                    </w:rPr>
                  </w:pPr>
                  <w:r>
                    <w:rPr>
                      <w:color w:val="000000"/>
                      <w:sz w:val="18"/>
                      <w:szCs w:val="18"/>
                    </w:rPr>
                    <w:t>5</w:t>
                  </w:r>
                </w:p>
              </w:tc>
              <w:tc>
                <w:tcPr>
                  <w:tcW w:w="403" w:type="pct"/>
                  <w:noWrap w:val="0"/>
                  <w:vAlign w:val="center"/>
                </w:tcPr>
                <w:p w14:paraId="355A4D0D">
                  <w:pPr>
                    <w:overflowPunct w:val="0"/>
                    <w:autoSpaceDE w:val="0"/>
                    <w:autoSpaceDN w:val="0"/>
                    <w:adjustRightInd w:val="0"/>
                    <w:snapToGrid w:val="0"/>
                    <w:jc w:val="center"/>
                    <w:rPr>
                      <w:color w:val="000000"/>
                      <w:sz w:val="18"/>
                      <w:szCs w:val="18"/>
                    </w:rPr>
                  </w:pPr>
                  <w:r>
                    <w:rPr>
                      <w:color w:val="000000"/>
                      <w:sz w:val="18"/>
                      <w:szCs w:val="18"/>
                    </w:rPr>
                    <w:t>氯化石蜡52</w:t>
                  </w:r>
                </w:p>
              </w:tc>
              <w:tc>
                <w:tcPr>
                  <w:tcW w:w="574" w:type="pct"/>
                  <w:noWrap w:val="0"/>
                  <w:vAlign w:val="center"/>
                </w:tcPr>
                <w:p w14:paraId="11FECAAB">
                  <w:pPr>
                    <w:overflowPunct w:val="0"/>
                    <w:autoSpaceDE w:val="0"/>
                    <w:autoSpaceDN w:val="0"/>
                    <w:adjustRightInd w:val="0"/>
                    <w:snapToGrid w:val="0"/>
                    <w:jc w:val="center"/>
                    <w:rPr>
                      <w:color w:val="000000"/>
                      <w:sz w:val="18"/>
                      <w:szCs w:val="18"/>
                    </w:rPr>
                  </w:pPr>
                  <w:r>
                    <w:rPr>
                      <w:color w:val="000000"/>
                      <w:sz w:val="18"/>
                      <w:szCs w:val="18"/>
                    </w:rPr>
                    <w:t>氯化石蜡，含氯量为52%±2%</w:t>
                  </w:r>
                </w:p>
              </w:tc>
              <w:tc>
                <w:tcPr>
                  <w:tcW w:w="759" w:type="pct"/>
                  <w:noWrap w:val="0"/>
                  <w:vAlign w:val="center"/>
                </w:tcPr>
                <w:p w14:paraId="352FBBB9">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15</w:t>
                  </w:r>
                  <w:r>
                    <w:rPr>
                      <w:rFonts w:hint="eastAsia"/>
                      <w:color w:val="000000"/>
                      <w:sz w:val="18"/>
                      <w:szCs w:val="18"/>
                    </w:rPr>
                    <w:t>H</w:t>
                  </w:r>
                  <w:r>
                    <w:rPr>
                      <w:rFonts w:hint="eastAsia"/>
                      <w:color w:val="000000"/>
                      <w:sz w:val="18"/>
                      <w:szCs w:val="18"/>
                      <w:vertAlign w:val="subscript"/>
                    </w:rPr>
                    <w:t>26</w:t>
                  </w:r>
                  <w:r>
                    <w:rPr>
                      <w:rFonts w:hint="eastAsia"/>
                      <w:color w:val="000000"/>
                      <w:sz w:val="18"/>
                      <w:szCs w:val="18"/>
                    </w:rPr>
                    <w:t>C</w:t>
                  </w:r>
                  <w:r>
                    <w:rPr>
                      <w:rFonts w:hint="eastAsia"/>
                      <w:color w:val="000000"/>
                      <w:sz w:val="18"/>
                      <w:szCs w:val="18"/>
                      <w:vertAlign w:val="subscript"/>
                    </w:rPr>
                    <w:t>l6</w:t>
                  </w:r>
                </w:p>
              </w:tc>
              <w:tc>
                <w:tcPr>
                  <w:tcW w:w="3045" w:type="pct"/>
                  <w:noWrap w:val="0"/>
                  <w:vAlign w:val="center"/>
                </w:tcPr>
                <w:p w14:paraId="6DFC958C">
                  <w:pPr>
                    <w:overflowPunct w:val="0"/>
                    <w:autoSpaceDE w:val="0"/>
                    <w:autoSpaceDN w:val="0"/>
                    <w:adjustRightInd w:val="0"/>
                    <w:snapToGrid w:val="0"/>
                    <w:jc w:val="center"/>
                    <w:rPr>
                      <w:color w:val="000000"/>
                      <w:sz w:val="18"/>
                      <w:szCs w:val="18"/>
                    </w:rPr>
                  </w:pPr>
                  <w:r>
                    <w:rPr>
                      <w:color w:val="000000"/>
                      <w:sz w:val="18"/>
                      <w:szCs w:val="18"/>
                    </w:rPr>
                    <w:t>常温物理性状：淡黄色粘稠液体；熔点：-30℃左右；沸点：230℃（0.67kPa）；闪点：200℃±5℃；分解温度：250℃（释放 HCl）；毒性数据：低毒，LD₅₀（大鼠经口）&gt;5000mg/kg；溶解情况：溶于氯代烃、芳烃，不溶于水、乙醇</w:t>
                  </w:r>
                  <w:r>
                    <w:rPr>
                      <w:rFonts w:hint="eastAsia"/>
                      <w:color w:val="000000"/>
                      <w:sz w:val="18"/>
                      <w:szCs w:val="18"/>
                    </w:rPr>
                    <w:t>。轻微氯系刺激性气味。</w:t>
                  </w:r>
                </w:p>
              </w:tc>
            </w:tr>
            <w:tr w14:paraId="4BA8A39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75380CAD">
                  <w:pPr>
                    <w:overflowPunct w:val="0"/>
                    <w:autoSpaceDE w:val="0"/>
                    <w:autoSpaceDN w:val="0"/>
                    <w:adjustRightInd w:val="0"/>
                    <w:snapToGrid w:val="0"/>
                    <w:jc w:val="center"/>
                    <w:rPr>
                      <w:color w:val="000000"/>
                      <w:sz w:val="18"/>
                      <w:szCs w:val="18"/>
                    </w:rPr>
                  </w:pPr>
                  <w:r>
                    <w:rPr>
                      <w:color w:val="000000"/>
                      <w:sz w:val="18"/>
                      <w:szCs w:val="18"/>
                    </w:rPr>
                    <w:t>6</w:t>
                  </w:r>
                </w:p>
              </w:tc>
              <w:tc>
                <w:tcPr>
                  <w:tcW w:w="403" w:type="pct"/>
                  <w:noWrap w:val="0"/>
                  <w:vAlign w:val="center"/>
                </w:tcPr>
                <w:p w14:paraId="67782436">
                  <w:pPr>
                    <w:overflowPunct w:val="0"/>
                    <w:autoSpaceDE w:val="0"/>
                    <w:autoSpaceDN w:val="0"/>
                    <w:adjustRightInd w:val="0"/>
                    <w:snapToGrid w:val="0"/>
                    <w:jc w:val="center"/>
                    <w:rPr>
                      <w:color w:val="000000"/>
                      <w:sz w:val="18"/>
                      <w:szCs w:val="18"/>
                    </w:rPr>
                  </w:pPr>
                  <w:r>
                    <w:rPr>
                      <w:color w:val="000000"/>
                      <w:sz w:val="18"/>
                      <w:szCs w:val="18"/>
                    </w:rPr>
                    <w:t>TOTM</w:t>
                  </w:r>
                </w:p>
              </w:tc>
              <w:tc>
                <w:tcPr>
                  <w:tcW w:w="574" w:type="pct"/>
                  <w:noWrap w:val="0"/>
                  <w:vAlign w:val="center"/>
                </w:tcPr>
                <w:p w14:paraId="42E88F3C">
                  <w:pPr>
                    <w:overflowPunct w:val="0"/>
                    <w:autoSpaceDE w:val="0"/>
                    <w:autoSpaceDN w:val="0"/>
                    <w:adjustRightInd w:val="0"/>
                    <w:snapToGrid w:val="0"/>
                    <w:jc w:val="center"/>
                    <w:rPr>
                      <w:color w:val="000000"/>
                      <w:sz w:val="18"/>
                      <w:szCs w:val="18"/>
                    </w:rPr>
                  </w:pPr>
                  <w:r>
                    <w:rPr>
                      <w:color w:val="000000"/>
                      <w:sz w:val="18"/>
                      <w:szCs w:val="18"/>
                    </w:rPr>
                    <w:t>偏苯三甲酸三辛酯</w:t>
                  </w:r>
                </w:p>
              </w:tc>
              <w:tc>
                <w:tcPr>
                  <w:tcW w:w="759" w:type="pct"/>
                  <w:noWrap w:val="0"/>
                  <w:vAlign w:val="center"/>
                </w:tcPr>
                <w:p w14:paraId="64DCD1F4">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33</w:t>
                  </w:r>
                  <w:r>
                    <w:rPr>
                      <w:rFonts w:hint="eastAsia"/>
                      <w:color w:val="000000"/>
                      <w:sz w:val="18"/>
                      <w:szCs w:val="18"/>
                    </w:rPr>
                    <w:t>H</w:t>
                  </w:r>
                  <w:r>
                    <w:rPr>
                      <w:rFonts w:hint="eastAsia"/>
                      <w:color w:val="000000"/>
                      <w:sz w:val="18"/>
                      <w:szCs w:val="18"/>
                      <w:vertAlign w:val="subscript"/>
                    </w:rPr>
                    <w:t>54</w:t>
                  </w:r>
                  <w:r>
                    <w:rPr>
                      <w:rFonts w:hint="eastAsia"/>
                      <w:color w:val="000000"/>
                      <w:sz w:val="18"/>
                      <w:szCs w:val="18"/>
                    </w:rPr>
                    <w:t>O</w:t>
                  </w:r>
                  <w:r>
                    <w:rPr>
                      <w:rFonts w:hint="eastAsia"/>
                      <w:color w:val="000000"/>
                      <w:sz w:val="18"/>
                      <w:szCs w:val="18"/>
                      <w:vertAlign w:val="subscript"/>
                    </w:rPr>
                    <w:t>6</w:t>
                  </w:r>
                </w:p>
              </w:tc>
              <w:tc>
                <w:tcPr>
                  <w:tcW w:w="3045" w:type="pct"/>
                  <w:noWrap w:val="0"/>
                  <w:vAlign w:val="center"/>
                </w:tcPr>
                <w:p w14:paraId="72F9ACD2">
                  <w:pPr>
                    <w:overflowPunct w:val="0"/>
                    <w:autoSpaceDE w:val="0"/>
                    <w:autoSpaceDN w:val="0"/>
                    <w:adjustRightInd w:val="0"/>
                    <w:snapToGrid w:val="0"/>
                    <w:jc w:val="center"/>
                    <w:rPr>
                      <w:color w:val="000000"/>
                      <w:sz w:val="18"/>
                      <w:szCs w:val="18"/>
                    </w:rPr>
                  </w:pPr>
                  <w:r>
                    <w:rPr>
                      <w:color w:val="000000"/>
                      <w:sz w:val="18"/>
                      <w:szCs w:val="18"/>
                    </w:rPr>
                    <w:t>常温物理性状：无色透明油状液体；熔点：-46℃；沸点：430℃（常压分解）；闪点：270℃；分解温度：300℃以上；毒性数据：低毒，LD₅₀（大鼠经口）&gt;10000mg/kg；溶解情况：溶于有机溶剂，微溶于水（溶解度 &lt; 0.1g/100mL）</w:t>
                  </w:r>
                  <w:r>
                    <w:rPr>
                      <w:rFonts w:hint="eastAsia"/>
                      <w:color w:val="000000"/>
                      <w:sz w:val="18"/>
                      <w:szCs w:val="18"/>
                    </w:rPr>
                    <w:t>。</w:t>
                  </w:r>
                </w:p>
              </w:tc>
            </w:tr>
            <w:tr w14:paraId="520188D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686DCBAD">
                  <w:pPr>
                    <w:overflowPunct w:val="0"/>
                    <w:autoSpaceDE w:val="0"/>
                    <w:autoSpaceDN w:val="0"/>
                    <w:adjustRightInd w:val="0"/>
                    <w:snapToGrid w:val="0"/>
                    <w:jc w:val="center"/>
                    <w:rPr>
                      <w:color w:val="000000"/>
                      <w:sz w:val="18"/>
                      <w:szCs w:val="18"/>
                    </w:rPr>
                  </w:pPr>
                  <w:r>
                    <w:rPr>
                      <w:color w:val="000000"/>
                      <w:sz w:val="18"/>
                      <w:szCs w:val="18"/>
                    </w:rPr>
                    <w:t>7</w:t>
                  </w:r>
                </w:p>
              </w:tc>
              <w:tc>
                <w:tcPr>
                  <w:tcW w:w="403" w:type="pct"/>
                  <w:noWrap w:val="0"/>
                  <w:vAlign w:val="center"/>
                </w:tcPr>
                <w:p w14:paraId="0A3685C0">
                  <w:pPr>
                    <w:overflowPunct w:val="0"/>
                    <w:autoSpaceDE w:val="0"/>
                    <w:autoSpaceDN w:val="0"/>
                    <w:adjustRightInd w:val="0"/>
                    <w:snapToGrid w:val="0"/>
                    <w:jc w:val="center"/>
                    <w:rPr>
                      <w:color w:val="000000"/>
                      <w:sz w:val="18"/>
                      <w:szCs w:val="18"/>
                    </w:rPr>
                  </w:pPr>
                  <w:r>
                    <w:rPr>
                      <w:color w:val="000000"/>
                      <w:sz w:val="18"/>
                      <w:szCs w:val="18"/>
                    </w:rPr>
                    <w:t>DOTP</w:t>
                  </w:r>
                </w:p>
              </w:tc>
              <w:tc>
                <w:tcPr>
                  <w:tcW w:w="574" w:type="pct"/>
                  <w:noWrap w:val="0"/>
                  <w:vAlign w:val="center"/>
                </w:tcPr>
                <w:p w14:paraId="4BEBE083">
                  <w:pPr>
                    <w:overflowPunct w:val="0"/>
                    <w:autoSpaceDE w:val="0"/>
                    <w:autoSpaceDN w:val="0"/>
                    <w:adjustRightInd w:val="0"/>
                    <w:snapToGrid w:val="0"/>
                    <w:jc w:val="center"/>
                    <w:rPr>
                      <w:color w:val="000000"/>
                      <w:sz w:val="18"/>
                      <w:szCs w:val="18"/>
                    </w:rPr>
                  </w:pPr>
                  <w:r>
                    <w:rPr>
                      <w:color w:val="000000"/>
                      <w:sz w:val="18"/>
                      <w:szCs w:val="18"/>
                    </w:rPr>
                    <w:t>对苯二甲酸二辛酯</w:t>
                  </w:r>
                </w:p>
              </w:tc>
              <w:tc>
                <w:tcPr>
                  <w:tcW w:w="759" w:type="pct"/>
                  <w:noWrap w:val="0"/>
                  <w:vAlign w:val="center"/>
                </w:tcPr>
                <w:p w14:paraId="441A5DD6">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24</w:t>
                  </w:r>
                  <w:r>
                    <w:rPr>
                      <w:rFonts w:hint="eastAsia"/>
                      <w:color w:val="000000"/>
                      <w:sz w:val="18"/>
                      <w:szCs w:val="18"/>
                    </w:rPr>
                    <w:t>H</w:t>
                  </w:r>
                  <w:r>
                    <w:rPr>
                      <w:rFonts w:hint="eastAsia"/>
                      <w:color w:val="000000"/>
                      <w:sz w:val="18"/>
                      <w:szCs w:val="18"/>
                      <w:vertAlign w:val="subscript"/>
                    </w:rPr>
                    <w:t>38</w:t>
                  </w:r>
                  <w:r>
                    <w:rPr>
                      <w:rFonts w:hint="eastAsia"/>
                      <w:color w:val="000000"/>
                      <w:sz w:val="18"/>
                      <w:szCs w:val="18"/>
                    </w:rPr>
                    <w:t>O</w:t>
                  </w:r>
                  <w:r>
                    <w:rPr>
                      <w:rFonts w:hint="eastAsia"/>
                      <w:color w:val="000000"/>
                      <w:sz w:val="18"/>
                      <w:szCs w:val="18"/>
                      <w:vertAlign w:val="subscript"/>
                    </w:rPr>
                    <w:t>4</w:t>
                  </w:r>
                </w:p>
              </w:tc>
              <w:tc>
                <w:tcPr>
                  <w:tcW w:w="3045" w:type="pct"/>
                  <w:noWrap w:val="0"/>
                  <w:vAlign w:val="center"/>
                </w:tcPr>
                <w:p w14:paraId="56495D0D">
                  <w:pPr>
                    <w:overflowPunct w:val="0"/>
                    <w:autoSpaceDE w:val="0"/>
                    <w:autoSpaceDN w:val="0"/>
                    <w:adjustRightInd w:val="0"/>
                    <w:snapToGrid w:val="0"/>
                    <w:jc w:val="center"/>
                    <w:rPr>
                      <w:color w:val="000000"/>
                      <w:sz w:val="18"/>
                      <w:szCs w:val="18"/>
                    </w:rPr>
                  </w:pPr>
                  <w:r>
                    <w:rPr>
                      <w:color w:val="000000"/>
                      <w:sz w:val="18"/>
                      <w:szCs w:val="18"/>
                    </w:rPr>
                    <w:t>常温物理性状：无色透明油状液体；熔点：-48℃；沸点：383℃；闪点：238℃；分解温度：350℃；毒性数据：</w:t>
                  </w:r>
                  <w:r>
                    <w:rPr>
                      <w:rFonts w:hint="eastAsia"/>
                      <w:color w:val="000000"/>
                      <w:sz w:val="18"/>
                      <w:szCs w:val="18"/>
                    </w:rPr>
                    <w:t>无毒</w:t>
                  </w:r>
                  <w:r>
                    <w:rPr>
                      <w:color w:val="000000"/>
                      <w:sz w:val="18"/>
                      <w:szCs w:val="18"/>
                    </w:rPr>
                    <w:t>；溶解情况：溶于芳烃、酯类，不溶于水</w:t>
                  </w:r>
                  <w:r>
                    <w:rPr>
                      <w:rFonts w:hint="eastAsia"/>
                      <w:color w:val="000000"/>
                      <w:sz w:val="18"/>
                      <w:szCs w:val="18"/>
                    </w:rPr>
                    <w:t>。</w:t>
                  </w:r>
                </w:p>
              </w:tc>
            </w:tr>
            <w:tr w14:paraId="3942372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3ADCF4B7">
                  <w:pPr>
                    <w:overflowPunct w:val="0"/>
                    <w:autoSpaceDE w:val="0"/>
                    <w:autoSpaceDN w:val="0"/>
                    <w:adjustRightInd w:val="0"/>
                    <w:snapToGrid w:val="0"/>
                    <w:jc w:val="center"/>
                    <w:rPr>
                      <w:color w:val="000000"/>
                      <w:sz w:val="18"/>
                      <w:szCs w:val="18"/>
                    </w:rPr>
                  </w:pPr>
                  <w:r>
                    <w:rPr>
                      <w:color w:val="000000"/>
                      <w:sz w:val="18"/>
                      <w:szCs w:val="18"/>
                    </w:rPr>
                    <w:t>8</w:t>
                  </w:r>
                </w:p>
              </w:tc>
              <w:tc>
                <w:tcPr>
                  <w:tcW w:w="403" w:type="pct"/>
                  <w:noWrap w:val="0"/>
                  <w:vAlign w:val="center"/>
                </w:tcPr>
                <w:p w14:paraId="706FE438">
                  <w:pPr>
                    <w:overflowPunct w:val="0"/>
                    <w:autoSpaceDE w:val="0"/>
                    <w:autoSpaceDN w:val="0"/>
                    <w:adjustRightInd w:val="0"/>
                    <w:snapToGrid w:val="0"/>
                    <w:jc w:val="center"/>
                    <w:rPr>
                      <w:color w:val="000000"/>
                      <w:sz w:val="18"/>
                      <w:szCs w:val="18"/>
                    </w:rPr>
                  </w:pPr>
                  <w:r>
                    <w:rPr>
                      <w:color w:val="000000"/>
                      <w:sz w:val="18"/>
                      <w:szCs w:val="18"/>
                    </w:rPr>
                    <w:t>DOA</w:t>
                  </w:r>
                </w:p>
              </w:tc>
              <w:tc>
                <w:tcPr>
                  <w:tcW w:w="574" w:type="pct"/>
                  <w:noWrap w:val="0"/>
                  <w:vAlign w:val="center"/>
                </w:tcPr>
                <w:p w14:paraId="3F80AB77">
                  <w:pPr>
                    <w:overflowPunct w:val="0"/>
                    <w:autoSpaceDE w:val="0"/>
                    <w:autoSpaceDN w:val="0"/>
                    <w:adjustRightInd w:val="0"/>
                    <w:snapToGrid w:val="0"/>
                    <w:jc w:val="center"/>
                    <w:rPr>
                      <w:color w:val="000000"/>
                      <w:sz w:val="18"/>
                      <w:szCs w:val="18"/>
                    </w:rPr>
                  </w:pPr>
                  <w:r>
                    <w:rPr>
                      <w:color w:val="000000"/>
                      <w:sz w:val="18"/>
                      <w:szCs w:val="18"/>
                    </w:rPr>
                    <w:t>己二酸二辛酯</w:t>
                  </w:r>
                </w:p>
              </w:tc>
              <w:tc>
                <w:tcPr>
                  <w:tcW w:w="759" w:type="pct"/>
                  <w:noWrap w:val="0"/>
                  <w:vAlign w:val="center"/>
                </w:tcPr>
                <w:p w14:paraId="0CCA5D1C">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22</w:t>
                  </w:r>
                  <w:r>
                    <w:rPr>
                      <w:rFonts w:hint="eastAsia"/>
                      <w:color w:val="000000"/>
                      <w:sz w:val="18"/>
                      <w:szCs w:val="18"/>
                    </w:rPr>
                    <w:t>H</w:t>
                  </w:r>
                  <w:r>
                    <w:rPr>
                      <w:rFonts w:hint="eastAsia"/>
                      <w:color w:val="000000"/>
                      <w:sz w:val="18"/>
                      <w:szCs w:val="18"/>
                      <w:vertAlign w:val="subscript"/>
                    </w:rPr>
                    <w:t>42</w:t>
                  </w:r>
                  <w:r>
                    <w:rPr>
                      <w:rFonts w:hint="eastAsia"/>
                      <w:color w:val="000000"/>
                      <w:sz w:val="18"/>
                      <w:szCs w:val="18"/>
                    </w:rPr>
                    <w:t>O</w:t>
                  </w:r>
                  <w:r>
                    <w:rPr>
                      <w:rFonts w:hint="eastAsia"/>
                      <w:color w:val="000000"/>
                      <w:sz w:val="18"/>
                      <w:szCs w:val="18"/>
                      <w:vertAlign w:val="subscript"/>
                    </w:rPr>
                    <w:t>4</w:t>
                  </w:r>
                </w:p>
              </w:tc>
              <w:tc>
                <w:tcPr>
                  <w:tcW w:w="3045" w:type="pct"/>
                  <w:noWrap w:val="0"/>
                  <w:vAlign w:val="center"/>
                </w:tcPr>
                <w:p w14:paraId="1AE83EC7">
                  <w:pPr>
                    <w:overflowPunct w:val="0"/>
                    <w:autoSpaceDE w:val="0"/>
                    <w:autoSpaceDN w:val="0"/>
                    <w:adjustRightInd w:val="0"/>
                    <w:snapToGrid w:val="0"/>
                    <w:jc w:val="center"/>
                    <w:rPr>
                      <w:color w:val="000000"/>
                      <w:sz w:val="18"/>
                      <w:szCs w:val="18"/>
                    </w:rPr>
                  </w:pPr>
                  <w:r>
                    <w:rPr>
                      <w:color w:val="000000"/>
                      <w:sz w:val="18"/>
                      <w:szCs w:val="18"/>
                    </w:rPr>
                    <w:t>常温物理性状：无色透明液体；熔点：-67℃；沸点：335℃；闪点：196℃；分解温度：250℃；毒性数据：</w:t>
                  </w:r>
                  <w:r>
                    <w:rPr>
                      <w:rFonts w:hint="eastAsia"/>
                      <w:color w:val="000000"/>
                      <w:sz w:val="18"/>
                      <w:szCs w:val="18"/>
                    </w:rPr>
                    <w:t>无毒</w:t>
                  </w:r>
                  <w:r>
                    <w:rPr>
                      <w:color w:val="000000"/>
                      <w:sz w:val="18"/>
                      <w:szCs w:val="18"/>
                    </w:rPr>
                    <w:t>；溶解情况：溶于多数有机溶剂，不溶于水</w:t>
                  </w:r>
                  <w:r>
                    <w:rPr>
                      <w:rFonts w:hint="eastAsia"/>
                      <w:color w:val="000000"/>
                      <w:sz w:val="18"/>
                      <w:szCs w:val="18"/>
                    </w:rPr>
                    <w:t>。</w:t>
                  </w:r>
                </w:p>
              </w:tc>
            </w:tr>
            <w:tr w14:paraId="7BEC950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779D41D8">
                  <w:pPr>
                    <w:overflowPunct w:val="0"/>
                    <w:autoSpaceDE w:val="0"/>
                    <w:autoSpaceDN w:val="0"/>
                    <w:adjustRightInd w:val="0"/>
                    <w:snapToGrid w:val="0"/>
                    <w:jc w:val="center"/>
                    <w:rPr>
                      <w:color w:val="000000"/>
                      <w:sz w:val="18"/>
                      <w:szCs w:val="18"/>
                    </w:rPr>
                  </w:pPr>
                  <w:r>
                    <w:rPr>
                      <w:color w:val="000000"/>
                      <w:sz w:val="18"/>
                      <w:szCs w:val="18"/>
                    </w:rPr>
                    <w:t>9</w:t>
                  </w:r>
                </w:p>
              </w:tc>
              <w:tc>
                <w:tcPr>
                  <w:tcW w:w="403" w:type="pct"/>
                  <w:noWrap w:val="0"/>
                  <w:vAlign w:val="center"/>
                </w:tcPr>
                <w:p w14:paraId="063497D5">
                  <w:pPr>
                    <w:overflowPunct w:val="0"/>
                    <w:autoSpaceDE w:val="0"/>
                    <w:autoSpaceDN w:val="0"/>
                    <w:adjustRightInd w:val="0"/>
                    <w:snapToGrid w:val="0"/>
                    <w:jc w:val="center"/>
                    <w:rPr>
                      <w:color w:val="000000"/>
                      <w:sz w:val="18"/>
                      <w:szCs w:val="18"/>
                    </w:rPr>
                  </w:pPr>
                  <w:r>
                    <w:rPr>
                      <w:color w:val="000000"/>
                      <w:sz w:val="18"/>
                      <w:szCs w:val="18"/>
                    </w:rPr>
                    <w:t>DOS</w:t>
                  </w:r>
                </w:p>
              </w:tc>
              <w:tc>
                <w:tcPr>
                  <w:tcW w:w="574" w:type="pct"/>
                  <w:noWrap w:val="0"/>
                  <w:vAlign w:val="center"/>
                </w:tcPr>
                <w:p w14:paraId="54E8AE21">
                  <w:pPr>
                    <w:overflowPunct w:val="0"/>
                    <w:autoSpaceDE w:val="0"/>
                    <w:autoSpaceDN w:val="0"/>
                    <w:adjustRightInd w:val="0"/>
                    <w:snapToGrid w:val="0"/>
                    <w:jc w:val="center"/>
                    <w:rPr>
                      <w:color w:val="000000"/>
                      <w:sz w:val="18"/>
                      <w:szCs w:val="18"/>
                    </w:rPr>
                  </w:pPr>
                  <w:r>
                    <w:rPr>
                      <w:color w:val="000000"/>
                      <w:sz w:val="18"/>
                      <w:szCs w:val="18"/>
                    </w:rPr>
                    <w:t>癸二酸二异辛酯</w:t>
                  </w:r>
                </w:p>
              </w:tc>
              <w:tc>
                <w:tcPr>
                  <w:tcW w:w="759" w:type="pct"/>
                  <w:noWrap w:val="0"/>
                  <w:vAlign w:val="center"/>
                </w:tcPr>
                <w:p w14:paraId="0026D85B">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26</w:t>
                  </w:r>
                  <w:r>
                    <w:rPr>
                      <w:rFonts w:hint="eastAsia"/>
                      <w:color w:val="000000"/>
                      <w:sz w:val="18"/>
                      <w:szCs w:val="18"/>
                    </w:rPr>
                    <w:t>H</w:t>
                  </w:r>
                  <w:r>
                    <w:rPr>
                      <w:rFonts w:hint="eastAsia"/>
                      <w:color w:val="000000"/>
                      <w:sz w:val="18"/>
                      <w:szCs w:val="18"/>
                      <w:vertAlign w:val="subscript"/>
                    </w:rPr>
                    <w:t>50</w:t>
                  </w:r>
                  <w:r>
                    <w:rPr>
                      <w:rFonts w:hint="eastAsia"/>
                      <w:color w:val="000000"/>
                      <w:sz w:val="18"/>
                      <w:szCs w:val="18"/>
                    </w:rPr>
                    <w:t>O</w:t>
                  </w:r>
                  <w:r>
                    <w:rPr>
                      <w:rFonts w:hint="eastAsia"/>
                      <w:color w:val="000000"/>
                      <w:sz w:val="18"/>
                      <w:szCs w:val="18"/>
                      <w:vertAlign w:val="subscript"/>
                    </w:rPr>
                    <w:t>4</w:t>
                  </w:r>
                </w:p>
              </w:tc>
              <w:tc>
                <w:tcPr>
                  <w:tcW w:w="3045" w:type="pct"/>
                  <w:noWrap w:val="0"/>
                  <w:vAlign w:val="center"/>
                </w:tcPr>
                <w:p w14:paraId="391F0D39">
                  <w:pPr>
                    <w:overflowPunct w:val="0"/>
                    <w:autoSpaceDE w:val="0"/>
                    <w:autoSpaceDN w:val="0"/>
                    <w:adjustRightInd w:val="0"/>
                    <w:snapToGrid w:val="0"/>
                    <w:jc w:val="center"/>
                    <w:rPr>
                      <w:color w:val="000000"/>
                      <w:sz w:val="18"/>
                      <w:szCs w:val="18"/>
                    </w:rPr>
                  </w:pPr>
                  <w:r>
                    <w:rPr>
                      <w:color w:val="000000"/>
                      <w:sz w:val="18"/>
                      <w:szCs w:val="18"/>
                    </w:rPr>
                    <w:t>常温物理性状：淡黄色透明液体；熔点：-55℃；沸点：377℃；闪点：215℃；分解温度：280℃；毒性数据：</w:t>
                  </w:r>
                  <w:r>
                    <w:rPr>
                      <w:rFonts w:hint="eastAsia"/>
                      <w:color w:val="000000"/>
                      <w:sz w:val="18"/>
                      <w:szCs w:val="18"/>
                    </w:rPr>
                    <w:t>无毒</w:t>
                  </w:r>
                  <w:r>
                    <w:rPr>
                      <w:color w:val="000000"/>
                      <w:sz w:val="18"/>
                      <w:szCs w:val="18"/>
                    </w:rPr>
                    <w:t>；溶解情况：溶于有机溶剂，不溶于水</w:t>
                  </w:r>
                  <w:r>
                    <w:rPr>
                      <w:rFonts w:hint="eastAsia"/>
                      <w:color w:val="000000"/>
                      <w:sz w:val="18"/>
                      <w:szCs w:val="18"/>
                    </w:rPr>
                    <w:t>。</w:t>
                  </w:r>
                </w:p>
              </w:tc>
            </w:tr>
            <w:tr w14:paraId="4704D14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5712B3AA">
                  <w:pPr>
                    <w:overflowPunct w:val="0"/>
                    <w:autoSpaceDE w:val="0"/>
                    <w:autoSpaceDN w:val="0"/>
                    <w:adjustRightInd w:val="0"/>
                    <w:snapToGrid w:val="0"/>
                    <w:jc w:val="center"/>
                    <w:rPr>
                      <w:color w:val="000000"/>
                      <w:sz w:val="18"/>
                      <w:szCs w:val="18"/>
                    </w:rPr>
                  </w:pPr>
                  <w:r>
                    <w:rPr>
                      <w:color w:val="000000"/>
                      <w:sz w:val="18"/>
                      <w:szCs w:val="18"/>
                    </w:rPr>
                    <w:t>10</w:t>
                  </w:r>
                </w:p>
              </w:tc>
              <w:tc>
                <w:tcPr>
                  <w:tcW w:w="403" w:type="pct"/>
                  <w:noWrap/>
                  <w:vAlign w:val="center"/>
                </w:tcPr>
                <w:p w14:paraId="3B36D079">
                  <w:pPr>
                    <w:overflowPunct w:val="0"/>
                    <w:autoSpaceDE w:val="0"/>
                    <w:autoSpaceDN w:val="0"/>
                    <w:adjustRightInd w:val="0"/>
                    <w:snapToGrid w:val="0"/>
                    <w:jc w:val="center"/>
                    <w:rPr>
                      <w:color w:val="000000"/>
                      <w:sz w:val="18"/>
                      <w:szCs w:val="18"/>
                    </w:rPr>
                  </w:pPr>
                  <w:r>
                    <w:rPr>
                      <w:color w:val="000000"/>
                      <w:sz w:val="18"/>
                      <w:szCs w:val="18"/>
                    </w:rPr>
                    <w:t>颜料</w:t>
                  </w:r>
                </w:p>
              </w:tc>
              <w:tc>
                <w:tcPr>
                  <w:tcW w:w="574" w:type="pct"/>
                  <w:noWrap/>
                  <w:vAlign w:val="center"/>
                </w:tcPr>
                <w:p w14:paraId="33FD923C">
                  <w:pPr>
                    <w:overflowPunct w:val="0"/>
                    <w:autoSpaceDE w:val="0"/>
                    <w:autoSpaceDN w:val="0"/>
                    <w:adjustRightInd w:val="0"/>
                    <w:snapToGrid w:val="0"/>
                    <w:jc w:val="center"/>
                    <w:rPr>
                      <w:rFonts w:hint="eastAsia"/>
                      <w:color w:val="000000"/>
                      <w:sz w:val="18"/>
                      <w:szCs w:val="18"/>
                    </w:rPr>
                  </w:pPr>
                  <w:r>
                    <w:rPr>
                      <w:rFonts w:hint="eastAsia"/>
                      <w:color w:val="000000"/>
                      <w:sz w:val="18"/>
                      <w:szCs w:val="18"/>
                    </w:rPr>
                    <w:t>钛白粉</w:t>
                  </w:r>
                </w:p>
              </w:tc>
              <w:tc>
                <w:tcPr>
                  <w:tcW w:w="759" w:type="pct"/>
                  <w:noWrap/>
                  <w:vAlign w:val="center"/>
                </w:tcPr>
                <w:p w14:paraId="3A86D2EA">
                  <w:pPr>
                    <w:overflowPunct w:val="0"/>
                    <w:autoSpaceDE w:val="0"/>
                    <w:autoSpaceDN w:val="0"/>
                    <w:adjustRightInd w:val="0"/>
                    <w:snapToGrid w:val="0"/>
                    <w:jc w:val="center"/>
                    <w:rPr>
                      <w:color w:val="000000"/>
                      <w:sz w:val="18"/>
                      <w:szCs w:val="18"/>
                    </w:rPr>
                  </w:pPr>
                  <w:r>
                    <w:rPr>
                      <w:rFonts w:hint="eastAsia"/>
                      <w:color w:val="000000"/>
                      <w:sz w:val="18"/>
                      <w:szCs w:val="18"/>
                    </w:rPr>
                    <w:t>TiO₂</w:t>
                  </w:r>
                </w:p>
              </w:tc>
              <w:tc>
                <w:tcPr>
                  <w:tcW w:w="3045" w:type="pct"/>
                  <w:noWrap/>
                  <w:vAlign w:val="center"/>
                </w:tcPr>
                <w:p w14:paraId="4729957F">
                  <w:pPr>
                    <w:overflowPunct w:val="0"/>
                    <w:autoSpaceDE w:val="0"/>
                    <w:autoSpaceDN w:val="0"/>
                    <w:adjustRightInd w:val="0"/>
                    <w:snapToGrid w:val="0"/>
                    <w:jc w:val="center"/>
                    <w:rPr>
                      <w:color w:val="000000"/>
                      <w:sz w:val="18"/>
                      <w:szCs w:val="18"/>
                    </w:rPr>
                  </w:pPr>
                  <w:r>
                    <w:rPr>
                      <w:color w:val="000000"/>
                      <w:sz w:val="18"/>
                      <w:szCs w:val="18"/>
                    </w:rPr>
                    <w:t>常温物理性状：固体粉末（颜色随品种而异）；熔点：因品种差异大（如钛白 1855℃，炭黑 &gt; 3000℃）；分解温度：多数 &gt; 300℃；毒性数据：低毒至无毒（部分重金属颜料需注意）；溶解情况：不溶于水和多数有机溶剂</w:t>
                  </w:r>
                  <w:r>
                    <w:rPr>
                      <w:rFonts w:hint="eastAsia"/>
                      <w:color w:val="000000"/>
                      <w:sz w:val="18"/>
                      <w:szCs w:val="18"/>
                    </w:rPr>
                    <w:t>。</w:t>
                  </w:r>
                </w:p>
              </w:tc>
            </w:tr>
            <w:tr w14:paraId="608E73A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6C93FEC2">
                  <w:pPr>
                    <w:overflowPunct w:val="0"/>
                    <w:autoSpaceDE w:val="0"/>
                    <w:autoSpaceDN w:val="0"/>
                    <w:adjustRightInd w:val="0"/>
                    <w:snapToGrid w:val="0"/>
                    <w:jc w:val="center"/>
                    <w:rPr>
                      <w:color w:val="000000"/>
                      <w:sz w:val="18"/>
                      <w:szCs w:val="18"/>
                    </w:rPr>
                  </w:pPr>
                  <w:r>
                    <w:rPr>
                      <w:color w:val="000000"/>
                      <w:sz w:val="18"/>
                      <w:szCs w:val="18"/>
                    </w:rPr>
                    <w:t>11</w:t>
                  </w:r>
                </w:p>
              </w:tc>
              <w:tc>
                <w:tcPr>
                  <w:tcW w:w="403" w:type="pct"/>
                  <w:noWrap/>
                  <w:vAlign w:val="center"/>
                </w:tcPr>
                <w:p w14:paraId="1ACF12E9">
                  <w:pPr>
                    <w:overflowPunct w:val="0"/>
                    <w:autoSpaceDE w:val="0"/>
                    <w:autoSpaceDN w:val="0"/>
                    <w:adjustRightInd w:val="0"/>
                    <w:snapToGrid w:val="0"/>
                    <w:jc w:val="center"/>
                    <w:rPr>
                      <w:color w:val="000000"/>
                      <w:sz w:val="18"/>
                      <w:szCs w:val="18"/>
                    </w:rPr>
                  </w:pPr>
                  <w:r>
                    <w:rPr>
                      <w:color w:val="000000"/>
                      <w:sz w:val="18"/>
                      <w:szCs w:val="18"/>
                    </w:rPr>
                    <w:t>三氧化二锑</w:t>
                  </w:r>
                </w:p>
              </w:tc>
              <w:tc>
                <w:tcPr>
                  <w:tcW w:w="574" w:type="pct"/>
                  <w:noWrap/>
                  <w:vAlign w:val="center"/>
                </w:tcPr>
                <w:p w14:paraId="70468562">
                  <w:pPr>
                    <w:overflowPunct w:val="0"/>
                    <w:autoSpaceDE w:val="0"/>
                    <w:autoSpaceDN w:val="0"/>
                    <w:adjustRightInd w:val="0"/>
                    <w:snapToGrid w:val="0"/>
                    <w:jc w:val="center"/>
                    <w:rPr>
                      <w:color w:val="000000"/>
                      <w:sz w:val="18"/>
                      <w:szCs w:val="18"/>
                    </w:rPr>
                  </w:pPr>
                  <w:r>
                    <w:rPr>
                      <w:color w:val="000000"/>
                      <w:sz w:val="18"/>
                      <w:szCs w:val="18"/>
                    </w:rPr>
                    <w:t>阻燃剂</w:t>
                  </w:r>
                </w:p>
              </w:tc>
              <w:tc>
                <w:tcPr>
                  <w:tcW w:w="759" w:type="pct"/>
                  <w:noWrap/>
                  <w:vAlign w:val="center"/>
                </w:tcPr>
                <w:p w14:paraId="70660BF9">
                  <w:pPr>
                    <w:overflowPunct w:val="0"/>
                    <w:autoSpaceDE w:val="0"/>
                    <w:autoSpaceDN w:val="0"/>
                    <w:adjustRightInd w:val="0"/>
                    <w:snapToGrid w:val="0"/>
                    <w:jc w:val="center"/>
                    <w:rPr>
                      <w:color w:val="000000"/>
                      <w:sz w:val="18"/>
                      <w:szCs w:val="18"/>
                    </w:rPr>
                  </w:pPr>
                  <w:r>
                    <w:rPr>
                      <w:rFonts w:hint="eastAsia"/>
                      <w:color w:val="000000"/>
                      <w:sz w:val="18"/>
                      <w:szCs w:val="18"/>
                    </w:rPr>
                    <w:t>Sb</w:t>
                  </w:r>
                  <w:r>
                    <w:rPr>
                      <w:color w:val="000000"/>
                      <w:sz w:val="18"/>
                      <w:szCs w:val="18"/>
                      <w:vertAlign w:val="subscript"/>
                    </w:rPr>
                    <w:t>2</w:t>
                  </w:r>
                  <w:r>
                    <w:rPr>
                      <w:color w:val="000000"/>
                      <w:sz w:val="18"/>
                      <w:szCs w:val="18"/>
                    </w:rPr>
                    <w:t>O</w:t>
                  </w:r>
                  <w:r>
                    <w:rPr>
                      <w:color w:val="000000"/>
                      <w:sz w:val="18"/>
                      <w:szCs w:val="18"/>
                      <w:vertAlign w:val="subscript"/>
                    </w:rPr>
                    <w:t>3</w:t>
                  </w:r>
                </w:p>
              </w:tc>
              <w:tc>
                <w:tcPr>
                  <w:tcW w:w="3045" w:type="pct"/>
                  <w:noWrap/>
                  <w:vAlign w:val="center"/>
                </w:tcPr>
                <w:p w14:paraId="601D4959">
                  <w:pPr>
                    <w:overflowPunct w:val="0"/>
                    <w:autoSpaceDE w:val="0"/>
                    <w:autoSpaceDN w:val="0"/>
                    <w:adjustRightInd w:val="0"/>
                    <w:snapToGrid w:val="0"/>
                    <w:jc w:val="center"/>
                    <w:rPr>
                      <w:color w:val="000000"/>
                      <w:sz w:val="18"/>
                      <w:szCs w:val="18"/>
                    </w:rPr>
                  </w:pPr>
                  <w:r>
                    <w:rPr>
                      <w:color w:val="000000"/>
                      <w:sz w:val="18"/>
                      <w:szCs w:val="18"/>
                    </w:rPr>
                    <w:t>常温物理性状：白色结晶粉末；熔点：656℃；沸点：1570℃；分解温度：&gt;1000℃；毒性数据：低毒，LD₅₀（大鼠经口）=3250mg/kg；溶解情况：不溶于水，溶于浓盐酸、硫酸</w:t>
                  </w:r>
                  <w:r>
                    <w:rPr>
                      <w:rFonts w:hint="eastAsia"/>
                      <w:color w:val="000000"/>
                      <w:sz w:val="18"/>
                      <w:szCs w:val="18"/>
                    </w:rPr>
                    <w:t>。</w:t>
                  </w:r>
                </w:p>
              </w:tc>
            </w:tr>
            <w:tr w14:paraId="21FA0D2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362D033B">
                  <w:pPr>
                    <w:overflowPunct w:val="0"/>
                    <w:autoSpaceDE w:val="0"/>
                    <w:autoSpaceDN w:val="0"/>
                    <w:adjustRightInd w:val="0"/>
                    <w:snapToGrid w:val="0"/>
                    <w:jc w:val="center"/>
                    <w:rPr>
                      <w:color w:val="000000"/>
                      <w:sz w:val="18"/>
                      <w:szCs w:val="18"/>
                    </w:rPr>
                  </w:pPr>
                  <w:r>
                    <w:rPr>
                      <w:color w:val="000000"/>
                      <w:sz w:val="18"/>
                      <w:szCs w:val="18"/>
                    </w:rPr>
                    <w:t>12</w:t>
                  </w:r>
                </w:p>
              </w:tc>
              <w:tc>
                <w:tcPr>
                  <w:tcW w:w="403" w:type="pct"/>
                  <w:noWrap/>
                  <w:vAlign w:val="center"/>
                </w:tcPr>
                <w:p w14:paraId="36F2FA3F">
                  <w:pPr>
                    <w:overflowPunct w:val="0"/>
                    <w:autoSpaceDE w:val="0"/>
                    <w:autoSpaceDN w:val="0"/>
                    <w:adjustRightInd w:val="0"/>
                    <w:snapToGrid w:val="0"/>
                    <w:jc w:val="center"/>
                    <w:rPr>
                      <w:color w:val="000000"/>
                      <w:sz w:val="18"/>
                      <w:szCs w:val="18"/>
                    </w:rPr>
                  </w:pPr>
                  <w:r>
                    <w:rPr>
                      <w:color w:val="000000"/>
                      <w:sz w:val="18"/>
                      <w:szCs w:val="18"/>
                    </w:rPr>
                    <w:t>硼酸锌</w:t>
                  </w:r>
                </w:p>
              </w:tc>
              <w:tc>
                <w:tcPr>
                  <w:tcW w:w="574" w:type="pct"/>
                  <w:noWrap/>
                  <w:vAlign w:val="center"/>
                </w:tcPr>
                <w:p w14:paraId="0BC71239">
                  <w:pPr>
                    <w:overflowPunct w:val="0"/>
                    <w:autoSpaceDE w:val="0"/>
                    <w:autoSpaceDN w:val="0"/>
                    <w:adjustRightInd w:val="0"/>
                    <w:snapToGrid w:val="0"/>
                    <w:jc w:val="center"/>
                    <w:rPr>
                      <w:color w:val="000000"/>
                      <w:sz w:val="18"/>
                      <w:szCs w:val="18"/>
                    </w:rPr>
                  </w:pPr>
                  <w:r>
                    <w:rPr>
                      <w:color w:val="000000"/>
                      <w:sz w:val="18"/>
                      <w:szCs w:val="18"/>
                    </w:rPr>
                    <w:t>阻燃剂</w:t>
                  </w:r>
                </w:p>
              </w:tc>
              <w:tc>
                <w:tcPr>
                  <w:tcW w:w="759" w:type="pct"/>
                  <w:noWrap/>
                  <w:vAlign w:val="center"/>
                </w:tcPr>
                <w:p w14:paraId="0464DE5D">
                  <w:pPr>
                    <w:overflowPunct w:val="0"/>
                    <w:autoSpaceDE w:val="0"/>
                    <w:autoSpaceDN w:val="0"/>
                    <w:adjustRightInd w:val="0"/>
                    <w:snapToGrid w:val="0"/>
                    <w:jc w:val="center"/>
                    <w:rPr>
                      <w:color w:val="000000"/>
                      <w:sz w:val="18"/>
                      <w:szCs w:val="18"/>
                    </w:rPr>
                  </w:pPr>
                  <w:r>
                    <w:rPr>
                      <w:rFonts w:hint="eastAsia"/>
                      <w:color w:val="000000"/>
                      <w:sz w:val="18"/>
                      <w:szCs w:val="18"/>
                    </w:rPr>
                    <w:t>B</w:t>
                  </w:r>
                  <w:r>
                    <w:rPr>
                      <w:rFonts w:hint="eastAsia"/>
                      <w:color w:val="000000"/>
                      <w:sz w:val="18"/>
                      <w:szCs w:val="18"/>
                      <w:vertAlign w:val="subscript"/>
                    </w:rPr>
                    <w:t>2</w:t>
                  </w:r>
                  <w:r>
                    <w:rPr>
                      <w:rFonts w:hint="eastAsia"/>
                      <w:color w:val="000000"/>
                      <w:sz w:val="18"/>
                      <w:szCs w:val="18"/>
                    </w:rPr>
                    <w:t>O</w:t>
                  </w:r>
                  <w:r>
                    <w:rPr>
                      <w:rFonts w:hint="eastAsia"/>
                      <w:color w:val="000000"/>
                      <w:sz w:val="18"/>
                      <w:szCs w:val="18"/>
                      <w:vertAlign w:val="subscript"/>
                    </w:rPr>
                    <w:t>6</w:t>
                  </w:r>
                  <w:r>
                    <w:rPr>
                      <w:rFonts w:hint="eastAsia"/>
                      <w:color w:val="000000"/>
                      <w:sz w:val="18"/>
                      <w:szCs w:val="18"/>
                    </w:rPr>
                    <w:t>Zn</w:t>
                  </w:r>
                  <w:r>
                    <w:rPr>
                      <w:rFonts w:hint="eastAsia"/>
                      <w:color w:val="000000"/>
                      <w:sz w:val="18"/>
                      <w:szCs w:val="18"/>
                      <w:vertAlign w:val="subscript"/>
                    </w:rPr>
                    <w:t>3</w:t>
                  </w:r>
                </w:p>
              </w:tc>
              <w:tc>
                <w:tcPr>
                  <w:tcW w:w="3045" w:type="pct"/>
                  <w:noWrap/>
                  <w:vAlign w:val="center"/>
                </w:tcPr>
                <w:p w14:paraId="5C7865A2">
                  <w:pPr>
                    <w:overflowPunct w:val="0"/>
                    <w:autoSpaceDE w:val="0"/>
                    <w:autoSpaceDN w:val="0"/>
                    <w:adjustRightInd w:val="0"/>
                    <w:snapToGrid w:val="0"/>
                    <w:jc w:val="center"/>
                    <w:rPr>
                      <w:color w:val="000000"/>
                      <w:sz w:val="18"/>
                      <w:szCs w:val="18"/>
                    </w:rPr>
                  </w:pPr>
                  <w:r>
                    <w:rPr>
                      <w:color w:val="000000"/>
                      <w:sz w:val="18"/>
                      <w:szCs w:val="18"/>
                    </w:rPr>
                    <w:t>常温物理性状：白色粉末；熔点：980℃（分解）；分解温度：980℃；毒性数据：</w:t>
                  </w:r>
                  <w:r>
                    <w:rPr>
                      <w:rFonts w:hint="eastAsia"/>
                      <w:color w:val="000000"/>
                      <w:sz w:val="18"/>
                      <w:szCs w:val="18"/>
                    </w:rPr>
                    <w:t>无毒</w:t>
                  </w:r>
                  <w:r>
                    <w:rPr>
                      <w:color w:val="000000"/>
                      <w:sz w:val="18"/>
                      <w:szCs w:val="18"/>
                    </w:rPr>
                    <w:t>；溶解情况：不溶于水，微溶于热水，溶于强酸</w:t>
                  </w:r>
                  <w:r>
                    <w:rPr>
                      <w:rFonts w:hint="eastAsia"/>
                      <w:color w:val="000000"/>
                      <w:sz w:val="18"/>
                      <w:szCs w:val="18"/>
                    </w:rPr>
                    <w:t>。</w:t>
                  </w:r>
                </w:p>
              </w:tc>
            </w:tr>
            <w:tr w14:paraId="321E0203">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7191F78F">
                  <w:pPr>
                    <w:overflowPunct w:val="0"/>
                    <w:autoSpaceDE w:val="0"/>
                    <w:autoSpaceDN w:val="0"/>
                    <w:adjustRightInd w:val="0"/>
                    <w:snapToGrid w:val="0"/>
                    <w:jc w:val="center"/>
                    <w:rPr>
                      <w:color w:val="000000"/>
                      <w:sz w:val="18"/>
                      <w:szCs w:val="18"/>
                    </w:rPr>
                  </w:pPr>
                  <w:r>
                    <w:rPr>
                      <w:color w:val="000000"/>
                      <w:sz w:val="18"/>
                      <w:szCs w:val="18"/>
                    </w:rPr>
                    <w:t>13</w:t>
                  </w:r>
                </w:p>
              </w:tc>
              <w:tc>
                <w:tcPr>
                  <w:tcW w:w="403" w:type="pct"/>
                  <w:noWrap/>
                  <w:vAlign w:val="center"/>
                </w:tcPr>
                <w:p w14:paraId="3ECEA37C">
                  <w:pPr>
                    <w:overflowPunct w:val="0"/>
                    <w:autoSpaceDE w:val="0"/>
                    <w:autoSpaceDN w:val="0"/>
                    <w:adjustRightInd w:val="0"/>
                    <w:snapToGrid w:val="0"/>
                    <w:jc w:val="center"/>
                    <w:rPr>
                      <w:color w:val="000000"/>
                      <w:sz w:val="18"/>
                      <w:szCs w:val="18"/>
                    </w:rPr>
                  </w:pPr>
                  <w:r>
                    <w:rPr>
                      <w:color w:val="000000"/>
                      <w:sz w:val="18"/>
                      <w:szCs w:val="18"/>
                    </w:rPr>
                    <w:t>水滑石</w:t>
                  </w:r>
                </w:p>
              </w:tc>
              <w:tc>
                <w:tcPr>
                  <w:tcW w:w="574" w:type="pct"/>
                  <w:noWrap/>
                  <w:vAlign w:val="center"/>
                </w:tcPr>
                <w:p w14:paraId="62B3E317">
                  <w:pPr>
                    <w:overflowPunct w:val="0"/>
                    <w:autoSpaceDE w:val="0"/>
                    <w:autoSpaceDN w:val="0"/>
                    <w:adjustRightInd w:val="0"/>
                    <w:snapToGrid w:val="0"/>
                    <w:jc w:val="center"/>
                    <w:rPr>
                      <w:color w:val="000000"/>
                      <w:sz w:val="18"/>
                      <w:szCs w:val="18"/>
                    </w:rPr>
                  </w:pPr>
                  <w:r>
                    <w:rPr>
                      <w:color w:val="000000"/>
                      <w:sz w:val="18"/>
                      <w:szCs w:val="18"/>
                    </w:rPr>
                    <w:t>稳定剂</w:t>
                  </w:r>
                </w:p>
              </w:tc>
              <w:tc>
                <w:tcPr>
                  <w:tcW w:w="759" w:type="pct"/>
                  <w:noWrap/>
                  <w:vAlign w:val="center"/>
                </w:tcPr>
                <w:p w14:paraId="1BC40BC3">
                  <w:pPr>
                    <w:overflowPunct w:val="0"/>
                    <w:autoSpaceDE w:val="0"/>
                    <w:autoSpaceDN w:val="0"/>
                    <w:adjustRightInd w:val="0"/>
                    <w:snapToGrid w:val="0"/>
                    <w:jc w:val="center"/>
                    <w:rPr>
                      <w:color w:val="000000"/>
                      <w:sz w:val="18"/>
                      <w:szCs w:val="18"/>
                    </w:rPr>
                  </w:pPr>
                  <w:r>
                    <w:rPr>
                      <w:rFonts w:hint="eastAsia"/>
                      <w:color w:val="000000"/>
                      <w:sz w:val="18"/>
                      <w:szCs w:val="18"/>
                    </w:rPr>
                    <w:t>Mg</w:t>
                  </w:r>
                  <w:r>
                    <w:rPr>
                      <w:rFonts w:hint="eastAsia"/>
                      <w:color w:val="000000"/>
                      <w:sz w:val="18"/>
                      <w:szCs w:val="18"/>
                      <w:vertAlign w:val="subscript"/>
                    </w:rPr>
                    <w:t>6</w:t>
                  </w:r>
                  <w:r>
                    <w:rPr>
                      <w:rFonts w:hint="eastAsia"/>
                      <w:color w:val="000000"/>
                      <w:sz w:val="18"/>
                      <w:szCs w:val="18"/>
                    </w:rPr>
                    <w:t>A</w:t>
                  </w:r>
                  <w:r>
                    <w:rPr>
                      <w:rFonts w:hint="eastAsia"/>
                      <w:color w:val="000000"/>
                      <w:sz w:val="18"/>
                      <w:szCs w:val="18"/>
                      <w:vertAlign w:val="subscript"/>
                    </w:rPr>
                    <w:t>l2</w:t>
                  </w:r>
                  <w:r>
                    <w:rPr>
                      <w:rFonts w:hint="eastAsia"/>
                      <w:color w:val="000000"/>
                      <w:sz w:val="18"/>
                      <w:szCs w:val="18"/>
                    </w:rPr>
                    <w:t>(CO</w:t>
                  </w:r>
                  <w:r>
                    <w:rPr>
                      <w:rFonts w:hint="eastAsia"/>
                      <w:color w:val="000000"/>
                      <w:sz w:val="18"/>
                      <w:szCs w:val="18"/>
                      <w:vertAlign w:val="subscript"/>
                    </w:rPr>
                    <w:t>3</w:t>
                  </w:r>
                  <w:r>
                    <w:rPr>
                      <w:rFonts w:hint="eastAsia"/>
                      <w:color w:val="000000"/>
                      <w:sz w:val="18"/>
                      <w:szCs w:val="18"/>
                    </w:rPr>
                    <w:t>)(OH)</w:t>
                  </w:r>
                  <w:r>
                    <w:rPr>
                      <w:rFonts w:hint="eastAsia"/>
                      <w:color w:val="000000"/>
                      <w:sz w:val="18"/>
                      <w:szCs w:val="18"/>
                      <w:vertAlign w:val="subscript"/>
                    </w:rPr>
                    <w:t>16</w:t>
                  </w:r>
                  <w:r>
                    <w:rPr>
                      <w:rFonts w:hint="eastAsia"/>
                      <w:color w:val="000000"/>
                      <w:sz w:val="18"/>
                      <w:szCs w:val="18"/>
                    </w:rPr>
                    <w:t>·4H₂O</w:t>
                  </w:r>
                </w:p>
              </w:tc>
              <w:tc>
                <w:tcPr>
                  <w:tcW w:w="3045" w:type="pct"/>
                  <w:noWrap/>
                  <w:vAlign w:val="center"/>
                </w:tcPr>
                <w:p w14:paraId="473F77FF">
                  <w:pPr>
                    <w:overflowPunct w:val="0"/>
                    <w:autoSpaceDE w:val="0"/>
                    <w:autoSpaceDN w:val="0"/>
                    <w:adjustRightInd w:val="0"/>
                    <w:snapToGrid w:val="0"/>
                    <w:jc w:val="center"/>
                    <w:rPr>
                      <w:color w:val="000000"/>
                      <w:sz w:val="18"/>
                      <w:szCs w:val="18"/>
                    </w:rPr>
                  </w:pPr>
                  <w:r>
                    <w:rPr>
                      <w:color w:val="000000"/>
                      <w:sz w:val="18"/>
                      <w:szCs w:val="18"/>
                    </w:rPr>
                    <w:t>常温物理性状：白色粉末；熔点：&gt;300℃（分解）；分解温度：300-400℃；毒性数据：无毒；溶解情况：不溶于水，溶于强酸</w:t>
                  </w:r>
                  <w:r>
                    <w:rPr>
                      <w:rFonts w:hint="eastAsia"/>
                      <w:color w:val="000000"/>
                      <w:sz w:val="18"/>
                      <w:szCs w:val="18"/>
                    </w:rPr>
                    <w:t>。</w:t>
                  </w:r>
                </w:p>
              </w:tc>
            </w:tr>
            <w:tr w14:paraId="5F59A40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218" w:type="pct"/>
                  <w:noWrap w:val="0"/>
                  <w:vAlign w:val="center"/>
                </w:tcPr>
                <w:p w14:paraId="5D16F66F">
                  <w:pPr>
                    <w:overflowPunct w:val="0"/>
                    <w:autoSpaceDE w:val="0"/>
                    <w:autoSpaceDN w:val="0"/>
                    <w:adjustRightInd w:val="0"/>
                    <w:snapToGrid w:val="0"/>
                    <w:jc w:val="center"/>
                    <w:rPr>
                      <w:color w:val="000000"/>
                      <w:sz w:val="18"/>
                      <w:szCs w:val="18"/>
                    </w:rPr>
                  </w:pPr>
                  <w:r>
                    <w:rPr>
                      <w:color w:val="000000"/>
                      <w:sz w:val="18"/>
                      <w:szCs w:val="18"/>
                    </w:rPr>
                    <w:t>14</w:t>
                  </w:r>
                </w:p>
              </w:tc>
              <w:tc>
                <w:tcPr>
                  <w:tcW w:w="403" w:type="pct"/>
                  <w:noWrap/>
                  <w:vAlign w:val="center"/>
                </w:tcPr>
                <w:p w14:paraId="1A7228C4">
                  <w:pPr>
                    <w:overflowPunct w:val="0"/>
                    <w:autoSpaceDE w:val="0"/>
                    <w:autoSpaceDN w:val="0"/>
                    <w:adjustRightInd w:val="0"/>
                    <w:snapToGrid w:val="0"/>
                    <w:jc w:val="center"/>
                    <w:rPr>
                      <w:color w:val="000000"/>
                      <w:sz w:val="18"/>
                      <w:szCs w:val="18"/>
                    </w:rPr>
                  </w:pPr>
                  <w:r>
                    <w:rPr>
                      <w:color w:val="000000"/>
                      <w:sz w:val="18"/>
                      <w:szCs w:val="18"/>
                    </w:rPr>
                    <w:t>EVA</w:t>
                  </w:r>
                </w:p>
              </w:tc>
              <w:tc>
                <w:tcPr>
                  <w:tcW w:w="574" w:type="pct"/>
                  <w:noWrap/>
                  <w:vAlign w:val="center"/>
                </w:tcPr>
                <w:p w14:paraId="3DFD7E6A">
                  <w:pPr>
                    <w:overflowPunct w:val="0"/>
                    <w:autoSpaceDE w:val="0"/>
                    <w:autoSpaceDN w:val="0"/>
                    <w:adjustRightInd w:val="0"/>
                    <w:snapToGrid w:val="0"/>
                    <w:jc w:val="center"/>
                    <w:rPr>
                      <w:color w:val="000000"/>
                      <w:sz w:val="18"/>
                      <w:szCs w:val="18"/>
                    </w:rPr>
                  </w:pPr>
                  <w:r>
                    <w:rPr>
                      <w:color w:val="000000"/>
                      <w:sz w:val="18"/>
                      <w:szCs w:val="18"/>
                    </w:rPr>
                    <w:t>乙烯-醋酸乙烯共聚物</w:t>
                  </w:r>
                </w:p>
              </w:tc>
              <w:tc>
                <w:tcPr>
                  <w:tcW w:w="759" w:type="pct"/>
                  <w:noWrap/>
                  <w:vAlign w:val="center"/>
                </w:tcPr>
                <w:p w14:paraId="2CEDA959">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4</w:t>
                  </w:r>
                  <w:r>
                    <w:rPr>
                      <w:rFonts w:hint="eastAsia"/>
                      <w:color w:val="000000"/>
                      <w:sz w:val="18"/>
                      <w:szCs w:val="18"/>
                    </w:rPr>
                    <w:t>H</w:t>
                  </w:r>
                  <w:r>
                    <w:rPr>
                      <w:rFonts w:hint="eastAsia"/>
                      <w:color w:val="000000"/>
                      <w:sz w:val="18"/>
                      <w:szCs w:val="18"/>
                      <w:vertAlign w:val="subscript"/>
                    </w:rPr>
                    <w:t>6</w:t>
                  </w:r>
                  <w:r>
                    <w:rPr>
                      <w:rFonts w:hint="eastAsia"/>
                      <w:color w:val="000000"/>
                      <w:sz w:val="18"/>
                      <w:szCs w:val="18"/>
                    </w:rPr>
                    <w:t>O</w:t>
                  </w:r>
                  <w:r>
                    <w:rPr>
                      <w:rFonts w:hint="eastAsia"/>
                      <w:color w:val="000000"/>
                      <w:sz w:val="18"/>
                      <w:szCs w:val="18"/>
                      <w:vertAlign w:val="subscript"/>
                    </w:rPr>
                    <w:t>2</w:t>
                  </w:r>
                  <w:r>
                    <w:rPr>
                      <w:rFonts w:hint="eastAsia"/>
                      <w:color w:val="000000"/>
                      <w:sz w:val="18"/>
                      <w:szCs w:val="18"/>
                    </w:rPr>
                    <w:t>-C</w:t>
                  </w:r>
                  <w:r>
                    <w:rPr>
                      <w:rFonts w:hint="eastAsia"/>
                      <w:color w:val="000000"/>
                      <w:sz w:val="18"/>
                      <w:szCs w:val="18"/>
                      <w:vertAlign w:val="subscript"/>
                    </w:rPr>
                    <w:t>2</w:t>
                  </w:r>
                  <w:r>
                    <w:rPr>
                      <w:rFonts w:hint="eastAsia"/>
                      <w:color w:val="000000"/>
                      <w:sz w:val="18"/>
                      <w:szCs w:val="18"/>
                    </w:rPr>
                    <w:t>H</w:t>
                  </w:r>
                  <w:r>
                    <w:rPr>
                      <w:rFonts w:hint="eastAsia"/>
                      <w:color w:val="000000"/>
                      <w:sz w:val="18"/>
                      <w:szCs w:val="18"/>
                      <w:vertAlign w:val="subscript"/>
                    </w:rPr>
                    <w:t>4</w:t>
                  </w:r>
                  <w:r>
                    <w:rPr>
                      <w:rFonts w:hint="eastAsia"/>
                      <w:color w:val="000000"/>
                      <w:sz w:val="18"/>
                      <w:szCs w:val="18"/>
                    </w:rPr>
                    <w:t>)</w:t>
                  </w:r>
                  <w:r>
                    <w:rPr>
                      <w:rFonts w:hint="eastAsia"/>
                      <w:color w:val="000000"/>
                      <w:sz w:val="18"/>
                      <w:szCs w:val="18"/>
                      <w:vertAlign w:val="subscript"/>
                    </w:rPr>
                    <w:t>n</w:t>
                  </w:r>
                </w:p>
              </w:tc>
              <w:tc>
                <w:tcPr>
                  <w:tcW w:w="3045" w:type="pct"/>
                  <w:noWrap/>
                  <w:vAlign w:val="center"/>
                </w:tcPr>
                <w:p w14:paraId="11173E68">
                  <w:pPr>
                    <w:overflowPunct w:val="0"/>
                    <w:autoSpaceDE w:val="0"/>
                    <w:autoSpaceDN w:val="0"/>
                    <w:adjustRightInd w:val="0"/>
                    <w:snapToGrid w:val="0"/>
                    <w:jc w:val="center"/>
                    <w:rPr>
                      <w:color w:val="000000"/>
                      <w:sz w:val="18"/>
                      <w:szCs w:val="18"/>
                    </w:rPr>
                  </w:pPr>
                  <w:r>
                    <w:rPr>
                      <w:color w:val="000000"/>
                      <w:sz w:val="18"/>
                      <w:szCs w:val="18"/>
                    </w:rPr>
                    <w:t>常温物理性状：白色颗粒；熔点：90-120℃（随VA含量升高降低）；闪点：200℃以上；分解温度：230-250℃；毒性数据：低毒；溶解情况：不溶于水，溶于芳烃、氯代烃</w:t>
                  </w:r>
                  <w:r>
                    <w:rPr>
                      <w:rFonts w:hint="eastAsia"/>
                      <w:color w:val="000000"/>
                      <w:sz w:val="18"/>
                      <w:szCs w:val="18"/>
                    </w:rPr>
                    <w:t>。</w:t>
                  </w:r>
                </w:p>
              </w:tc>
            </w:tr>
            <w:tr w14:paraId="7050090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57D52DFA">
                  <w:pPr>
                    <w:overflowPunct w:val="0"/>
                    <w:autoSpaceDE w:val="0"/>
                    <w:autoSpaceDN w:val="0"/>
                    <w:adjustRightInd w:val="0"/>
                    <w:snapToGrid w:val="0"/>
                    <w:jc w:val="center"/>
                    <w:rPr>
                      <w:color w:val="000000"/>
                      <w:sz w:val="18"/>
                      <w:szCs w:val="18"/>
                    </w:rPr>
                  </w:pPr>
                  <w:r>
                    <w:rPr>
                      <w:color w:val="000000"/>
                      <w:sz w:val="18"/>
                      <w:szCs w:val="18"/>
                    </w:rPr>
                    <w:t>15</w:t>
                  </w:r>
                </w:p>
              </w:tc>
              <w:tc>
                <w:tcPr>
                  <w:tcW w:w="403" w:type="pct"/>
                  <w:noWrap/>
                  <w:vAlign w:val="center"/>
                </w:tcPr>
                <w:p w14:paraId="571BBDA7">
                  <w:pPr>
                    <w:overflowPunct w:val="0"/>
                    <w:autoSpaceDE w:val="0"/>
                    <w:autoSpaceDN w:val="0"/>
                    <w:adjustRightInd w:val="0"/>
                    <w:snapToGrid w:val="0"/>
                    <w:jc w:val="center"/>
                    <w:rPr>
                      <w:color w:val="000000"/>
                      <w:sz w:val="18"/>
                      <w:szCs w:val="18"/>
                    </w:rPr>
                  </w:pPr>
                  <w:r>
                    <w:rPr>
                      <w:color w:val="000000"/>
                      <w:sz w:val="18"/>
                      <w:szCs w:val="18"/>
                    </w:rPr>
                    <w:t>LLDPE</w:t>
                  </w:r>
                </w:p>
              </w:tc>
              <w:tc>
                <w:tcPr>
                  <w:tcW w:w="574" w:type="pct"/>
                  <w:noWrap/>
                  <w:vAlign w:val="center"/>
                </w:tcPr>
                <w:p w14:paraId="1AE1E6A2">
                  <w:pPr>
                    <w:overflowPunct w:val="0"/>
                    <w:autoSpaceDE w:val="0"/>
                    <w:autoSpaceDN w:val="0"/>
                    <w:adjustRightInd w:val="0"/>
                    <w:snapToGrid w:val="0"/>
                    <w:jc w:val="center"/>
                    <w:rPr>
                      <w:color w:val="000000"/>
                      <w:sz w:val="18"/>
                      <w:szCs w:val="18"/>
                    </w:rPr>
                  </w:pPr>
                  <w:r>
                    <w:rPr>
                      <w:color w:val="000000"/>
                      <w:sz w:val="18"/>
                      <w:szCs w:val="18"/>
                    </w:rPr>
                    <w:t>线型低密度聚乙烯</w:t>
                  </w:r>
                </w:p>
              </w:tc>
              <w:tc>
                <w:tcPr>
                  <w:tcW w:w="759" w:type="pct"/>
                  <w:noWrap/>
                  <w:vAlign w:val="center"/>
                </w:tcPr>
                <w:p w14:paraId="478BDFF2">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w:t>
                  </w:r>
                  <w:r>
                    <w:rPr>
                      <w:rFonts w:hint="eastAsia"/>
                      <w:color w:val="000000"/>
                      <w:sz w:val="18"/>
                      <w:szCs w:val="18"/>
                    </w:rPr>
                    <w:t>H</w:t>
                  </w:r>
                  <w:r>
                    <w:rPr>
                      <w:rFonts w:hint="eastAsia"/>
                      <w:color w:val="000000"/>
                      <w:sz w:val="18"/>
                      <w:szCs w:val="18"/>
                      <w:vertAlign w:val="subscript"/>
                    </w:rPr>
                    <w:t>4</w:t>
                  </w:r>
                  <w:r>
                    <w:rPr>
                      <w:rFonts w:hint="eastAsia"/>
                      <w:color w:val="000000"/>
                      <w:sz w:val="18"/>
                      <w:szCs w:val="18"/>
                    </w:rPr>
                    <w:t>）</w:t>
                  </w:r>
                  <w:r>
                    <w:rPr>
                      <w:rFonts w:hint="eastAsia"/>
                      <w:color w:val="000000"/>
                      <w:sz w:val="18"/>
                      <w:szCs w:val="18"/>
                      <w:vertAlign w:val="subscript"/>
                    </w:rPr>
                    <w:t>n</w:t>
                  </w:r>
                </w:p>
              </w:tc>
              <w:tc>
                <w:tcPr>
                  <w:tcW w:w="3045" w:type="pct"/>
                  <w:noWrap/>
                  <w:vAlign w:val="center"/>
                </w:tcPr>
                <w:p w14:paraId="6D0E8DFD">
                  <w:pPr>
                    <w:overflowPunct w:val="0"/>
                    <w:autoSpaceDE w:val="0"/>
                    <w:autoSpaceDN w:val="0"/>
                    <w:adjustRightInd w:val="0"/>
                    <w:snapToGrid w:val="0"/>
                    <w:jc w:val="center"/>
                    <w:rPr>
                      <w:color w:val="000000"/>
                      <w:sz w:val="18"/>
                      <w:szCs w:val="18"/>
                    </w:rPr>
                  </w:pPr>
                  <w:r>
                    <w:rPr>
                      <w:color w:val="000000"/>
                      <w:sz w:val="18"/>
                      <w:szCs w:val="18"/>
                    </w:rPr>
                    <w:t>常温物理性状：白色颗粒；熔点：110-125℃；闪点：210℃；分解温度：230-270℃；毒性数据：无毒；溶解情况：不溶于水，溶于热芳烃（如100℃以上甲苯）</w:t>
                  </w:r>
                  <w:r>
                    <w:rPr>
                      <w:rFonts w:hint="eastAsia"/>
                      <w:color w:val="000000"/>
                      <w:sz w:val="18"/>
                      <w:szCs w:val="18"/>
                    </w:rPr>
                    <w:t>。</w:t>
                  </w:r>
                </w:p>
              </w:tc>
            </w:tr>
            <w:tr w14:paraId="3CE469A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10292E70">
                  <w:pPr>
                    <w:overflowPunct w:val="0"/>
                    <w:autoSpaceDE w:val="0"/>
                    <w:autoSpaceDN w:val="0"/>
                    <w:adjustRightInd w:val="0"/>
                    <w:snapToGrid w:val="0"/>
                    <w:jc w:val="center"/>
                    <w:rPr>
                      <w:color w:val="000000"/>
                      <w:sz w:val="18"/>
                      <w:szCs w:val="18"/>
                    </w:rPr>
                  </w:pPr>
                  <w:r>
                    <w:rPr>
                      <w:color w:val="000000"/>
                      <w:sz w:val="18"/>
                      <w:szCs w:val="18"/>
                    </w:rPr>
                    <w:t>16</w:t>
                  </w:r>
                </w:p>
              </w:tc>
              <w:tc>
                <w:tcPr>
                  <w:tcW w:w="403" w:type="pct"/>
                  <w:noWrap/>
                  <w:vAlign w:val="center"/>
                </w:tcPr>
                <w:p w14:paraId="25C49140">
                  <w:pPr>
                    <w:overflowPunct w:val="0"/>
                    <w:autoSpaceDE w:val="0"/>
                    <w:autoSpaceDN w:val="0"/>
                    <w:adjustRightInd w:val="0"/>
                    <w:snapToGrid w:val="0"/>
                    <w:jc w:val="center"/>
                    <w:rPr>
                      <w:color w:val="000000"/>
                      <w:sz w:val="18"/>
                      <w:szCs w:val="18"/>
                    </w:rPr>
                  </w:pPr>
                  <w:r>
                    <w:rPr>
                      <w:color w:val="000000"/>
                      <w:sz w:val="18"/>
                      <w:szCs w:val="18"/>
                    </w:rPr>
                    <w:t>POE</w:t>
                  </w:r>
                </w:p>
              </w:tc>
              <w:tc>
                <w:tcPr>
                  <w:tcW w:w="574" w:type="pct"/>
                  <w:noWrap/>
                  <w:vAlign w:val="center"/>
                </w:tcPr>
                <w:p w14:paraId="42D8BAA9">
                  <w:pPr>
                    <w:overflowPunct w:val="0"/>
                    <w:autoSpaceDE w:val="0"/>
                    <w:autoSpaceDN w:val="0"/>
                    <w:adjustRightInd w:val="0"/>
                    <w:snapToGrid w:val="0"/>
                    <w:jc w:val="center"/>
                    <w:rPr>
                      <w:color w:val="000000"/>
                      <w:sz w:val="18"/>
                      <w:szCs w:val="18"/>
                    </w:rPr>
                  </w:pPr>
                  <w:r>
                    <w:rPr>
                      <w:color w:val="000000"/>
                      <w:sz w:val="18"/>
                      <w:szCs w:val="18"/>
                    </w:rPr>
                    <w:t>聚烯烃弹性体</w:t>
                  </w:r>
                </w:p>
              </w:tc>
              <w:tc>
                <w:tcPr>
                  <w:tcW w:w="759" w:type="pct"/>
                  <w:noWrap/>
                  <w:vAlign w:val="center"/>
                </w:tcPr>
                <w:p w14:paraId="35A06EBA">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w:t>
                  </w:r>
                  <w:r>
                    <w:rPr>
                      <w:rFonts w:hint="eastAsia"/>
                      <w:color w:val="000000"/>
                      <w:sz w:val="18"/>
                      <w:szCs w:val="18"/>
                    </w:rPr>
                    <w:t>H</w:t>
                  </w:r>
                  <w:r>
                    <w:rPr>
                      <w:rFonts w:hint="eastAsia"/>
                      <w:color w:val="000000"/>
                      <w:sz w:val="18"/>
                      <w:szCs w:val="18"/>
                      <w:vertAlign w:val="subscript"/>
                    </w:rPr>
                    <w:t>4</w:t>
                  </w:r>
                  <w:r>
                    <w:rPr>
                      <w:rFonts w:hint="eastAsia"/>
                      <w:color w:val="000000"/>
                      <w:sz w:val="18"/>
                      <w:szCs w:val="18"/>
                    </w:rPr>
                    <w:t>)</w:t>
                  </w:r>
                  <w:r>
                    <w:rPr>
                      <w:rFonts w:hint="eastAsia"/>
                      <w:color w:val="000000"/>
                      <w:sz w:val="18"/>
                      <w:szCs w:val="18"/>
                      <w:vertAlign w:val="subscript"/>
                    </w:rPr>
                    <w:t>x</w:t>
                  </w:r>
                  <w:r>
                    <w:rPr>
                      <w:rFonts w:hint="eastAsia"/>
                      <w:color w:val="000000"/>
                      <w:sz w:val="18"/>
                      <w:szCs w:val="18"/>
                    </w:rPr>
                    <w:t>·(C</w:t>
                  </w:r>
                  <w:r>
                    <w:rPr>
                      <w:rFonts w:hint="eastAsia"/>
                      <w:color w:val="000000"/>
                      <w:sz w:val="18"/>
                      <w:szCs w:val="18"/>
                      <w:vertAlign w:val="subscript"/>
                    </w:rPr>
                    <w:t>8</w:t>
                  </w:r>
                  <w:r>
                    <w:rPr>
                      <w:rFonts w:hint="eastAsia"/>
                      <w:color w:val="000000"/>
                      <w:sz w:val="18"/>
                      <w:szCs w:val="18"/>
                    </w:rPr>
                    <w:t>H</w:t>
                  </w:r>
                  <w:r>
                    <w:rPr>
                      <w:rFonts w:hint="eastAsia"/>
                      <w:color w:val="000000"/>
                      <w:sz w:val="18"/>
                      <w:szCs w:val="18"/>
                      <w:vertAlign w:val="subscript"/>
                    </w:rPr>
                    <w:t>16</w:t>
                  </w:r>
                  <w:r>
                    <w:rPr>
                      <w:rFonts w:hint="eastAsia"/>
                      <w:color w:val="000000"/>
                      <w:sz w:val="18"/>
                      <w:szCs w:val="18"/>
                    </w:rPr>
                    <w:t>)</w:t>
                  </w:r>
                  <w:r>
                    <w:rPr>
                      <w:rFonts w:hint="eastAsia"/>
                      <w:color w:val="000000"/>
                      <w:sz w:val="18"/>
                      <w:szCs w:val="18"/>
                      <w:vertAlign w:val="subscript"/>
                    </w:rPr>
                    <w:t>y</w:t>
                  </w:r>
                </w:p>
              </w:tc>
              <w:tc>
                <w:tcPr>
                  <w:tcW w:w="3045" w:type="pct"/>
                  <w:noWrap/>
                  <w:vAlign w:val="center"/>
                </w:tcPr>
                <w:p w14:paraId="57958F72">
                  <w:pPr>
                    <w:overflowPunct w:val="0"/>
                    <w:autoSpaceDE w:val="0"/>
                    <w:autoSpaceDN w:val="0"/>
                    <w:adjustRightInd w:val="0"/>
                    <w:snapToGrid w:val="0"/>
                    <w:jc w:val="center"/>
                    <w:rPr>
                      <w:color w:val="000000"/>
                      <w:sz w:val="18"/>
                      <w:szCs w:val="18"/>
                    </w:rPr>
                  </w:pPr>
                  <w:r>
                    <w:rPr>
                      <w:color w:val="000000"/>
                      <w:sz w:val="18"/>
                      <w:szCs w:val="18"/>
                    </w:rPr>
                    <w:t>常温物理性状：白色颗粒；熔点：60-90℃；闪点：200℃以上；分解温度：250-280℃；毒性数据：低毒；溶解情况：不溶于水，溶于热有机溶剂</w:t>
                  </w:r>
                  <w:r>
                    <w:rPr>
                      <w:rFonts w:hint="eastAsia"/>
                      <w:color w:val="000000"/>
                      <w:sz w:val="18"/>
                      <w:szCs w:val="18"/>
                    </w:rPr>
                    <w:t>。</w:t>
                  </w:r>
                </w:p>
              </w:tc>
            </w:tr>
            <w:tr w14:paraId="3F0CE00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218" w:type="pct"/>
                  <w:noWrap w:val="0"/>
                  <w:vAlign w:val="center"/>
                </w:tcPr>
                <w:p w14:paraId="4F9B1BC3">
                  <w:pPr>
                    <w:overflowPunct w:val="0"/>
                    <w:autoSpaceDE w:val="0"/>
                    <w:autoSpaceDN w:val="0"/>
                    <w:adjustRightInd w:val="0"/>
                    <w:snapToGrid w:val="0"/>
                    <w:jc w:val="center"/>
                    <w:rPr>
                      <w:color w:val="000000"/>
                      <w:sz w:val="18"/>
                      <w:szCs w:val="18"/>
                    </w:rPr>
                  </w:pPr>
                  <w:r>
                    <w:rPr>
                      <w:color w:val="000000"/>
                      <w:sz w:val="18"/>
                      <w:szCs w:val="18"/>
                    </w:rPr>
                    <w:t>17</w:t>
                  </w:r>
                </w:p>
              </w:tc>
              <w:tc>
                <w:tcPr>
                  <w:tcW w:w="403" w:type="pct"/>
                  <w:noWrap/>
                  <w:vAlign w:val="center"/>
                </w:tcPr>
                <w:p w14:paraId="1CAF052A">
                  <w:pPr>
                    <w:overflowPunct w:val="0"/>
                    <w:autoSpaceDE w:val="0"/>
                    <w:autoSpaceDN w:val="0"/>
                    <w:adjustRightInd w:val="0"/>
                    <w:snapToGrid w:val="0"/>
                    <w:jc w:val="center"/>
                    <w:rPr>
                      <w:color w:val="000000"/>
                      <w:sz w:val="18"/>
                      <w:szCs w:val="18"/>
                    </w:rPr>
                  </w:pPr>
                  <w:r>
                    <w:rPr>
                      <w:color w:val="000000"/>
                      <w:sz w:val="18"/>
                      <w:szCs w:val="18"/>
                    </w:rPr>
                    <w:t>氢氧化铝</w:t>
                  </w:r>
                </w:p>
              </w:tc>
              <w:tc>
                <w:tcPr>
                  <w:tcW w:w="574" w:type="pct"/>
                  <w:noWrap/>
                  <w:vAlign w:val="center"/>
                </w:tcPr>
                <w:p w14:paraId="36F296AF">
                  <w:pPr>
                    <w:overflowPunct w:val="0"/>
                    <w:autoSpaceDE w:val="0"/>
                    <w:autoSpaceDN w:val="0"/>
                    <w:adjustRightInd w:val="0"/>
                    <w:snapToGrid w:val="0"/>
                    <w:jc w:val="center"/>
                    <w:rPr>
                      <w:color w:val="000000"/>
                      <w:sz w:val="18"/>
                      <w:szCs w:val="18"/>
                    </w:rPr>
                  </w:pPr>
                  <w:r>
                    <w:rPr>
                      <w:color w:val="000000"/>
                      <w:sz w:val="18"/>
                      <w:szCs w:val="18"/>
                    </w:rPr>
                    <w:t>Al(OH)</w:t>
                  </w:r>
                  <w:r>
                    <w:rPr>
                      <w:color w:val="000000"/>
                      <w:sz w:val="18"/>
                      <w:szCs w:val="18"/>
                      <w:vertAlign w:val="subscript"/>
                    </w:rPr>
                    <w:t>3</w:t>
                  </w:r>
                </w:p>
              </w:tc>
              <w:tc>
                <w:tcPr>
                  <w:tcW w:w="759" w:type="pct"/>
                  <w:noWrap/>
                  <w:vAlign w:val="center"/>
                </w:tcPr>
                <w:p w14:paraId="29940D0A">
                  <w:pPr>
                    <w:overflowPunct w:val="0"/>
                    <w:autoSpaceDE w:val="0"/>
                    <w:autoSpaceDN w:val="0"/>
                    <w:adjustRightInd w:val="0"/>
                    <w:snapToGrid w:val="0"/>
                    <w:jc w:val="center"/>
                    <w:rPr>
                      <w:color w:val="000000"/>
                      <w:sz w:val="18"/>
                      <w:szCs w:val="18"/>
                    </w:rPr>
                  </w:pPr>
                  <w:r>
                    <w:rPr>
                      <w:color w:val="000000"/>
                      <w:sz w:val="18"/>
                      <w:szCs w:val="18"/>
                    </w:rPr>
                    <w:t>Al(OH)</w:t>
                  </w:r>
                  <w:r>
                    <w:rPr>
                      <w:color w:val="000000"/>
                      <w:sz w:val="18"/>
                      <w:szCs w:val="18"/>
                      <w:vertAlign w:val="subscript"/>
                    </w:rPr>
                    <w:t>3</w:t>
                  </w:r>
                </w:p>
              </w:tc>
              <w:tc>
                <w:tcPr>
                  <w:tcW w:w="3045" w:type="pct"/>
                  <w:noWrap/>
                  <w:vAlign w:val="center"/>
                </w:tcPr>
                <w:p w14:paraId="14452D78">
                  <w:pPr>
                    <w:overflowPunct w:val="0"/>
                    <w:autoSpaceDE w:val="0"/>
                    <w:autoSpaceDN w:val="0"/>
                    <w:adjustRightInd w:val="0"/>
                    <w:snapToGrid w:val="0"/>
                    <w:jc w:val="center"/>
                    <w:rPr>
                      <w:color w:val="000000"/>
                      <w:sz w:val="18"/>
                      <w:szCs w:val="18"/>
                    </w:rPr>
                  </w:pPr>
                  <w:r>
                    <w:rPr>
                      <w:color w:val="000000"/>
                      <w:sz w:val="18"/>
                      <w:szCs w:val="18"/>
                    </w:rPr>
                    <w:t>常温物理性状：白色粉末；熔点：300℃（分解）；分解温度：300℃；毒性数据：无毒；溶解情况：不溶于水，溶于强酸</w:t>
                  </w:r>
                  <w:r>
                    <w:rPr>
                      <w:rFonts w:hint="eastAsia"/>
                      <w:color w:val="000000"/>
                      <w:sz w:val="18"/>
                      <w:szCs w:val="18"/>
                    </w:rPr>
                    <w:t>。</w:t>
                  </w:r>
                </w:p>
              </w:tc>
            </w:tr>
            <w:tr w14:paraId="46DFE2E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298EAA3D">
                  <w:pPr>
                    <w:overflowPunct w:val="0"/>
                    <w:autoSpaceDE w:val="0"/>
                    <w:autoSpaceDN w:val="0"/>
                    <w:adjustRightInd w:val="0"/>
                    <w:snapToGrid w:val="0"/>
                    <w:jc w:val="center"/>
                    <w:rPr>
                      <w:color w:val="000000"/>
                      <w:sz w:val="18"/>
                      <w:szCs w:val="18"/>
                    </w:rPr>
                  </w:pPr>
                  <w:r>
                    <w:rPr>
                      <w:color w:val="000000"/>
                      <w:sz w:val="18"/>
                      <w:szCs w:val="18"/>
                    </w:rPr>
                    <w:t>18</w:t>
                  </w:r>
                </w:p>
              </w:tc>
              <w:tc>
                <w:tcPr>
                  <w:tcW w:w="403" w:type="pct"/>
                  <w:noWrap/>
                  <w:vAlign w:val="center"/>
                </w:tcPr>
                <w:p w14:paraId="3D6DECF1">
                  <w:pPr>
                    <w:overflowPunct w:val="0"/>
                    <w:autoSpaceDE w:val="0"/>
                    <w:autoSpaceDN w:val="0"/>
                    <w:adjustRightInd w:val="0"/>
                    <w:snapToGrid w:val="0"/>
                    <w:jc w:val="center"/>
                    <w:rPr>
                      <w:color w:val="000000"/>
                      <w:sz w:val="18"/>
                      <w:szCs w:val="18"/>
                    </w:rPr>
                  </w:pPr>
                  <w:r>
                    <w:rPr>
                      <w:color w:val="000000"/>
                      <w:sz w:val="18"/>
                      <w:szCs w:val="18"/>
                    </w:rPr>
                    <w:t>相容剂</w:t>
                  </w:r>
                </w:p>
              </w:tc>
              <w:tc>
                <w:tcPr>
                  <w:tcW w:w="574" w:type="pct"/>
                  <w:noWrap/>
                  <w:vAlign w:val="center"/>
                </w:tcPr>
                <w:p w14:paraId="72DB8AF3">
                  <w:pPr>
                    <w:overflowPunct w:val="0"/>
                    <w:autoSpaceDE w:val="0"/>
                    <w:autoSpaceDN w:val="0"/>
                    <w:adjustRightInd w:val="0"/>
                    <w:snapToGrid w:val="0"/>
                    <w:jc w:val="center"/>
                    <w:rPr>
                      <w:color w:val="000000"/>
                      <w:sz w:val="18"/>
                      <w:szCs w:val="18"/>
                    </w:rPr>
                  </w:pPr>
                  <w:r>
                    <w:rPr>
                      <w:color w:val="000000"/>
                      <w:sz w:val="18"/>
                      <w:szCs w:val="18"/>
                    </w:rPr>
                    <w:t>马来酸酐接枝聚烯烃</w:t>
                  </w:r>
                </w:p>
              </w:tc>
              <w:tc>
                <w:tcPr>
                  <w:tcW w:w="759" w:type="pct"/>
                  <w:noWrap/>
                  <w:vAlign w:val="center"/>
                </w:tcPr>
                <w:p w14:paraId="2D17FA20">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4</w:t>
                  </w:r>
                  <w:r>
                    <w:rPr>
                      <w:rFonts w:hint="eastAsia"/>
                      <w:color w:val="000000"/>
                      <w:sz w:val="18"/>
                      <w:szCs w:val="18"/>
                    </w:rPr>
                    <w:t>H</w:t>
                  </w:r>
                  <w:r>
                    <w:rPr>
                      <w:rFonts w:hint="eastAsia"/>
                      <w:color w:val="000000"/>
                      <w:sz w:val="18"/>
                      <w:szCs w:val="18"/>
                      <w:vertAlign w:val="subscript"/>
                    </w:rPr>
                    <w:t>2</w:t>
                  </w:r>
                  <w:r>
                    <w:rPr>
                      <w:rFonts w:hint="eastAsia"/>
                      <w:color w:val="000000"/>
                      <w:sz w:val="18"/>
                      <w:szCs w:val="18"/>
                    </w:rPr>
                    <w:t>O</w:t>
                  </w:r>
                  <w:r>
                    <w:rPr>
                      <w:rFonts w:hint="eastAsia"/>
                      <w:color w:val="000000"/>
                      <w:sz w:val="18"/>
                      <w:szCs w:val="18"/>
                      <w:vertAlign w:val="subscript"/>
                    </w:rPr>
                    <w:t>3</w:t>
                  </w:r>
                  <w:r>
                    <w:rPr>
                      <w:rFonts w:hint="eastAsia"/>
                      <w:color w:val="000000"/>
                      <w:sz w:val="18"/>
                      <w:szCs w:val="18"/>
                    </w:rPr>
                    <w:t>·C</w:t>
                  </w:r>
                  <w:r>
                    <w:rPr>
                      <w:rFonts w:hint="eastAsia"/>
                      <w:color w:val="000000"/>
                      <w:sz w:val="18"/>
                      <w:szCs w:val="18"/>
                      <w:vertAlign w:val="subscript"/>
                    </w:rPr>
                    <w:t>2</w:t>
                  </w:r>
                  <w:r>
                    <w:rPr>
                      <w:rFonts w:hint="eastAsia"/>
                      <w:color w:val="000000"/>
                      <w:sz w:val="18"/>
                      <w:szCs w:val="18"/>
                    </w:rPr>
                    <w:t>H</w:t>
                  </w:r>
                  <w:r>
                    <w:rPr>
                      <w:rFonts w:hint="eastAsia"/>
                      <w:color w:val="000000"/>
                      <w:sz w:val="18"/>
                      <w:szCs w:val="18"/>
                      <w:vertAlign w:val="subscript"/>
                    </w:rPr>
                    <w:t>4</w:t>
                  </w:r>
                  <w:r>
                    <w:rPr>
                      <w:rFonts w:hint="eastAsia"/>
                      <w:color w:val="000000"/>
                      <w:sz w:val="18"/>
                      <w:szCs w:val="18"/>
                    </w:rPr>
                    <w:t>)x</w:t>
                  </w:r>
                </w:p>
              </w:tc>
              <w:tc>
                <w:tcPr>
                  <w:tcW w:w="3045" w:type="pct"/>
                  <w:noWrap/>
                  <w:vAlign w:val="center"/>
                </w:tcPr>
                <w:p w14:paraId="188ED1BE">
                  <w:pPr>
                    <w:overflowPunct w:val="0"/>
                    <w:autoSpaceDE w:val="0"/>
                    <w:autoSpaceDN w:val="0"/>
                    <w:adjustRightInd w:val="0"/>
                    <w:snapToGrid w:val="0"/>
                    <w:jc w:val="center"/>
                    <w:rPr>
                      <w:color w:val="000000"/>
                      <w:sz w:val="18"/>
                      <w:szCs w:val="18"/>
                    </w:rPr>
                  </w:pPr>
                  <w:r>
                    <w:rPr>
                      <w:color w:val="000000"/>
                      <w:sz w:val="18"/>
                      <w:szCs w:val="18"/>
                    </w:rPr>
                    <w:t>常温物理性状：白色颗粒；熔点：100-150℃（随基材而异）；闪点：220℃以上；分解温度：250-300℃；毒性数据：低毒；溶解情况：不溶于水，溶于芳烃、酯类</w:t>
                  </w:r>
                  <w:r>
                    <w:rPr>
                      <w:rFonts w:hint="eastAsia"/>
                      <w:color w:val="000000"/>
                      <w:sz w:val="18"/>
                      <w:szCs w:val="18"/>
                    </w:rPr>
                    <w:t>。刺激性臭味</w:t>
                  </w:r>
                </w:p>
              </w:tc>
            </w:tr>
            <w:tr w14:paraId="3503DEE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2F231C91">
                  <w:pPr>
                    <w:overflowPunct w:val="0"/>
                    <w:autoSpaceDE w:val="0"/>
                    <w:autoSpaceDN w:val="0"/>
                    <w:adjustRightInd w:val="0"/>
                    <w:snapToGrid w:val="0"/>
                    <w:jc w:val="center"/>
                    <w:rPr>
                      <w:color w:val="000000"/>
                      <w:sz w:val="18"/>
                      <w:szCs w:val="18"/>
                    </w:rPr>
                  </w:pPr>
                  <w:r>
                    <w:rPr>
                      <w:color w:val="000000"/>
                      <w:sz w:val="18"/>
                      <w:szCs w:val="18"/>
                    </w:rPr>
                    <w:t>19</w:t>
                  </w:r>
                </w:p>
              </w:tc>
              <w:tc>
                <w:tcPr>
                  <w:tcW w:w="403" w:type="pct"/>
                  <w:noWrap/>
                  <w:vAlign w:val="center"/>
                </w:tcPr>
                <w:p w14:paraId="6AA64227">
                  <w:pPr>
                    <w:overflowPunct w:val="0"/>
                    <w:autoSpaceDE w:val="0"/>
                    <w:autoSpaceDN w:val="0"/>
                    <w:adjustRightInd w:val="0"/>
                    <w:snapToGrid w:val="0"/>
                    <w:jc w:val="center"/>
                    <w:rPr>
                      <w:color w:val="000000"/>
                      <w:sz w:val="18"/>
                      <w:szCs w:val="18"/>
                    </w:rPr>
                  </w:pPr>
                  <w:r>
                    <w:rPr>
                      <w:color w:val="000000"/>
                      <w:sz w:val="18"/>
                      <w:szCs w:val="18"/>
                    </w:rPr>
                    <w:t>润滑剂</w:t>
                  </w:r>
                </w:p>
              </w:tc>
              <w:tc>
                <w:tcPr>
                  <w:tcW w:w="574" w:type="pct"/>
                  <w:noWrap/>
                  <w:vAlign w:val="center"/>
                </w:tcPr>
                <w:p w14:paraId="7B9417FC">
                  <w:pPr>
                    <w:overflowPunct w:val="0"/>
                    <w:autoSpaceDE w:val="0"/>
                    <w:autoSpaceDN w:val="0"/>
                    <w:adjustRightInd w:val="0"/>
                    <w:snapToGrid w:val="0"/>
                    <w:jc w:val="center"/>
                    <w:rPr>
                      <w:color w:val="000000"/>
                      <w:sz w:val="18"/>
                      <w:szCs w:val="18"/>
                    </w:rPr>
                  </w:pPr>
                  <w:r>
                    <w:rPr>
                      <w:color w:val="000000"/>
                      <w:sz w:val="18"/>
                      <w:szCs w:val="18"/>
                    </w:rPr>
                    <w:t>硬脂酸单甘油酯</w:t>
                  </w:r>
                </w:p>
              </w:tc>
              <w:tc>
                <w:tcPr>
                  <w:tcW w:w="759" w:type="pct"/>
                  <w:noWrap/>
                  <w:vAlign w:val="center"/>
                </w:tcPr>
                <w:p w14:paraId="38646A0E">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21</w:t>
                  </w:r>
                  <w:r>
                    <w:rPr>
                      <w:rFonts w:hint="eastAsia"/>
                      <w:color w:val="000000"/>
                      <w:sz w:val="18"/>
                      <w:szCs w:val="18"/>
                    </w:rPr>
                    <w:t>H</w:t>
                  </w:r>
                  <w:r>
                    <w:rPr>
                      <w:rFonts w:hint="eastAsia"/>
                      <w:color w:val="000000"/>
                      <w:sz w:val="18"/>
                      <w:szCs w:val="18"/>
                      <w:vertAlign w:val="subscript"/>
                    </w:rPr>
                    <w:t>42</w:t>
                  </w:r>
                  <w:r>
                    <w:rPr>
                      <w:rFonts w:hint="eastAsia"/>
                      <w:color w:val="000000"/>
                      <w:sz w:val="18"/>
                      <w:szCs w:val="18"/>
                    </w:rPr>
                    <w:t>O</w:t>
                  </w:r>
                  <w:r>
                    <w:rPr>
                      <w:rFonts w:hint="eastAsia"/>
                      <w:color w:val="000000"/>
                      <w:sz w:val="18"/>
                      <w:szCs w:val="18"/>
                      <w:vertAlign w:val="subscript"/>
                    </w:rPr>
                    <w:t>4</w:t>
                  </w:r>
                </w:p>
              </w:tc>
              <w:tc>
                <w:tcPr>
                  <w:tcW w:w="3045" w:type="pct"/>
                  <w:noWrap/>
                  <w:vAlign w:val="center"/>
                </w:tcPr>
                <w:p w14:paraId="0C7D90CF">
                  <w:pPr>
                    <w:overflowPunct w:val="0"/>
                    <w:autoSpaceDE w:val="0"/>
                    <w:autoSpaceDN w:val="0"/>
                    <w:adjustRightInd w:val="0"/>
                    <w:snapToGrid w:val="0"/>
                    <w:jc w:val="center"/>
                    <w:rPr>
                      <w:color w:val="000000"/>
                      <w:sz w:val="18"/>
                      <w:szCs w:val="18"/>
                    </w:rPr>
                  </w:pPr>
                  <w:r>
                    <w:rPr>
                      <w:color w:val="000000"/>
                      <w:sz w:val="18"/>
                      <w:szCs w:val="18"/>
                    </w:rPr>
                    <w:t>常温物理性状：白色蜡状固体；熔点：58-62℃；沸点：220℃（0.13kPa）；闪点：196℃；分解温度：230℃；毒性数据：低毒，LD₅₀（大鼠经口）&gt;10000mg/kg；溶解情况：微溶于水，溶于乙醇、乙醚、油脂</w:t>
                  </w:r>
                  <w:r>
                    <w:rPr>
                      <w:rFonts w:hint="eastAsia"/>
                      <w:color w:val="000000"/>
                      <w:sz w:val="18"/>
                      <w:szCs w:val="18"/>
                    </w:rPr>
                    <w:t>。</w:t>
                  </w:r>
                </w:p>
              </w:tc>
            </w:tr>
            <w:tr w14:paraId="7154A0A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42DFAEFC">
                  <w:pPr>
                    <w:overflowPunct w:val="0"/>
                    <w:autoSpaceDE w:val="0"/>
                    <w:autoSpaceDN w:val="0"/>
                    <w:adjustRightInd w:val="0"/>
                    <w:snapToGrid w:val="0"/>
                    <w:jc w:val="center"/>
                    <w:rPr>
                      <w:color w:val="000000"/>
                      <w:sz w:val="18"/>
                      <w:szCs w:val="18"/>
                    </w:rPr>
                  </w:pPr>
                  <w:r>
                    <w:rPr>
                      <w:color w:val="000000"/>
                      <w:sz w:val="18"/>
                      <w:szCs w:val="18"/>
                    </w:rPr>
                    <w:t>20</w:t>
                  </w:r>
                </w:p>
              </w:tc>
              <w:tc>
                <w:tcPr>
                  <w:tcW w:w="403" w:type="pct"/>
                  <w:noWrap/>
                  <w:vAlign w:val="center"/>
                </w:tcPr>
                <w:p w14:paraId="1BD19761">
                  <w:pPr>
                    <w:overflowPunct w:val="0"/>
                    <w:autoSpaceDE w:val="0"/>
                    <w:autoSpaceDN w:val="0"/>
                    <w:adjustRightInd w:val="0"/>
                    <w:snapToGrid w:val="0"/>
                    <w:jc w:val="center"/>
                    <w:rPr>
                      <w:color w:val="000000"/>
                      <w:sz w:val="18"/>
                      <w:szCs w:val="18"/>
                    </w:rPr>
                  </w:pPr>
                  <w:r>
                    <w:rPr>
                      <w:color w:val="000000"/>
                      <w:sz w:val="18"/>
                      <w:szCs w:val="18"/>
                    </w:rPr>
                    <w:t>抗氧剂</w:t>
                  </w:r>
                </w:p>
              </w:tc>
              <w:tc>
                <w:tcPr>
                  <w:tcW w:w="574" w:type="pct"/>
                  <w:noWrap/>
                  <w:vAlign w:val="center"/>
                </w:tcPr>
                <w:p w14:paraId="234AD238">
                  <w:pPr>
                    <w:overflowPunct w:val="0"/>
                    <w:autoSpaceDE w:val="0"/>
                    <w:autoSpaceDN w:val="0"/>
                    <w:adjustRightInd w:val="0"/>
                    <w:snapToGrid w:val="0"/>
                    <w:jc w:val="center"/>
                    <w:rPr>
                      <w:color w:val="000000"/>
                      <w:sz w:val="18"/>
                      <w:szCs w:val="18"/>
                    </w:rPr>
                  </w:pPr>
                  <w:r>
                    <w:rPr>
                      <w:color w:val="000000"/>
                      <w:sz w:val="18"/>
                      <w:szCs w:val="18"/>
                    </w:rPr>
                    <w:t>硫代二丙酸双十二醇酯</w:t>
                  </w:r>
                </w:p>
              </w:tc>
              <w:tc>
                <w:tcPr>
                  <w:tcW w:w="759" w:type="pct"/>
                  <w:noWrap/>
                  <w:vAlign w:val="center"/>
                </w:tcPr>
                <w:p w14:paraId="76DB304F">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30</w:t>
                  </w:r>
                  <w:r>
                    <w:rPr>
                      <w:rFonts w:hint="eastAsia"/>
                      <w:color w:val="000000"/>
                      <w:sz w:val="18"/>
                      <w:szCs w:val="18"/>
                    </w:rPr>
                    <w:t>H</w:t>
                  </w:r>
                  <w:r>
                    <w:rPr>
                      <w:rFonts w:hint="eastAsia"/>
                      <w:color w:val="000000"/>
                      <w:sz w:val="18"/>
                      <w:szCs w:val="18"/>
                      <w:vertAlign w:val="subscript"/>
                    </w:rPr>
                    <w:t>58</w:t>
                  </w:r>
                  <w:r>
                    <w:rPr>
                      <w:rFonts w:hint="eastAsia"/>
                      <w:color w:val="000000"/>
                      <w:sz w:val="18"/>
                      <w:szCs w:val="18"/>
                    </w:rPr>
                    <w:t>O</w:t>
                  </w:r>
                  <w:r>
                    <w:rPr>
                      <w:rFonts w:hint="eastAsia"/>
                      <w:color w:val="000000"/>
                      <w:sz w:val="18"/>
                      <w:szCs w:val="18"/>
                      <w:vertAlign w:val="subscript"/>
                    </w:rPr>
                    <w:t>4</w:t>
                  </w:r>
                  <w:r>
                    <w:rPr>
                      <w:rFonts w:hint="eastAsia"/>
                      <w:color w:val="000000"/>
                      <w:sz w:val="18"/>
                      <w:szCs w:val="18"/>
                    </w:rPr>
                    <w:t>S</w:t>
                  </w:r>
                </w:p>
              </w:tc>
              <w:tc>
                <w:tcPr>
                  <w:tcW w:w="3045" w:type="pct"/>
                  <w:noWrap/>
                  <w:vAlign w:val="center"/>
                </w:tcPr>
                <w:p w14:paraId="6DFEDBC4">
                  <w:pPr>
                    <w:overflowPunct w:val="0"/>
                    <w:autoSpaceDE w:val="0"/>
                    <w:autoSpaceDN w:val="0"/>
                    <w:adjustRightInd w:val="0"/>
                    <w:snapToGrid w:val="0"/>
                    <w:jc w:val="center"/>
                    <w:rPr>
                      <w:color w:val="000000"/>
                      <w:sz w:val="18"/>
                      <w:szCs w:val="18"/>
                    </w:rPr>
                  </w:pPr>
                  <w:r>
                    <w:rPr>
                      <w:color w:val="000000"/>
                      <w:sz w:val="18"/>
                      <w:szCs w:val="18"/>
                    </w:rPr>
                    <w:t>常温物理性状：白色结晶粉末；熔点：41-45℃；沸点：476℃；闪点：247℃；分解温度：250℃；毒性数据：低毒，LD₅₀（大鼠经口）&gt;10000mg/kg；溶解情况：溶于苯、甲苯、矿物油，不溶于水</w:t>
                  </w:r>
                  <w:r>
                    <w:rPr>
                      <w:rFonts w:hint="eastAsia"/>
                      <w:color w:val="000000"/>
                      <w:sz w:val="18"/>
                      <w:szCs w:val="18"/>
                    </w:rPr>
                    <w:t>。稍有臭味。</w:t>
                  </w:r>
                </w:p>
              </w:tc>
            </w:tr>
            <w:tr w14:paraId="1ECBAE4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18" w:type="pct"/>
                  <w:noWrap w:val="0"/>
                  <w:vAlign w:val="center"/>
                </w:tcPr>
                <w:p w14:paraId="67F7F758">
                  <w:pPr>
                    <w:overflowPunct w:val="0"/>
                    <w:autoSpaceDE w:val="0"/>
                    <w:autoSpaceDN w:val="0"/>
                    <w:adjustRightInd w:val="0"/>
                    <w:snapToGrid w:val="0"/>
                    <w:jc w:val="center"/>
                    <w:rPr>
                      <w:color w:val="000000"/>
                      <w:sz w:val="18"/>
                      <w:szCs w:val="18"/>
                    </w:rPr>
                  </w:pPr>
                  <w:r>
                    <w:rPr>
                      <w:color w:val="000000"/>
                      <w:sz w:val="18"/>
                      <w:szCs w:val="18"/>
                    </w:rPr>
                    <w:t>22</w:t>
                  </w:r>
                </w:p>
              </w:tc>
              <w:tc>
                <w:tcPr>
                  <w:tcW w:w="403" w:type="pct"/>
                  <w:noWrap/>
                  <w:vAlign w:val="center"/>
                </w:tcPr>
                <w:p w14:paraId="2DA3928C">
                  <w:pPr>
                    <w:overflowPunct w:val="0"/>
                    <w:autoSpaceDE w:val="0"/>
                    <w:autoSpaceDN w:val="0"/>
                    <w:adjustRightInd w:val="0"/>
                    <w:snapToGrid w:val="0"/>
                    <w:jc w:val="center"/>
                    <w:rPr>
                      <w:color w:val="000000"/>
                      <w:sz w:val="18"/>
                      <w:szCs w:val="18"/>
                    </w:rPr>
                  </w:pPr>
                  <w:r>
                    <w:rPr>
                      <w:color w:val="000000"/>
                      <w:sz w:val="18"/>
                      <w:szCs w:val="18"/>
                    </w:rPr>
                    <w:t>稳定</w:t>
                  </w:r>
                  <w:r>
                    <w:rPr>
                      <w:rFonts w:hint="eastAsia"/>
                      <w:color w:val="000000"/>
                      <w:sz w:val="18"/>
                      <w:szCs w:val="18"/>
                    </w:rPr>
                    <w:t>剂</w:t>
                  </w:r>
                </w:p>
              </w:tc>
              <w:tc>
                <w:tcPr>
                  <w:tcW w:w="574" w:type="pct"/>
                  <w:noWrap/>
                  <w:vAlign w:val="center"/>
                </w:tcPr>
                <w:p w14:paraId="5EC91DDC">
                  <w:pPr>
                    <w:overflowPunct w:val="0"/>
                    <w:autoSpaceDE w:val="0"/>
                    <w:autoSpaceDN w:val="0"/>
                    <w:adjustRightInd w:val="0"/>
                    <w:snapToGrid w:val="0"/>
                    <w:jc w:val="center"/>
                    <w:rPr>
                      <w:color w:val="000000"/>
                      <w:sz w:val="18"/>
                      <w:szCs w:val="18"/>
                    </w:rPr>
                  </w:pPr>
                  <w:r>
                    <w:rPr>
                      <w:color w:val="000000"/>
                      <w:sz w:val="18"/>
                      <w:szCs w:val="18"/>
                    </w:rPr>
                    <w:t>二苯甲酮</w:t>
                  </w:r>
                </w:p>
              </w:tc>
              <w:tc>
                <w:tcPr>
                  <w:tcW w:w="759" w:type="pct"/>
                  <w:noWrap/>
                  <w:vAlign w:val="center"/>
                </w:tcPr>
                <w:p w14:paraId="6E4CA136">
                  <w:pPr>
                    <w:overflowPunct w:val="0"/>
                    <w:autoSpaceDE w:val="0"/>
                    <w:autoSpaceDN w:val="0"/>
                    <w:adjustRightInd w:val="0"/>
                    <w:snapToGrid w:val="0"/>
                    <w:jc w:val="center"/>
                    <w:rPr>
                      <w:color w:val="000000"/>
                      <w:sz w:val="18"/>
                      <w:szCs w:val="18"/>
                    </w:rPr>
                  </w:pPr>
                  <w:r>
                    <w:rPr>
                      <w:rFonts w:hint="eastAsia"/>
                      <w:color w:val="000000"/>
                      <w:sz w:val="18"/>
                      <w:szCs w:val="18"/>
                    </w:rPr>
                    <w:t>C</w:t>
                  </w:r>
                  <w:r>
                    <w:rPr>
                      <w:rFonts w:hint="eastAsia"/>
                      <w:color w:val="000000"/>
                      <w:sz w:val="18"/>
                      <w:szCs w:val="18"/>
                      <w:vertAlign w:val="subscript"/>
                    </w:rPr>
                    <w:t>13</w:t>
                  </w:r>
                  <w:r>
                    <w:rPr>
                      <w:rFonts w:hint="eastAsia"/>
                      <w:color w:val="000000"/>
                      <w:sz w:val="18"/>
                      <w:szCs w:val="18"/>
                    </w:rPr>
                    <w:t>H</w:t>
                  </w:r>
                  <w:r>
                    <w:rPr>
                      <w:rFonts w:hint="eastAsia"/>
                      <w:color w:val="000000"/>
                      <w:sz w:val="18"/>
                      <w:szCs w:val="18"/>
                      <w:vertAlign w:val="subscript"/>
                    </w:rPr>
                    <w:t>10</w:t>
                  </w:r>
                  <w:r>
                    <w:rPr>
                      <w:rFonts w:hint="eastAsia"/>
                      <w:color w:val="000000"/>
                      <w:sz w:val="18"/>
                      <w:szCs w:val="18"/>
                    </w:rPr>
                    <w:t>O</w:t>
                  </w:r>
                </w:p>
              </w:tc>
              <w:tc>
                <w:tcPr>
                  <w:tcW w:w="3045" w:type="pct"/>
                  <w:noWrap/>
                  <w:vAlign w:val="center"/>
                </w:tcPr>
                <w:p w14:paraId="4600A8C9">
                  <w:pPr>
                    <w:overflowPunct w:val="0"/>
                    <w:autoSpaceDE w:val="0"/>
                    <w:autoSpaceDN w:val="0"/>
                    <w:adjustRightInd w:val="0"/>
                    <w:snapToGrid w:val="0"/>
                    <w:jc w:val="center"/>
                    <w:rPr>
                      <w:color w:val="000000"/>
                      <w:sz w:val="18"/>
                      <w:szCs w:val="18"/>
                    </w:rPr>
                  </w:pPr>
                  <w:r>
                    <w:rPr>
                      <w:color w:val="000000"/>
                      <w:sz w:val="18"/>
                      <w:szCs w:val="18"/>
                    </w:rPr>
                    <w:t>常温物理性状：淡黄色结晶；熔点：48-51℃；沸点：305℃；闪点：143℃；分解温度：&gt;300℃；毒性数据：低毒，LD₅₀（大鼠经口）&gt;10000mg/kg；溶解情况：溶于乙醇、苯、丙酮，不溶于水</w:t>
                  </w:r>
                  <w:r>
                    <w:rPr>
                      <w:rFonts w:hint="eastAsia"/>
                      <w:color w:val="000000"/>
                      <w:sz w:val="18"/>
                      <w:szCs w:val="18"/>
                    </w:rPr>
                    <w:t>。</w:t>
                  </w:r>
                </w:p>
              </w:tc>
            </w:tr>
            <w:tr w14:paraId="185E740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218" w:type="pct"/>
                  <w:noWrap w:val="0"/>
                  <w:vAlign w:val="center"/>
                </w:tcPr>
                <w:p w14:paraId="1A91DA66">
                  <w:pPr>
                    <w:overflowPunct w:val="0"/>
                    <w:autoSpaceDE w:val="0"/>
                    <w:autoSpaceDN w:val="0"/>
                    <w:adjustRightInd w:val="0"/>
                    <w:snapToGrid w:val="0"/>
                    <w:jc w:val="center"/>
                    <w:rPr>
                      <w:color w:val="000000"/>
                      <w:sz w:val="18"/>
                      <w:szCs w:val="18"/>
                    </w:rPr>
                  </w:pPr>
                  <w:r>
                    <w:rPr>
                      <w:color w:val="000000"/>
                      <w:sz w:val="18"/>
                      <w:szCs w:val="18"/>
                    </w:rPr>
                    <w:t>23</w:t>
                  </w:r>
                </w:p>
              </w:tc>
              <w:tc>
                <w:tcPr>
                  <w:tcW w:w="403" w:type="pct"/>
                  <w:noWrap/>
                  <w:vAlign w:val="center"/>
                </w:tcPr>
                <w:p w14:paraId="36260B79">
                  <w:pPr>
                    <w:overflowPunct w:val="0"/>
                    <w:autoSpaceDE w:val="0"/>
                    <w:autoSpaceDN w:val="0"/>
                    <w:adjustRightInd w:val="0"/>
                    <w:snapToGrid w:val="0"/>
                    <w:jc w:val="center"/>
                    <w:rPr>
                      <w:color w:val="000000"/>
                      <w:sz w:val="18"/>
                      <w:szCs w:val="18"/>
                    </w:rPr>
                  </w:pPr>
                  <w:r>
                    <w:rPr>
                      <w:color w:val="000000"/>
                      <w:sz w:val="18"/>
                      <w:szCs w:val="18"/>
                    </w:rPr>
                    <w:t>氢氧化镁</w:t>
                  </w:r>
                </w:p>
              </w:tc>
              <w:tc>
                <w:tcPr>
                  <w:tcW w:w="574" w:type="pct"/>
                  <w:noWrap/>
                  <w:vAlign w:val="center"/>
                </w:tcPr>
                <w:p w14:paraId="0E66865E">
                  <w:pPr>
                    <w:overflowPunct w:val="0"/>
                    <w:autoSpaceDE w:val="0"/>
                    <w:autoSpaceDN w:val="0"/>
                    <w:adjustRightInd w:val="0"/>
                    <w:snapToGrid w:val="0"/>
                    <w:jc w:val="center"/>
                    <w:rPr>
                      <w:color w:val="000000"/>
                      <w:sz w:val="18"/>
                      <w:szCs w:val="18"/>
                    </w:rPr>
                  </w:pPr>
                  <w:r>
                    <w:rPr>
                      <w:color w:val="000000"/>
                      <w:sz w:val="18"/>
                      <w:szCs w:val="18"/>
                    </w:rPr>
                    <w:t>Mg（OH）</w:t>
                  </w:r>
                  <w:r>
                    <w:rPr>
                      <w:color w:val="000000"/>
                      <w:sz w:val="18"/>
                      <w:szCs w:val="18"/>
                      <w:vertAlign w:val="subscript"/>
                    </w:rPr>
                    <w:t>2</w:t>
                  </w:r>
                </w:p>
              </w:tc>
              <w:tc>
                <w:tcPr>
                  <w:tcW w:w="759" w:type="pct"/>
                  <w:noWrap/>
                  <w:vAlign w:val="center"/>
                </w:tcPr>
                <w:p w14:paraId="42F3D6A2">
                  <w:pPr>
                    <w:overflowPunct w:val="0"/>
                    <w:autoSpaceDE w:val="0"/>
                    <w:autoSpaceDN w:val="0"/>
                    <w:adjustRightInd w:val="0"/>
                    <w:snapToGrid w:val="0"/>
                    <w:jc w:val="center"/>
                    <w:rPr>
                      <w:color w:val="000000"/>
                      <w:sz w:val="18"/>
                      <w:szCs w:val="18"/>
                    </w:rPr>
                  </w:pPr>
                  <w:r>
                    <w:rPr>
                      <w:color w:val="000000"/>
                      <w:sz w:val="18"/>
                      <w:szCs w:val="18"/>
                    </w:rPr>
                    <w:t>Mg（OH）</w:t>
                  </w:r>
                  <w:r>
                    <w:rPr>
                      <w:color w:val="000000"/>
                      <w:sz w:val="18"/>
                      <w:szCs w:val="18"/>
                      <w:vertAlign w:val="subscript"/>
                    </w:rPr>
                    <w:t>2</w:t>
                  </w:r>
                </w:p>
              </w:tc>
              <w:tc>
                <w:tcPr>
                  <w:tcW w:w="3045" w:type="pct"/>
                  <w:noWrap/>
                  <w:vAlign w:val="center"/>
                </w:tcPr>
                <w:p w14:paraId="2AC72000">
                  <w:pPr>
                    <w:overflowPunct w:val="0"/>
                    <w:autoSpaceDE w:val="0"/>
                    <w:autoSpaceDN w:val="0"/>
                    <w:adjustRightInd w:val="0"/>
                    <w:snapToGrid w:val="0"/>
                    <w:jc w:val="center"/>
                    <w:rPr>
                      <w:color w:val="000000"/>
                      <w:sz w:val="18"/>
                      <w:szCs w:val="18"/>
                    </w:rPr>
                  </w:pPr>
                  <w:r>
                    <w:rPr>
                      <w:color w:val="000000"/>
                      <w:sz w:val="18"/>
                      <w:szCs w:val="18"/>
                    </w:rPr>
                    <w:t>常温物理性状：白色粉末；熔点：350℃（分解）；分解温度：350℃；毒性数据：无毒；溶解情况：不溶于水，溶于强酸</w:t>
                  </w:r>
                  <w:r>
                    <w:rPr>
                      <w:rFonts w:hint="eastAsia"/>
                      <w:color w:val="000000"/>
                      <w:sz w:val="18"/>
                      <w:szCs w:val="18"/>
                    </w:rPr>
                    <w:t>。</w:t>
                  </w:r>
                </w:p>
              </w:tc>
            </w:tr>
            <w:tr w14:paraId="2DCC288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218" w:type="pct"/>
                  <w:noWrap w:val="0"/>
                  <w:vAlign w:val="center"/>
                </w:tcPr>
                <w:p w14:paraId="466EB676">
                  <w:pPr>
                    <w:overflowPunct w:val="0"/>
                    <w:autoSpaceDE w:val="0"/>
                    <w:autoSpaceDN w:val="0"/>
                    <w:adjustRightInd w:val="0"/>
                    <w:snapToGrid w:val="0"/>
                    <w:jc w:val="center"/>
                    <w:rPr>
                      <w:color w:val="000000"/>
                      <w:sz w:val="18"/>
                      <w:szCs w:val="18"/>
                    </w:rPr>
                  </w:pPr>
                  <w:r>
                    <w:rPr>
                      <w:rFonts w:hint="eastAsia"/>
                      <w:color w:val="000000"/>
                      <w:sz w:val="18"/>
                      <w:szCs w:val="18"/>
                    </w:rPr>
                    <w:t>24</w:t>
                  </w:r>
                </w:p>
              </w:tc>
              <w:tc>
                <w:tcPr>
                  <w:tcW w:w="403" w:type="pct"/>
                  <w:noWrap/>
                  <w:vAlign w:val="center"/>
                </w:tcPr>
                <w:p w14:paraId="44A44577">
                  <w:pPr>
                    <w:overflowPunct w:val="0"/>
                    <w:autoSpaceDE w:val="0"/>
                    <w:autoSpaceDN w:val="0"/>
                    <w:adjustRightInd w:val="0"/>
                    <w:snapToGrid w:val="0"/>
                    <w:jc w:val="center"/>
                    <w:rPr>
                      <w:rFonts w:hint="eastAsia" w:eastAsia="宋体"/>
                      <w:color w:val="000000"/>
                      <w:sz w:val="18"/>
                      <w:szCs w:val="18"/>
                      <w:lang w:eastAsia="zh-CN"/>
                    </w:rPr>
                  </w:pPr>
                  <w:r>
                    <w:rPr>
                      <w:rFonts w:hint="eastAsia"/>
                      <w:color w:val="000000"/>
                      <w:sz w:val="18"/>
                      <w:szCs w:val="18"/>
                      <w:lang w:val="en-US" w:eastAsia="zh-CN"/>
                    </w:rPr>
                    <w:t>片碱</w:t>
                  </w:r>
                </w:p>
              </w:tc>
              <w:tc>
                <w:tcPr>
                  <w:tcW w:w="574" w:type="pct"/>
                  <w:noWrap/>
                  <w:vAlign w:val="center"/>
                </w:tcPr>
                <w:p w14:paraId="22286556">
                  <w:pPr>
                    <w:overflowPunct w:val="0"/>
                    <w:autoSpaceDE w:val="0"/>
                    <w:autoSpaceDN w:val="0"/>
                    <w:adjustRightInd w:val="0"/>
                    <w:snapToGrid w:val="0"/>
                    <w:jc w:val="center"/>
                    <w:rPr>
                      <w:rFonts w:hint="eastAsia" w:eastAsia="宋体"/>
                      <w:color w:val="000000"/>
                      <w:sz w:val="18"/>
                      <w:szCs w:val="18"/>
                      <w:lang w:eastAsia="zh-CN"/>
                    </w:rPr>
                  </w:pPr>
                  <w:r>
                    <w:rPr>
                      <w:rFonts w:hint="eastAsia"/>
                      <w:color w:val="000000"/>
                      <w:sz w:val="18"/>
                      <w:szCs w:val="18"/>
                      <w:lang w:val="en-US" w:eastAsia="zh-CN"/>
                    </w:rPr>
                    <w:t>氢氧化钠</w:t>
                  </w:r>
                </w:p>
              </w:tc>
              <w:tc>
                <w:tcPr>
                  <w:tcW w:w="759" w:type="pct"/>
                  <w:noWrap/>
                  <w:vAlign w:val="center"/>
                </w:tcPr>
                <w:p w14:paraId="309BB33E">
                  <w:pPr>
                    <w:overflowPunct w:val="0"/>
                    <w:autoSpaceDE w:val="0"/>
                    <w:autoSpaceDN w:val="0"/>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Na</w:t>
                  </w:r>
                  <w:r>
                    <w:rPr>
                      <w:color w:val="000000"/>
                      <w:sz w:val="18"/>
                      <w:szCs w:val="18"/>
                    </w:rPr>
                    <w:t>OH</w:t>
                  </w:r>
                </w:p>
              </w:tc>
              <w:tc>
                <w:tcPr>
                  <w:tcW w:w="3045" w:type="pct"/>
                  <w:noWrap/>
                  <w:vAlign w:val="center"/>
                </w:tcPr>
                <w:p w14:paraId="7BAB2892">
                  <w:pPr>
                    <w:overflowPunct w:val="0"/>
                    <w:autoSpaceDE w:val="0"/>
                    <w:autoSpaceDN w:val="0"/>
                    <w:adjustRightInd w:val="0"/>
                    <w:snapToGrid w:val="0"/>
                    <w:jc w:val="center"/>
                    <w:rPr>
                      <w:color w:val="000000"/>
                      <w:sz w:val="18"/>
                      <w:szCs w:val="18"/>
                    </w:rPr>
                  </w:pPr>
                  <w:r>
                    <w:rPr>
                      <w:color w:val="000000"/>
                      <w:sz w:val="18"/>
                      <w:szCs w:val="18"/>
                    </w:rPr>
                    <w:t>常温物理性状：白色结晶</w:t>
                  </w:r>
                  <w:r>
                    <w:rPr>
                      <w:rFonts w:hint="eastAsia"/>
                      <w:color w:val="000000"/>
                      <w:sz w:val="18"/>
                      <w:szCs w:val="18"/>
                      <w:lang w:val="en-US" w:eastAsia="zh-CN"/>
                    </w:rPr>
                    <w:t>性固体；</w:t>
                  </w:r>
                  <w:r>
                    <w:rPr>
                      <w:color w:val="000000"/>
                      <w:sz w:val="18"/>
                      <w:szCs w:val="18"/>
                    </w:rPr>
                    <w:t>熔点：</w:t>
                  </w:r>
                  <w:r>
                    <w:rPr>
                      <w:rFonts w:hint="eastAsia"/>
                      <w:color w:val="000000"/>
                      <w:sz w:val="18"/>
                      <w:szCs w:val="18"/>
                      <w:lang w:val="en-US" w:eastAsia="zh-CN"/>
                    </w:rPr>
                    <w:t>318.4</w:t>
                  </w:r>
                  <w:r>
                    <w:rPr>
                      <w:color w:val="000000"/>
                      <w:sz w:val="18"/>
                      <w:szCs w:val="18"/>
                    </w:rPr>
                    <w:t>℃；沸点：</w:t>
                  </w:r>
                  <w:r>
                    <w:rPr>
                      <w:rFonts w:hint="eastAsia"/>
                      <w:color w:val="000000"/>
                      <w:sz w:val="18"/>
                      <w:szCs w:val="18"/>
                      <w:lang w:val="en-US" w:eastAsia="zh-CN"/>
                    </w:rPr>
                    <w:t>1390</w:t>
                  </w:r>
                  <w:r>
                    <w:rPr>
                      <w:color w:val="000000"/>
                      <w:sz w:val="18"/>
                      <w:szCs w:val="18"/>
                    </w:rPr>
                    <w:t>℃；溶解情况：</w:t>
                  </w:r>
                  <w:r>
                    <w:rPr>
                      <w:rFonts w:hint="eastAsia"/>
                      <w:color w:val="000000"/>
                      <w:sz w:val="18"/>
                      <w:szCs w:val="18"/>
                    </w:rPr>
                    <w:t>易溶于水、乙醇和甘油，但不溶于丙酮和乙醚。</w:t>
                  </w:r>
                </w:p>
              </w:tc>
            </w:tr>
          </w:tbl>
          <w:p w14:paraId="223E5132">
            <w:pPr>
              <w:adjustRightInd w:val="0"/>
              <w:spacing w:line="360" w:lineRule="auto"/>
              <w:rPr>
                <w:color w:val="000000"/>
              </w:rPr>
            </w:pPr>
            <w:r>
              <w:rPr>
                <w:rFonts w:hint="eastAsia"/>
                <w:b/>
                <w:bCs/>
                <w:color w:val="000000"/>
              </w:rPr>
              <w:t>2.4项目物料平衡及非甲烷总烃平衡</w:t>
            </w:r>
          </w:p>
          <w:p w14:paraId="4ED2F858">
            <w:pPr>
              <w:adjustRightInd w:val="0"/>
              <w:spacing w:line="360" w:lineRule="auto"/>
              <w:rPr>
                <w:color w:val="000000"/>
              </w:rPr>
            </w:pPr>
            <w:r>
              <w:rPr>
                <w:rFonts w:hint="eastAsia"/>
                <w:color w:val="000000"/>
              </w:rPr>
              <w:t>（1）PVC电缆料生产线物料平衡</w:t>
            </w:r>
          </w:p>
          <w:p w14:paraId="7D6E40CB">
            <w:pPr>
              <w:adjustRightInd w:val="0"/>
              <w:spacing w:line="360" w:lineRule="auto"/>
              <w:jc w:val="center"/>
              <w:rPr>
                <w:b/>
                <w:bCs/>
                <w:color w:val="000000"/>
              </w:rPr>
            </w:pPr>
            <w:r>
              <w:rPr>
                <w:rFonts w:hint="eastAsia"/>
                <w:b/>
                <w:bCs/>
                <w:color w:val="000000"/>
              </w:rPr>
              <w:t>表2-8  PVC电缆料生产线物料平衡表</w:t>
            </w:r>
          </w:p>
          <w:tbl>
            <w:tblPr>
              <w:tblStyle w:val="16"/>
              <w:tblW w:w="8534" w:type="dxa"/>
              <w:jc w:val="center"/>
              <w:tblLayout w:type="fixed"/>
              <w:tblCellMar>
                <w:top w:w="0" w:type="dxa"/>
                <w:left w:w="108" w:type="dxa"/>
                <w:bottom w:w="0" w:type="dxa"/>
                <w:right w:w="108" w:type="dxa"/>
              </w:tblCellMar>
            </w:tblPr>
            <w:tblGrid>
              <w:gridCol w:w="1919"/>
              <w:gridCol w:w="2000"/>
              <w:gridCol w:w="2251"/>
              <w:gridCol w:w="2364"/>
            </w:tblGrid>
            <w:tr w14:paraId="0BDEFC75">
              <w:trPr>
                <w:trHeight w:val="23" w:hRule="atLeast"/>
                <w:jc w:val="center"/>
              </w:trPr>
              <w:tc>
                <w:tcPr>
                  <w:tcW w:w="2296" w:type="pct"/>
                  <w:gridSpan w:val="2"/>
                  <w:tcBorders>
                    <w:top w:val="single" w:color="000000" w:sz="4" w:space="0"/>
                    <w:left w:val="single" w:color="000000" w:sz="4" w:space="0"/>
                    <w:bottom w:val="single" w:color="000000" w:sz="4" w:space="0"/>
                    <w:right w:val="single" w:color="000000" w:sz="4" w:space="0"/>
                  </w:tcBorders>
                  <w:noWrap/>
                  <w:vAlign w:val="center"/>
                </w:tcPr>
                <w:p w14:paraId="454BDCF3">
                  <w:pPr>
                    <w:widowControl/>
                    <w:jc w:val="center"/>
                    <w:textAlignment w:val="center"/>
                    <w:rPr>
                      <w:rFonts w:hint="eastAsia"/>
                      <w:b/>
                      <w:bCs/>
                      <w:color w:val="000000"/>
                      <w:sz w:val="21"/>
                      <w:szCs w:val="21"/>
                    </w:rPr>
                  </w:pPr>
                  <w:r>
                    <w:rPr>
                      <w:rFonts w:hint="eastAsia"/>
                      <w:b/>
                      <w:bCs/>
                      <w:color w:val="000000"/>
                      <w:sz w:val="21"/>
                      <w:szCs w:val="21"/>
                    </w:rPr>
                    <w:t>输入</w:t>
                  </w:r>
                </w:p>
              </w:tc>
              <w:tc>
                <w:tcPr>
                  <w:tcW w:w="2703" w:type="pct"/>
                  <w:gridSpan w:val="2"/>
                  <w:tcBorders>
                    <w:top w:val="single" w:color="000000" w:sz="4" w:space="0"/>
                    <w:left w:val="single" w:color="000000" w:sz="4" w:space="0"/>
                    <w:bottom w:val="single" w:color="000000" w:sz="4" w:space="0"/>
                    <w:right w:val="single" w:color="000000" w:sz="4" w:space="0"/>
                  </w:tcBorders>
                  <w:noWrap/>
                  <w:vAlign w:val="center"/>
                </w:tcPr>
                <w:p w14:paraId="55E70221">
                  <w:pPr>
                    <w:widowControl/>
                    <w:jc w:val="center"/>
                    <w:textAlignment w:val="center"/>
                    <w:rPr>
                      <w:rFonts w:hint="eastAsia"/>
                      <w:b/>
                      <w:bCs/>
                      <w:color w:val="000000"/>
                      <w:sz w:val="21"/>
                      <w:szCs w:val="21"/>
                    </w:rPr>
                  </w:pPr>
                  <w:r>
                    <w:rPr>
                      <w:rFonts w:hint="eastAsia"/>
                      <w:b/>
                      <w:bCs/>
                      <w:color w:val="000000"/>
                      <w:sz w:val="21"/>
                      <w:szCs w:val="21"/>
                    </w:rPr>
                    <w:t>输出</w:t>
                  </w:r>
                </w:p>
              </w:tc>
            </w:tr>
            <w:tr w14:paraId="2ED5F332">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3A842FEF">
                  <w:pPr>
                    <w:widowControl/>
                    <w:jc w:val="center"/>
                    <w:textAlignment w:val="center"/>
                    <w:rPr>
                      <w:rFonts w:hint="eastAsia"/>
                      <w:color w:val="000000"/>
                      <w:sz w:val="21"/>
                      <w:szCs w:val="21"/>
                    </w:rPr>
                  </w:pPr>
                  <w:r>
                    <w:rPr>
                      <w:rFonts w:hint="eastAsia" w:ascii="宋体" w:hAnsi="宋体" w:cs="宋体"/>
                      <w:color w:val="000000"/>
                      <w:kern w:val="0"/>
                      <w:sz w:val="21"/>
                      <w:szCs w:val="21"/>
                      <w:lang w:bidi="ar"/>
                    </w:rPr>
                    <w:t>输入物料</w:t>
                  </w:r>
                </w:p>
              </w:tc>
              <w:tc>
                <w:tcPr>
                  <w:tcW w:w="1171" w:type="pct"/>
                  <w:tcBorders>
                    <w:top w:val="single" w:color="000000" w:sz="4" w:space="0"/>
                    <w:left w:val="single" w:color="000000" w:sz="4" w:space="0"/>
                    <w:bottom w:val="single" w:color="000000" w:sz="4" w:space="0"/>
                    <w:right w:val="single" w:color="000000" w:sz="4" w:space="0"/>
                  </w:tcBorders>
                  <w:noWrap/>
                  <w:vAlign w:val="center"/>
                </w:tcPr>
                <w:p w14:paraId="2FD6947C">
                  <w:pPr>
                    <w:widowControl/>
                    <w:jc w:val="center"/>
                    <w:textAlignment w:val="center"/>
                    <w:rPr>
                      <w:color w:val="000000"/>
                      <w:sz w:val="21"/>
                      <w:szCs w:val="21"/>
                    </w:rPr>
                  </w:pPr>
                  <w:r>
                    <w:rPr>
                      <w:color w:val="000000"/>
                      <w:kern w:val="0"/>
                      <w:sz w:val="21"/>
                      <w:szCs w:val="21"/>
                      <w:lang w:bidi="ar"/>
                    </w:rPr>
                    <w:t>输入量（t/a）</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77FF2E03">
                  <w:pPr>
                    <w:widowControl/>
                    <w:jc w:val="center"/>
                    <w:textAlignment w:val="center"/>
                    <w:rPr>
                      <w:color w:val="000000"/>
                      <w:sz w:val="21"/>
                      <w:szCs w:val="21"/>
                    </w:rPr>
                  </w:pPr>
                  <w:r>
                    <w:rPr>
                      <w:color w:val="000000"/>
                      <w:kern w:val="0"/>
                      <w:sz w:val="21"/>
                      <w:szCs w:val="21"/>
                      <w:lang w:bidi="ar"/>
                    </w:rPr>
                    <w:t>输出物料</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46C008F1">
                  <w:pPr>
                    <w:widowControl/>
                    <w:jc w:val="center"/>
                    <w:textAlignment w:val="center"/>
                    <w:rPr>
                      <w:color w:val="000000"/>
                      <w:sz w:val="21"/>
                      <w:szCs w:val="21"/>
                    </w:rPr>
                  </w:pPr>
                  <w:r>
                    <w:rPr>
                      <w:color w:val="000000"/>
                      <w:kern w:val="0"/>
                      <w:sz w:val="21"/>
                      <w:szCs w:val="21"/>
                      <w:lang w:bidi="ar"/>
                    </w:rPr>
                    <w:t>输出量（t/a）</w:t>
                  </w:r>
                </w:p>
              </w:tc>
            </w:tr>
            <w:tr w14:paraId="47ED1664">
              <w:tblPrEx>
                <w:tblCellMar>
                  <w:top w:w="0" w:type="dxa"/>
                  <w:left w:w="108" w:type="dxa"/>
                  <w:bottom w:w="0" w:type="dxa"/>
                  <w:right w:w="108" w:type="dxa"/>
                </w:tblCellMar>
              </w:tblPrEx>
              <w:trPr>
                <w:trHeight w:val="90"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2072E1A8">
                  <w:pPr>
                    <w:widowControl/>
                    <w:jc w:val="center"/>
                    <w:textAlignment w:val="center"/>
                    <w:rPr>
                      <w:color w:val="000000"/>
                      <w:sz w:val="21"/>
                      <w:szCs w:val="21"/>
                    </w:rPr>
                  </w:pPr>
                  <w:r>
                    <w:rPr>
                      <w:color w:val="000000"/>
                      <w:kern w:val="0"/>
                      <w:sz w:val="21"/>
                      <w:szCs w:val="21"/>
                      <w:lang w:bidi="ar"/>
                    </w:rPr>
                    <w:t>PVC</w:t>
                  </w:r>
                  <w:r>
                    <w:rPr>
                      <w:rFonts w:hint="eastAsia" w:ascii="宋体" w:hAnsi="宋体" w:cs="宋体"/>
                      <w:color w:val="000000"/>
                      <w:kern w:val="0"/>
                      <w:sz w:val="21"/>
                      <w:szCs w:val="21"/>
                      <w:lang w:bidi="ar"/>
                    </w:rPr>
                    <w:t>树脂粉</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01C5C76B">
                  <w:pPr>
                    <w:widowControl/>
                    <w:jc w:val="center"/>
                    <w:textAlignment w:val="center"/>
                    <w:rPr>
                      <w:color w:val="000000"/>
                      <w:sz w:val="21"/>
                      <w:szCs w:val="21"/>
                    </w:rPr>
                  </w:pPr>
                  <w:r>
                    <w:rPr>
                      <w:color w:val="000000"/>
                      <w:kern w:val="0"/>
                      <w:sz w:val="21"/>
                      <w:szCs w:val="21"/>
                      <w:lang w:bidi="ar"/>
                    </w:rPr>
                    <w:t>2100</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181D4144">
                  <w:pPr>
                    <w:widowControl/>
                    <w:jc w:val="center"/>
                    <w:textAlignment w:val="center"/>
                    <w:rPr>
                      <w:color w:val="000000"/>
                      <w:sz w:val="21"/>
                      <w:szCs w:val="21"/>
                    </w:rPr>
                  </w:pPr>
                  <w:r>
                    <w:rPr>
                      <w:rFonts w:hint="eastAsia" w:ascii="宋体" w:hAnsi="宋体" w:cs="宋体"/>
                      <w:color w:val="000000"/>
                      <w:kern w:val="0"/>
                      <w:sz w:val="21"/>
                      <w:szCs w:val="21"/>
                      <w:lang w:bidi="ar"/>
                    </w:rPr>
                    <w:t>产品</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595567EC">
                  <w:pPr>
                    <w:widowControl/>
                    <w:jc w:val="center"/>
                    <w:textAlignment w:val="center"/>
                    <w:rPr>
                      <w:color w:val="000000"/>
                      <w:sz w:val="21"/>
                      <w:szCs w:val="21"/>
                    </w:rPr>
                  </w:pPr>
                  <w:r>
                    <w:rPr>
                      <w:color w:val="000000"/>
                      <w:kern w:val="0"/>
                      <w:sz w:val="21"/>
                      <w:szCs w:val="21"/>
                      <w:lang w:bidi="ar"/>
                    </w:rPr>
                    <w:t>3900</w:t>
                  </w:r>
                </w:p>
              </w:tc>
            </w:tr>
            <w:tr w14:paraId="2CF026BC">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6F293B11">
                  <w:pPr>
                    <w:widowControl/>
                    <w:jc w:val="center"/>
                    <w:textAlignment w:val="center"/>
                    <w:rPr>
                      <w:color w:val="000000"/>
                      <w:sz w:val="21"/>
                      <w:szCs w:val="21"/>
                    </w:rPr>
                  </w:pPr>
                  <w:r>
                    <w:rPr>
                      <w:rFonts w:hint="eastAsia" w:ascii="宋体" w:hAnsi="宋体" w:cs="宋体"/>
                      <w:color w:val="000000"/>
                      <w:kern w:val="0"/>
                      <w:sz w:val="21"/>
                      <w:szCs w:val="21"/>
                      <w:lang w:bidi="ar"/>
                    </w:rPr>
                    <w:t>碳酸钙</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4AD40F6F">
                  <w:pPr>
                    <w:widowControl/>
                    <w:jc w:val="center"/>
                    <w:textAlignment w:val="center"/>
                    <w:rPr>
                      <w:color w:val="000000"/>
                      <w:sz w:val="21"/>
                      <w:szCs w:val="21"/>
                    </w:rPr>
                  </w:pPr>
                  <w:r>
                    <w:rPr>
                      <w:color w:val="000000"/>
                      <w:kern w:val="0"/>
                      <w:sz w:val="21"/>
                      <w:szCs w:val="21"/>
                      <w:lang w:bidi="ar"/>
                    </w:rPr>
                    <w:t>900</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1FB03B7A">
                  <w:pPr>
                    <w:widowControl/>
                    <w:jc w:val="center"/>
                    <w:textAlignment w:val="center"/>
                    <w:rPr>
                      <w:rFonts w:hint="eastAsia" w:eastAsia="宋体"/>
                      <w:color w:val="000000"/>
                      <w:sz w:val="21"/>
                      <w:szCs w:val="21"/>
                      <w:lang w:eastAsia="zh-CN"/>
                    </w:rPr>
                  </w:pPr>
                  <w:r>
                    <w:rPr>
                      <w:rFonts w:hint="eastAsia" w:ascii="宋体" w:hAnsi="宋体" w:cs="宋体"/>
                      <w:color w:val="000000"/>
                      <w:kern w:val="0"/>
                      <w:sz w:val="21"/>
                      <w:szCs w:val="21"/>
                      <w:lang w:val="en-US" w:eastAsia="zh-CN" w:bidi="ar"/>
                    </w:rPr>
                    <w:t>除尘灰</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436E7CFC">
                  <w:pPr>
                    <w:widowControl/>
                    <w:jc w:val="center"/>
                    <w:textAlignment w:val="center"/>
                    <w:rPr>
                      <w:rFonts w:hint="default" w:eastAsia="宋体"/>
                      <w:color w:val="000000"/>
                      <w:sz w:val="21"/>
                      <w:szCs w:val="21"/>
                      <w:lang w:val="en-US" w:eastAsia="zh-CN"/>
                    </w:rPr>
                  </w:pPr>
                  <w:r>
                    <w:rPr>
                      <w:rFonts w:hint="eastAsia"/>
                      <w:color w:val="000000"/>
                      <w:kern w:val="0"/>
                      <w:sz w:val="21"/>
                      <w:szCs w:val="21"/>
                      <w:lang w:val="en-US" w:eastAsia="zh-CN" w:bidi="ar"/>
                    </w:rPr>
                    <w:t>4.439</w:t>
                  </w:r>
                </w:p>
              </w:tc>
            </w:tr>
            <w:tr w14:paraId="031EF877">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04AC7709">
                  <w:pPr>
                    <w:widowControl/>
                    <w:jc w:val="center"/>
                    <w:textAlignment w:val="center"/>
                    <w:rPr>
                      <w:color w:val="000000"/>
                      <w:sz w:val="21"/>
                      <w:szCs w:val="21"/>
                    </w:rPr>
                  </w:pPr>
                  <w:r>
                    <w:rPr>
                      <w:rFonts w:hint="eastAsia" w:ascii="宋体" w:hAnsi="宋体" w:cs="宋体"/>
                      <w:color w:val="000000"/>
                      <w:kern w:val="0"/>
                      <w:sz w:val="21"/>
                      <w:szCs w:val="21"/>
                      <w:lang w:bidi="ar"/>
                    </w:rPr>
                    <w:t>高岭土</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4A9F323">
                  <w:pPr>
                    <w:widowControl/>
                    <w:jc w:val="center"/>
                    <w:textAlignment w:val="center"/>
                    <w:rPr>
                      <w:color w:val="000000"/>
                      <w:sz w:val="21"/>
                      <w:szCs w:val="21"/>
                    </w:rPr>
                  </w:pPr>
                  <w:r>
                    <w:rPr>
                      <w:color w:val="000000"/>
                      <w:kern w:val="0"/>
                      <w:sz w:val="21"/>
                      <w:szCs w:val="21"/>
                      <w:lang w:bidi="ar"/>
                    </w:rPr>
                    <w:t>115</w:t>
                  </w:r>
                </w:p>
              </w:tc>
              <w:tc>
                <w:tcPr>
                  <w:tcW w:w="1318" w:type="pct"/>
                  <w:tcBorders>
                    <w:top w:val="single" w:color="000000" w:sz="4" w:space="0"/>
                    <w:left w:val="single" w:color="000000" w:sz="4" w:space="0"/>
                    <w:bottom w:val="single" w:color="000000" w:sz="4" w:space="0"/>
                    <w:right w:val="single" w:color="000000" w:sz="4" w:space="0"/>
                  </w:tcBorders>
                  <w:noWrap w:val="0"/>
                  <w:vAlign w:val="center"/>
                </w:tcPr>
                <w:p w14:paraId="543C041C">
                  <w:pPr>
                    <w:widowControl/>
                    <w:jc w:val="center"/>
                    <w:textAlignment w:val="center"/>
                    <w:rPr>
                      <w:color w:val="000000"/>
                      <w:sz w:val="21"/>
                      <w:szCs w:val="21"/>
                    </w:rPr>
                  </w:pPr>
                  <w:r>
                    <w:rPr>
                      <w:rFonts w:hint="eastAsia" w:ascii="宋体" w:hAnsi="宋体" w:cs="宋体"/>
                      <w:color w:val="000000"/>
                      <w:kern w:val="0"/>
                      <w:sz w:val="21"/>
                      <w:szCs w:val="21"/>
                      <w:lang w:val="en-US" w:eastAsia="zh-CN" w:bidi="ar"/>
                    </w:rPr>
                    <w:t>活性炭吸附的</w:t>
                  </w:r>
                  <w:r>
                    <w:rPr>
                      <w:rFonts w:hint="eastAsia" w:ascii="宋体" w:hAnsi="宋体" w:cs="宋体"/>
                      <w:color w:val="000000"/>
                      <w:kern w:val="0"/>
                      <w:sz w:val="21"/>
                      <w:szCs w:val="21"/>
                      <w:lang w:eastAsia="zh-CN" w:bidi="ar"/>
                    </w:rPr>
                    <w:t>非甲烷总烃</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617DB4E3">
                  <w:pPr>
                    <w:widowControl/>
                    <w:jc w:val="center"/>
                    <w:textAlignment w:val="center"/>
                    <w:rPr>
                      <w:rFonts w:hint="default" w:eastAsia="宋体"/>
                      <w:color w:val="000000"/>
                      <w:sz w:val="21"/>
                      <w:szCs w:val="21"/>
                      <w:lang w:val="en-US" w:eastAsia="zh-CN"/>
                    </w:rPr>
                  </w:pPr>
                  <w:r>
                    <w:rPr>
                      <w:rFonts w:hint="eastAsia"/>
                      <w:color w:val="000000"/>
                      <w:kern w:val="0"/>
                      <w:sz w:val="21"/>
                      <w:szCs w:val="21"/>
                      <w:lang w:val="en-US" w:eastAsia="zh-CN" w:bidi="ar"/>
                    </w:rPr>
                    <w:t>4.800</w:t>
                  </w:r>
                </w:p>
              </w:tc>
            </w:tr>
            <w:tr w14:paraId="25177281">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13070041">
                  <w:pPr>
                    <w:widowControl/>
                    <w:jc w:val="center"/>
                    <w:textAlignment w:val="center"/>
                    <w:rPr>
                      <w:color w:val="000000"/>
                      <w:sz w:val="21"/>
                      <w:szCs w:val="21"/>
                    </w:rPr>
                  </w:pPr>
                  <w:r>
                    <w:rPr>
                      <w:color w:val="000000"/>
                      <w:kern w:val="0"/>
                      <w:sz w:val="21"/>
                      <w:szCs w:val="21"/>
                      <w:lang w:bidi="ar"/>
                    </w:rPr>
                    <w:t>ESO</w:t>
                  </w:r>
                  <w:r>
                    <w:rPr>
                      <w:rFonts w:hint="eastAsia" w:ascii="宋体" w:hAnsi="宋体" w:cs="宋体"/>
                      <w:color w:val="000000"/>
                      <w:kern w:val="0"/>
                      <w:sz w:val="21"/>
                      <w:szCs w:val="21"/>
                      <w:lang w:bidi="ar"/>
                    </w:rPr>
                    <w:t>环氧大豆油</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2F79461F">
                  <w:pPr>
                    <w:widowControl/>
                    <w:jc w:val="center"/>
                    <w:textAlignment w:val="center"/>
                    <w:rPr>
                      <w:color w:val="000000"/>
                      <w:sz w:val="21"/>
                      <w:szCs w:val="21"/>
                    </w:rPr>
                  </w:pPr>
                  <w:r>
                    <w:rPr>
                      <w:color w:val="000000"/>
                      <w:kern w:val="0"/>
                      <w:sz w:val="21"/>
                      <w:szCs w:val="21"/>
                      <w:lang w:bidi="ar"/>
                    </w:rPr>
                    <w:t>250</w:t>
                  </w:r>
                </w:p>
              </w:tc>
              <w:tc>
                <w:tcPr>
                  <w:tcW w:w="1318" w:type="pct"/>
                  <w:tcBorders>
                    <w:top w:val="single" w:color="000000" w:sz="4" w:space="0"/>
                    <w:left w:val="single" w:color="000000" w:sz="4" w:space="0"/>
                    <w:bottom w:val="single" w:color="000000" w:sz="4" w:space="0"/>
                    <w:right w:val="single" w:color="000000" w:sz="4" w:space="0"/>
                  </w:tcBorders>
                  <w:noWrap w:val="0"/>
                  <w:vAlign w:val="center"/>
                </w:tcPr>
                <w:p w14:paraId="64089B4C">
                  <w:pPr>
                    <w:widowControl/>
                    <w:jc w:val="center"/>
                    <w:textAlignment w:val="center"/>
                    <w:rPr>
                      <w:color w:val="000000"/>
                      <w:sz w:val="21"/>
                      <w:szCs w:val="21"/>
                    </w:rPr>
                  </w:pPr>
                  <w:r>
                    <w:rPr>
                      <w:rFonts w:hint="eastAsia"/>
                      <w:color w:val="000000"/>
                      <w:sz w:val="21"/>
                      <w:szCs w:val="21"/>
                      <w:lang w:val="en-US" w:eastAsia="zh-CN"/>
                    </w:rPr>
                    <w:t>酸雾洗涤塔吸附的</w:t>
                  </w:r>
                  <w:r>
                    <w:rPr>
                      <w:rFonts w:hint="eastAsia"/>
                      <w:color w:val="000000"/>
                      <w:sz w:val="21"/>
                      <w:szCs w:val="21"/>
                      <w:lang w:eastAsia="zh-CN"/>
                    </w:rPr>
                    <w:t>氯化氢</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3178B5F4">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0.037</w:t>
                  </w:r>
                </w:p>
              </w:tc>
            </w:tr>
            <w:tr w14:paraId="66B0A657">
              <w:tblPrEx>
                <w:tblCellMar>
                  <w:top w:w="0" w:type="dxa"/>
                  <w:left w:w="108" w:type="dxa"/>
                  <w:bottom w:w="0" w:type="dxa"/>
                  <w:right w:w="108" w:type="dxa"/>
                </w:tblCellMar>
              </w:tblPrEx>
              <w:trPr>
                <w:trHeight w:val="90"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71A2281C">
                  <w:pPr>
                    <w:widowControl/>
                    <w:jc w:val="center"/>
                    <w:textAlignment w:val="center"/>
                    <w:rPr>
                      <w:color w:val="000000"/>
                      <w:sz w:val="21"/>
                      <w:szCs w:val="21"/>
                    </w:rPr>
                  </w:pPr>
                  <w:r>
                    <w:rPr>
                      <w:rFonts w:hint="eastAsia" w:ascii="宋体" w:hAnsi="宋体" w:cs="宋体"/>
                      <w:color w:val="000000"/>
                      <w:kern w:val="0"/>
                      <w:sz w:val="21"/>
                      <w:szCs w:val="21"/>
                      <w:lang w:bidi="ar"/>
                    </w:rPr>
                    <w:t>氯化石蜡</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91F6989">
                  <w:pPr>
                    <w:widowControl/>
                    <w:jc w:val="center"/>
                    <w:textAlignment w:val="center"/>
                    <w:rPr>
                      <w:color w:val="000000"/>
                      <w:sz w:val="21"/>
                      <w:szCs w:val="21"/>
                    </w:rPr>
                  </w:pPr>
                  <w:r>
                    <w:rPr>
                      <w:color w:val="000000"/>
                      <w:kern w:val="0"/>
                      <w:sz w:val="21"/>
                      <w:szCs w:val="21"/>
                      <w:lang w:bidi="ar"/>
                    </w:rPr>
                    <w:t>250</w:t>
                  </w:r>
                </w:p>
              </w:tc>
              <w:tc>
                <w:tcPr>
                  <w:tcW w:w="1318" w:type="pct"/>
                  <w:tcBorders>
                    <w:top w:val="single" w:color="000000" w:sz="4" w:space="0"/>
                    <w:left w:val="single" w:color="000000" w:sz="4" w:space="0"/>
                    <w:bottom w:val="single" w:color="000000" w:sz="4" w:space="0"/>
                    <w:right w:val="single" w:color="000000" w:sz="4" w:space="0"/>
                  </w:tcBorders>
                  <w:noWrap w:val="0"/>
                  <w:vAlign w:val="center"/>
                </w:tcPr>
                <w:p w14:paraId="65B0A022">
                  <w:pPr>
                    <w:widowControl/>
                    <w:jc w:val="center"/>
                    <w:textAlignment w:val="center"/>
                    <w:rPr>
                      <w:color w:val="000000"/>
                      <w:sz w:val="21"/>
                      <w:szCs w:val="21"/>
                    </w:rPr>
                  </w:pPr>
                  <w:r>
                    <w:rPr>
                      <w:rFonts w:hint="eastAsia" w:ascii="宋体" w:hAnsi="宋体" w:cs="宋体"/>
                      <w:color w:val="000000"/>
                      <w:kern w:val="0"/>
                      <w:sz w:val="21"/>
                      <w:szCs w:val="21"/>
                      <w:lang w:val="en-US" w:eastAsia="zh-CN" w:bidi="ar"/>
                    </w:rPr>
                    <w:t>活性炭吸附的</w:t>
                  </w:r>
                  <w:r>
                    <w:rPr>
                      <w:rFonts w:hint="eastAsia"/>
                      <w:color w:val="000000"/>
                      <w:sz w:val="21"/>
                      <w:szCs w:val="21"/>
                      <w:lang w:eastAsia="zh-CN"/>
                    </w:rPr>
                    <w:t>氯乙烯</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2389C7B3">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0.071</w:t>
                  </w:r>
                </w:p>
              </w:tc>
            </w:tr>
            <w:tr w14:paraId="32AD89FA">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01B69620">
                  <w:pPr>
                    <w:widowControl/>
                    <w:jc w:val="center"/>
                    <w:textAlignment w:val="center"/>
                    <w:rPr>
                      <w:color w:val="000000"/>
                      <w:sz w:val="21"/>
                      <w:szCs w:val="21"/>
                    </w:rPr>
                  </w:pPr>
                  <w:r>
                    <w:rPr>
                      <w:color w:val="000000"/>
                      <w:kern w:val="0"/>
                      <w:sz w:val="21"/>
                      <w:szCs w:val="21"/>
                      <w:lang w:bidi="ar"/>
                    </w:rPr>
                    <w:t>TOTM</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6714D069">
                  <w:pPr>
                    <w:widowControl/>
                    <w:jc w:val="center"/>
                    <w:textAlignment w:val="center"/>
                    <w:rPr>
                      <w:color w:val="000000"/>
                      <w:sz w:val="21"/>
                      <w:szCs w:val="21"/>
                    </w:rPr>
                  </w:pPr>
                  <w:r>
                    <w:rPr>
                      <w:color w:val="000000"/>
                      <w:kern w:val="0"/>
                      <w:sz w:val="21"/>
                      <w:szCs w:val="21"/>
                      <w:lang w:bidi="ar"/>
                    </w:rPr>
                    <w:t>70</w:t>
                  </w:r>
                </w:p>
              </w:tc>
              <w:tc>
                <w:tcPr>
                  <w:tcW w:w="1318" w:type="pct"/>
                  <w:tcBorders>
                    <w:top w:val="single" w:color="000000" w:sz="4" w:space="0"/>
                    <w:left w:val="single" w:color="000000" w:sz="4" w:space="0"/>
                    <w:bottom w:val="single" w:color="000000" w:sz="4" w:space="0"/>
                    <w:right w:val="single" w:color="000000" w:sz="4" w:space="0"/>
                  </w:tcBorders>
                  <w:noWrap w:val="0"/>
                  <w:vAlign w:val="center"/>
                </w:tcPr>
                <w:p w14:paraId="5D1363F8">
                  <w:pPr>
                    <w:widowControl/>
                    <w:jc w:val="center"/>
                    <w:textAlignment w:val="center"/>
                    <w:rPr>
                      <w:color w:val="000000"/>
                      <w:sz w:val="21"/>
                      <w:szCs w:val="21"/>
                    </w:rPr>
                  </w:pPr>
                  <w:r>
                    <w:rPr>
                      <w:rFonts w:hint="eastAsia" w:ascii="宋体" w:hAnsi="宋体" w:cs="宋体"/>
                      <w:color w:val="000000"/>
                      <w:kern w:val="0"/>
                      <w:sz w:val="21"/>
                      <w:szCs w:val="21"/>
                      <w:lang w:bidi="ar"/>
                    </w:rPr>
                    <w:t>废气排放-颗粒物</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316DFC02">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1.385</w:t>
                  </w:r>
                </w:p>
              </w:tc>
            </w:tr>
            <w:tr w14:paraId="5688573E">
              <w:tblPrEx>
                <w:tblCellMar>
                  <w:top w:w="0" w:type="dxa"/>
                  <w:left w:w="108" w:type="dxa"/>
                  <w:bottom w:w="0" w:type="dxa"/>
                  <w:right w:w="108" w:type="dxa"/>
                </w:tblCellMar>
              </w:tblPrEx>
              <w:trPr>
                <w:trHeight w:val="90"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5EA97C37">
                  <w:pPr>
                    <w:widowControl/>
                    <w:jc w:val="center"/>
                    <w:textAlignment w:val="center"/>
                    <w:rPr>
                      <w:color w:val="000000"/>
                      <w:sz w:val="21"/>
                      <w:szCs w:val="21"/>
                    </w:rPr>
                  </w:pPr>
                  <w:r>
                    <w:rPr>
                      <w:color w:val="000000"/>
                      <w:kern w:val="0"/>
                      <w:sz w:val="21"/>
                      <w:szCs w:val="21"/>
                      <w:lang w:bidi="ar"/>
                    </w:rPr>
                    <w:t>DOTP</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5C42BFF">
                  <w:pPr>
                    <w:widowControl/>
                    <w:jc w:val="center"/>
                    <w:textAlignment w:val="center"/>
                    <w:rPr>
                      <w:color w:val="000000"/>
                      <w:sz w:val="21"/>
                      <w:szCs w:val="21"/>
                    </w:rPr>
                  </w:pPr>
                  <w:r>
                    <w:rPr>
                      <w:color w:val="000000"/>
                      <w:kern w:val="0"/>
                      <w:sz w:val="21"/>
                      <w:szCs w:val="21"/>
                      <w:lang w:bidi="ar"/>
                    </w:rPr>
                    <w:t>70</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0F226200">
                  <w:pPr>
                    <w:widowControl/>
                    <w:jc w:val="center"/>
                    <w:textAlignment w:val="center"/>
                    <w:rPr>
                      <w:color w:val="000000"/>
                      <w:sz w:val="21"/>
                      <w:szCs w:val="21"/>
                    </w:rPr>
                  </w:pPr>
                  <w:r>
                    <w:rPr>
                      <w:rFonts w:hint="eastAsia" w:ascii="宋体" w:hAnsi="宋体" w:cs="宋体"/>
                      <w:color w:val="000000"/>
                      <w:kern w:val="0"/>
                      <w:sz w:val="21"/>
                      <w:szCs w:val="21"/>
                      <w:lang w:bidi="ar"/>
                    </w:rPr>
                    <w:t>废气排放-非甲烷总烃</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124A4B83">
                  <w:pPr>
                    <w:widowControl/>
                    <w:jc w:val="center"/>
                    <w:textAlignment w:val="center"/>
                    <w:rPr>
                      <w:color w:val="000000"/>
                      <w:sz w:val="21"/>
                      <w:szCs w:val="21"/>
                    </w:rPr>
                  </w:pPr>
                  <w:r>
                    <w:rPr>
                      <w:color w:val="000000"/>
                      <w:kern w:val="0"/>
                      <w:sz w:val="21"/>
                      <w:szCs w:val="21"/>
                      <w:lang w:bidi="ar"/>
                    </w:rPr>
                    <w:t xml:space="preserve">1.474 </w:t>
                  </w:r>
                </w:p>
              </w:tc>
            </w:tr>
            <w:tr w14:paraId="325AC435">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393DB800">
                  <w:pPr>
                    <w:widowControl/>
                    <w:jc w:val="center"/>
                    <w:textAlignment w:val="center"/>
                    <w:rPr>
                      <w:color w:val="000000"/>
                      <w:sz w:val="21"/>
                      <w:szCs w:val="21"/>
                    </w:rPr>
                  </w:pPr>
                  <w:r>
                    <w:rPr>
                      <w:color w:val="000000"/>
                      <w:kern w:val="0"/>
                      <w:sz w:val="21"/>
                      <w:szCs w:val="21"/>
                      <w:lang w:bidi="ar"/>
                    </w:rPr>
                    <w:t>DOA</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465D80ED">
                  <w:pPr>
                    <w:widowControl/>
                    <w:jc w:val="center"/>
                    <w:textAlignment w:val="center"/>
                    <w:rPr>
                      <w:color w:val="000000"/>
                      <w:sz w:val="21"/>
                      <w:szCs w:val="21"/>
                    </w:rPr>
                  </w:pPr>
                  <w:r>
                    <w:rPr>
                      <w:color w:val="000000"/>
                      <w:kern w:val="0"/>
                      <w:sz w:val="21"/>
                      <w:szCs w:val="21"/>
                      <w:lang w:bidi="ar"/>
                    </w:rPr>
                    <w:t>80</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7A406A58">
                  <w:pPr>
                    <w:widowControl/>
                    <w:jc w:val="center"/>
                    <w:textAlignment w:val="center"/>
                    <w:rPr>
                      <w:color w:val="000000"/>
                      <w:sz w:val="21"/>
                      <w:szCs w:val="21"/>
                    </w:rPr>
                  </w:pPr>
                  <w:r>
                    <w:rPr>
                      <w:rFonts w:hint="eastAsia" w:ascii="宋体" w:hAnsi="宋体" w:cs="宋体"/>
                      <w:color w:val="000000"/>
                      <w:kern w:val="0"/>
                      <w:sz w:val="21"/>
                      <w:szCs w:val="21"/>
                      <w:lang w:bidi="ar"/>
                    </w:rPr>
                    <w:t>废气排放-氯化氢</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3827DC75">
                  <w:pPr>
                    <w:widowControl/>
                    <w:jc w:val="center"/>
                    <w:textAlignment w:val="center"/>
                    <w:rPr>
                      <w:color w:val="000000"/>
                      <w:sz w:val="21"/>
                      <w:szCs w:val="21"/>
                    </w:rPr>
                  </w:pPr>
                  <w:r>
                    <w:rPr>
                      <w:color w:val="000000"/>
                      <w:kern w:val="0"/>
                      <w:sz w:val="21"/>
                      <w:szCs w:val="21"/>
                      <w:lang w:bidi="ar"/>
                    </w:rPr>
                    <w:t xml:space="preserve">0.021 </w:t>
                  </w:r>
                </w:p>
              </w:tc>
            </w:tr>
            <w:tr w14:paraId="5C39F361">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7C95075C">
                  <w:pPr>
                    <w:widowControl/>
                    <w:jc w:val="center"/>
                    <w:textAlignment w:val="center"/>
                    <w:rPr>
                      <w:color w:val="000000"/>
                      <w:sz w:val="21"/>
                      <w:szCs w:val="21"/>
                    </w:rPr>
                  </w:pPr>
                  <w:r>
                    <w:rPr>
                      <w:color w:val="000000"/>
                      <w:kern w:val="0"/>
                      <w:sz w:val="21"/>
                      <w:szCs w:val="21"/>
                      <w:lang w:bidi="ar"/>
                    </w:rPr>
                    <w:t>DOS</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10A7BB9F">
                  <w:pPr>
                    <w:widowControl/>
                    <w:jc w:val="center"/>
                    <w:textAlignment w:val="center"/>
                    <w:rPr>
                      <w:color w:val="000000"/>
                      <w:sz w:val="21"/>
                      <w:szCs w:val="21"/>
                    </w:rPr>
                  </w:pPr>
                  <w:r>
                    <w:rPr>
                      <w:color w:val="000000"/>
                      <w:kern w:val="0"/>
                      <w:sz w:val="21"/>
                      <w:szCs w:val="21"/>
                      <w:lang w:bidi="ar"/>
                    </w:rPr>
                    <w:t>70</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6FA34F16">
                  <w:pPr>
                    <w:widowControl/>
                    <w:jc w:val="center"/>
                    <w:textAlignment w:val="center"/>
                    <w:rPr>
                      <w:color w:val="000000"/>
                      <w:sz w:val="21"/>
                      <w:szCs w:val="21"/>
                    </w:rPr>
                  </w:pPr>
                  <w:r>
                    <w:rPr>
                      <w:rFonts w:hint="eastAsia" w:ascii="宋体" w:hAnsi="宋体" w:cs="宋体"/>
                      <w:color w:val="000000"/>
                      <w:kern w:val="0"/>
                      <w:sz w:val="21"/>
                      <w:szCs w:val="21"/>
                      <w:lang w:bidi="ar"/>
                    </w:rPr>
                    <w:t>废气排放-氯乙烯</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2A16B94E">
                  <w:pPr>
                    <w:widowControl/>
                    <w:jc w:val="center"/>
                    <w:textAlignment w:val="center"/>
                    <w:rPr>
                      <w:color w:val="000000"/>
                      <w:sz w:val="21"/>
                      <w:szCs w:val="21"/>
                    </w:rPr>
                  </w:pPr>
                  <w:r>
                    <w:rPr>
                      <w:color w:val="000000"/>
                      <w:kern w:val="0"/>
                      <w:sz w:val="21"/>
                      <w:szCs w:val="21"/>
                      <w:lang w:bidi="ar"/>
                    </w:rPr>
                    <w:t xml:space="preserve">0.034 </w:t>
                  </w:r>
                </w:p>
              </w:tc>
            </w:tr>
            <w:tr w14:paraId="083117A4">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3FDD89E8">
                  <w:pPr>
                    <w:widowControl/>
                    <w:jc w:val="center"/>
                    <w:textAlignment w:val="center"/>
                    <w:rPr>
                      <w:color w:val="000000"/>
                      <w:sz w:val="21"/>
                      <w:szCs w:val="21"/>
                    </w:rPr>
                  </w:pPr>
                  <w:r>
                    <w:rPr>
                      <w:rFonts w:hint="eastAsia" w:ascii="宋体" w:hAnsi="宋体" w:cs="宋体"/>
                      <w:color w:val="000000"/>
                      <w:kern w:val="0"/>
                      <w:sz w:val="21"/>
                      <w:szCs w:val="21"/>
                      <w:lang w:bidi="ar"/>
                    </w:rPr>
                    <w:t>颜料</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40541616">
                  <w:pPr>
                    <w:widowControl/>
                    <w:jc w:val="center"/>
                    <w:textAlignment w:val="center"/>
                    <w:rPr>
                      <w:color w:val="000000"/>
                      <w:sz w:val="21"/>
                      <w:szCs w:val="21"/>
                    </w:rPr>
                  </w:pPr>
                  <w:r>
                    <w:rPr>
                      <w:color w:val="000000"/>
                      <w:kern w:val="0"/>
                      <w:sz w:val="21"/>
                      <w:szCs w:val="21"/>
                      <w:lang w:bidi="ar"/>
                    </w:rPr>
                    <w:t>0.5</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77038C0E">
                  <w:pPr>
                    <w:jc w:val="center"/>
                    <w:rPr>
                      <w:color w:val="000000"/>
                      <w:sz w:val="21"/>
                      <w:szCs w:val="21"/>
                    </w:rPr>
                  </w:pPr>
                  <w:r>
                    <w:rPr>
                      <w:rFonts w:hint="eastAsia"/>
                      <w:color w:val="000000"/>
                      <w:sz w:val="21"/>
                      <w:szCs w:val="21"/>
                    </w:rPr>
                    <w:t>废静电油</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2659FB3A">
                  <w:pPr>
                    <w:jc w:val="center"/>
                    <w:rPr>
                      <w:rFonts w:hint="default" w:eastAsia="宋体"/>
                      <w:color w:val="000000"/>
                      <w:sz w:val="21"/>
                      <w:szCs w:val="21"/>
                      <w:lang w:val="en-US" w:eastAsia="zh-CN"/>
                    </w:rPr>
                  </w:pPr>
                  <w:r>
                    <w:rPr>
                      <w:rFonts w:hint="eastAsia"/>
                      <w:color w:val="000000"/>
                      <w:sz w:val="21"/>
                      <w:szCs w:val="21"/>
                      <w:lang w:val="en-US" w:eastAsia="zh-CN"/>
                    </w:rPr>
                    <w:t>2.339</w:t>
                  </w:r>
                </w:p>
              </w:tc>
            </w:tr>
            <w:tr w14:paraId="4B769AE2">
              <w:tblPrEx>
                <w:tblCellMar>
                  <w:top w:w="0" w:type="dxa"/>
                  <w:left w:w="108" w:type="dxa"/>
                  <w:bottom w:w="0" w:type="dxa"/>
                  <w:right w:w="108" w:type="dxa"/>
                </w:tblCellMar>
              </w:tblPrEx>
              <w:trPr>
                <w:trHeight w:val="90"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3EC005DF">
                  <w:pPr>
                    <w:widowControl/>
                    <w:jc w:val="center"/>
                    <w:textAlignment w:val="center"/>
                    <w:rPr>
                      <w:color w:val="000000"/>
                      <w:sz w:val="21"/>
                      <w:szCs w:val="21"/>
                    </w:rPr>
                  </w:pPr>
                  <w:r>
                    <w:rPr>
                      <w:color w:val="000000"/>
                      <w:kern w:val="0"/>
                      <w:sz w:val="21"/>
                      <w:szCs w:val="21"/>
                      <w:lang w:bidi="ar"/>
                    </w:rPr>
                    <w:t>Sb</w:t>
                  </w:r>
                  <w:r>
                    <w:rPr>
                      <w:color w:val="000000"/>
                      <w:kern w:val="0"/>
                      <w:sz w:val="21"/>
                      <w:szCs w:val="21"/>
                      <w:vertAlign w:val="subscript"/>
                      <w:lang w:bidi="ar"/>
                    </w:rPr>
                    <w:t>2</w:t>
                  </w:r>
                  <w:r>
                    <w:rPr>
                      <w:color w:val="000000"/>
                      <w:kern w:val="0"/>
                      <w:sz w:val="21"/>
                      <w:szCs w:val="21"/>
                      <w:lang w:bidi="ar"/>
                    </w:rPr>
                    <w:t>O</w:t>
                  </w:r>
                  <w:r>
                    <w:rPr>
                      <w:color w:val="000000"/>
                      <w:kern w:val="0"/>
                      <w:sz w:val="21"/>
                      <w:szCs w:val="21"/>
                      <w:vertAlign w:val="subscript"/>
                      <w:lang w:bidi="ar"/>
                    </w:rPr>
                    <w:t>3</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550F895">
                  <w:pPr>
                    <w:widowControl/>
                    <w:jc w:val="center"/>
                    <w:textAlignment w:val="center"/>
                    <w:rPr>
                      <w:color w:val="000000"/>
                      <w:sz w:val="21"/>
                      <w:szCs w:val="21"/>
                    </w:rPr>
                  </w:pPr>
                  <w:r>
                    <w:rPr>
                      <w:color w:val="000000"/>
                      <w:kern w:val="0"/>
                      <w:sz w:val="21"/>
                      <w:szCs w:val="21"/>
                      <w:lang w:bidi="ar"/>
                    </w:rPr>
                    <w:t>0.5</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59F712B2">
                  <w:pPr>
                    <w:widowControl/>
                    <w:jc w:val="center"/>
                    <w:textAlignment w:val="center"/>
                    <w:rPr>
                      <w:rFonts w:hint="default" w:eastAsia="宋体"/>
                      <w:color w:val="000000"/>
                      <w:sz w:val="21"/>
                      <w:szCs w:val="21"/>
                      <w:lang w:val="en-US" w:eastAsia="zh-CN"/>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66BD3348">
                  <w:pPr>
                    <w:widowControl/>
                    <w:jc w:val="center"/>
                    <w:textAlignment w:val="center"/>
                    <w:rPr>
                      <w:rFonts w:hint="default" w:eastAsia="宋体"/>
                      <w:color w:val="000000"/>
                      <w:sz w:val="21"/>
                      <w:szCs w:val="21"/>
                      <w:lang w:val="en-US" w:eastAsia="zh-CN"/>
                    </w:rPr>
                  </w:pPr>
                </w:p>
              </w:tc>
            </w:tr>
            <w:tr w14:paraId="6E846F9C">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059FBB5B">
                  <w:pPr>
                    <w:widowControl/>
                    <w:jc w:val="center"/>
                    <w:textAlignment w:val="center"/>
                    <w:rPr>
                      <w:color w:val="000000"/>
                      <w:sz w:val="21"/>
                      <w:szCs w:val="21"/>
                    </w:rPr>
                  </w:pPr>
                  <w:r>
                    <w:rPr>
                      <w:rFonts w:hint="eastAsia" w:ascii="宋体" w:hAnsi="宋体" w:cs="宋体"/>
                      <w:color w:val="000000"/>
                      <w:kern w:val="0"/>
                      <w:sz w:val="21"/>
                      <w:szCs w:val="21"/>
                      <w:lang w:bidi="ar"/>
                    </w:rPr>
                    <w:t>硼酸锌</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224BC93D">
                  <w:pPr>
                    <w:widowControl/>
                    <w:jc w:val="center"/>
                    <w:textAlignment w:val="center"/>
                    <w:rPr>
                      <w:color w:val="000000"/>
                      <w:sz w:val="21"/>
                      <w:szCs w:val="21"/>
                    </w:rPr>
                  </w:pPr>
                  <w:r>
                    <w:rPr>
                      <w:color w:val="000000"/>
                      <w:kern w:val="0"/>
                      <w:sz w:val="21"/>
                      <w:szCs w:val="21"/>
                      <w:lang w:bidi="ar"/>
                    </w:rPr>
                    <w:t>1.5</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2C290325">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4F7F8E1E">
                  <w:pPr>
                    <w:widowControl/>
                    <w:jc w:val="center"/>
                    <w:textAlignment w:val="center"/>
                    <w:rPr>
                      <w:color w:val="000000"/>
                      <w:sz w:val="21"/>
                      <w:szCs w:val="21"/>
                    </w:rPr>
                  </w:pPr>
                </w:p>
              </w:tc>
            </w:tr>
            <w:tr w14:paraId="7746BE48">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790F05C4">
                  <w:pPr>
                    <w:widowControl/>
                    <w:jc w:val="center"/>
                    <w:textAlignment w:val="center"/>
                    <w:rPr>
                      <w:color w:val="000000"/>
                      <w:sz w:val="21"/>
                      <w:szCs w:val="21"/>
                    </w:rPr>
                  </w:pPr>
                  <w:r>
                    <w:rPr>
                      <w:rFonts w:hint="eastAsia" w:ascii="宋体" w:hAnsi="宋体" w:cs="宋体"/>
                      <w:color w:val="000000"/>
                      <w:kern w:val="0"/>
                      <w:sz w:val="21"/>
                      <w:szCs w:val="21"/>
                      <w:lang w:bidi="ar"/>
                    </w:rPr>
                    <w:t>稳定剂</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7DA78D1">
                  <w:pPr>
                    <w:widowControl/>
                    <w:jc w:val="center"/>
                    <w:textAlignment w:val="center"/>
                    <w:rPr>
                      <w:rFonts w:hint="default" w:eastAsia="宋体"/>
                      <w:color w:val="000000"/>
                      <w:sz w:val="21"/>
                      <w:szCs w:val="21"/>
                      <w:lang w:val="en-US" w:eastAsia="zh-CN"/>
                    </w:rPr>
                  </w:pPr>
                  <w:r>
                    <w:rPr>
                      <w:rFonts w:hint="eastAsia"/>
                      <w:color w:val="000000"/>
                      <w:kern w:val="0"/>
                      <w:sz w:val="21"/>
                      <w:szCs w:val="21"/>
                      <w:lang w:val="en-US" w:eastAsia="zh-CN" w:bidi="ar"/>
                    </w:rPr>
                    <w:t>7.1</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098BC706">
                  <w:pPr>
                    <w:jc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66959CC1">
                  <w:pPr>
                    <w:jc w:val="center"/>
                    <w:rPr>
                      <w:color w:val="000000"/>
                      <w:sz w:val="21"/>
                      <w:szCs w:val="21"/>
                    </w:rPr>
                  </w:pPr>
                </w:p>
              </w:tc>
            </w:tr>
            <w:tr w14:paraId="1B6F1A18">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4E1376B3">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合计</w:t>
                  </w:r>
                </w:p>
              </w:tc>
              <w:tc>
                <w:tcPr>
                  <w:tcW w:w="1171" w:type="pct"/>
                  <w:tcBorders>
                    <w:top w:val="single" w:color="000000" w:sz="4" w:space="0"/>
                    <w:left w:val="single" w:color="000000" w:sz="4" w:space="0"/>
                    <w:bottom w:val="single" w:color="000000" w:sz="4" w:space="0"/>
                    <w:right w:val="single" w:color="000000" w:sz="4" w:space="0"/>
                  </w:tcBorders>
                  <w:noWrap/>
                  <w:vAlign w:val="center"/>
                </w:tcPr>
                <w:p w14:paraId="7021C01A">
                  <w:pPr>
                    <w:widowControl/>
                    <w:jc w:val="center"/>
                    <w:textAlignment w:val="center"/>
                    <w:rPr>
                      <w:rFonts w:hint="default" w:eastAsia="宋体"/>
                      <w:color w:val="000000"/>
                      <w:sz w:val="21"/>
                      <w:szCs w:val="21"/>
                      <w:lang w:val="en-US" w:eastAsia="zh-CN"/>
                    </w:rPr>
                  </w:pPr>
                  <w:r>
                    <w:rPr>
                      <w:rFonts w:hint="eastAsia"/>
                      <w:color w:val="000000"/>
                      <w:sz w:val="21"/>
                      <w:szCs w:val="21"/>
                    </w:rPr>
                    <w:t>39</w:t>
                  </w:r>
                  <w:r>
                    <w:rPr>
                      <w:rFonts w:hint="eastAsia"/>
                      <w:color w:val="000000"/>
                      <w:sz w:val="21"/>
                      <w:szCs w:val="21"/>
                      <w:lang w:val="en-US" w:eastAsia="zh-CN"/>
                    </w:rPr>
                    <w:t>14.6</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09D1F820">
                  <w:pPr>
                    <w:widowControl/>
                    <w:jc w:val="center"/>
                    <w:textAlignment w:val="center"/>
                    <w:rPr>
                      <w:rFonts w:hint="eastAsia"/>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0945065C">
                  <w:pPr>
                    <w:widowControl/>
                    <w:jc w:val="center"/>
                    <w:textAlignment w:val="center"/>
                    <w:rPr>
                      <w:rFonts w:hint="default" w:eastAsia="宋体"/>
                      <w:color w:val="000000"/>
                      <w:sz w:val="21"/>
                      <w:szCs w:val="21"/>
                      <w:lang w:val="en-US" w:eastAsia="zh-CN"/>
                    </w:rPr>
                  </w:pPr>
                  <w:r>
                    <w:rPr>
                      <w:rFonts w:hint="eastAsia"/>
                      <w:color w:val="000000"/>
                      <w:sz w:val="21"/>
                      <w:szCs w:val="21"/>
                    </w:rPr>
                    <w:t>39</w:t>
                  </w:r>
                  <w:r>
                    <w:rPr>
                      <w:rFonts w:hint="eastAsia"/>
                      <w:color w:val="000000"/>
                      <w:sz w:val="21"/>
                      <w:szCs w:val="21"/>
                      <w:lang w:val="en-US" w:eastAsia="zh-CN"/>
                    </w:rPr>
                    <w:t>14.6</w:t>
                  </w:r>
                </w:p>
              </w:tc>
            </w:tr>
          </w:tbl>
          <w:p w14:paraId="1C2E3AEC">
            <w:pPr>
              <w:adjustRightInd w:val="0"/>
              <w:spacing w:line="360" w:lineRule="auto"/>
              <w:jc w:val="center"/>
              <w:rPr>
                <w:b/>
                <w:bCs/>
                <w:color w:val="000000"/>
              </w:rPr>
            </w:pPr>
            <w:r>
              <w:rPr>
                <w:rFonts w:hint="eastAsia"/>
                <w:b/>
                <w:bCs/>
                <w:color w:val="000000"/>
              </w:rPr>
              <w:t>表2-9  低烟无卤电缆料生产线物料平衡表</w:t>
            </w:r>
          </w:p>
          <w:tbl>
            <w:tblPr>
              <w:tblStyle w:val="16"/>
              <w:tblW w:w="4998" w:type="pct"/>
              <w:jc w:val="center"/>
              <w:tblLayout w:type="fixed"/>
              <w:tblCellMar>
                <w:top w:w="0" w:type="dxa"/>
                <w:left w:w="108" w:type="dxa"/>
                <w:bottom w:w="0" w:type="dxa"/>
                <w:right w:w="108" w:type="dxa"/>
              </w:tblCellMar>
            </w:tblPr>
            <w:tblGrid>
              <w:gridCol w:w="1898"/>
              <w:gridCol w:w="1976"/>
              <w:gridCol w:w="2226"/>
              <w:gridCol w:w="2338"/>
            </w:tblGrid>
            <w:tr w14:paraId="0F6D4AD1">
              <w:tblPrEx>
                <w:tblCellMar>
                  <w:top w:w="0" w:type="dxa"/>
                  <w:left w:w="108" w:type="dxa"/>
                  <w:bottom w:w="0" w:type="dxa"/>
                  <w:right w:w="108" w:type="dxa"/>
                </w:tblCellMar>
              </w:tblPrEx>
              <w:trPr>
                <w:trHeight w:val="23" w:hRule="atLeast"/>
                <w:jc w:val="center"/>
              </w:trPr>
              <w:tc>
                <w:tcPr>
                  <w:tcW w:w="2295" w:type="pct"/>
                  <w:gridSpan w:val="2"/>
                  <w:tcBorders>
                    <w:top w:val="single" w:color="000000" w:sz="4" w:space="0"/>
                    <w:left w:val="single" w:color="000000" w:sz="4" w:space="0"/>
                    <w:bottom w:val="single" w:color="000000" w:sz="4" w:space="0"/>
                    <w:right w:val="single" w:color="000000" w:sz="4" w:space="0"/>
                  </w:tcBorders>
                  <w:noWrap/>
                  <w:vAlign w:val="center"/>
                </w:tcPr>
                <w:p w14:paraId="318A717B">
                  <w:pPr>
                    <w:widowControl/>
                    <w:jc w:val="center"/>
                    <w:textAlignment w:val="center"/>
                    <w:rPr>
                      <w:rFonts w:hint="eastAsia"/>
                      <w:b/>
                      <w:bCs/>
                      <w:color w:val="000000"/>
                      <w:sz w:val="21"/>
                      <w:szCs w:val="21"/>
                    </w:rPr>
                  </w:pPr>
                  <w:r>
                    <w:rPr>
                      <w:rFonts w:hint="eastAsia"/>
                      <w:b/>
                      <w:bCs/>
                      <w:color w:val="000000"/>
                      <w:sz w:val="21"/>
                      <w:szCs w:val="21"/>
                    </w:rPr>
                    <w:t>输入</w:t>
                  </w:r>
                </w:p>
              </w:tc>
              <w:tc>
                <w:tcPr>
                  <w:tcW w:w="2704" w:type="pct"/>
                  <w:gridSpan w:val="2"/>
                  <w:tcBorders>
                    <w:top w:val="single" w:color="000000" w:sz="4" w:space="0"/>
                    <w:left w:val="single" w:color="000000" w:sz="4" w:space="0"/>
                    <w:bottom w:val="single" w:color="000000" w:sz="4" w:space="0"/>
                    <w:right w:val="single" w:color="000000" w:sz="4" w:space="0"/>
                  </w:tcBorders>
                  <w:noWrap/>
                  <w:vAlign w:val="center"/>
                </w:tcPr>
                <w:p w14:paraId="11590EEE">
                  <w:pPr>
                    <w:widowControl/>
                    <w:jc w:val="center"/>
                    <w:textAlignment w:val="center"/>
                    <w:rPr>
                      <w:rFonts w:hint="eastAsia"/>
                      <w:b/>
                      <w:bCs/>
                      <w:color w:val="000000"/>
                      <w:sz w:val="21"/>
                      <w:szCs w:val="21"/>
                    </w:rPr>
                  </w:pPr>
                  <w:r>
                    <w:rPr>
                      <w:rFonts w:hint="eastAsia"/>
                      <w:b/>
                      <w:bCs/>
                      <w:color w:val="000000"/>
                      <w:sz w:val="21"/>
                      <w:szCs w:val="21"/>
                    </w:rPr>
                    <w:t>输出</w:t>
                  </w:r>
                </w:p>
              </w:tc>
            </w:tr>
            <w:tr w14:paraId="779DAF94">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0AE36063">
                  <w:pPr>
                    <w:widowControl/>
                    <w:jc w:val="center"/>
                    <w:textAlignment w:val="center"/>
                    <w:rPr>
                      <w:rFonts w:hint="eastAsia"/>
                      <w:color w:val="000000"/>
                      <w:sz w:val="21"/>
                      <w:szCs w:val="21"/>
                    </w:rPr>
                  </w:pPr>
                  <w:r>
                    <w:rPr>
                      <w:rFonts w:hint="eastAsia" w:ascii="宋体" w:hAnsi="宋体" w:cs="宋体"/>
                      <w:color w:val="000000"/>
                      <w:kern w:val="0"/>
                      <w:sz w:val="21"/>
                      <w:szCs w:val="21"/>
                      <w:lang w:bidi="ar"/>
                    </w:rPr>
                    <w:t>输入物料</w:t>
                  </w:r>
                </w:p>
              </w:tc>
              <w:tc>
                <w:tcPr>
                  <w:tcW w:w="1171" w:type="pct"/>
                  <w:tcBorders>
                    <w:top w:val="single" w:color="000000" w:sz="4" w:space="0"/>
                    <w:left w:val="single" w:color="000000" w:sz="4" w:space="0"/>
                    <w:bottom w:val="single" w:color="000000" w:sz="4" w:space="0"/>
                    <w:right w:val="single" w:color="000000" w:sz="4" w:space="0"/>
                  </w:tcBorders>
                  <w:noWrap/>
                  <w:vAlign w:val="center"/>
                </w:tcPr>
                <w:p w14:paraId="453941DC">
                  <w:pPr>
                    <w:widowControl/>
                    <w:jc w:val="center"/>
                    <w:textAlignment w:val="center"/>
                    <w:rPr>
                      <w:color w:val="000000"/>
                      <w:sz w:val="21"/>
                      <w:szCs w:val="21"/>
                    </w:rPr>
                  </w:pPr>
                  <w:r>
                    <w:rPr>
                      <w:color w:val="000000"/>
                      <w:kern w:val="0"/>
                      <w:sz w:val="21"/>
                      <w:szCs w:val="21"/>
                      <w:lang w:bidi="ar"/>
                    </w:rPr>
                    <w:t>输入量（t/a）</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25579E1B">
                  <w:pPr>
                    <w:widowControl/>
                    <w:jc w:val="center"/>
                    <w:textAlignment w:val="center"/>
                    <w:rPr>
                      <w:color w:val="000000"/>
                      <w:sz w:val="21"/>
                      <w:szCs w:val="21"/>
                    </w:rPr>
                  </w:pPr>
                  <w:r>
                    <w:rPr>
                      <w:color w:val="000000"/>
                      <w:kern w:val="0"/>
                      <w:sz w:val="21"/>
                      <w:szCs w:val="21"/>
                      <w:lang w:bidi="ar"/>
                    </w:rPr>
                    <w:t>输出物料</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190525E3">
                  <w:pPr>
                    <w:widowControl/>
                    <w:jc w:val="center"/>
                    <w:textAlignment w:val="center"/>
                    <w:rPr>
                      <w:color w:val="000000"/>
                      <w:sz w:val="21"/>
                      <w:szCs w:val="21"/>
                    </w:rPr>
                  </w:pPr>
                  <w:r>
                    <w:rPr>
                      <w:color w:val="000000"/>
                      <w:kern w:val="0"/>
                      <w:sz w:val="21"/>
                      <w:szCs w:val="21"/>
                      <w:lang w:bidi="ar"/>
                    </w:rPr>
                    <w:t>输出量（t/a）</w:t>
                  </w:r>
                </w:p>
              </w:tc>
            </w:tr>
            <w:tr w14:paraId="116AA9C6">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16776BE6">
                  <w:pPr>
                    <w:widowControl/>
                    <w:jc w:val="center"/>
                    <w:textAlignment w:val="center"/>
                    <w:rPr>
                      <w:color w:val="000000"/>
                      <w:sz w:val="21"/>
                      <w:szCs w:val="21"/>
                    </w:rPr>
                  </w:pPr>
                  <w:r>
                    <w:rPr>
                      <w:color w:val="000000"/>
                      <w:sz w:val="21"/>
                      <w:szCs w:val="21"/>
                    </w:rPr>
                    <w:t>EVA</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037161AF">
                  <w:pPr>
                    <w:widowControl/>
                    <w:jc w:val="center"/>
                    <w:textAlignment w:val="center"/>
                    <w:rPr>
                      <w:rFonts w:hint="eastAsia" w:eastAsia="宋体"/>
                      <w:color w:val="000000"/>
                      <w:sz w:val="21"/>
                      <w:szCs w:val="21"/>
                      <w:lang w:eastAsia="zh-CN"/>
                    </w:rPr>
                  </w:pPr>
                  <w:r>
                    <w:rPr>
                      <w:color w:val="000000"/>
                      <w:sz w:val="21"/>
                      <w:szCs w:val="21"/>
                    </w:rPr>
                    <w:t>1250</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659ED006">
                  <w:pPr>
                    <w:widowControl/>
                    <w:jc w:val="center"/>
                    <w:textAlignment w:val="center"/>
                    <w:rPr>
                      <w:color w:val="000000"/>
                      <w:sz w:val="21"/>
                      <w:szCs w:val="21"/>
                    </w:rPr>
                  </w:pPr>
                  <w:r>
                    <w:rPr>
                      <w:rFonts w:hint="eastAsia"/>
                      <w:color w:val="000000"/>
                      <w:sz w:val="21"/>
                      <w:szCs w:val="21"/>
                    </w:rPr>
                    <w:t>产品</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2857D4AE">
                  <w:pPr>
                    <w:widowControl/>
                    <w:jc w:val="center"/>
                    <w:textAlignment w:val="center"/>
                    <w:rPr>
                      <w:color w:val="000000"/>
                      <w:sz w:val="21"/>
                      <w:szCs w:val="21"/>
                    </w:rPr>
                  </w:pPr>
                  <w:r>
                    <w:rPr>
                      <w:rFonts w:hint="eastAsia"/>
                      <w:color w:val="000000"/>
                      <w:sz w:val="21"/>
                      <w:szCs w:val="21"/>
                    </w:rPr>
                    <w:t>4320</w:t>
                  </w:r>
                </w:p>
              </w:tc>
            </w:tr>
            <w:tr w14:paraId="12C1428F">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3513F0A3">
                  <w:pPr>
                    <w:widowControl/>
                    <w:jc w:val="center"/>
                    <w:textAlignment w:val="center"/>
                    <w:rPr>
                      <w:color w:val="000000"/>
                      <w:sz w:val="21"/>
                      <w:szCs w:val="21"/>
                    </w:rPr>
                  </w:pPr>
                  <w:r>
                    <w:rPr>
                      <w:color w:val="000000"/>
                      <w:sz w:val="21"/>
                      <w:szCs w:val="21"/>
                    </w:rPr>
                    <w:t>LLDPE</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3B79077D">
                  <w:pPr>
                    <w:widowControl/>
                    <w:jc w:val="center"/>
                    <w:textAlignment w:val="center"/>
                    <w:rPr>
                      <w:color w:val="000000"/>
                      <w:sz w:val="21"/>
                      <w:szCs w:val="21"/>
                    </w:rPr>
                  </w:pPr>
                  <w:r>
                    <w:rPr>
                      <w:color w:val="000000"/>
                      <w:sz w:val="21"/>
                      <w:szCs w:val="21"/>
                    </w:rPr>
                    <w:t>120</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71FDB255">
                  <w:pPr>
                    <w:widowControl/>
                    <w:jc w:val="center"/>
                    <w:textAlignment w:val="center"/>
                    <w:rPr>
                      <w:rFonts w:hint="default" w:eastAsia="宋体"/>
                      <w:color w:val="000000"/>
                      <w:sz w:val="21"/>
                      <w:szCs w:val="21"/>
                      <w:lang w:val="en-US" w:eastAsia="zh-CN"/>
                    </w:rPr>
                  </w:pPr>
                  <w:r>
                    <w:rPr>
                      <w:rFonts w:hint="eastAsia" w:eastAsia="宋体"/>
                      <w:color w:val="000000"/>
                      <w:sz w:val="21"/>
                      <w:szCs w:val="21"/>
                      <w:lang w:val="en-US" w:eastAsia="zh-CN"/>
                    </w:rPr>
                    <w:t>除尘灰</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50300E37">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5.029</w:t>
                  </w:r>
                </w:p>
              </w:tc>
            </w:tr>
            <w:tr w14:paraId="537EC8CE">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5EBA3475">
                  <w:pPr>
                    <w:widowControl/>
                    <w:jc w:val="center"/>
                    <w:textAlignment w:val="center"/>
                    <w:rPr>
                      <w:color w:val="000000"/>
                      <w:sz w:val="21"/>
                      <w:szCs w:val="21"/>
                    </w:rPr>
                  </w:pPr>
                  <w:r>
                    <w:rPr>
                      <w:color w:val="000000"/>
                      <w:sz w:val="21"/>
                      <w:szCs w:val="21"/>
                    </w:rPr>
                    <w:t>POE</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66AB273F">
                  <w:pPr>
                    <w:widowControl/>
                    <w:jc w:val="center"/>
                    <w:textAlignment w:val="center"/>
                    <w:rPr>
                      <w:color w:val="000000"/>
                      <w:sz w:val="21"/>
                      <w:szCs w:val="21"/>
                    </w:rPr>
                  </w:pPr>
                  <w:r>
                    <w:rPr>
                      <w:color w:val="000000"/>
                      <w:sz w:val="21"/>
                      <w:szCs w:val="21"/>
                    </w:rPr>
                    <w:t>235</w:t>
                  </w:r>
                </w:p>
              </w:tc>
              <w:tc>
                <w:tcPr>
                  <w:tcW w:w="1319" w:type="pct"/>
                  <w:tcBorders>
                    <w:top w:val="single" w:color="000000" w:sz="4" w:space="0"/>
                    <w:left w:val="single" w:color="000000" w:sz="4" w:space="0"/>
                    <w:bottom w:val="single" w:color="000000" w:sz="4" w:space="0"/>
                    <w:right w:val="single" w:color="000000" w:sz="4" w:space="0"/>
                  </w:tcBorders>
                  <w:noWrap w:val="0"/>
                  <w:vAlign w:val="center"/>
                </w:tcPr>
                <w:p w14:paraId="430CB6BE">
                  <w:pPr>
                    <w:widowControl/>
                    <w:jc w:val="center"/>
                    <w:textAlignment w:val="center"/>
                    <w:rPr>
                      <w:color w:val="000000"/>
                      <w:sz w:val="21"/>
                      <w:szCs w:val="21"/>
                    </w:rPr>
                  </w:pPr>
                  <w:r>
                    <w:rPr>
                      <w:rFonts w:hint="eastAsia" w:ascii="宋体" w:hAnsi="宋体" w:cs="宋体"/>
                      <w:color w:val="000000"/>
                      <w:kern w:val="0"/>
                      <w:sz w:val="21"/>
                      <w:szCs w:val="21"/>
                      <w:lang w:val="en-US" w:eastAsia="zh-CN" w:bidi="ar"/>
                    </w:rPr>
                    <w:t>活性炭吸附的</w:t>
                  </w:r>
                  <w:r>
                    <w:rPr>
                      <w:rFonts w:hint="eastAsia" w:ascii="宋体" w:hAnsi="宋体" w:cs="宋体"/>
                      <w:color w:val="000000"/>
                      <w:kern w:val="0"/>
                      <w:sz w:val="21"/>
                      <w:szCs w:val="21"/>
                      <w:lang w:eastAsia="zh-CN" w:bidi="ar"/>
                    </w:rPr>
                    <w:t>非甲烷总烃</w:t>
                  </w: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638E0B3D">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3.049</w:t>
                  </w:r>
                </w:p>
              </w:tc>
            </w:tr>
            <w:tr w14:paraId="51D70B24">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3E135F07">
                  <w:pPr>
                    <w:widowControl/>
                    <w:jc w:val="center"/>
                    <w:textAlignment w:val="center"/>
                    <w:rPr>
                      <w:color w:val="000000"/>
                      <w:sz w:val="21"/>
                      <w:szCs w:val="21"/>
                    </w:rPr>
                  </w:pPr>
                  <w:r>
                    <w:rPr>
                      <w:rFonts w:hint="eastAsia"/>
                      <w:color w:val="000000"/>
                      <w:sz w:val="21"/>
                      <w:szCs w:val="21"/>
                    </w:rPr>
                    <w:t>氢氧化铝</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4DB9F20D">
                  <w:pPr>
                    <w:widowControl/>
                    <w:jc w:val="center"/>
                    <w:textAlignment w:val="center"/>
                    <w:rPr>
                      <w:color w:val="000000"/>
                      <w:sz w:val="21"/>
                      <w:szCs w:val="21"/>
                    </w:rPr>
                  </w:pPr>
                  <w:r>
                    <w:rPr>
                      <w:color w:val="000000"/>
                      <w:sz w:val="21"/>
                      <w:szCs w:val="21"/>
                    </w:rPr>
                    <w:t>2310</w:t>
                  </w:r>
                </w:p>
              </w:tc>
              <w:tc>
                <w:tcPr>
                  <w:tcW w:w="2226" w:type="dxa"/>
                  <w:tcBorders>
                    <w:top w:val="single" w:color="000000" w:sz="4" w:space="0"/>
                    <w:left w:val="single" w:color="000000" w:sz="4" w:space="0"/>
                    <w:bottom w:val="single" w:color="000000" w:sz="4" w:space="0"/>
                    <w:right w:val="single" w:color="000000" w:sz="4" w:space="0"/>
                  </w:tcBorders>
                  <w:noWrap w:val="0"/>
                  <w:vAlign w:val="center"/>
                </w:tcPr>
                <w:p w14:paraId="467C5A55">
                  <w:pPr>
                    <w:widowControl/>
                    <w:jc w:val="center"/>
                    <w:textAlignment w:val="center"/>
                    <w:rPr>
                      <w:color w:val="000000"/>
                      <w:sz w:val="21"/>
                      <w:szCs w:val="21"/>
                    </w:rPr>
                  </w:pPr>
                  <w:r>
                    <w:rPr>
                      <w:rFonts w:hint="eastAsia" w:ascii="宋体" w:hAnsi="宋体" w:cs="宋体"/>
                      <w:color w:val="000000"/>
                      <w:kern w:val="0"/>
                      <w:sz w:val="21"/>
                      <w:szCs w:val="21"/>
                      <w:lang w:bidi="ar"/>
                    </w:rPr>
                    <w:t>废气排放-</w:t>
                  </w:r>
                  <w:r>
                    <w:rPr>
                      <w:rFonts w:hint="eastAsia"/>
                      <w:color w:val="000000"/>
                      <w:sz w:val="21"/>
                      <w:szCs w:val="21"/>
                    </w:rPr>
                    <w:t>颗粒物</w:t>
                  </w:r>
                </w:p>
              </w:tc>
              <w:tc>
                <w:tcPr>
                  <w:tcW w:w="2338" w:type="dxa"/>
                  <w:tcBorders>
                    <w:top w:val="single" w:color="000000" w:sz="4" w:space="0"/>
                    <w:left w:val="single" w:color="000000" w:sz="4" w:space="0"/>
                    <w:bottom w:val="single" w:color="000000" w:sz="4" w:space="0"/>
                    <w:right w:val="single" w:color="000000" w:sz="4" w:space="0"/>
                  </w:tcBorders>
                  <w:noWrap/>
                  <w:vAlign w:val="center"/>
                </w:tcPr>
                <w:p w14:paraId="29E86252">
                  <w:pPr>
                    <w:widowControl/>
                    <w:jc w:val="center"/>
                    <w:textAlignment w:val="center"/>
                    <w:rPr>
                      <w:color w:val="000000"/>
                      <w:sz w:val="21"/>
                      <w:szCs w:val="21"/>
                    </w:rPr>
                  </w:pPr>
                  <w:r>
                    <w:rPr>
                      <w:rFonts w:hint="eastAsia"/>
                      <w:color w:val="000000"/>
                      <w:sz w:val="21"/>
                      <w:szCs w:val="21"/>
                    </w:rPr>
                    <w:t>1.071</w:t>
                  </w:r>
                </w:p>
              </w:tc>
            </w:tr>
            <w:tr w14:paraId="36E22A02">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7F3A9924">
                  <w:pPr>
                    <w:widowControl/>
                    <w:jc w:val="center"/>
                    <w:textAlignment w:val="center"/>
                    <w:rPr>
                      <w:color w:val="000000"/>
                      <w:sz w:val="21"/>
                      <w:szCs w:val="21"/>
                    </w:rPr>
                  </w:pPr>
                  <w:r>
                    <w:rPr>
                      <w:rFonts w:hint="eastAsia"/>
                      <w:color w:val="000000"/>
                      <w:sz w:val="21"/>
                      <w:szCs w:val="21"/>
                    </w:rPr>
                    <w:t>相容剂</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7E5E9C7D">
                  <w:pPr>
                    <w:widowControl/>
                    <w:jc w:val="center"/>
                    <w:textAlignment w:val="center"/>
                    <w:rPr>
                      <w:color w:val="000000"/>
                      <w:sz w:val="21"/>
                      <w:szCs w:val="21"/>
                    </w:rPr>
                  </w:pPr>
                  <w:r>
                    <w:rPr>
                      <w:color w:val="000000"/>
                      <w:sz w:val="21"/>
                      <w:szCs w:val="21"/>
                    </w:rPr>
                    <w:t>220</w:t>
                  </w:r>
                </w:p>
              </w:tc>
              <w:tc>
                <w:tcPr>
                  <w:tcW w:w="2226" w:type="dxa"/>
                  <w:tcBorders>
                    <w:top w:val="single" w:color="000000" w:sz="4" w:space="0"/>
                    <w:left w:val="single" w:color="000000" w:sz="4" w:space="0"/>
                    <w:bottom w:val="single" w:color="000000" w:sz="4" w:space="0"/>
                    <w:right w:val="single" w:color="000000" w:sz="4" w:space="0"/>
                  </w:tcBorders>
                  <w:noWrap w:val="0"/>
                  <w:vAlign w:val="center"/>
                </w:tcPr>
                <w:p w14:paraId="5F180673">
                  <w:pPr>
                    <w:widowControl/>
                    <w:jc w:val="center"/>
                    <w:textAlignment w:val="center"/>
                    <w:rPr>
                      <w:color w:val="000000"/>
                      <w:sz w:val="21"/>
                      <w:szCs w:val="21"/>
                    </w:rPr>
                  </w:pPr>
                  <w:r>
                    <w:rPr>
                      <w:rFonts w:hint="eastAsia" w:ascii="宋体" w:hAnsi="宋体" w:cs="宋体"/>
                      <w:color w:val="000000"/>
                      <w:kern w:val="0"/>
                      <w:sz w:val="21"/>
                      <w:szCs w:val="21"/>
                      <w:lang w:bidi="ar"/>
                    </w:rPr>
                    <w:t>废气排放-</w:t>
                  </w:r>
                  <w:r>
                    <w:rPr>
                      <w:rFonts w:hint="eastAsia"/>
                      <w:color w:val="000000"/>
                      <w:sz w:val="21"/>
                      <w:szCs w:val="21"/>
                    </w:rPr>
                    <w:t>非甲烷总烃</w:t>
                  </w:r>
                </w:p>
              </w:tc>
              <w:tc>
                <w:tcPr>
                  <w:tcW w:w="2338" w:type="dxa"/>
                  <w:tcBorders>
                    <w:top w:val="single" w:color="000000" w:sz="4" w:space="0"/>
                    <w:left w:val="single" w:color="000000" w:sz="4" w:space="0"/>
                    <w:bottom w:val="single" w:color="000000" w:sz="4" w:space="0"/>
                    <w:right w:val="single" w:color="000000" w:sz="4" w:space="0"/>
                  </w:tcBorders>
                  <w:noWrap/>
                  <w:vAlign w:val="center"/>
                </w:tcPr>
                <w:p w14:paraId="71801687">
                  <w:pPr>
                    <w:widowControl/>
                    <w:jc w:val="center"/>
                    <w:textAlignment w:val="center"/>
                    <w:rPr>
                      <w:color w:val="000000"/>
                      <w:sz w:val="21"/>
                      <w:szCs w:val="21"/>
                    </w:rPr>
                  </w:pPr>
                  <w:r>
                    <w:rPr>
                      <w:rFonts w:hint="eastAsia"/>
                      <w:color w:val="000000"/>
                      <w:sz w:val="21"/>
                      <w:szCs w:val="21"/>
                    </w:rPr>
                    <w:t>1.171</w:t>
                  </w:r>
                </w:p>
              </w:tc>
            </w:tr>
            <w:tr w14:paraId="21F93C74">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069F72AB">
                  <w:pPr>
                    <w:widowControl/>
                    <w:jc w:val="center"/>
                    <w:textAlignment w:val="center"/>
                    <w:rPr>
                      <w:color w:val="000000"/>
                      <w:sz w:val="21"/>
                      <w:szCs w:val="21"/>
                    </w:rPr>
                  </w:pPr>
                  <w:r>
                    <w:rPr>
                      <w:rFonts w:hint="eastAsia"/>
                      <w:color w:val="000000"/>
                      <w:sz w:val="21"/>
                      <w:szCs w:val="21"/>
                    </w:rPr>
                    <w:t>润滑剂</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0B3A4704">
                  <w:pPr>
                    <w:widowControl/>
                    <w:jc w:val="center"/>
                    <w:textAlignment w:val="center"/>
                    <w:rPr>
                      <w:color w:val="000000"/>
                      <w:sz w:val="21"/>
                      <w:szCs w:val="21"/>
                    </w:rPr>
                  </w:pPr>
                  <w:r>
                    <w:rPr>
                      <w:color w:val="000000"/>
                      <w:sz w:val="21"/>
                      <w:szCs w:val="21"/>
                    </w:rPr>
                    <w:t>10</w:t>
                  </w:r>
                </w:p>
              </w:tc>
              <w:tc>
                <w:tcPr>
                  <w:tcW w:w="1319" w:type="pct"/>
                  <w:tcBorders>
                    <w:top w:val="single" w:color="000000" w:sz="4" w:space="0"/>
                    <w:left w:val="single" w:color="000000" w:sz="4" w:space="0"/>
                    <w:bottom w:val="single" w:color="000000" w:sz="4" w:space="0"/>
                    <w:right w:val="single" w:color="000000" w:sz="4" w:space="0"/>
                  </w:tcBorders>
                  <w:noWrap w:val="0"/>
                  <w:vAlign w:val="center"/>
                </w:tcPr>
                <w:p w14:paraId="6C4F5C6E">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338A6C5B">
                  <w:pPr>
                    <w:widowControl/>
                    <w:jc w:val="center"/>
                    <w:textAlignment w:val="center"/>
                    <w:rPr>
                      <w:color w:val="000000"/>
                      <w:sz w:val="21"/>
                      <w:szCs w:val="21"/>
                    </w:rPr>
                  </w:pPr>
                </w:p>
              </w:tc>
            </w:tr>
            <w:tr w14:paraId="35355A05">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32063FA1">
                  <w:pPr>
                    <w:widowControl/>
                    <w:jc w:val="center"/>
                    <w:textAlignment w:val="center"/>
                    <w:rPr>
                      <w:color w:val="000000"/>
                      <w:sz w:val="21"/>
                      <w:szCs w:val="21"/>
                    </w:rPr>
                  </w:pPr>
                  <w:r>
                    <w:rPr>
                      <w:rFonts w:hint="eastAsia"/>
                      <w:color w:val="000000"/>
                      <w:sz w:val="21"/>
                      <w:szCs w:val="21"/>
                    </w:rPr>
                    <w:t>抗氧剂</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1BF6C02E">
                  <w:pPr>
                    <w:widowControl/>
                    <w:jc w:val="center"/>
                    <w:textAlignment w:val="center"/>
                    <w:rPr>
                      <w:color w:val="000000"/>
                      <w:sz w:val="21"/>
                      <w:szCs w:val="21"/>
                    </w:rPr>
                  </w:pPr>
                  <w:r>
                    <w:rPr>
                      <w:color w:val="000000"/>
                      <w:sz w:val="21"/>
                      <w:szCs w:val="21"/>
                    </w:rPr>
                    <w:t>10</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1C3F2921">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7629E884">
                  <w:pPr>
                    <w:widowControl/>
                    <w:jc w:val="center"/>
                    <w:textAlignment w:val="center"/>
                    <w:rPr>
                      <w:color w:val="000000"/>
                      <w:sz w:val="21"/>
                      <w:szCs w:val="21"/>
                    </w:rPr>
                  </w:pPr>
                </w:p>
              </w:tc>
            </w:tr>
            <w:tr w14:paraId="3A0B87E2">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5EE174EA">
                  <w:pPr>
                    <w:widowControl/>
                    <w:jc w:val="center"/>
                    <w:textAlignment w:val="center"/>
                    <w:rPr>
                      <w:color w:val="000000"/>
                      <w:sz w:val="21"/>
                      <w:szCs w:val="21"/>
                    </w:rPr>
                  </w:pPr>
                  <w:r>
                    <w:rPr>
                      <w:rFonts w:hint="eastAsia"/>
                      <w:color w:val="000000"/>
                      <w:sz w:val="21"/>
                      <w:szCs w:val="21"/>
                    </w:rPr>
                    <w:t>颜料</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14B8FB91">
                  <w:pPr>
                    <w:widowControl/>
                    <w:jc w:val="center"/>
                    <w:textAlignment w:val="center"/>
                    <w:rPr>
                      <w:color w:val="000000"/>
                      <w:sz w:val="21"/>
                      <w:szCs w:val="21"/>
                    </w:rPr>
                  </w:pPr>
                  <w:r>
                    <w:rPr>
                      <w:color w:val="000000"/>
                      <w:sz w:val="21"/>
                      <w:szCs w:val="21"/>
                    </w:rPr>
                    <w:t>0.5</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606BFB4E">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19193A33">
                  <w:pPr>
                    <w:widowControl/>
                    <w:jc w:val="center"/>
                    <w:textAlignment w:val="center"/>
                    <w:rPr>
                      <w:color w:val="000000"/>
                      <w:sz w:val="21"/>
                      <w:szCs w:val="21"/>
                    </w:rPr>
                  </w:pPr>
                </w:p>
              </w:tc>
            </w:tr>
            <w:tr w14:paraId="77A5E10D">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0"/>
                  <w:vAlign w:val="center"/>
                </w:tcPr>
                <w:p w14:paraId="2442555B">
                  <w:pPr>
                    <w:widowControl/>
                    <w:jc w:val="center"/>
                    <w:textAlignment w:val="center"/>
                    <w:rPr>
                      <w:color w:val="000000"/>
                      <w:sz w:val="21"/>
                      <w:szCs w:val="21"/>
                    </w:rPr>
                  </w:pPr>
                  <w:r>
                    <w:rPr>
                      <w:rFonts w:hint="eastAsia"/>
                      <w:color w:val="000000"/>
                      <w:sz w:val="21"/>
                      <w:szCs w:val="21"/>
                    </w:rPr>
                    <w:t>二苯甲酮</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5BF092DE">
                  <w:pPr>
                    <w:widowControl/>
                    <w:jc w:val="center"/>
                    <w:textAlignment w:val="center"/>
                    <w:rPr>
                      <w:color w:val="000000"/>
                      <w:sz w:val="21"/>
                      <w:szCs w:val="21"/>
                    </w:rPr>
                  </w:pPr>
                  <w:r>
                    <w:rPr>
                      <w:color w:val="000000"/>
                      <w:sz w:val="21"/>
                      <w:szCs w:val="21"/>
                    </w:rPr>
                    <w:t>29.821</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2934765B">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3C0D64B3">
                  <w:pPr>
                    <w:widowControl/>
                    <w:jc w:val="center"/>
                    <w:textAlignment w:val="center"/>
                    <w:rPr>
                      <w:color w:val="000000"/>
                      <w:sz w:val="21"/>
                      <w:szCs w:val="21"/>
                    </w:rPr>
                  </w:pPr>
                </w:p>
              </w:tc>
            </w:tr>
            <w:tr w14:paraId="4CE85097">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36D11B02">
                  <w:pPr>
                    <w:widowControl/>
                    <w:jc w:val="center"/>
                    <w:textAlignment w:val="center"/>
                    <w:rPr>
                      <w:color w:val="000000"/>
                      <w:sz w:val="21"/>
                      <w:szCs w:val="21"/>
                    </w:rPr>
                  </w:pPr>
                  <w:r>
                    <w:rPr>
                      <w:rFonts w:hint="eastAsia"/>
                      <w:color w:val="000000"/>
                      <w:sz w:val="21"/>
                      <w:szCs w:val="21"/>
                    </w:rPr>
                    <w:t>氢氧化镁</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1576C65A">
                  <w:pPr>
                    <w:widowControl/>
                    <w:jc w:val="center"/>
                    <w:textAlignment w:val="center"/>
                    <w:rPr>
                      <w:color w:val="000000"/>
                      <w:sz w:val="21"/>
                      <w:szCs w:val="21"/>
                    </w:rPr>
                  </w:pPr>
                  <w:r>
                    <w:rPr>
                      <w:color w:val="000000"/>
                      <w:sz w:val="21"/>
                      <w:szCs w:val="21"/>
                    </w:rPr>
                    <w:t>120</w:t>
                  </w:r>
                </w:p>
              </w:tc>
              <w:tc>
                <w:tcPr>
                  <w:tcW w:w="2226" w:type="dxa"/>
                  <w:tcBorders>
                    <w:top w:val="single" w:color="000000" w:sz="4" w:space="0"/>
                    <w:left w:val="single" w:color="000000" w:sz="4" w:space="0"/>
                    <w:bottom w:val="single" w:color="000000" w:sz="4" w:space="0"/>
                    <w:right w:val="single" w:color="000000" w:sz="4" w:space="0"/>
                  </w:tcBorders>
                  <w:noWrap/>
                  <w:vAlign w:val="center"/>
                </w:tcPr>
                <w:p w14:paraId="67844CB4">
                  <w:pPr>
                    <w:widowControl/>
                    <w:jc w:val="center"/>
                    <w:textAlignment w:val="center"/>
                    <w:rPr>
                      <w:color w:val="000000"/>
                      <w:sz w:val="21"/>
                      <w:szCs w:val="21"/>
                    </w:rPr>
                  </w:pPr>
                </w:p>
              </w:tc>
              <w:tc>
                <w:tcPr>
                  <w:tcW w:w="2338" w:type="dxa"/>
                  <w:tcBorders>
                    <w:top w:val="single" w:color="000000" w:sz="4" w:space="0"/>
                    <w:left w:val="single" w:color="000000" w:sz="4" w:space="0"/>
                    <w:bottom w:val="single" w:color="000000" w:sz="4" w:space="0"/>
                    <w:right w:val="single" w:color="000000" w:sz="4" w:space="0"/>
                  </w:tcBorders>
                  <w:noWrap/>
                  <w:vAlign w:val="center"/>
                </w:tcPr>
                <w:p w14:paraId="5D1EB6B6">
                  <w:pPr>
                    <w:widowControl/>
                    <w:jc w:val="center"/>
                    <w:textAlignment w:val="center"/>
                    <w:rPr>
                      <w:color w:val="000000"/>
                      <w:sz w:val="21"/>
                      <w:szCs w:val="21"/>
                    </w:rPr>
                  </w:pPr>
                </w:p>
              </w:tc>
            </w:tr>
            <w:tr w14:paraId="4AD2E254">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3C4C0761">
                  <w:pPr>
                    <w:widowControl/>
                    <w:jc w:val="center"/>
                    <w:textAlignment w:val="center"/>
                    <w:rPr>
                      <w:color w:val="000000"/>
                      <w:sz w:val="21"/>
                      <w:szCs w:val="21"/>
                    </w:rPr>
                  </w:pPr>
                  <w:r>
                    <w:rPr>
                      <w:rFonts w:hint="eastAsia"/>
                      <w:color w:val="000000"/>
                      <w:sz w:val="21"/>
                      <w:szCs w:val="21"/>
                    </w:rPr>
                    <w:t>硫代二丙酸双十二醇酯</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0E3743E1">
                  <w:pPr>
                    <w:widowControl/>
                    <w:jc w:val="center"/>
                    <w:textAlignment w:val="center"/>
                    <w:rPr>
                      <w:color w:val="000000"/>
                      <w:sz w:val="21"/>
                      <w:szCs w:val="21"/>
                    </w:rPr>
                  </w:pPr>
                  <w:r>
                    <w:rPr>
                      <w:color w:val="000000"/>
                      <w:sz w:val="21"/>
                      <w:szCs w:val="21"/>
                    </w:rPr>
                    <w:t>25</w:t>
                  </w:r>
                </w:p>
              </w:tc>
              <w:tc>
                <w:tcPr>
                  <w:tcW w:w="2226" w:type="dxa"/>
                  <w:tcBorders>
                    <w:top w:val="single" w:color="000000" w:sz="4" w:space="0"/>
                    <w:left w:val="single" w:color="000000" w:sz="4" w:space="0"/>
                    <w:bottom w:val="single" w:color="000000" w:sz="4" w:space="0"/>
                    <w:right w:val="single" w:color="000000" w:sz="4" w:space="0"/>
                  </w:tcBorders>
                  <w:noWrap/>
                  <w:vAlign w:val="center"/>
                </w:tcPr>
                <w:p w14:paraId="09D43D99">
                  <w:pPr>
                    <w:widowControl/>
                    <w:jc w:val="center"/>
                    <w:textAlignment w:val="center"/>
                    <w:rPr>
                      <w:color w:val="000000"/>
                      <w:sz w:val="21"/>
                      <w:szCs w:val="21"/>
                    </w:rPr>
                  </w:pPr>
                </w:p>
              </w:tc>
              <w:tc>
                <w:tcPr>
                  <w:tcW w:w="2338" w:type="dxa"/>
                  <w:tcBorders>
                    <w:top w:val="single" w:color="000000" w:sz="4" w:space="0"/>
                    <w:left w:val="single" w:color="000000" w:sz="4" w:space="0"/>
                    <w:bottom w:val="single" w:color="000000" w:sz="4" w:space="0"/>
                    <w:right w:val="single" w:color="000000" w:sz="4" w:space="0"/>
                  </w:tcBorders>
                  <w:noWrap/>
                  <w:vAlign w:val="center"/>
                </w:tcPr>
                <w:p w14:paraId="3AE7BAAF">
                  <w:pPr>
                    <w:widowControl/>
                    <w:jc w:val="center"/>
                    <w:textAlignment w:val="center"/>
                    <w:rPr>
                      <w:color w:val="000000"/>
                      <w:sz w:val="21"/>
                      <w:szCs w:val="21"/>
                    </w:rPr>
                  </w:pPr>
                </w:p>
              </w:tc>
            </w:tr>
            <w:tr w14:paraId="18A3F277">
              <w:tblPrEx>
                <w:tblCellMar>
                  <w:top w:w="0" w:type="dxa"/>
                  <w:left w:w="108" w:type="dxa"/>
                  <w:bottom w:w="0" w:type="dxa"/>
                  <w:right w:w="108" w:type="dxa"/>
                </w:tblCellMar>
              </w:tblPrEx>
              <w:trPr>
                <w:trHeight w:val="23" w:hRule="atLeast"/>
                <w:jc w:val="center"/>
              </w:trPr>
              <w:tc>
                <w:tcPr>
                  <w:tcW w:w="1124" w:type="pct"/>
                  <w:tcBorders>
                    <w:top w:val="single" w:color="000000" w:sz="4" w:space="0"/>
                    <w:left w:val="single" w:color="000000" w:sz="4" w:space="0"/>
                    <w:bottom w:val="single" w:color="000000" w:sz="4" w:space="0"/>
                    <w:right w:val="single" w:color="000000" w:sz="4" w:space="0"/>
                  </w:tcBorders>
                  <w:noWrap/>
                  <w:vAlign w:val="center"/>
                </w:tcPr>
                <w:p w14:paraId="546BE987">
                  <w:pPr>
                    <w:widowControl/>
                    <w:jc w:val="center"/>
                    <w:textAlignment w:val="center"/>
                    <w:rPr>
                      <w:color w:val="000000"/>
                      <w:sz w:val="21"/>
                      <w:szCs w:val="21"/>
                    </w:rPr>
                  </w:pPr>
                  <w:r>
                    <w:rPr>
                      <w:rFonts w:hint="eastAsia"/>
                      <w:color w:val="000000"/>
                      <w:sz w:val="21"/>
                      <w:szCs w:val="21"/>
                    </w:rPr>
                    <w:t>合计</w:t>
                  </w:r>
                </w:p>
              </w:tc>
              <w:tc>
                <w:tcPr>
                  <w:tcW w:w="1171" w:type="pct"/>
                  <w:tcBorders>
                    <w:top w:val="single" w:color="000000" w:sz="4" w:space="0"/>
                    <w:left w:val="single" w:color="000000" w:sz="4" w:space="0"/>
                    <w:bottom w:val="single" w:color="000000" w:sz="4" w:space="0"/>
                    <w:right w:val="single" w:color="000000" w:sz="4" w:space="0"/>
                  </w:tcBorders>
                  <w:noWrap w:val="0"/>
                  <w:vAlign w:val="center"/>
                </w:tcPr>
                <w:p w14:paraId="0C89B064">
                  <w:pPr>
                    <w:widowControl/>
                    <w:jc w:val="center"/>
                    <w:textAlignment w:val="center"/>
                    <w:rPr>
                      <w:color w:val="000000"/>
                      <w:sz w:val="21"/>
                      <w:szCs w:val="21"/>
                    </w:rPr>
                  </w:pPr>
                  <w:r>
                    <w:rPr>
                      <w:rFonts w:hint="eastAsia"/>
                      <w:color w:val="000000"/>
                      <w:sz w:val="21"/>
                      <w:szCs w:val="21"/>
                    </w:rPr>
                    <w:t>4330.321</w:t>
                  </w:r>
                </w:p>
              </w:tc>
              <w:tc>
                <w:tcPr>
                  <w:tcW w:w="1319" w:type="pct"/>
                  <w:tcBorders>
                    <w:top w:val="single" w:color="000000" w:sz="4" w:space="0"/>
                    <w:left w:val="single" w:color="000000" w:sz="4" w:space="0"/>
                    <w:bottom w:val="single" w:color="000000" w:sz="4" w:space="0"/>
                    <w:right w:val="single" w:color="000000" w:sz="4" w:space="0"/>
                  </w:tcBorders>
                  <w:noWrap/>
                  <w:vAlign w:val="center"/>
                </w:tcPr>
                <w:p w14:paraId="0C5D8E74">
                  <w:pPr>
                    <w:widowControl/>
                    <w:jc w:val="center"/>
                    <w:textAlignment w:val="center"/>
                    <w:rPr>
                      <w:color w:val="000000"/>
                      <w:sz w:val="21"/>
                      <w:szCs w:val="21"/>
                    </w:rPr>
                  </w:pPr>
                </w:p>
              </w:tc>
              <w:tc>
                <w:tcPr>
                  <w:tcW w:w="1385" w:type="pct"/>
                  <w:tcBorders>
                    <w:top w:val="single" w:color="000000" w:sz="4" w:space="0"/>
                    <w:left w:val="single" w:color="000000" w:sz="4" w:space="0"/>
                    <w:bottom w:val="single" w:color="000000" w:sz="4" w:space="0"/>
                    <w:right w:val="single" w:color="000000" w:sz="4" w:space="0"/>
                  </w:tcBorders>
                  <w:noWrap/>
                  <w:vAlign w:val="center"/>
                </w:tcPr>
                <w:p w14:paraId="2547B4C6">
                  <w:pPr>
                    <w:widowControl/>
                    <w:jc w:val="center"/>
                    <w:textAlignment w:val="center"/>
                    <w:rPr>
                      <w:color w:val="000000"/>
                      <w:sz w:val="21"/>
                      <w:szCs w:val="21"/>
                    </w:rPr>
                  </w:pPr>
                  <w:r>
                    <w:rPr>
                      <w:rFonts w:hint="eastAsia"/>
                      <w:color w:val="000000"/>
                      <w:sz w:val="21"/>
                      <w:szCs w:val="21"/>
                    </w:rPr>
                    <w:t>4330.321</w:t>
                  </w:r>
                </w:p>
              </w:tc>
            </w:tr>
          </w:tbl>
          <w:p w14:paraId="32A1614F">
            <w:pPr>
              <w:adjustRightInd w:val="0"/>
              <w:spacing w:line="360" w:lineRule="auto"/>
              <w:jc w:val="center"/>
              <w:rPr>
                <w:color w:val="000000"/>
              </w:rPr>
            </w:pPr>
            <w:r>
              <w:rPr>
                <w:rFonts w:hint="eastAsia"/>
                <w:b/>
                <w:bCs/>
                <w:color w:val="000000"/>
              </w:rPr>
              <w:t>表2-10  项目非甲烷总烃平衡表</w:t>
            </w:r>
          </w:p>
          <w:tbl>
            <w:tblPr>
              <w:tblStyle w:val="16"/>
              <w:tblW w:w="8537" w:type="dxa"/>
              <w:tblInd w:w="-141" w:type="dxa"/>
              <w:tblLayout w:type="fixed"/>
              <w:tblCellMar>
                <w:top w:w="0" w:type="dxa"/>
                <w:left w:w="108" w:type="dxa"/>
                <w:bottom w:w="0" w:type="dxa"/>
                <w:right w:w="108" w:type="dxa"/>
              </w:tblCellMar>
            </w:tblPr>
            <w:tblGrid>
              <w:gridCol w:w="2890"/>
              <w:gridCol w:w="1025"/>
              <w:gridCol w:w="3556"/>
              <w:gridCol w:w="1066"/>
            </w:tblGrid>
            <w:tr w14:paraId="4CD8D1E8">
              <w:tblPrEx>
                <w:tblCellMar>
                  <w:top w:w="0" w:type="dxa"/>
                  <w:left w:w="108" w:type="dxa"/>
                  <w:bottom w:w="0" w:type="dxa"/>
                  <w:right w:w="108" w:type="dxa"/>
                </w:tblCellMar>
              </w:tblPrEx>
              <w:trPr>
                <w:trHeight w:val="23" w:hRule="atLeast"/>
              </w:trPr>
              <w:tc>
                <w:tcPr>
                  <w:tcW w:w="3915" w:type="dxa"/>
                  <w:gridSpan w:val="2"/>
                  <w:tcBorders>
                    <w:top w:val="single" w:color="000000" w:sz="4" w:space="0"/>
                    <w:left w:val="single" w:color="000000" w:sz="4" w:space="0"/>
                    <w:bottom w:val="single" w:color="000000" w:sz="4" w:space="0"/>
                    <w:right w:val="single" w:color="000000" w:sz="4" w:space="0"/>
                  </w:tcBorders>
                  <w:noWrap/>
                  <w:vAlign w:val="center"/>
                </w:tcPr>
                <w:p w14:paraId="04F080F5">
                  <w:pPr>
                    <w:widowControl/>
                    <w:jc w:val="center"/>
                    <w:textAlignment w:val="center"/>
                    <w:rPr>
                      <w:b/>
                      <w:bCs/>
                      <w:color w:val="000000"/>
                      <w:sz w:val="21"/>
                      <w:szCs w:val="21"/>
                    </w:rPr>
                  </w:pPr>
                  <w:r>
                    <w:rPr>
                      <w:rFonts w:hint="eastAsia"/>
                      <w:b/>
                      <w:bCs/>
                      <w:color w:val="000000"/>
                      <w:sz w:val="21"/>
                      <w:szCs w:val="21"/>
                    </w:rPr>
                    <w:t>输入</w:t>
                  </w:r>
                </w:p>
              </w:tc>
              <w:tc>
                <w:tcPr>
                  <w:tcW w:w="4622" w:type="dxa"/>
                  <w:gridSpan w:val="2"/>
                  <w:tcBorders>
                    <w:top w:val="single" w:color="000000" w:sz="4" w:space="0"/>
                    <w:left w:val="single" w:color="000000" w:sz="4" w:space="0"/>
                    <w:bottom w:val="single" w:color="000000" w:sz="4" w:space="0"/>
                    <w:right w:val="single" w:color="000000" w:sz="4" w:space="0"/>
                  </w:tcBorders>
                  <w:noWrap/>
                  <w:vAlign w:val="center"/>
                </w:tcPr>
                <w:p w14:paraId="7A47BA73">
                  <w:pPr>
                    <w:widowControl/>
                    <w:jc w:val="center"/>
                    <w:textAlignment w:val="center"/>
                    <w:rPr>
                      <w:b/>
                      <w:bCs/>
                      <w:color w:val="000000"/>
                      <w:sz w:val="21"/>
                      <w:szCs w:val="21"/>
                    </w:rPr>
                  </w:pPr>
                  <w:r>
                    <w:rPr>
                      <w:rFonts w:hint="eastAsia"/>
                      <w:b/>
                      <w:bCs/>
                      <w:color w:val="000000"/>
                      <w:sz w:val="21"/>
                      <w:szCs w:val="21"/>
                    </w:rPr>
                    <w:t>输出</w:t>
                  </w:r>
                </w:p>
              </w:tc>
            </w:tr>
            <w:tr w14:paraId="3B0E717A">
              <w:tblPrEx>
                <w:tblCellMar>
                  <w:top w:w="0" w:type="dxa"/>
                  <w:left w:w="108" w:type="dxa"/>
                  <w:bottom w:w="0" w:type="dxa"/>
                  <w:right w:w="108" w:type="dxa"/>
                </w:tblCellMar>
              </w:tblPrEx>
              <w:trPr>
                <w:trHeight w:val="23" w:hRule="atLeast"/>
              </w:trPr>
              <w:tc>
                <w:tcPr>
                  <w:tcW w:w="2890" w:type="dxa"/>
                  <w:tcBorders>
                    <w:top w:val="single" w:color="000000" w:sz="4" w:space="0"/>
                    <w:left w:val="single" w:color="000000" w:sz="4" w:space="0"/>
                    <w:bottom w:val="single" w:color="000000" w:sz="4" w:space="0"/>
                    <w:right w:val="single" w:color="000000" w:sz="4" w:space="0"/>
                  </w:tcBorders>
                  <w:noWrap/>
                  <w:vAlign w:val="center"/>
                </w:tcPr>
                <w:p w14:paraId="32DDFC61">
                  <w:pPr>
                    <w:widowControl/>
                    <w:jc w:val="center"/>
                    <w:textAlignment w:val="center"/>
                    <w:rPr>
                      <w:rFonts w:hint="eastAsia"/>
                      <w:color w:val="000000"/>
                      <w:sz w:val="21"/>
                      <w:szCs w:val="21"/>
                    </w:rPr>
                  </w:pPr>
                  <w:r>
                    <w:rPr>
                      <w:rFonts w:hint="eastAsia"/>
                      <w:color w:val="000000"/>
                      <w:sz w:val="21"/>
                      <w:szCs w:val="21"/>
                    </w:rPr>
                    <w:t>输入物料</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7D86C540">
                  <w:pPr>
                    <w:widowControl/>
                    <w:jc w:val="center"/>
                    <w:textAlignment w:val="center"/>
                    <w:rPr>
                      <w:rFonts w:hint="eastAsia"/>
                      <w:color w:val="000000"/>
                      <w:sz w:val="21"/>
                      <w:szCs w:val="21"/>
                    </w:rPr>
                  </w:pPr>
                  <w:r>
                    <w:rPr>
                      <w:rFonts w:hint="eastAsia"/>
                      <w:color w:val="000000"/>
                      <w:sz w:val="21"/>
                      <w:szCs w:val="21"/>
                    </w:rPr>
                    <w:t>输入量</w:t>
                  </w:r>
                </w:p>
              </w:tc>
              <w:tc>
                <w:tcPr>
                  <w:tcW w:w="3556" w:type="dxa"/>
                  <w:tcBorders>
                    <w:top w:val="single" w:color="000000" w:sz="4" w:space="0"/>
                    <w:left w:val="single" w:color="000000" w:sz="4" w:space="0"/>
                    <w:bottom w:val="single" w:color="000000" w:sz="4" w:space="0"/>
                    <w:right w:val="single" w:color="000000" w:sz="4" w:space="0"/>
                  </w:tcBorders>
                  <w:noWrap/>
                  <w:vAlign w:val="center"/>
                </w:tcPr>
                <w:p w14:paraId="56705082">
                  <w:pPr>
                    <w:widowControl/>
                    <w:jc w:val="center"/>
                    <w:textAlignment w:val="center"/>
                    <w:rPr>
                      <w:rFonts w:hint="eastAsia"/>
                      <w:color w:val="000000"/>
                      <w:sz w:val="21"/>
                      <w:szCs w:val="21"/>
                    </w:rPr>
                  </w:pPr>
                  <w:r>
                    <w:rPr>
                      <w:rFonts w:hint="eastAsia"/>
                      <w:color w:val="000000"/>
                      <w:sz w:val="21"/>
                      <w:szCs w:val="21"/>
                    </w:rPr>
                    <w:t>输出物料</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01D5FF61">
                  <w:pPr>
                    <w:widowControl/>
                    <w:jc w:val="center"/>
                    <w:textAlignment w:val="center"/>
                    <w:rPr>
                      <w:rFonts w:hint="eastAsia"/>
                      <w:color w:val="000000"/>
                      <w:sz w:val="21"/>
                      <w:szCs w:val="21"/>
                    </w:rPr>
                  </w:pPr>
                  <w:r>
                    <w:rPr>
                      <w:rFonts w:hint="eastAsia"/>
                      <w:color w:val="000000"/>
                      <w:sz w:val="21"/>
                      <w:szCs w:val="21"/>
                    </w:rPr>
                    <w:t>输出量</w:t>
                  </w:r>
                </w:p>
              </w:tc>
            </w:tr>
            <w:tr w14:paraId="43C6E14B">
              <w:tblPrEx>
                <w:tblCellMar>
                  <w:top w:w="0" w:type="dxa"/>
                  <w:left w:w="108" w:type="dxa"/>
                  <w:bottom w:w="0" w:type="dxa"/>
                  <w:right w:w="108" w:type="dxa"/>
                </w:tblCellMar>
              </w:tblPrEx>
              <w:trPr>
                <w:trHeight w:val="23" w:hRule="atLeast"/>
              </w:trPr>
              <w:tc>
                <w:tcPr>
                  <w:tcW w:w="2890" w:type="dxa"/>
                  <w:tcBorders>
                    <w:top w:val="single" w:color="000000" w:sz="4" w:space="0"/>
                    <w:left w:val="single" w:color="000000" w:sz="4" w:space="0"/>
                    <w:bottom w:val="single" w:color="000000" w:sz="4" w:space="0"/>
                    <w:right w:val="single" w:color="000000" w:sz="4" w:space="0"/>
                  </w:tcBorders>
                  <w:noWrap/>
                  <w:vAlign w:val="center"/>
                </w:tcPr>
                <w:p w14:paraId="1FDCC8D9">
                  <w:pPr>
                    <w:widowControl/>
                    <w:jc w:val="center"/>
                    <w:textAlignment w:val="center"/>
                    <w:rPr>
                      <w:rFonts w:hint="eastAsia"/>
                      <w:color w:val="000000"/>
                      <w:sz w:val="21"/>
                      <w:szCs w:val="21"/>
                    </w:rPr>
                  </w:pPr>
                  <w:r>
                    <w:rPr>
                      <w:rFonts w:hint="eastAsia"/>
                      <w:color w:val="000000"/>
                      <w:sz w:val="21"/>
                      <w:szCs w:val="21"/>
                    </w:rPr>
                    <w:t>PVC电缆料生产线产生量</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02DCBAE6">
                  <w:pPr>
                    <w:widowControl/>
                    <w:jc w:val="center"/>
                    <w:textAlignment w:val="center"/>
                    <w:rPr>
                      <w:rFonts w:hint="eastAsia"/>
                      <w:color w:val="000000"/>
                      <w:sz w:val="21"/>
                      <w:szCs w:val="21"/>
                    </w:rPr>
                  </w:pPr>
                  <w:r>
                    <w:rPr>
                      <w:rFonts w:hint="eastAsia"/>
                      <w:color w:val="000000"/>
                      <w:sz w:val="21"/>
                      <w:szCs w:val="21"/>
                    </w:rPr>
                    <w:t>6.275</w:t>
                  </w:r>
                </w:p>
              </w:tc>
              <w:tc>
                <w:tcPr>
                  <w:tcW w:w="3556" w:type="dxa"/>
                  <w:tcBorders>
                    <w:top w:val="single" w:color="000000" w:sz="4" w:space="0"/>
                    <w:left w:val="single" w:color="000000" w:sz="4" w:space="0"/>
                    <w:bottom w:val="single" w:color="000000" w:sz="4" w:space="0"/>
                    <w:right w:val="single" w:color="000000" w:sz="4" w:space="0"/>
                  </w:tcBorders>
                  <w:noWrap w:val="0"/>
                  <w:vAlign w:val="center"/>
                </w:tcPr>
                <w:p w14:paraId="5B22301C">
                  <w:pPr>
                    <w:widowControl/>
                    <w:jc w:val="center"/>
                    <w:textAlignment w:val="center"/>
                    <w:rPr>
                      <w:rFonts w:hint="eastAsia"/>
                      <w:color w:val="000000"/>
                      <w:sz w:val="21"/>
                      <w:szCs w:val="21"/>
                    </w:rPr>
                  </w:pPr>
                  <w:r>
                    <w:rPr>
                      <w:rFonts w:hint="eastAsia"/>
                      <w:color w:val="000000"/>
                      <w:sz w:val="21"/>
                      <w:szCs w:val="21"/>
                    </w:rPr>
                    <w:t>PVC电缆料生产线排放非甲烷总烃</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02CC8797">
                  <w:pPr>
                    <w:widowControl/>
                    <w:jc w:val="center"/>
                    <w:textAlignment w:val="center"/>
                    <w:rPr>
                      <w:color w:val="000000"/>
                      <w:sz w:val="21"/>
                      <w:szCs w:val="21"/>
                    </w:rPr>
                  </w:pPr>
                  <w:r>
                    <w:rPr>
                      <w:color w:val="000000"/>
                      <w:sz w:val="21"/>
                      <w:szCs w:val="21"/>
                    </w:rPr>
                    <w:t xml:space="preserve">1.474 </w:t>
                  </w:r>
                </w:p>
              </w:tc>
            </w:tr>
            <w:tr w14:paraId="29D4EB4F">
              <w:tblPrEx>
                <w:tblCellMar>
                  <w:top w:w="0" w:type="dxa"/>
                  <w:left w:w="108" w:type="dxa"/>
                  <w:bottom w:w="0" w:type="dxa"/>
                  <w:right w:w="108" w:type="dxa"/>
                </w:tblCellMar>
              </w:tblPrEx>
              <w:trPr>
                <w:trHeight w:val="23" w:hRule="atLeast"/>
              </w:trPr>
              <w:tc>
                <w:tcPr>
                  <w:tcW w:w="2890" w:type="dxa"/>
                  <w:tcBorders>
                    <w:top w:val="single" w:color="000000" w:sz="4" w:space="0"/>
                    <w:left w:val="single" w:color="000000" w:sz="4" w:space="0"/>
                    <w:bottom w:val="single" w:color="000000" w:sz="4" w:space="0"/>
                    <w:right w:val="single" w:color="000000" w:sz="4" w:space="0"/>
                  </w:tcBorders>
                  <w:noWrap/>
                  <w:vAlign w:val="center"/>
                </w:tcPr>
                <w:p w14:paraId="2D1DB236">
                  <w:pPr>
                    <w:widowControl/>
                    <w:jc w:val="center"/>
                    <w:textAlignment w:val="center"/>
                    <w:rPr>
                      <w:rFonts w:hint="eastAsia"/>
                      <w:color w:val="000000"/>
                      <w:sz w:val="21"/>
                      <w:szCs w:val="21"/>
                    </w:rPr>
                  </w:pPr>
                  <w:r>
                    <w:rPr>
                      <w:rFonts w:hint="eastAsia"/>
                      <w:color w:val="000000"/>
                      <w:sz w:val="21"/>
                      <w:szCs w:val="21"/>
                    </w:rPr>
                    <w:t>低烟无卤电缆料生产线产生量</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1497DB44">
                  <w:pPr>
                    <w:widowControl/>
                    <w:jc w:val="center"/>
                    <w:textAlignment w:val="center"/>
                    <w:rPr>
                      <w:rFonts w:hint="eastAsia"/>
                      <w:color w:val="000000"/>
                      <w:sz w:val="21"/>
                      <w:szCs w:val="21"/>
                    </w:rPr>
                  </w:pPr>
                  <w:r>
                    <w:rPr>
                      <w:rFonts w:hint="eastAsia"/>
                      <w:color w:val="000000"/>
                      <w:sz w:val="21"/>
                      <w:szCs w:val="21"/>
                    </w:rPr>
                    <w:t>4.221</w:t>
                  </w:r>
                </w:p>
              </w:tc>
              <w:tc>
                <w:tcPr>
                  <w:tcW w:w="3556" w:type="dxa"/>
                  <w:tcBorders>
                    <w:top w:val="single" w:color="000000" w:sz="4" w:space="0"/>
                    <w:left w:val="single" w:color="000000" w:sz="4" w:space="0"/>
                    <w:bottom w:val="single" w:color="000000" w:sz="4" w:space="0"/>
                    <w:right w:val="single" w:color="000000" w:sz="4" w:space="0"/>
                  </w:tcBorders>
                  <w:noWrap/>
                  <w:vAlign w:val="center"/>
                </w:tcPr>
                <w:p w14:paraId="243CBCF4">
                  <w:pPr>
                    <w:widowControl/>
                    <w:jc w:val="center"/>
                    <w:textAlignment w:val="center"/>
                    <w:rPr>
                      <w:rFonts w:hint="eastAsia"/>
                      <w:color w:val="000000"/>
                      <w:sz w:val="21"/>
                      <w:szCs w:val="21"/>
                    </w:rPr>
                  </w:pPr>
                  <w:r>
                    <w:rPr>
                      <w:rFonts w:hint="eastAsia"/>
                      <w:color w:val="000000"/>
                      <w:sz w:val="21"/>
                      <w:szCs w:val="21"/>
                    </w:rPr>
                    <w:t>低烟无卤电缆料生产线排放非甲烷总烃</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05998B5F">
                  <w:pPr>
                    <w:widowControl/>
                    <w:jc w:val="center"/>
                    <w:textAlignment w:val="center"/>
                    <w:rPr>
                      <w:rFonts w:hint="eastAsia"/>
                      <w:color w:val="000000"/>
                      <w:sz w:val="21"/>
                      <w:szCs w:val="21"/>
                    </w:rPr>
                  </w:pPr>
                  <w:r>
                    <w:rPr>
                      <w:rFonts w:hint="eastAsia"/>
                      <w:color w:val="000000"/>
                      <w:sz w:val="21"/>
                      <w:szCs w:val="21"/>
                    </w:rPr>
                    <w:t>1.171</w:t>
                  </w:r>
                </w:p>
              </w:tc>
            </w:tr>
            <w:tr w14:paraId="59FF34F1">
              <w:tblPrEx>
                <w:tblCellMar>
                  <w:top w:w="0" w:type="dxa"/>
                  <w:left w:w="108" w:type="dxa"/>
                  <w:bottom w:w="0" w:type="dxa"/>
                  <w:right w:w="108" w:type="dxa"/>
                </w:tblCellMar>
              </w:tblPrEx>
              <w:trPr>
                <w:trHeight w:val="23" w:hRule="atLeast"/>
              </w:trPr>
              <w:tc>
                <w:tcPr>
                  <w:tcW w:w="2890" w:type="dxa"/>
                  <w:tcBorders>
                    <w:top w:val="single" w:color="000000" w:sz="4" w:space="0"/>
                    <w:left w:val="single" w:color="000000" w:sz="4" w:space="0"/>
                    <w:bottom w:val="single" w:color="000000" w:sz="4" w:space="0"/>
                    <w:right w:val="single" w:color="000000" w:sz="4" w:space="0"/>
                  </w:tcBorders>
                  <w:noWrap/>
                  <w:vAlign w:val="center"/>
                </w:tcPr>
                <w:p w14:paraId="08971603">
                  <w:pPr>
                    <w:widowControl/>
                    <w:jc w:val="center"/>
                    <w:textAlignment w:val="center"/>
                    <w:rPr>
                      <w:rFonts w:hint="eastAsia"/>
                      <w:color w:val="000000"/>
                      <w:sz w:val="21"/>
                      <w:szCs w:val="21"/>
                    </w:rPr>
                  </w:pP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620BE484">
                  <w:pPr>
                    <w:widowControl/>
                    <w:jc w:val="center"/>
                    <w:textAlignment w:val="center"/>
                    <w:rPr>
                      <w:rFonts w:hint="eastAsia"/>
                      <w:color w:val="000000"/>
                      <w:sz w:val="21"/>
                      <w:szCs w:val="21"/>
                    </w:rPr>
                  </w:pPr>
                </w:p>
              </w:tc>
              <w:tc>
                <w:tcPr>
                  <w:tcW w:w="3556" w:type="dxa"/>
                  <w:tcBorders>
                    <w:top w:val="single" w:color="000000" w:sz="4" w:space="0"/>
                    <w:left w:val="single" w:color="000000" w:sz="4" w:space="0"/>
                    <w:bottom w:val="single" w:color="000000" w:sz="4" w:space="0"/>
                    <w:right w:val="single" w:color="000000" w:sz="4" w:space="0"/>
                  </w:tcBorders>
                  <w:noWrap/>
                  <w:vAlign w:val="center"/>
                </w:tcPr>
                <w:p w14:paraId="66A14DA3">
                  <w:pPr>
                    <w:widowControl/>
                    <w:jc w:val="center"/>
                    <w:textAlignment w:val="center"/>
                    <w:rPr>
                      <w:rFonts w:hint="eastAsia"/>
                      <w:color w:val="000000"/>
                      <w:sz w:val="21"/>
                      <w:szCs w:val="21"/>
                    </w:rPr>
                  </w:pPr>
                  <w:r>
                    <w:rPr>
                      <w:rFonts w:hint="eastAsia"/>
                      <w:color w:val="000000"/>
                      <w:sz w:val="21"/>
                      <w:szCs w:val="21"/>
                    </w:rPr>
                    <w:t>活性炭吸附的非甲烷总烃</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7B1E669B">
                  <w:pPr>
                    <w:widowControl/>
                    <w:jc w:val="center"/>
                    <w:textAlignment w:val="center"/>
                    <w:rPr>
                      <w:rFonts w:hint="eastAsia"/>
                      <w:color w:val="000000"/>
                      <w:sz w:val="21"/>
                      <w:szCs w:val="21"/>
                    </w:rPr>
                  </w:pPr>
                  <w:r>
                    <w:rPr>
                      <w:rFonts w:hint="eastAsia"/>
                      <w:color w:val="000000"/>
                      <w:sz w:val="21"/>
                      <w:szCs w:val="21"/>
                    </w:rPr>
                    <w:t>7.8</w:t>
                  </w:r>
                  <w:r>
                    <w:rPr>
                      <w:rFonts w:hint="eastAsia"/>
                      <w:color w:val="000000"/>
                      <w:sz w:val="21"/>
                      <w:szCs w:val="21"/>
                      <w:lang w:val="en-US" w:eastAsia="zh-CN"/>
                    </w:rPr>
                    <w:t>51</w:t>
                  </w:r>
                  <w:r>
                    <w:rPr>
                      <w:rFonts w:hint="eastAsia"/>
                      <w:color w:val="000000"/>
                      <w:sz w:val="21"/>
                      <w:szCs w:val="21"/>
                    </w:rPr>
                    <w:t xml:space="preserve"> </w:t>
                  </w:r>
                </w:p>
              </w:tc>
            </w:tr>
            <w:tr w14:paraId="3D1AF96B">
              <w:tblPrEx>
                <w:tblCellMar>
                  <w:top w:w="0" w:type="dxa"/>
                  <w:left w:w="108" w:type="dxa"/>
                  <w:bottom w:w="0" w:type="dxa"/>
                  <w:right w:w="108" w:type="dxa"/>
                </w:tblCellMar>
              </w:tblPrEx>
              <w:trPr>
                <w:trHeight w:val="23" w:hRule="atLeast"/>
              </w:trPr>
              <w:tc>
                <w:tcPr>
                  <w:tcW w:w="2890" w:type="dxa"/>
                  <w:tcBorders>
                    <w:top w:val="single" w:color="000000" w:sz="4" w:space="0"/>
                    <w:left w:val="single" w:color="000000" w:sz="4" w:space="0"/>
                    <w:bottom w:val="single" w:color="000000" w:sz="4" w:space="0"/>
                    <w:right w:val="single" w:color="000000" w:sz="4" w:space="0"/>
                  </w:tcBorders>
                  <w:noWrap/>
                  <w:vAlign w:val="center"/>
                </w:tcPr>
                <w:p w14:paraId="4BA33B70">
                  <w:pPr>
                    <w:widowControl/>
                    <w:jc w:val="center"/>
                    <w:textAlignment w:val="center"/>
                    <w:rPr>
                      <w:color w:val="000000"/>
                      <w:sz w:val="21"/>
                      <w:szCs w:val="21"/>
                    </w:rPr>
                  </w:pPr>
                  <w:r>
                    <w:rPr>
                      <w:rFonts w:hint="eastAsia"/>
                      <w:color w:val="000000"/>
                      <w:sz w:val="21"/>
                      <w:szCs w:val="21"/>
                    </w:rPr>
                    <w:t>合计</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1CB33839">
                  <w:pPr>
                    <w:widowControl/>
                    <w:jc w:val="center"/>
                    <w:textAlignment w:val="center"/>
                    <w:rPr>
                      <w:rFonts w:hint="eastAsia"/>
                      <w:color w:val="000000"/>
                      <w:sz w:val="21"/>
                      <w:szCs w:val="21"/>
                    </w:rPr>
                  </w:pPr>
                  <w:r>
                    <w:rPr>
                      <w:rFonts w:hint="eastAsia"/>
                      <w:color w:val="000000"/>
                      <w:sz w:val="21"/>
                      <w:szCs w:val="21"/>
                    </w:rPr>
                    <w:t>10.496</w:t>
                  </w:r>
                </w:p>
              </w:tc>
              <w:tc>
                <w:tcPr>
                  <w:tcW w:w="3556" w:type="dxa"/>
                  <w:tcBorders>
                    <w:top w:val="single" w:color="000000" w:sz="4" w:space="0"/>
                    <w:left w:val="single" w:color="000000" w:sz="4" w:space="0"/>
                    <w:bottom w:val="single" w:color="000000" w:sz="4" w:space="0"/>
                    <w:right w:val="single" w:color="000000" w:sz="4" w:space="0"/>
                  </w:tcBorders>
                  <w:noWrap/>
                  <w:vAlign w:val="center"/>
                </w:tcPr>
                <w:p w14:paraId="73929719">
                  <w:pPr>
                    <w:widowControl/>
                    <w:jc w:val="center"/>
                    <w:textAlignment w:val="center"/>
                    <w:rPr>
                      <w:rFonts w:hint="eastAsia"/>
                      <w:color w:val="000000"/>
                      <w:sz w:val="21"/>
                      <w:szCs w:val="21"/>
                    </w:rPr>
                  </w:pP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77A92F34">
                  <w:pPr>
                    <w:widowControl/>
                    <w:jc w:val="center"/>
                    <w:textAlignment w:val="center"/>
                    <w:rPr>
                      <w:rFonts w:hint="eastAsia"/>
                      <w:color w:val="000000"/>
                      <w:sz w:val="21"/>
                      <w:szCs w:val="21"/>
                    </w:rPr>
                  </w:pPr>
                  <w:r>
                    <w:rPr>
                      <w:rFonts w:hint="eastAsia"/>
                      <w:color w:val="000000"/>
                      <w:sz w:val="21"/>
                      <w:szCs w:val="21"/>
                    </w:rPr>
                    <w:t>10.496</w:t>
                  </w:r>
                </w:p>
              </w:tc>
            </w:tr>
            <w:tr w14:paraId="0F24E6C6">
              <w:tblPrEx>
                <w:tblCellMar>
                  <w:top w:w="0" w:type="dxa"/>
                  <w:left w:w="108" w:type="dxa"/>
                  <w:bottom w:w="0" w:type="dxa"/>
                  <w:right w:w="108" w:type="dxa"/>
                </w:tblCellMar>
              </w:tblPrEx>
              <w:trPr>
                <w:trHeight w:val="23" w:hRule="atLeast"/>
              </w:trPr>
              <w:tc>
                <w:tcPr>
                  <w:tcW w:w="8537" w:type="dxa"/>
                  <w:gridSpan w:val="4"/>
                  <w:tcBorders>
                    <w:top w:val="single" w:color="000000" w:sz="4" w:space="0"/>
                    <w:left w:val="single" w:color="000000" w:sz="4" w:space="0"/>
                    <w:bottom w:val="single" w:color="000000" w:sz="4" w:space="0"/>
                    <w:right w:val="single" w:color="000000" w:sz="4" w:space="0"/>
                  </w:tcBorders>
                  <w:noWrap/>
                  <w:vAlign w:val="center"/>
                </w:tcPr>
                <w:p w14:paraId="62C967A9">
                  <w:pPr>
                    <w:widowControl/>
                    <w:jc w:val="both"/>
                    <w:textAlignment w:val="center"/>
                    <w:rPr>
                      <w:rFonts w:hint="default" w:eastAsia="宋体"/>
                      <w:color w:val="000000"/>
                      <w:sz w:val="21"/>
                      <w:szCs w:val="21"/>
                      <w:lang w:val="en-US" w:eastAsia="zh-CN"/>
                    </w:rPr>
                  </w:pPr>
                  <w:r>
                    <w:rPr>
                      <w:rFonts w:hint="eastAsia"/>
                      <w:b/>
                      <w:bCs/>
                      <w:color w:val="000000"/>
                      <w:sz w:val="20"/>
                      <w:szCs w:val="20"/>
                      <w:lang w:val="en-US" w:eastAsia="zh-CN"/>
                    </w:rPr>
                    <w:t>备注：</w:t>
                  </w:r>
                  <w:r>
                    <w:rPr>
                      <w:rFonts w:hint="eastAsia"/>
                      <w:b/>
                      <w:bCs/>
                      <w:color w:val="000000"/>
                      <w:sz w:val="20"/>
                      <w:szCs w:val="20"/>
                    </w:rPr>
                    <w:t>活性炭吸附的非甲烷总烃</w:t>
                  </w:r>
                  <w:r>
                    <w:rPr>
                      <w:rFonts w:hint="eastAsia"/>
                      <w:b/>
                      <w:bCs/>
                      <w:color w:val="000000"/>
                      <w:sz w:val="20"/>
                      <w:szCs w:val="20"/>
                      <w:lang w:val="en-US" w:eastAsia="zh-CN"/>
                    </w:rPr>
                    <w:t>为4.800+3.049＝7.849，由于四舍五入的原因与表中7.851有出入。</w:t>
                  </w:r>
                </w:p>
              </w:tc>
            </w:tr>
          </w:tbl>
          <w:p w14:paraId="289E7BB6">
            <w:pPr>
              <w:adjustRightInd w:val="0"/>
              <w:spacing w:line="360" w:lineRule="auto"/>
              <w:rPr>
                <w:rFonts w:hint="eastAsia"/>
                <w:b/>
                <w:bCs/>
                <w:color w:val="000000"/>
              </w:rPr>
            </w:pPr>
            <w:r>
              <w:rPr>
                <w:rFonts w:hint="eastAsia"/>
                <w:b/>
                <w:bCs/>
                <w:color w:val="000000"/>
              </w:rPr>
              <w:t>2.4总平面布置</w:t>
            </w:r>
          </w:p>
          <w:p w14:paraId="082A0BC1">
            <w:pPr>
              <w:adjustRightInd w:val="0"/>
              <w:spacing w:line="360" w:lineRule="auto"/>
              <w:ind w:firstLine="420" w:firstLineChars="200"/>
              <w:rPr>
                <w:color w:val="000000"/>
              </w:rPr>
            </w:pPr>
            <w:r>
              <w:rPr>
                <w:rFonts w:hint="eastAsia"/>
                <w:color w:val="000000"/>
              </w:rPr>
              <w:t>项目共有4栋建筑，分别为1号厂房、2号厂房、综合楼、门卫，厂区从北到南为2号厂房、1号厂房、门卫，综合楼位于厂区东部。2条PVC电缆料生产线布置于2号厂房1F中部，3条低烟无卤电缆料生产线布置于1号厂房1F中部。其他辅助设施围绕生产线布置，质检室布置于2号厂房东侧，两栋厂房2层均闲置预留。</w:t>
            </w:r>
          </w:p>
          <w:p w14:paraId="33526FA8">
            <w:pPr>
              <w:adjustRightInd w:val="0"/>
              <w:spacing w:line="360" w:lineRule="auto"/>
              <w:ind w:firstLine="420" w:firstLineChars="200"/>
              <w:rPr>
                <w:color w:val="000000"/>
              </w:rPr>
            </w:pPr>
            <w:r>
              <w:rPr>
                <w:rFonts w:hint="eastAsia"/>
                <w:color w:val="000000"/>
              </w:rPr>
              <w:t>本项目设置4套废气处理装置，处理PVC电缆料生产线有机废气的1#废气处理装置设置于2号厂房北侧，处理PVC电缆料生产线粉尘的2#废气处理装置设置于2厂房南侧，处理低烟无卤电缆料生产线有机废气的3#废气处理装置设置于1号厂房南侧，处理低烟无卤电缆料生产线粉尘的4#废气处理装置设置于1号厂房北侧。一般工业固废暂存间设置于2号厂房北侧，危险废物暂存间设置于2号厂房内部东北侧；新建废水预处理设施位于办公楼北侧，现有生化池位于厂区东南角，接入市政污水管网。</w:t>
            </w:r>
          </w:p>
          <w:p w14:paraId="5732CCD0">
            <w:pPr>
              <w:adjustRightInd w:val="0"/>
              <w:spacing w:line="360" w:lineRule="auto"/>
              <w:rPr>
                <w:b/>
                <w:bCs/>
                <w:color w:val="000000"/>
              </w:rPr>
            </w:pPr>
            <w:r>
              <w:rPr>
                <w:b/>
                <w:bCs/>
                <w:color w:val="000000"/>
              </w:rPr>
              <w:t>2.</w:t>
            </w:r>
            <w:r>
              <w:rPr>
                <w:rFonts w:hint="eastAsia"/>
                <w:b/>
                <w:bCs/>
                <w:color w:val="000000"/>
              </w:rPr>
              <w:t>7用排水量计算及水平衡</w:t>
            </w:r>
          </w:p>
          <w:p w14:paraId="29B7E586">
            <w:pPr>
              <w:adjustRightInd w:val="0"/>
              <w:spacing w:line="360" w:lineRule="auto"/>
              <w:ind w:firstLine="420" w:firstLineChars="200"/>
              <w:rPr>
                <w:color w:val="000000"/>
              </w:rPr>
            </w:pPr>
            <w:r>
              <w:rPr>
                <w:rFonts w:hint="eastAsia"/>
                <w:color w:val="000000"/>
              </w:rPr>
              <w:t>本项目用水类别包括生活用水、地面清洁用水、冷却塔用水、酸雾洗涤塔用水等，排水包括生活污水、地面清洁废水、冷却塔排水、空压机排水、酸雾洗涤塔废水等。质检室进行物理指标检验，不产生废水，项目不进行设备清洗、原料罐清洗等。用排水核算：</w:t>
            </w:r>
          </w:p>
          <w:p w14:paraId="37EADEDE">
            <w:pPr>
              <w:pStyle w:val="15"/>
              <w:spacing w:after="0" w:line="360" w:lineRule="auto"/>
              <w:ind w:left="0" w:leftChars="0" w:firstLine="482"/>
              <w:rPr>
                <w:b/>
                <w:bCs/>
                <w:color w:val="000000"/>
                <w:sz w:val="24"/>
              </w:rPr>
            </w:pPr>
            <w:r>
              <w:rPr>
                <w:rFonts w:hint="eastAsia"/>
                <w:b/>
                <w:bCs/>
                <w:color w:val="000000"/>
                <w:sz w:val="24"/>
              </w:rPr>
              <w:t>①员工生活污水</w:t>
            </w:r>
          </w:p>
          <w:p w14:paraId="55AE0BB8">
            <w:pPr>
              <w:pStyle w:val="15"/>
              <w:spacing w:after="0" w:line="360" w:lineRule="auto"/>
              <w:ind w:left="0" w:leftChars="0" w:firstLine="480"/>
              <w:rPr>
                <w:rFonts w:eastAsia="Times New Roman"/>
                <w:color w:val="000000"/>
                <w:sz w:val="24"/>
                <w:lang w:val="zh-CN"/>
              </w:rPr>
            </w:pPr>
            <w:r>
              <w:rPr>
                <w:color w:val="000000"/>
                <w:sz w:val="24"/>
              </w:rPr>
              <w:t>本项目</w:t>
            </w:r>
            <w:r>
              <w:rPr>
                <w:rFonts w:hint="eastAsia"/>
                <w:color w:val="000000"/>
                <w:sz w:val="24"/>
              </w:rPr>
              <w:t>拟配置</w:t>
            </w:r>
            <w:r>
              <w:rPr>
                <w:color w:val="000000"/>
                <w:sz w:val="24"/>
              </w:rPr>
              <w:t>劳动定员</w:t>
            </w:r>
            <w:r>
              <w:rPr>
                <w:rFonts w:hint="eastAsia"/>
                <w:color w:val="000000"/>
                <w:sz w:val="24"/>
              </w:rPr>
              <w:t>50</w:t>
            </w:r>
            <w:r>
              <w:rPr>
                <w:color w:val="000000"/>
                <w:sz w:val="24"/>
              </w:rPr>
              <w:t>人</w:t>
            </w:r>
            <w:r>
              <w:rPr>
                <w:rFonts w:hint="eastAsia"/>
                <w:color w:val="000000"/>
                <w:sz w:val="24"/>
              </w:rPr>
              <w:t>，午餐依托周边已有商业餐饮送餐，不产生餐饮废水，</w:t>
            </w:r>
            <w:r>
              <w:rPr>
                <w:color w:val="000000"/>
                <w:sz w:val="24"/>
              </w:rPr>
              <w:t>生活</w:t>
            </w:r>
            <w:r>
              <w:rPr>
                <w:rFonts w:eastAsia="Times New Roman"/>
                <w:color w:val="000000"/>
                <w:sz w:val="24"/>
                <w:lang w:val="zh-CN"/>
              </w:rPr>
              <w:t>用水量取</w:t>
            </w:r>
            <w:r>
              <w:rPr>
                <w:color w:val="000000"/>
                <w:sz w:val="24"/>
              </w:rPr>
              <w:t>50</w:t>
            </w:r>
            <w:r>
              <w:rPr>
                <w:rFonts w:eastAsia="Times New Roman"/>
                <w:color w:val="000000"/>
                <w:sz w:val="24"/>
                <w:lang w:val="zh-CN"/>
              </w:rPr>
              <w:t>L/人</w:t>
            </w:r>
            <w:r>
              <w:rPr>
                <w:rFonts w:hint="eastAsia"/>
                <w:color w:val="000000"/>
                <w:sz w:val="24"/>
              </w:rPr>
              <w:t>；根据</w:t>
            </w:r>
            <w:r>
              <w:rPr>
                <w:rFonts w:eastAsia="Times New Roman"/>
                <w:color w:val="000000"/>
                <w:sz w:val="24"/>
                <w:lang w:val="zh-CN"/>
              </w:rPr>
              <w:t>《室外排水设计标准》</w:t>
            </w:r>
            <w:r>
              <w:rPr>
                <w:rFonts w:hint="eastAsia" w:eastAsia="Times New Roman"/>
                <w:color w:val="000000"/>
                <w:sz w:val="24"/>
                <w:lang w:val="zh-CN"/>
              </w:rPr>
              <w:t>（</w:t>
            </w:r>
            <w:r>
              <w:rPr>
                <w:rFonts w:eastAsia="Times New Roman"/>
                <w:color w:val="000000"/>
                <w:sz w:val="24"/>
                <w:lang w:val="zh-CN"/>
              </w:rPr>
              <w:t>GB50014-2021</w:t>
            </w:r>
            <w:r>
              <w:rPr>
                <w:rFonts w:hint="eastAsia" w:eastAsia="Times New Roman"/>
                <w:color w:val="000000"/>
                <w:sz w:val="24"/>
                <w:lang w:val="zh-CN"/>
              </w:rPr>
              <w:t>），</w:t>
            </w:r>
            <w:r>
              <w:rPr>
                <w:rFonts w:hint="eastAsia"/>
                <w:color w:val="000000"/>
                <w:sz w:val="24"/>
              </w:rPr>
              <w:t>产污系数</w:t>
            </w:r>
            <w:r>
              <w:rPr>
                <w:rFonts w:eastAsia="Times New Roman"/>
                <w:color w:val="000000"/>
                <w:sz w:val="24"/>
                <w:lang w:val="zh-CN"/>
              </w:rPr>
              <w:t>按</w:t>
            </w:r>
            <w:r>
              <w:rPr>
                <w:color w:val="000000"/>
                <w:sz w:val="24"/>
              </w:rPr>
              <w:t>90</w:t>
            </w:r>
            <w:r>
              <w:rPr>
                <w:rFonts w:eastAsia="Times New Roman"/>
                <w:color w:val="000000"/>
                <w:sz w:val="24"/>
                <w:lang w:val="zh-CN"/>
              </w:rPr>
              <w:t>%计算，则用水量为</w:t>
            </w:r>
            <w:r>
              <w:rPr>
                <w:rFonts w:hint="eastAsia"/>
                <w:color w:val="000000"/>
                <w:sz w:val="24"/>
              </w:rPr>
              <w:t>2.5</w:t>
            </w:r>
            <w:r>
              <w:rPr>
                <w:rFonts w:eastAsia="Times New Roman"/>
                <w:color w:val="000000"/>
                <w:sz w:val="24"/>
                <w:lang w:val="zh-CN"/>
              </w:rPr>
              <w:t>m</w:t>
            </w:r>
            <w:r>
              <w:rPr>
                <w:rFonts w:eastAsia="Times New Roman"/>
                <w:color w:val="000000"/>
                <w:sz w:val="24"/>
                <w:vertAlign w:val="superscript"/>
                <w:lang w:val="zh-CN"/>
              </w:rPr>
              <w:t>3</w:t>
            </w:r>
            <w:r>
              <w:rPr>
                <w:rFonts w:eastAsia="Times New Roman"/>
                <w:color w:val="000000"/>
                <w:sz w:val="24"/>
                <w:lang w:val="zh-CN"/>
              </w:rPr>
              <w:t>/d</w:t>
            </w:r>
            <w:r>
              <w:rPr>
                <w:rFonts w:hint="eastAsia" w:eastAsia="Times New Roman"/>
                <w:color w:val="000000"/>
                <w:sz w:val="24"/>
                <w:lang w:val="zh-CN"/>
              </w:rPr>
              <w:t>，</w:t>
            </w:r>
            <w:r>
              <w:rPr>
                <w:rFonts w:eastAsia="Times New Roman"/>
                <w:color w:val="000000"/>
                <w:sz w:val="24"/>
                <w:lang w:val="zh-CN"/>
              </w:rPr>
              <w:t>排水量为</w:t>
            </w:r>
            <w:r>
              <w:rPr>
                <w:rFonts w:hint="eastAsia"/>
                <w:color w:val="000000"/>
                <w:sz w:val="24"/>
              </w:rPr>
              <w:t>2.25</w:t>
            </w:r>
            <w:r>
              <w:rPr>
                <w:rFonts w:eastAsia="Times New Roman"/>
                <w:color w:val="000000"/>
                <w:sz w:val="24"/>
                <w:lang w:val="zh-CN"/>
              </w:rPr>
              <w:t>m</w:t>
            </w:r>
            <w:r>
              <w:rPr>
                <w:rFonts w:eastAsia="Times New Roman"/>
                <w:color w:val="000000"/>
                <w:sz w:val="24"/>
                <w:vertAlign w:val="superscript"/>
                <w:lang w:val="zh-CN"/>
              </w:rPr>
              <w:t>3</w:t>
            </w:r>
            <w:r>
              <w:rPr>
                <w:rFonts w:eastAsia="Times New Roman"/>
                <w:color w:val="000000"/>
                <w:sz w:val="24"/>
                <w:lang w:val="zh-CN"/>
              </w:rPr>
              <w:t>/d。</w:t>
            </w:r>
          </w:p>
          <w:p w14:paraId="4804CE97">
            <w:pPr>
              <w:pStyle w:val="15"/>
              <w:spacing w:after="0" w:line="360" w:lineRule="auto"/>
              <w:ind w:left="0" w:leftChars="0" w:firstLine="482"/>
              <w:rPr>
                <w:rFonts w:hint="eastAsia"/>
                <w:b/>
                <w:bCs/>
                <w:color w:val="000000"/>
                <w:sz w:val="24"/>
              </w:rPr>
            </w:pPr>
            <w:r>
              <w:rPr>
                <w:rFonts w:hint="eastAsia"/>
                <w:b/>
                <w:bCs/>
                <w:color w:val="000000"/>
                <w:sz w:val="24"/>
              </w:rPr>
              <w:t>②地面清洁废水</w:t>
            </w:r>
          </w:p>
          <w:p w14:paraId="5586BA03">
            <w:pPr>
              <w:widowControl/>
              <w:spacing w:line="360" w:lineRule="auto"/>
              <w:ind w:firstLine="420" w:firstLineChars="200"/>
              <w:rPr>
                <w:color w:val="000000"/>
              </w:rPr>
            </w:pPr>
            <w:r>
              <w:rPr>
                <w:rFonts w:hint="eastAsia" w:cs="宋体"/>
                <w:color w:val="000000"/>
                <w:kern w:val="0"/>
                <w:lang w:bidi="ar"/>
              </w:rPr>
              <w:t>每周会对厂区、办公室地面进行清洁，清洁方式为拖把拖地，</w:t>
            </w:r>
            <w:r>
              <w:rPr>
                <w:color w:val="000000"/>
                <w:kern w:val="0"/>
                <w:lang w:bidi="ar"/>
              </w:rPr>
              <w:t>清洁用水量为</w:t>
            </w:r>
            <w:r>
              <w:rPr>
                <w:rFonts w:hint="eastAsia"/>
                <w:color w:val="000000"/>
              </w:rPr>
              <w:t>1</w:t>
            </w:r>
            <w:r>
              <w:rPr>
                <w:color w:val="000000"/>
              </w:rPr>
              <w:t>L/m</w:t>
            </w:r>
            <w:r>
              <w:rPr>
                <w:color w:val="000000"/>
                <w:vertAlign w:val="superscript"/>
              </w:rPr>
              <w:t>2</w:t>
            </w:r>
            <w:r>
              <w:rPr>
                <w:color w:val="000000"/>
                <w:kern w:val="0"/>
                <w:lang w:bidi="ar"/>
              </w:rPr>
              <w:t>，本项目</w:t>
            </w:r>
            <w:r>
              <w:rPr>
                <w:rFonts w:hint="eastAsia"/>
                <w:color w:val="000000"/>
              </w:rPr>
              <w:t>总</w:t>
            </w:r>
            <w:r>
              <w:rPr>
                <w:color w:val="000000"/>
              </w:rPr>
              <w:t>建筑面积</w:t>
            </w:r>
            <w:r>
              <w:rPr>
                <w:rFonts w:hint="eastAsia"/>
                <w:color w:val="000000"/>
              </w:rPr>
              <w:t>7535.52</w:t>
            </w:r>
            <w:r>
              <w:rPr>
                <w:color w:val="000000"/>
              </w:rPr>
              <w:t>m</w:t>
            </w:r>
            <w:r>
              <w:rPr>
                <w:color w:val="000000"/>
                <w:vertAlign w:val="superscript"/>
              </w:rPr>
              <w:t>2</w:t>
            </w:r>
            <w:r>
              <w:rPr>
                <w:rFonts w:hint="eastAsia"/>
                <w:color w:val="000000"/>
              </w:rPr>
              <w:t>（扣除厂房2层闲置区域面积）</w:t>
            </w:r>
            <w:r>
              <w:rPr>
                <w:color w:val="000000"/>
              </w:rPr>
              <w:t>，</w:t>
            </w:r>
            <w:r>
              <w:rPr>
                <w:rFonts w:hint="eastAsia"/>
                <w:color w:val="000000"/>
              </w:rPr>
              <w:t>其中能清洁面积占比为60%，面积约4521</w:t>
            </w:r>
            <w:r>
              <w:rPr>
                <w:color w:val="000000"/>
              </w:rPr>
              <w:t>m</w:t>
            </w:r>
            <w:r>
              <w:rPr>
                <w:color w:val="000000"/>
                <w:vertAlign w:val="superscript"/>
              </w:rPr>
              <w:t>2</w:t>
            </w:r>
            <w:r>
              <w:rPr>
                <w:rFonts w:hint="eastAsia"/>
                <w:color w:val="000000"/>
              </w:rPr>
              <w:t>，</w:t>
            </w:r>
            <w:r>
              <w:rPr>
                <w:rFonts w:hint="eastAsia" w:cs="宋体"/>
                <w:color w:val="000000"/>
                <w:kern w:val="0"/>
                <w:lang w:bidi="ar"/>
              </w:rPr>
              <w:t>少量水通过清洁地面时附着在地面蒸发，产污系数按照</w:t>
            </w:r>
            <w:r>
              <w:rPr>
                <w:rFonts w:hint="eastAsia"/>
                <w:color w:val="000000"/>
                <w:kern w:val="0"/>
                <w:lang w:bidi="ar"/>
              </w:rPr>
              <w:t>80</w:t>
            </w:r>
            <w:r>
              <w:rPr>
                <w:color w:val="000000"/>
                <w:kern w:val="0"/>
                <w:lang w:bidi="ar"/>
              </w:rPr>
              <w:t>%</w:t>
            </w:r>
            <w:r>
              <w:rPr>
                <w:rFonts w:hint="eastAsia" w:cs="宋体"/>
                <w:color w:val="000000"/>
                <w:kern w:val="0"/>
                <w:lang w:bidi="ar"/>
              </w:rPr>
              <w:t>计，每周一次地面清洁，则地面清洁用水量约为</w:t>
            </w:r>
            <w:r>
              <w:rPr>
                <w:rFonts w:hint="eastAsia"/>
                <w:color w:val="000000"/>
                <w:kern w:val="0"/>
                <w:lang w:bidi="ar"/>
              </w:rPr>
              <w:t>4.52</w:t>
            </w:r>
            <w:r>
              <w:rPr>
                <w:color w:val="000000"/>
                <w:kern w:val="0"/>
                <w:lang w:bidi="ar"/>
              </w:rPr>
              <w:t>m</w:t>
            </w:r>
            <w:r>
              <w:rPr>
                <w:rFonts w:hint="eastAsia"/>
                <w:color w:val="000000"/>
                <w:kern w:val="0"/>
                <w:vertAlign w:val="superscript"/>
                <w:lang w:bidi="ar"/>
              </w:rPr>
              <w:t>3</w:t>
            </w:r>
            <w:r>
              <w:rPr>
                <w:color w:val="000000"/>
                <w:kern w:val="0"/>
                <w:lang w:bidi="ar"/>
              </w:rPr>
              <w:t>/d</w:t>
            </w:r>
            <w:r>
              <w:rPr>
                <w:rFonts w:hint="eastAsia"/>
                <w:color w:val="000000"/>
                <w:kern w:val="0"/>
                <w:lang w:bidi="ar"/>
              </w:rPr>
              <w:t>（226.07</w:t>
            </w:r>
            <w:r>
              <w:rPr>
                <w:rFonts w:eastAsia="Times New Roman"/>
                <w:color w:val="000000"/>
                <w:lang w:val="zh-CN"/>
              </w:rPr>
              <w:t>m</w:t>
            </w:r>
            <w:r>
              <w:rPr>
                <w:rFonts w:eastAsia="Times New Roman"/>
                <w:color w:val="000000"/>
                <w:vertAlign w:val="superscript"/>
                <w:lang w:val="zh-CN"/>
              </w:rPr>
              <w:t>3</w:t>
            </w:r>
            <w:r>
              <w:rPr>
                <w:rFonts w:eastAsia="Times New Roman"/>
                <w:color w:val="000000"/>
                <w:lang w:val="zh-CN"/>
              </w:rPr>
              <w:t>/a</w:t>
            </w:r>
            <w:r>
              <w:rPr>
                <w:rFonts w:hint="eastAsia"/>
                <w:color w:val="000000"/>
                <w:kern w:val="0"/>
                <w:lang w:bidi="ar"/>
              </w:rPr>
              <w:t>）、</w:t>
            </w:r>
            <w:r>
              <w:rPr>
                <w:rFonts w:hint="eastAsia" w:cs="宋体"/>
                <w:color w:val="000000"/>
                <w:kern w:val="0"/>
                <w:lang w:bidi="ar"/>
              </w:rPr>
              <w:t>废水产生量约为</w:t>
            </w:r>
            <w:r>
              <w:rPr>
                <w:rFonts w:hint="eastAsia"/>
                <w:color w:val="000000"/>
                <w:kern w:val="0"/>
                <w:lang w:bidi="ar"/>
              </w:rPr>
              <w:t>3.62</w:t>
            </w:r>
            <w:r>
              <w:rPr>
                <w:color w:val="000000"/>
                <w:kern w:val="0"/>
                <w:lang w:bidi="ar"/>
              </w:rPr>
              <w:t>m</w:t>
            </w:r>
            <w:r>
              <w:rPr>
                <w:rFonts w:hint="eastAsia"/>
                <w:color w:val="000000"/>
                <w:kern w:val="0"/>
                <w:vertAlign w:val="superscript"/>
                <w:lang w:bidi="ar"/>
              </w:rPr>
              <w:t>3</w:t>
            </w:r>
            <w:r>
              <w:rPr>
                <w:color w:val="000000"/>
                <w:kern w:val="0"/>
                <w:lang w:bidi="ar"/>
              </w:rPr>
              <w:t>/d</w:t>
            </w:r>
            <w:r>
              <w:rPr>
                <w:rFonts w:hint="eastAsia"/>
                <w:color w:val="000000"/>
                <w:kern w:val="0"/>
                <w:lang w:bidi="ar"/>
              </w:rPr>
              <w:t>（180.85</w:t>
            </w:r>
            <w:r>
              <w:rPr>
                <w:rFonts w:eastAsia="Times New Roman"/>
                <w:color w:val="000000"/>
                <w:lang w:val="zh-CN"/>
              </w:rPr>
              <w:t>m</w:t>
            </w:r>
            <w:r>
              <w:rPr>
                <w:rFonts w:eastAsia="Times New Roman"/>
                <w:color w:val="000000"/>
                <w:vertAlign w:val="superscript"/>
                <w:lang w:val="zh-CN"/>
              </w:rPr>
              <w:t>3</w:t>
            </w:r>
            <w:r>
              <w:rPr>
                <w:rFonts w:eastAsia="Times New Roman"/>
                <w:color w:val="000000"/>
                <w:lang w:val="zh-CN"/>
              </w:rPr>
              <w:t>/a</w:t>
            </w:r>
            <w:r>
              <w:rPr>
                <w:rFonts w:hint="eastAsia"/>
                <w:color w:val="000000"/>
                <w:kern w:val="0"/>
                <w:lang w:bidi="ar"/>
              </w:rPr>
              <w:t>）。</w:t>
            </w:r>
          </w:p>
          <w:p w14:paraId="3B93C18E">
            <w:pPr>
              <w:pStyle w:val="15"/>
              <w:spacing w:after="0" w:line="360" w:lineRule="auto"/>
              <w:ind w:left="0" w:leftChars="0" w:firstLine="482"/>
              <w:rPr>
                <w:b/>
                <w:bCs/>
                <w:color w:val="000000"/>
                <w:sz w:val="24"/>
              </w:rPr>
            </w:pPr>
            <w:r>
              <w:rPr>
                <w:b/>
                <w:bCs/>
                <w:color w:val="000000"/>
                <w:sz w:val="24"/>
              </w:rPr>
              <w:t>③</w:t>
            </w:r>
            <w:r>
              <w:rPr>
                <w:rFonts w:hint="eastAsia"/>
                <w:b/>
                <w:bCs/>
                <w:color w:val="000000"/>
                <w:sz w:val="24"/>
              </w:rPr>
              <w:t>冷却塔排水</w:t>
            </w:r>
          </w:p>
          <w:p w14:paraId="1345CDB1">
            <w:pPr>
              <w:adjustRightInd w:val="0"/>
              <w:spacing w:line="360" w:lineRule="auto"/>
              <w:ind w:firstLine="420" w:firstLineChars="200"/>
              <w:rPr>
                <w:bCs/>
                <w:color w:val="000000"/>
              </w:rPr>
            </w:pPr>
            <w:r>
              <w:rPr>
                <w:rFonts w:hint="eastAsia"/>
                <w:color w:val="000000"/>
              </w:rPr>
              <w:t>本项目1台冷却塔给双阶混炼挤出机组、密炼机提供间接冷却水，用于稳定设备的运行温度处于正常范围，循环水量为10m</w:t>
            </w:r>
            <w:r>
              <w:rPr>
                <w:rFonts w:hint="eastAsia"/>
                <w:color w:val="000000"/>
                <w:vertAlign w:val="superscript"/>
              </w:rPr>
              <w:t>3</w:t>
            </w:r>
            <w:r>
              <w:rPr>
                <w:rFonts w:hint="eastAsia"/>
                <w:color w:val="000000"/>
              </w:rPr>
              <w:t>/h，水池有效容积为5m</w:t>
            </w:r>
            <w:r>
              <w:rPr>
                <w:rFonts w:hint="eastAsia"/>
                <w:color w:val="000000"/>
                <w:vertAlign w:val="superscript"/>
              </w:rPr>
              <w:t>3</w:t>
            </w:r>
            <w:r>
              <w:rPr>
                <w:rFonts w:hint="eastAsia"/>
                <w:color w:val="000000"/>
              </w:rPr>
              <w:t>。冷却循环水循环使用，每天补充新鲜水量，冷却塔补充水量为循环水量0.5%，则每天补充新鲜水量约0.4m</w:t>
            </w:r>
            <w:r>
              <w:rPr>
                <w:rFonts w:hint="eastAsia"/>
                <w:color w:val="000000"/>
                <w:vertAlign w:val="superscript"/>
              </w:rPr>
              <w:t>3</w:t>
            </w:r>
            <w:r>
              <w:rPr>
                <w:rFonts w:hint="eastAsia"/>
                <w:color w:val="000000"/>
              </w:rPr>
              <w:t>/d。冷却塔循环水半年更换一次，更换排放废水量约5m</w:t>
            </w:r>
            <w:r>
              <w:rPr>
                <w:rFonts w:hint="eastAsia"/>
                <w:color w:val="000000"/>
                <w:vertAlign w:val="superscript"/>
              </w:rPr>
              <w:t>3</w:t>
            </w:r>
            <w:r>
              <w:rPr>
                <w:rFonts w:hint="eastAsia"/>
                <w:color w:val="000000"/>
              </w:rPr>
              <w:t>/次，同时补充新鲜水量5m</w:t>
            </w:r>
            <w:r>
              <w:rPr>
                <w:rFonts w:hint="eastAsia"/>
                <w:color w:val="000000"/>
                <w:vertAlign w:val="superscript"/>
              </w:rPr>
              <w:t>3</w:t>
            </w:r>
            <w:r>
              <w:rPr>
                <w:rFonts w:hint="eastAsia"/>
                <w:color w:val="000000"/>
              </w:rPr>
              <w:t>/次。冷却塔排水排入厂区生化池处理达《污水综合排放标准》（GB 8978-1996）三级标准后排入市政管网</w:t>
            </w:r>
            <w:r>
              <w:rPr>
                <w:bCs/>
                <w:color w:val="000000"/>
              </w:rPr>
              <w:t>。</w:t>
            </w:r>
          </w:p>
          <w:p w14:paraId="276B366E">
            <w:pPr>
              <w:adjustRightInd w:val="0"/>
              <w:spacing w:line="360" w:lineRule="auto"/>
              <w:ind w:firstLine="420" w:firstLineChars="200"/>
              <w:rPr>
                <w:rFonts w:hint="eastAsia"/>
                <w:b/>
                <w:bCs/>
                <w:color w:val="000000"/>
              </w:rPr>
            </w:pPr>
            <w:r>
              <w:rPr>
                <w:b/>
                <w:bCs/>
                <w:color w:val="000000"/>
              </w:rPr>
              <w:fldChar w:fldCharType="begin"/>
            </w:r>
            <w:r>
              <w:rPr>
                <w:b/>
                <w:bCs/>
                <w:color w:val="000000"/>
              </w:rPr>
              <w:instrText xml:space="preserve"> = 4 \* GB3 \* MERGEFORMAT </w:instrText>
            </w:r>
            <w:r>
              <w:rPr>
                <w:b/>
                <w:bCs/>
                <w:color w:val="000000"/>
              </w:rPr>
              <w:fldChar w:fldCharType="separate"/>
            </w:r>
            <w:r>
              <w:rPr>
                <w:b/>
                <w:bCs/>
                <w:color w:val="000000"/>
              </w:rPr>
              <w:t>④</w:t>
            </w:r>
            <w:r>
              <w:rPr>
                <w:b/>
                <w:bCs/>
                <w:color w:val="000000"/>
              </w:rPr>
              <w:fldChar w:fldCharType="end"/>
            </w:r>
            <w:r>
              <w:rPr>
                <w:rFonts w:hint="eastAsia"/>
                <w:b/>
                <w:bCs/>
                <w:color w:val="000000"/>
              </w:rPr>
              <w:t>空压机排水</w:t>
            </w:r>
          </w:p>
          <w:p w14:paraId="6D50AD64">
            <w:pPr>
              <w:adjustRightInd w:val="0"/>
              <w:spacing w:line="360" w:lineRule="auto"/>
              <w:ind w:firstLine="420" w:firstLineChars="200"/>
              <w:rPr>
                <w:rFonts w:hint="eastAsia"/>
                <w:bCs/>
                <w:color w:val="000000"/>
              </w:rPr>
            </w:pPr>
            <w:r>
              <w:rPr>
                <w:rFonts w:hint="eastAsia"/>
                <w:bCs/>
                <w:color w:val="000000"/>
              </w:rPr>
              <w:t>根据本项目使用的螺杆空压机的型号计算，其含油废水产生量在6~7L/h范围，本项目取7L/h，每天运行8小时，则每天产生量为0.056m</w:t>
            </w:r>
            <w:r>
              <w:rPr>
                <w:rFonts w:hint="eastAsia"/>
                <w:bCs/>
                <w:color w:val="000000"/>
                <w:vertAlign w:val="superscript"/>
              </w:rPr>
              <w:t>3</w:t>
            </w:r>
            <w:r>
              <w:rPr>
                <w:rFonts w:hint="eastAsia"/>
                <w:bCs/>
                <w:color w:val="000000"/>
              </w:rPr>
              <w:t>/d。</w:t>
            </w:r>
          </w:p>
          <w:p w14:paraId="6B54DBD3">
            <w:pPr>
              <w:adjustRightInd w:val="0"/>
              <w:spacing w:line="360" w:lineRule="auto"/>
              <w:ind w:firstLine="420" w:firstLineChars="200"/>
              <w:rPr>
                <w:rFonts w:hint="eastAsia"/>
                <w:b/>
                <w:bCs/>
                <w:color w:val="000000"/>
              </w:rPr>
            </w:pPr>
            <w:r>
              <w:rPr>
                <w:rFonts w:hint="eastAsia"/>
                <w:b/>
                <w:bCs/>
                <w:color w:val="000000"/>
              </w:rPr>
              <w:fldChar w:fldCharType="begin"/>
            </w:r>
            <w:r>
              <w:rPr>
                <w:rFonts w:hint="eastAsia"/>
                <w:b/>
                <w:bCs/>
                <w:color w:val="000000"/>
              </w:rPr>
              <w:instrText xml:space="preserve"> = 5 \* GB3 \* MERGEFORMAT </w:instrText>
            </w:r>
            <w:r>
              <w:rPr>
                <w:rFonts w:hint="eastAsia"/>
                <w:b/>
                <w:bCs/>
                <w:color w:val="000000"/>
              </w:rPr>
              <w:fldChar w:fldCharType="separate"/>
            </w:r>
            <w:r>
              <w:rPr>
                <w:b/>
                <w:bCs/>
                <w:color w:val="000000"/>
              </w:rPr>
              <w:t>⑤</w:t>
            </w:r>
            <w:r>
              <w:rPr>
                <w:rFonts w:hint="eastAsia"/>
                <w:b/>
                <w:bCs/>
                <w:color w:val="000000"/>
              </w:rPr>
              <w:fldChar w:fldCharType="end"/>
            </w:r>
            <w:r>
              <w:rPr>
                <w:rFonts w:hint="eastAsia"/>
                <w:b/>
                <w:bCs/>
                <w:color w:val="000000"/>
              </w:rPr>
              <w:t>酸雾洗涤塔废水</w:t>
            </w:r>
          </w:p>
          <w:p w14:paraId="15C99361">
            <w:pPr>
              <w:adjustRightInd w:val="0"/>
              <w:spacing w:line="360" w:lineRule="auto"/>
              <w:ind w:firstLine="420" w:firstLineChars="200"/>
              <w:rPr>
                <w:bCs/>
                <w:color w:val="000000"/>
              </w:rPr>
            </w:pPr>
            <w:r>
              <w:rPr>
                <w:bCs/>
                <w:color w:val="000000"/>
              </w:rPr>
              <w:t>本项目设置1座酸雾洗涤塔对氯化氢吸收处理，喷淋水通过底部集水箱循环使用，洗涤塔存水量为1.5</w:t>
            </w:r>
            <w:r>
              <w:rPr>
                <w:rFonts w:hint="eastAsia"/>
                <w:bCs/>
                <w:color w:val="000000"/>
              </w:rPr>
              <w:t>m</w:t>
            </w:r>
            <w:r>
              <w:rPr>
                <w:rFonts w:hint="eastAsia"/>
                <w:bCs/>
                <w:color w:val="000000"/>
                <w:vertAlign w:val="superscript"/>
              </w:rPr>
              <w:t>3</w:t>
            </w:r>
            <w:r>
              <w:rPr>
                <w:bCs/>
                <w:color w:val="000000"/>
              </w:rPr>
              <w:t>，根据业主资料，碱液喷淋塔中的吸收液平时不排放，循环使用，每季度更换一次，喷淋塔共产生酸雾洗涤塔废水6</w:t>
            </w:r>
            <w:r>
              <w:rPr>
                <w:rFonts w:hint="eastAsia"/>
                <w:bCs/>
                <w:color w:val="000000"/>
              </w:rPr>
              <w:t>m</w:t>
            </w:r>
            <w:r>
              <w:rPr>
                <w:rFonts w:hint="eastAsia"/>
                <w:bCs/>
                <w:color w:val="000000"/>
                <w:vertAlign w:val="superscript"/>
              </w:rPr>
              <w:t>3</w:t>
            </w:r>
            <w:r>
              <w:rPr>
                <w:bCs/>
                <w:color w:val="000000"/>
              </w:rPr>
              <w:t>/a。洗涤塔</w:t>
            </w:r>
            <w:r>
              <w:rPr>
                <w:rFonts w:hint="eastAsia"/>
                <w:color w:val="000000"/>
              </w:rPr>
              <w:t>水循环使用，每天补充新鲜水量，循环水量约为8</w:t>
            </w:r>
            <w:r>
              <w:rPr>
                <w:rFonts w:hint="eastAsia"/>
                <w:bCs/>
                <w:color w:val="000000"/>
              </w:rPr>
              <w:t>m</w:t>
            </w:r>
            <w:r>
              <w:rPr>
                <w:rFonts w:hint="eastAsia"/>
                <w:bCs/>
                <w:color w:val="000000"/>
                <w:vertAlign w:val="superscript"/>
              </w:rPr>
              <w:t>3</w:t>
            </w:r>
            <w:r>
              <w:rPr>
                <w:bCs/>
                <w:color w:val="000000"/>
              </w:rPr>
              <w:t>/</w:t>
            </w:r>
            <w:r>
              <w:rPr>
                <w:rFonts w:hint="eastAsia"/>
                <w:bCs/>
                <w:color w:val="000000"/>
              </w:rPr>
              <w:t>h，</w:t>
            </w:r>
            <w:r>
              <w:rPr>
                <w:bCs/>
                <w:color w:val="000000"/>
              </w:rPr>
              <w:t>喷淋塔</w:t>
            </w:r>
            <w:r>
              <w:rPr>
                <w:rFonts w:hint="eastAsia"/>
                <w:color w:val="000000"/>
              </w:rPr>
              <w:t>补充水量为循环水量0.5%，则每天补充新鲜水量约0.32m</w:t>
            </w:r>
            <w:r>
              <w:rPr>
                <w:rFonts w:hint="eastAsia"/>
                <w:color w:val="000000"/>
                <w:vertAlign w:val="superscript"/>
              </w:rPr>
              <w:t>3</w:t>
            </w:r>
            <w:r>
              <w:rPr>
                <w:rFonts w:hint="eastAsia"/>
                <w:color w:val="000000"/>
              </w:rPr>
              <w:t>/d，全部挥发损失。</w:t>
            </w:r>
          </w:p>
          <w:p w14:paraId="1C9BAEE4">
            <w:pPr>
              <w:adjustRightInd w:val="0"/>
              <w:spacing w:line="360" w:lineRule="auto"/>
              <w:ind w:firstLine="420" w:firstLineChars="200"/>
              <w:rPr>
                <w:rFonts w:hint="eastAsia"/>
                <w:color w:val="000000"/>
              </w:rPr>
            </w:pPr>
            <w:r>
              <w:rPr>
                <w:rFonts w:hint="eastAsia"/>
                <w:color w:val="000000"/>
              </w:rPr>
              <w:t>本项目具体用排水情况见下表。</w:t>
            </w:r>
          </w:p>
          <w:p w14:paraId="52CB5FEC">
            <w:pPr>
              <w:pStyle w:val="8"/>
              <w:spacing w:after="0"/>
              <w:ind w:left="0" w:leftChars="0"/>
              <w:jc w:val="center"/>
              <w:rPr>
                <w:rFonts w:hint="eastAsia"/>
                <w:b/>
                <w:bCs/>
                <w:color w:val="000000"/>
                <w:kern w:val="2"/>
                <w:szCs w:val="24"/>
              </w:rPr>
            </w:pPr>
            <w:r>
              <w:rPr>
                <w:rFonts w:hint="eastAsia"/>
                <w:b/>
                <w:bCs/>
                <w:color w:val="000000"/>
                <w:kern w:val="2"/>
                <w:szCs w:val="24"/>
              </w:rPr>
              <w:t>表2-7  项目用排水情况一览表</w:t>
            </w:r>
          </w:p>
          <w:tbl>
            <w:tblPr>
              <w:tblStyle w:val="16"/>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39"/>
              <w:gridCol w:w="1280"/>
              <w:gridCol w:w="1323"/>
              <w:gridCol w:w="1129"/>
              <w:gridCol w:w="1313"/>
              <w:gridCol w:w="1043"/>
              <w:gridCol w:w="1309"/>
            </w:tblGrid>
            <w:tr w14:paraId="4BF6DD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0" w:hRule="atLeast"/>
              </w:trPr>
              <w:tc>
                <w:tcPr>
                  <w:tcW w:w="615" w:type="pct"/>
                  <w:vMerge w:val="restart"/>
                  <w:noWrap w:val="0"/>
                  <w:vAlign w:val="center"/>
                </w:tcPr>
                <w:p w14:paraId="2323B46B">
                  <w:pPr>
                    <w:widowControl/>
                    <w:overflowPunct w:val="0"/>
                    <w:autoSpaceDE w:val="0"/>
                    <w:autoSpaceDN w:val="0"/>
                    <w:adjustRightInd w:val="0"/>
                    <w:snapToGrid w:val="0"/>
                    <w:jc w:val="center"/>
                    <w:textAlignment w:val="center"/>
                    <w:rPr>
                      <w:rFonts w:hint="eastAsia" w:cs="宋体"/>
                      <w:b/>
                      <w:bCs/>
                      <w:color w:val="000000"/>
                      <w:sz w:val="21"/>
                      <w:szCs w:val="21"/>
                    </w:rPr>
                  </w:pPr>
                  <w:r>
                    <w:rPr>
                      <w:rFonts w:hint="eastAsia" w:cs="宋体"/>
                      <w:b/>
                      <w:bCs/>
                      <w:color w:val="000000"/>
                      <w:kern w:val="0"/>
                      <w:sz w:val="21"/>
                      <w:szCs w:val="21"/>
                      <w:lang w:bidi="ar"/>
                    </w:rPr>
                    <w:t>项目</w:t>
                  </w:r>
                </w:p>
              </w:tc>
              <w:tc>
                <w:tcPr>
                  <w:tcW w:w="758" w:type="pct"/>
                  <w:vMerge w:val="restart"/>
                  <w:noWrap w:val="0"/>
                  <w:vAlign w:val="center"/>
                </w:tcPr>
                <w:p w14:paraId="1E41DD98">
                  <w:pPr>
                    <w:widowControl/>
                    <w:overflowPunct w:val="0"/>
                    <w:autoSpaceDE w:val="0"/>
                    <w:autoSpaceDN w:val="0"/>
                    <w:adjustRightInd w:val="0"/>
                    <w:snapToGrid w:val="0"/>
                    <w:jc w:val="center"/>
                    <w:textAlignment w:val="center"/>
                    <w:rPr>
                      <w:rFonts w:hint="eastAsia" w:cs="宋体"/>
                      <w:b/>
                      <w:bCs/>
                      <w:color w:val="000000"/>
                      <w:sz w:val="21"/>
                      <w:szCs w:val="21"/>
                    </w:rPr>
                  </w:pPr>
                  <w:r>
                    <w:rPr>
                      <w:rFonts w:hint="eastAsia" w:cs="宋体"/>
                      <w:b/>
                      <w:bCs/>
                      <w:color w:val="000000"/>
                      <w:kern w:val="0"/>
                      <w:sz w:val="21"/>
                      <w:szCs w:val="21"/>
                      <w:lang w:bidi="ar"/>
                    </w:rPr>
                    <w:t>用水定额</w:t>
                  </w:r>
                </w:p>
              </w:tc>
              <w:tc>
                <w:tcPr>
                  <w:tcW w:w="784" w:type="pct"/>
                  <w:vMerge w:val="restart"/>
                  <w:noWrap w:val="0"/>
                  <w:vAlign w:val="center"/>
                </w:tcPr>
                <w:p w14:paraId="05F63386">
                  <w:pPr>
                    <w:widowControl/>
                    <w:overflowPunct w:val="0"/>
                    <w:autoSpaceDE w:val="0"/>
                    <w:autoSpaceDN w:val="0"/>
                    <w:adjustRightInd w:val="0"/>
                    <w:snapToGrid w:val="0"/>
                    <w:jc w:val="center"/>
                    <w:textAlignment w:val="center"/>
                    <w:rPr>
                      <w:rFonts w:hint="eastAsia" w:cs="宋体"/>
                      <w:b/>
                      <w:bCs/>
                      <w:color w:val="000000"/>
                      <w:sz w:val="21"/>
                      <w:szCs w:val="21"/>
                    </w:rPr>
                  </w:pPr>
                  <w:r>
                    <w:rPr>
                      <w:rFonts w:hint="eastAsia" w:cs="宋体"/>
                      <w:b/>
                      <w:bCs/>
                      <w:color w:val="000000"/>
                      <w:kern w:val="0"/>
                      <w:sz w:val="21"/>
                      <w:szCs w:val="21"/>
                      <w:lang w:bidi="ar"/>
                    </w:rPr>
                    <w:t>使用规模</w:t>
                  </w:r>
                </w:p>
              </w:tc>
              <w:tc>
                <w:tcPr>
                  <w:tcW w:w="1447" w:type="pct"/>
                  <w:gridSpan w:val="2"/>
                  <w:noWrap w:val="0"/>
                  <w:vAlign w:val="center"/>
                </w:tcPr>
                <w:p w14:paraId="616DA3C7">
                  <w:pPr>
                    <w:widowControl/>
                    <w:overflowPunct w:val="0"/>
                    <w:autoSpaceDE w:val="0"/>
                    <w:autoSpaceDN w:val="0"/>
                    <w:adjustRightInd w:val="0"/>
                    <w:snapToGrid w:val="0"/>
                    <w:jc w:val="center"/>
                    <w:textAlignment w:val="center"/>
                    <w:rPr>
                      <w:rFonts w:hint="eastAsia" w:cs="宋体"/>
                      <w:b/>
                      <w:bCs/>
                      <w:color w:val="000000"/>
                      <w:sz w:val="21"/>
                      <w:szCs w:val="21"/>
                    </w:rPr>
                  </w:pPr>
                  <w:r>
                    <w:rPr>
                      <w:rFonts w:hint="eastAsia" w:cs="宋体"/>
                      <w:b/>
                      <w:bCs/>
                      <w:color w:val="000000"/>
                      <w:kern w:val="0"/>
                      <w:sz w:val="21"/>
                      <w:szCs w:val="21"/>
                      <w:lang w:bidi="ar"/>
                    </w:rPr>
                    <w:t>新鲜用水量</w:t>
                  </w:r>
                </w:p>
              </w:tc>
              <w:tc>
                <w:tcPr>
                  <w:tcW w:w="1394" w:type="pct"/>
                  <w:gridSpan w:val="2"/>
                  <w:noWrap w:val="0"/>
                  <w:vAlign w:val="center"/>
                </w:tcPr>
                <w:p w14:paraId="08CC623A">
                  <w:pPr>
                    <w:widowControl/>
                    <w:overflowPunct w:val="0"/>
                    <w:autoSpaceDE w:val="0"/>
                    <w:autoSpaceDN w:val="0"/>
                    <w:adjustRightInd w:val="0"/>
                    <w:snapToGrid w:val="0"/>
                    <w:jc w:val="center"/>
                    <w:textAlignment w:val="center"/>
                    <w:rPr>
                      <w:rFonts w:hint="eastAsia" w:cs="宋体"/>
                      <w:b/>
                      <w:bCs/>
                      <w:color w:val="000000"/>
                      <w:sz w:val="21"/>
                      <w:szCs w:val="21"/>
                    </w:rPr>
                  </w:pPr>
                  <w:r>
                    <w:rPr>
                      <w:rFonts w:hint="eastAsia" w:cs="宋体"/>
                      <w:b/>
                      <w:bCs/>
                      <w:color w:val="000000"/>
                      <w:kern w:val="0"/>
                      <w:sz w:val="21"/>
                      <w:szCs w:val="21"/>
                      <w:lang w:bidi="ar"/>
                    </w:rPr>
                    <w:t>排水量</w:t>
                  </w:r>
                </w:p>
              </w:tc>
            </w:tr>
            <w:tr w14:paraId="1653D6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trPr>
              <w:tc>
                <w:tcPr>
                  <w:tcW w:w="615" w:type="pct"/>
                  <w:vMerge w:val="continue"/>
                  <w:noWrap w:val="0"/>
                  <w:vAlign w:val="center"/>
                </w:tcPr>
                <w:p w14:paraId="66F3F9DB">
                  <w:pPr>
                    <w:overflowPunct w:val="0"/>
                    <w:autoSpaceDE w:val="0"/>
                    <w:autoSpaceDN w:val="0"/>
                    <w:adjustRightInd w:val="0"/>
                    <w:snapToGrid w:val="0"/>
                    <w:jc w:val="center"/>
                    <w:rPr>
                      <w:rFonts w:hint="eastAsia" w:cs="宋体"/>
                      <w:b/>
                      <w:bCs/>
                      <w:color w:val="000000"/>
                      <w:sz w:val="21"/>
                      <w:szCs w:val="21"/>
                    </w:rPr>
                  </w:pPr>
                </w:p>
              </w:tc>
              <w:tc>
                <w:tcPr>
                  <w:tcW w:w="758" w:type="pct"/>
                  <w:vMerge w:val="continue"/>
                  <w:noWrap w:val="0"/>
                  <w:vAlign w:val="center"/>
                </w:tcPr>
                <w:p w14:paraId="4F857B7A">
                  <w:pPr>
                    <w:overflowPunct w:val="0"/>
                    <w:autoSpaceDE w:val="0"/>
                    <w:autoSpaceDN w:val="0"/>
                    <w:adjustRightInd w:val="0"/>
                    <w:snapToGrid w:val="0"/>
                    <w:jc w:val="center"/>
                    <w:rPr>
                      <w:rFonts w:hint="eastAsia" w:cs="宋体"/>
                      <w:b/>
                      <w:bCs/>
                      <w:color w:val="000000"/>
                      <w:sz w:val="21"/>
                      <w:szCs w:val="21"/>
                    </w:rPr>
                  </w:pPr>
                </w:p>
              </w:tc>
              <w:tc>
                <w:tcPr>
                  <w:tcW w:w="784" w:type="pct"/>
                  <w:vMerge w:val="continue"/>
                  <w:noWrap w:val="0"/>
                  <w:vAlign w:val="center"/>
                </w:tcPr>
                <w:p w14:paraId="428A3A9A">
                  <w:pPr>
                    <w:overflowPunct w:val="0"/>
                    <w:autoSpaceDE w:val="0"/>
                    <w:autoSpaceDN w:val="0"/>
                    <w:adjustRightInd w:val="0"/>
                    <w:snapToGrid w:val="0"/>
                    <w:jc w:val="center"/>
                    <w:rPr>
                      <w:rFonts w:hint="eastAsia" w:cs="宋体"/>
                      <w:b/>
                      <w:bCs/>
                      <w:color w:val="000000"/>
                      <w:sz w:val="21"/>
                      <w:szCs w:val="21"/>
                    </w:rPr>
                  </w:pPr>
                </w:p>
              </w:tc>
              <w:tc>
                <w:tcPr>
                  <w:tcW w:w="669" w:type="pct"/>
                  <w:noWrap w:val="0"/>
                  <w:vAlign w:val="center"/>
                </w:tcPr>
                <w:p w14:paraId="0EED264C">
                  <w:pPr>
                    <w:widowControl/>
                    <w:overflowPunct w:val="0"/>
                    <w:autoSpaceDE w:val="0"/>
                    <w:autoSpaceDN w:val="0"/>
                    <w:adjustRightInd w:val="0"/>
                    <w:snapToGrid w:val="0"/>
                    <w:jc w:val="center"/>
                    <w:textAlignment w:val="center"/>
                    <w:rPr>
                      <w:b/>
                      <w:bCs/>
                      <w:color w:val="000000"/>
                      <w:sz w:val="21"/>
                      <w:szCs w:val="21"/>
                    </w:rPr>
                  </w:pPr>
                  <w:r>
                    <w:rPr>
                      <w:b/>
                      <w:bCs/>
                      <w:color w:val="000000"/>
                      <w:kern w:val="0"/>
                      <w:sz w:val="21"/>
                      <w:szCs w:val="21"/>
                      <w:lang w:bidi="ar"/>
                    </w:rPr>
                    <w:t>m</w:t>
                  </w:r>
                  <w:r>
                    <w:rPr>
                      <w:b/>
                      <w:bCs/>
                      <w:color w:val="000000"/>
                      <w:kern w:val="0"/>
                      <w:sz w:val="21"/>
                      <w:szCs w:val="21"/>
                      <w:vertAlign w:val="superscript"/>
                      <w:lang w:bidi="ar"/>
                    </w:rPr>
                    <w:t>3</w:t>
                  </w:r>
                  <w:r>
                    <w:rPr>
                      <w:b/>
                      <w:bCs/>
                      <w:color w:val="000000"/>
                      <w:kern w:val="0"/>
                      <w:sz w:val="21"/>
                      <w:szCs w:val="21"/>
                      <w:lang w:bidi="ar"/>
                    </w:rPr>
                    <w:t>/d</w:t>
                  </w:r>
                </w:p>
              </w:tc>
              <w:tc>
                <w:tcPr>
                  <w:tcW w:w="777" w:type="pct"/>
                  <w:noWrap w:val="0"/>
                  <w:vAlign w:val="center"/>
                </w:tcPr>
                <w:p w14:paraId="5EC961A7">
                  <w:pPr>
                    <w:widowControl/>
                    <w:overflowPunct w:val="0"/>
                    <w:autoSpaceDE w:val="0"/>
                    <w:autoSpaceDN w:val="0"/>
                    <w:adjustRightInd w:val="0"/>
                    <w:snapToGrid w:val="0"/>
                    <w:jc w:val="center"/>
                    <w:textAlignment w:val="center"/>
                    <w:rPr>
                      <w:b/>
                      <w:bCs/>
                      <w:color w:val="000000"/>
                      <w:sz w:val="21"/>
                      <w:szCs w:val="21"/>
                    </w:rPr>
                  </w:pPr>
                  <w:r>
                    <w:rPr>
                      <w:b/>
                      <w:bCs/>
                      <w:color w:val="000000"/>
                      <w:kern w:val="0"/>
                      <w:sz w:val="21"/>
                      <w:szCs w:val="21"/>
                      <w:lang w:bidi="ar"/>
                    </w:rPr>
                    <w:t>m</w:t>
                  </w:r>
                  <w:r>
                    <w:rPr>
                      <w:b/>
                      <w:bCs/>
                      <w:color w:val="000000"/>
                      <w:kern w:val="0"/>
                      <w:sz w:val="21"/>
                      <w:szCs w:val="21"/>
                      <w:vertAlign w:val="superscript"/>
                      <w:lang w:bidi="ar"/>
                    </w:rPr>
                    <w:t>3</w:t>
                  </w:r>
                  <w:r>
                    <w:rPr>
                      <w:b/>
                      <w:bCs/>
                      <w:color w:val="000000"/>
                      <w:kern w:val="0"/>
                      <w:sz w:val="21"/>
                      <w:szCs w:val="21"/>
                      <w:lang w:bidi="ar"/>
                    </w:rPr>
                    <w:t>/a</w:t>
                  </w:r>
                </w:p>
              </w:tc>
              <w:tc>
                <w:tcPr>
                  <w:tcW w:w="618" w:type="pct"/>
                  <w:noWrap w:val="0"/>
                  <w:vAlign w:val="center"/>
                </w:tcPr>
                <w:p w14:paraId="36AE80C7">
                  <w:pPr>
                    <w:widowControl/>
                    <w:overflowPunct w:val="0"/>
                    <w:autoSpaceDE w:val="0"/>
                    <w:autoSpaceDN w:val="0"/>
                    <w:adjustRightInd w:val="0"/>
                    <w:snapToGrid w:val="0"/>
                    <w:jc w:val="center"/>
                    <w:textAlignment w:val="center"/>
                    <w:rPr>
                      <w:b/>
                      <w:bCs/>
                      <w:color w:val="000000"/>
                      <w:sz w:val="21"/>
                      <w:szCs w:val="21"/>
                    </w:rPr>
                  </w:pPr>
                  <w:r>
                    <w:rPr>
                      <w:b/>
                      <w:bCs/>
                      <w:color w:val="000000"/>
                      <w:kern w:val="0"/>
                      <w:sz w:val="21"/>
                      <w:szCs w:val="21"/>
                      <w:lang w:bidi="ar"/>
                    </w:rPr>
                    <w:t>m</w:t>
                  </w:r>
                  <w:r>
                    <w:rPr>
                      <w:b/>
                      <w:bCs/>
                      <w:color w:val="000000"/>
                      <w:kern w:val="0"/>
                      <w:sz w:val="21"/>
                      <w:szCs w:val="21"/>
                      <w:vertAlign w:val="superscript"/>
                      <w:lang w:bidi="ar"/>
                    </w:rPr>
                    <w:t>3</w:t>
                  </w:r>
                  <w:r>
                    <w:rPr>
                      <w:b/>
                      <w:bCs/>
                      <w:color w:val="000000"/>
                      <w:kern w:val="0"/>
                      <w:sz w:val="21"/>
                      <w:szCs w:val="21"/>
                      <w:lang w:bidi="ar"/>
                    </w:rPr>
                    <w:t>/d</w:t>
                  </w:r>
                </w:p>
              </w:tc>
              <w:tc>
                <w:tcPr>
                  <w:tcW w:w="776" w:type="pct"/>
                  <w:noWrap w:val="0"/>
                  <w:vAlign w:val="center"/>
                </w:tcPr>
                <w:p w14:paraId="4F12F8B1">
                  <w:pPr>
                    <w:widowControl/>
                    <w:overflowPunct w:val="0"/>
                    <w:autoSpaceDE w:val="0"/>
                    <w:autoSpaceDN w:val="0"/>
                    <w:adjustRightInd w:val="0"/>
                    <w:snapToGrid w:val="0"/>
                    <w:jc w:val="center"/>
                    <w:textAlignment w:val="center"/>
                    <w:rPr>
                      <w:b/>
                      <w:bCs/>
                      <w:color w:val="000000"/>
                      <w:sz w:val="21"/>
                      <w:szCs w:val="21"/>
                    </w:rPr>
                  </w:pPr>
                  <w:r>
                    <w:rPr>
                      <w:b/>
                      <w:bCs/>
                      <w:color w:val="000000"/>
                      <w:kern w:val="0"/>
                      <w:sz w:val="21"/>
                      <w:szCs w:val="21"/>
                      <w:lang w:bidi="ar"/>
                    </w:rPr>
                    <w:t>m</w:t>
                  </w:r>
                  <w:r>
                    <w:rPr>
                      <w:b/>
                      <w:bCs/>
                      <w:color w:val="000000"/>
                      <w:kern w:val="0"/>
                      <w:sz w:val="21"/>
                      <w:szCs w:val="21"/>
                      <w:vertAlign w:val="superscript"/>
                      <w:lang w:bidi="ar"/>
                    </w:rPr>
                    <w:t>3</w:t>
                  </w:r>
                  <w:r>
                    <w:rPr>
                      <w:b/>
                      <w:bCs/>
                      <w:color w:val="000000"/>
                      <w:kern w:val="0"/>
                      <w:sz w:val="21"/>
                      <w:szCs w:val="21"/>
                      <w:lang w:bidi="ar"/>
                    </w:rPr>
                    <w:t>/a</w:t>
                  </w:r>
                </w:p>
              </w:tc>
            </w:tr>
            <w:tr w14:paraId="2D6222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trPr>
              <w:tc>
                <w:tcPr>
                  <w:tcW w:w="615" w:type="pct"/>
                  <w:noWrap w:val="0"/>
                  <w:vAlign w:val="center"/>
                </w:tcPr>
                <w:p w14:paraId="06CB9527">
                  <w:pPr>
                    <w:overflowPunct w:val="0"/>
                    <w:autoSpaceDE w:val="0"/>
                    <w:autoSpaceDN w:val="0"/>
                    <w:adjustRightInd w:val="0"/>
                    <w:snapToGrid w:val="0"/>
                    <w:jc w:val="center"/>
                    <w:rPr>
                      <w:rFonts w:cs="宋体"/>
                      <w:color w:val="000000"/>
                      <w:sz w:val="21"/>
                      <w:szCs w:val="21"/>
                    </w:rPr>
                  </w:pPr>
                  <w:r>
                    <w:rPr>
                      <w:rFonts w:hint="eastAsia" w:cs="宋体"/>
                      <w:color w:val="000000"/>
                      <w:sz w:val="21"/>
                      <w:szCs w:val="21"/>
                    </w:rPr>
                    <w:t>员工办公</w:t>
                  </w:r>
                </w:p>
              </w:tc>
              <w:tc>
                <w:tcPr>
                  <w:tcW w:w="758" w:type="pct"/>
                  <w:noWrap w:val="0"/>
                  <w:vAlign w:val="center"/>
                </w:tcPr>
                <w:p w14:paraId="70EEF73D">
                  <w:pPr>
                    <w:widowControl/>
                    <w:overflowPunct w:val="0"/>
                    <w:autoSpaceDE w:val="0"/>
                    <w:autoSpaceDN w:val="0"/>
                    <w:adjustRightInd w:val="0"/>
                    <w:snapToGrid w:val="0"/>
                    <w:jc w:val="center"/>
                    <w:textAlignment w:val="center"/>
                    <w:rPr>
                      <w:rFonts w:hint="eastAsia" w:cs="宋体"/>
                      <w:color w:val="000000"/>
                      <w:sz w:val="21"/>
                      <w:szCs w:val="21"/>
                    </w:rPr>
                  </w:pPr>
                  <w:r>
                    <w:rPr>
                      <w:color w:val="000000"/>
                      <w:kern w:val="0"/>
                      <w:sz w:val="21"/>
                      <w:szCs w:val="21"/>
                      <w:lang w:bidi="ar"/>
                    </w:rPr>
                    <w:t>50L/d</w:t>
                  </w:r>
                  <w:r>
                    <w:rPr>
                      <w:rFonts w:hint="eastAsia" w:cs="宋体"/>
                      <w:color w:val="000000"/>
                      <w:kern w:val="0"/>
                      <w:sz w:val="21"/>
                      <w:szCs w:val="21"/>
                      <w:lang w:bidi="ar"/>
                    </w:rPr>
                    <w:t>·人</w:t>
                  </w:r>
                </w:p>
              </w:tc>
              <w:tc>
                <w:tcPr>
                  <w:tcW w:w="784" w:type="pct"/>
                  <w:noWrap w:val="0"/>
                  <w:vAlign w:val="center"/>
                </w:tcPr>
                <w:p w14:paraId="13FC45F2">
                  <w:pPr>
                    <w:widowControl/>
                    <w:overflowPunct w:val="0"/>
                    <w:autoSpaceDE w:val="0"/>
                    <w:autoSpaceDN w:val="0"/>
                    <w:adjustRightInd w:val="0"/>
                    <w:snapToGrid w:val="0"/>
                    <w:jc w:val="center"/>
                    <w:textAlignment w:val="center"/>
                    <w:rPr>
                      <w:rFonts w:hint="eastAsia" w:cs="宋体"/>
                      <w:color w:val="000000"/>
                      <w:sz w:val="21"/>
                      <w:szCs w:val="21"/>
                    </w:rPr>
                  </w:pPr>
                  <w:r>
                    <w:rPr>
                      <w:rFonts w:hint="eastAsia"/>
                      <w:color w:val="000000"/>
                      <w:kern w:val="0"/>
                      <w:sz w:val="21"/>
                      <w:szCs w:val="21"/>
                      <w:lang w:bidi="ar"/>
                    </w:rPr>
                    <w:t>50</w:t>
                  </w:r>
                  <w:r>
                    <w:rPr>
                      <w:rFonts w:hint="eastAsia" w:cs="宋体"/>
                      <w:color w:val="000000"/>
                      <w:kern w:val="0"/>
                      <w:sz w:val="21"/>
                      <w:szCs w:val="21"/>
                      <w:lang w:bidi="ar"/>
                    </w:rPr>
                    <w:t>人</w:t>
                  </w:r>
                </w:p>
              </w:tc>
              <w:tc>
                <w:tcPr>
                  <w:tcW w:w="669" w:type="pct"/>
                  <w:noWrap w:val="0"/>
                  <w:vAlign w:val="center"/>
                </w:tcPr>
                <w:p w14:paraId="4621834B">
                  <w:pPr>
                    <w:widowControl/>
                    <w:jc w:val="center"/>
                    <w:textAlignment w:val="center"/>
                    <w:rPr>
                      <w:color w:val="000000"/>
                      <w:kern w:val="0"/>
                      <w:sz w:val="21"/>
                      <w:szCs w:val="21"/>
                      <w:lang w:bidi="ar"/>
                    </w:rPr>
                  </w:pPr>
                  <w:r>
                    <w:rPr>
                      <w:rFonts w:hint="eastAsia"/>
                      <w:color w:val="000000"/>
                      <w:kern w:val="0"/>
                      <w:sz w:val="21"/>
                      <w:szCs w:val="21"/>
                      <w:lang w:bidi="ar"/>
                    </w:rPr>
                    <w:t>2.5</w:t>
                  </w:r>
                </w:p>
              </w:tc>
              <w:tc>
                <w:tcPr>
                  <w:tcW w:w="777" w:type="pct"/>
                  <w:noWrap w:val="0"/>
                  <w:vAlign w:val="center"/>
                </w:tcPr>
                <w:p w14:paraId="5BD6B29F">
                  <w:pPr>
                    <w:widowControl/>
                    <w:jc w:val="center"/>
                    <w:textAlignment w:val="center"/>
                    <w:rPr>
                      <w:color w:val="000000"/>
                      <w:kern w:val="0"/>
                      <w:sz w:val="21"/>
                      <w:szCs w:val="21"/>
                      <w:lang w:bidi="ar"/>
                    </w:rPr>
                  </w:pPr>
                  <w:r>
                    <w:rPr>
                      <w:rFonts w:hint="eastAsia"/>
                      <w:color w:val="000000"/>
                      <w:kern w:val="0"/>
                      <w:sz w:val="21"/>
                      <w:szCs w:val="21"/>
                      <w:lang w:bidi="ar"/>
                    </w:rPr>
                    <w:t>750</w:t>
                  </w:r>
                </w:p>
              </w:tc>
              <w:tc>
                <w:tcPr>
                  <w:tcW w:w="618" w:type="pct"/>
                  <w:noWrap w:val="0"/>
                  <w:vAlign w:val="center"/>
                </w:tcPr>
                <w:p w14:paraId="35DCA590">
                  <w:pPr>
                    <w:widowControl/>
                    <w:jc w:val="center"/>
                    <w:textAlignment w:val="center"/>
                    <w:rPr>
                      <w:color w:val="000000"/>
                      <w:kern w:val="0"/>
                      <w:sz w:val="21"/>
                      <w:szCs w:val="21"/>
                      <w:lang w:bidi="ar"/>
                    </w:rPr>
                  </w:pPr>
                  <w:r>
                    <w:rPr>
                      <w:rFonts w:hint="eastAsia"/>
                      <w:color w:val="000000"/>
                      <w:kern w:val="0"/>
                      <w:sz w:val="21"/>
                      <w:szCs w:val="21"/>
                      <w:lang w:bidi="ar"/>
                    </w:rPr>
                    <w:t>2.25</w:t>
                  </w:r>
                </w:p>
              </w:tc>
              <w:tc>
                <w:tcPr>
                  <w:tcW w:w="776" w:type="pct"/>
                  <w:noWrap w:val="0"/>
                  <w:vAlign w:val="center"/>
                </w:tcPr>
                <w:p w14:paraId="52DC0241">
                  <w:pPr>
                    <w:widowControl/>
                    <w:jc w:val="center"/>
                    <w:textAlignment w:val="center"/>
                    <w:rPr>
                      <w:color w:val="000000"/>
                      <w:kern w:val="0"/>
                      <w:sz w:val="21"/>
                      <w:szCs w:val="21"/>
                      <w:lang w:bidi="ar"/>
                    </w:rPr>
                  </w:pPr>
                  <w:r>
                    <w:rPr>
                      <w:rFonts w:hint="eastAsia"/>
                      <w:color w:val="000000"/>
                      <w:kern w:val="0"/>
                      <w:sz w:val="21"/>
                      <w:szCs w:val="21"/>
                      <w:lang w:bidi="ar"/>
                    </w:rPr>
                    <w:t>675</w:t>
                  </w:r>
                </w:p>
              </w:tc>
            </w:tr>
            <w:tr w14:paraId="046F74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5" w:hRule="atLeast"/>
              </w:trPr>
              <w:tc>
                <w:tcPr>
                  <w:tcW w:w="615" w:type="pct"/>
                  <w:noWrap w:val="0"/>
                  <w:vAlign w:val="center"/>
                </w:tcPr>
                <w:p w14:paraId="17683244">
                  <w:pPr>
                    <w:widowControl/>
                    <w:overflowPunct w:val="0"/>
                    <w:autoSpaceDE w:val="0"/>
                    <w:autoSpaceDN w:val="0"/>
                    <w:adjustRightInd w:val="0"/>
                    <w:snapToGrid w:val="0"/>
                    <w:jc w:val="center"/>
                    <w:textAlignment w:val="center"/>
                    <w:rPr>
                      <w:rFonts w:hint="eastAsia" w:cs="宋体"/>
                      <w:color w:val="000000"/>
                      <w:sz w:val="21"/>
                      <w:szCs w:val="21"/>
                    </w:rPr>
                  </w:pPr>
                  <w:r>
                    <w:rPr>
                      <w:rFonts w:hint="eastAsia" w:cs="宋体"/>
                      <w:color w:val="000000"/>
                      <w:kern w:val="0"/>
                      <w:sz w:val="21"/>
                      <w:szCs w:val="21"/>
                      <w:lang w:bidi="ar"/>
                    </w:rPr>
                    <w:t>地面清洁</w:t>
                  </w:r>
                </w:p>
              </w:tc>
              <w:tc>
                <w:tcPr>
                  <w:tcW w:w="758" w:type="pct"/>
                  <w:noWrap w:val="0"/>
                  <w:vAlign w:val="center"/>
                </w:tcPr>
                <w:p w14:paraId="4B26C4EC">
                  <w:pPr>
                    <w:widowControl/>
                    <w:overflowPunct w:val="0"/>
                    <w:autoSpaceDE w:val="0"/>
                    <w:autoSpaceDN w:val="0"/>
                    <w:adjustRightInd w:val="0"/>
                    <w:snapToGrid w:val="0"/>
                    <w:jc w:val="center"/>
                    <w:textAlignment w:val="center"/>
                    <w:rPr>
                      <w:color w:val="000000"/>
                      <w:sz w:val="21"/>
                      <w:szCs w:val="21"/>
                    </w:rPr>
                  </w:pPr>
                  <w:r>
                    <w:rPr>
                      <w:color w:val="000000"/>
                      <w:kern w:val="0"/>
                      <w:sz w:val="21"/>
                      <w:szCs w:val="21"/>
                      <w:lang w:bidi="ar"/>
                    </w:rPr>
                    <w:t>1L/m</w:t>
                  </w:r>
                  <w:r>
                    <w:rPr>
                      <w:color w:val="000000"/>
                      <w:kern w:val="0"/>
                      <w:sz w:val="21"/>
                      <w:szCs w:val="21"/>
                      <w:vertAlign w:val="superscript"/>
                      <w:lang w:bidi="ar"/>
                    </w:rPr>
                    <w:t>2</w:t>
                  </w:r>
                </w:p>
              </w:tc>
              <w:tc>
                <w:tcPr>
                  <w:tcW w:w="784" w:type="pct"/>
                  <w:noWrap w:val="0"/>
                  <w:vAlign w:val="center"/>
                </w:tcPr>
                <w:p w14:paraId="00545D86">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4521</w:t>
                  </w:r>
                  <w:r>
                    <w:rPr>
                      <w:color w:val="000000"/>
                      <w:kern w:val="0"/>
                      <w:sz w:val="21"/>
                      <w:szCs w:val="21"/>
                      <w:lang w:bidi="ar"/>
                    </w:rPr>
                    <w:t>m</w:t>
                  </w:r>
                  <w:r>
                    <w:rPr>
                      <w:color w:val="000000"/>
                      <w:kern w:val="0"/>
                      <w:sz w:val="21"/>
                      <w:szCs w:val="21"/>
                      <w:vertAlign w:val="superscript"/>
                      <w:lang w:bidi="ar"/>
                    </w:rPr>
                    <w:t>2</w:t>
                  </w:r>
                </w:p>
                <w:p w14:paraId="4DFD0F03">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每周一次</w:t>
                  </w:r>
                </w:p>
              </w:tc>
              <w:tc>
                <w:tcPr>
                  <w:tcW w:w="669" w:type="pct"/>
                  <w:noWrap w:val="0"/>
                  <w:vAlign w:val="center"/>
                </w:tcPr>
                <w:p w14:paraId="3DFF5831">
                  <w:pPr>
                    <w:widowControl/>
                    <w:overflowPunct w:val="0"/>
                    <w:autoSpaceDE w:val="0"/>
                    <w:autoSpaceDN w:val="0"/>
                    <w:adjustRightInd w:val="0"/>
                    <w:snapToGrid w:val="0"/>
                    <w:jc w:val="center"/>
                    <w:textAlignment w:val="center"/>
                    <w:rPr>
                      <w:color w:val="000000"/>
                      <w:sz w:val="21"/>
                      <w:szCs w:val="21"/>
                    </w:rPr>
                  </w:pPr>
                  <w:r>
                    <w:rPr>
                      <w:rFonts w:hint="eastAsia"/>
                      <w:color w:val="000000"/>
                      <w:kern w:val="0"/>
                      <w:sz w:val="21"/>
                      <w:szCs w:val="21"/>
                      <w:lang w:bidi="ar"/>
                    </w:rPr>
                    <w:t xml:space="preserve">4.52 </w:t>
                  </w:r>
                </w:p>
              </w:tc>
              <w:tc>
                <w:tcPr>
                  <w:tcW w:w="777" w:type="pct"/>
                  <w:noWrap w:val="0"/>
                  <w:vAlign w:val="center"/>
                </w:tcPr>
                <w:p w14:paraId="214186AB">
                  <w:pPr>
                    <w:widowControl/>
                    <w:overflowPunct w:val="0"/>
                    <w:autoSpaceDE w:val="0"/>
                    <w:autoSpaceDN w:val="0"/>
                    <w:adjustRightInd w:val="0"/>
                    <w:snapToGrid w:val="0"/>
                    <w:jc w:val="center"/>
                    <w:textAlignment w:val="center"/>
                    <w:rPr>
                      <w:color w:val="000000"/>
                      <w:sz w:val="21"/>
                      <w:szCs w:val="21"/>
                    </w:rPr>
                  </w:pPr>
                  <w:r>
                    <w:rPr>
                      <w:rFonts w:hint="eastAsia"/>
                      <w:color w:val="000000"/>
                      <w:kern w:val="0"/>
                      <w:sz w:val="21"/>
                      <w:szCs w:val="21"/>
                      <w:lang w:bidi="ar"/>
                    </w:rPr>
                    <w:t xml:space="preserve">226.07 </w:t>
                  </w:r>
                </w:p>
              </w:tc>
              <w:tc>
                <w:tcPr>
                  <w:tcW w:w="618" w:type="pct"/>
                  <w:noWrap w:val="0"/>
                  <w:vAlign w:val="center"/>
                </w:tcPr>
                <w:p w14:paraId="1F814C7F">
                  <w:pPr>
                    <w:widowControl/>
                    <w:overflowPunct w:val="0"/>
                    <w:autoSpaceDE w:val="0"/>
                    <w:autoSpaceDN w:val="0"/>
                    <w:adjustRightInd w:val="0"/>
                    <w:snapToGrid w:val="0"/>
                    <w:jc w:val="center"/>
                    <w:textAlignment w:val="center"/>
                    <w:rPr>
                      <w:color w:val="000000"/>
                      <w:sz w:val="21"/>
                      <w:szCs w:val="21"/>
                    </w:rPr>
                  </w:pPr>
                  <w:r>
                    <w:rPr>
                      <w:rFonts w:hint="eastAsia"/>
                      <w:color w:val="000000"/>
                      <w:kern w:val="0"/>
                      <w:sz w:val="21"/>
                      <w:szCs w:val="21"/>
                      <w:lang w:bidi="ar"/>
                    </w:rPr>
                    <w:t xml:space="preserve">3.62 </w:t>
                  </w:r>
                </w:p>
              </w:tc>
              <w:tc>
                <w:tcPr>
                  <w:tcW w:w="776" w:type="pct"/>
                  <w:noWrap w:val="0"/>
                  <w:vAlign w:val="center"/>
                </w:tcPr>
                <w:p w14:paraId="09C3B6A4">
                  <w:pPr>
                    <w:widowControl/>
                    <w:overflowPunct w:val="0"/>
                    <w:autoSpaceDE w:val="0"/>
                    <w:autoSpaceDN w:val="0"/>
                    <w:adjustRightInd w:val="0"/>
                    <w:snapToGrid w:val="0"/>
                    <w:jc w:val="center"/>
                    <w:textAlignment w:val="center"/>
                    <w:rPr>
                      <w:color w:val="000000"/>
                      <w:sz w:val="21"/>
                      <w:szCs w:val="21"/>
                    </w:rPr>
                  </w:pPr>
                  <w:r>
                    <w:rPr>
                      <w:rFonts w:hint="eastAsia"/>
                      <w:color w:val="000000"/>
                      <w:kern w:val="0"/>
                      <w:sz w:val="21"/>
                      <w:szCs w:val="21"/>
                      <w:lang w:bidi="ar"/>
                    </w:rPr>
                    <w:t xml:space="preserve">180.85 </w:t>
                  </w:r>
                </w:p>
              </w:tc>
            </w:tr>
            <w:tr w14:paraId="368C25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5" w:hRule="atLeast"/>
              </w:trPr>
              <w:tc>
                <w:tcPr>
                  <w:tcW w:w="615" w:type="pct"/>
                  <w:noWrap w:val="0"/>
                  <w:vAlign w:val="center"/>
                </w:tcPr>
                <w:p w14:paraId="1600721E">
                  <w:pPr>
                    <w:widowControl/>
                    <w:overflowPunct w:val="0"/>
                    <w:autoSpaceDE w:val="0"/>
                    <w:autoSpaceDN w:val="0"/>
                    <w:adjustRightInd w:val="0"/>
                    <w:snapToGrid w:val="0"/>
                    <w:jc w:val="center"/>
                    <w:textAlignment w:val="center"/>
                    <w:rPr>
                      <w:rFonts w:cs="宋体"/>
                      <w:color w:val="000000"/>
                      <w:kern w:val="0"/>
                      <w:sz w:val="21"/>
                      <w:szCs w:val="21"/>
                      <w:lang w:bidi="ar"/>
                    </w:rPr>
                  </w:pPr>
                  <w:r>
                    <w:rPr>
                      <w:rFonts w:hint="eastAsia" w:cs="宋体"/>
                      <w:color w:val="000000"/>
                      <w:kern w:val="0"/>
                      <w:sz w:val="21"/>
                      <w:szCs w:val="21"/>
                      <w:lang w:bidi="ar"/>
                    </w:rPr>
                    <w:t>空压机含油废水</w:t>
                  </w:r>
                </w:p>
              </w:tc>
              <w:tc>
                <w:tcPr>
                  <w:tcW w:w="758" w:type="pct"/>
                  <w:noWrap w:val="0"/>
                  <w:vAlign w:val="center"/>
                </w:tcPr>
                <w:p w14:paraId="391A737E">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w:t>
                  </w:r>
                </w:p>
              </w:tc>
              <w:tc>
                <w:tcPr>
                  <w:tcW w:w="784" w:type="pct"/>
                  <w:noWrap w:val="0"/>
                  <w:vAlign w:val="center"/>
                </w:tcPr>
                <w:p w14:paraId="46E08823">
                  <w:pPr>
                    <w:widowControl/>
                    <w:overflowPunct w:val="0"/>
                    <w:autoSpaceDE w:val="0"/>
                    <w:autoSpaceDN w:val="0"/>
                    <w:adjustRightInd w:val="0"/>
                    <w:snapToGrid w:val="0"/>
                    <w:jc w:val="center"/>
                    <w:textAlignment w:val="center"/>
                    <w:rPr>
                      <w:color w:val="000000"/>
                      <w:kern w:val="0"/>
                      <w:sz w:val="21"/>
                      <w:szCs w:val="21"/>
                      <w:lang w:bidi="ar"/>
                    </w:rPr>
                  </w:pPr>
                  <w:r>
                    <w:rPr>
                      <w:color w:val="000000"/>
                      <w:kern w:val="0"/>
                      <w:sz w:val="21"/>
                      <w:szCs w:val="21"/>
                      <w:lang w:bidi="ar"/>
                    </w:rPr>
                    <w:t>0.0</w:t>
                  </w:r>
                  <w:r>
                    <w:rPr>
                      <w:rFonts w:hint="eastAsia"/>
                      <w:color w:val="000000"/>
                      <w:kern w:val="0"/>
                      <w:sz w:val="21"/>
                      <w:szCs w:val="21"/>
                      <w:lang w:bidi="ar"/>
                    </w:rPr>
                    <w:t>56</w:t>
                  </w:r>
                  <w:r>
                    <w:rPr>
                      <w:color w:val="000000"/>
                      <w:kern w:val="0"/>
                      <w:sz w:val="21"/>
                      <w:szCs w:val="21"/>
                      <w:lang w:bidi="ar"/>
                    </w:rPr>
                    <w:t>m</w:t>
                  </w:r>
                  <w:r>
                    <w:rPr>
                      <w:color w:val="000000"/>
                      <w:kern w:val="0"/>
                      <w:sz w:val="21"/>
                      <w:szCs w:val="21"/>
                      <w:vertAlign w:val="superscript"/>
                      <w:lang w:bidi="ar"/>
                    </w:rPr>
                    <w:t>3</w:t>
                  </w:r>
                  <w:r>
                    <w:rPr>
                      <w:color w:val="000000"/>
                      <w:kern w:val="0"/>
                      <w:sz w:val="21"/>
                      <w:szCs w:val="21"/>
                      <w:lang w:bidi="ar"/>
                    </w:rPr>
                    <w:t>/d</w:t>
                  </w:r>
                </w:p>
              </w:tc>
              <w:tc>
                <w:tcPr>
                  <w:tcW w:w="669" w:type="pct"/>
                  <w:noWrap w:val="0"/>
                  <w:vAlign w:val="center"/>
                </w:tcPr>
                <w:p w14:paraId="205335E7">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w:t>
                  </w:r>
                </w:p>
              </w:tc>
              <w:tc>
                <w:tcPr>
                  <w:tcW w:w="777" w:type="pct"/>
                  <w:noWrap w:val="0"/>
                  <w:vAlign w:val="center"/>
                </w:tcPr>
                <w:p w14:paraId="29DE18CA">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w:t>
                  </w:r>
                </w:p>
              </w:tc>
              <w:tc>
                <w:tcPr>
                  <w:tcW w:w="618" w:type="pct"/>
                  <w:noWrap w:val="0"/>
                  <w:vAlign w:val="center"/>
                </w:tcPr>
                <w:p w14:paraId="1B558F8E">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0.056</w:t>
                  </w:r>
                </w:p>
              </w:tc>
              <w:tc>
                <w:tcPr>
                  <w:tcW w:w="776" w:type="pct"/>
                  <w:noWrap w:val="0"/>
                  <w:vAlign w:val="center"/>
                </w:tcPr>
                <w:p w14:paraId="243F2B09">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kern w:val="0"/>
                      <w:sz w:val="21"/>
                      <w:szCs w:val="21"/>
                      <w:lang w:bidi="ar"/>
                    </w:rPr>
                    <w:t>16.8</w:t>
                  </w:r>
                </w:p>
              </w:tc>
            </w:tr>
            <w:tr w14:paraId="58B94B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5" w:hRule="atLeast"/>
              </w:trPr>
              <w:tc>
                <w:tcPr>
                  <w:tcW w:w="615" w:type="pct"/>
                  <w:noWrap w:val="0"/>
                  <w:vAlign w:val="center"/>
                </w:tcPr>
                <w:p w14:paraId="7FD25DC1">
                  <w:pPr>
                    <w:widowControl/>
                    <w:overflowPunct w:val="0"/>
                    <w:autoSpaceDE w:val="0"/>
                    <w:autoSpaceDN w:val="0"/>
                    <w:adjustRightInd w:val="0"/>
                    <w:snapToGrid w:val="0"/>
                    <w:jc w:val="center"/>
                    <w:textAlignment w:val="center"/>
                    <w:rPr>
                      <w:rFonts w:cs="宋体"/>
                      <w:color w:val="000000"/>
                      <w:kern w:val="0"/>
                      <w:sz w:val="21"/>
                      <w:szCs w:val="21"/>
                      <w:lang w:bidi="ar"/>
                    </w:rPr>
                  </w:pPr>
                  <w:r>
                    <w:rPr>
                      <w:rFonts w:hint="eastAsia" w:cs="宋体"/>
                      <w:color w:val="000000"/>
                      <w:kern w:val="0"/>
                      <w:sz w:val="21"/>
                      <w:szCs w:val="21"/>
                      <w:lang w:bidi="ar"/>
                    </w:rPr>
                    <w:t>酸雾洗涤塔排水</w:t>
                  </w:r>
                </w:p>
              </w:tc>
              <w:tc>
                <w:tcPr>
                  <w:tcW w:w="758" w:type="pct"/>
                  <w:noWrap w:val="0"/>
                  <w:vAlign w:val="center"/>
                </w:tcPr>
                <w:p w14:paraId="1C6950F7">
                  <w:pPr>
                    <w:widowControl/>
                    <w:overflowPunct w:val="0"/>
                    <w:autoSpaceDE w:val="0"/>
                    <w:autoSpaceDN w:val="0"/>
                    <w:adjustRightInd w:val="0"/>
                    <w:snapToGrid w:val="0"/>
                    <w:jc w:val="center"/>
                    <w:textAlignment w:val="center"/>
                    <w:rPr>
                      <w:rFonts w:hint="eastAsia"/>
                      <w:color w:val="000000"/>
                      <w:kern w:val="0"/>
                      <w:sz w:val="21"/>
                      <w:szCs w:val="21"/>
                      <w:lang w:bidi="ar"/>
                    </w:rPr>
                  </w:pPr>
                  <w:r>
                    <w:rPr>
                      <w:rFonts w:hint="eastAsia"/>
                      <w:color w:val="000000"/>
                      <w:sz w:val="21"/>
                      <w:szCs w:val="21"/>
                    </w:rPr>
                    <w:t>1.5m</w:t>
                  </w:r>
                  <w:r>
                    <w:rPr>
                      <w:rFonts w:hint="eastAsia"/>
                      <w:color w:val="000000"/>
                      <w:sz w:val="21"/>
                      <w:szCs w:val="21"/>
                      <w:vertAlign w:val="superscript"/>
                    </w:rPr>
                    <w:t>3</w:t>
                  </w:r>
                  <w:r>
                    <w:rPr>
                      <w:rFonts w:hint="eastAsia"/>
                      <w:color w:val="000000"/>
                      <w:sz w:val="21"/>
                      <w:szCs w:val="21"/>
                    </w:rPr>
                    <w:t>/次</w:t>
                  </w:r>
                </w:p>
              </w:tc>
              <w:tc>
                <w:tcPr>
                  <w:tcW w:w="784" w:type="pct"/>
                  <w:noWrap w:val="0"/>
                  <w:vAlign w:val="center"/>
                </w:tcPr>
                <w:p w14:paraId="06947151">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sz w:val="21"/>
                      <w:szCs w:val="21"/>
                    </w:rPr>
                    <w:t>每季1次</w:t>
                  </w:r>
                </w:p>
              </w:tc>
              <w:tc>
                <w:tcPr>
                  <w:tcW w:w="669" w:type="pct"/>
                  <w:noWrap w:val="0"/>
                  <w:vAlign w:val="center"/>
                </w:tcPr>
                <w:p w14:paraId="26D75EF7">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1.5</w:t>
                  </w:r>
                </w:p>
                <w:p w14:paraId="5C006052">
                  <w:pPr>
                    <w:widowControl/>
                    <w:overflowPunct w:val="0"/>
                    <w:autoSpaceDE w:val="0"/>
                    <w:autoSpaceDN w:val="0"/>
                    <w:adjustRightInd w:val="0"/>
                    <w:snapToGrid w:val="0"/>
                    <w:jc w:val="center"/>
                    <w:textAlignment w:val="center"/>
                    <w:rPr>
                      <w:color w:val="000000"/>
                      <w:kern w:val="0"/>
                      <w:sz w:val="21"/>
                      <w:szCs w:val="21"/>
                      <w:lang w:bidi="ar"/>
                    </w:rPr>
                  </w:pPr>
                  <w:r>
                    <w:rPr>
                      <w:rFonts w:hint="eastAsia"/>
                      <w:color w:val="000000"/>
                      <w:sz w:val="21"/>
                      <w:szCs w:val="21"/>
                    </w:rPr>
                    <w:t>（最大量）</w:t>
                  </w:r>
                </w:p>
              </w:tc>
              <w:tc>
                <w:tcPr>
                  <w:tcW w:w="777" w:type="pct"/>
                  <w:noWrap w:val="0"/>
                  <w:vAlign w:val="center"/>
                </w:tcPr>
                <w:p w14:paraId="7A1C4AB3">
                  <w:pPr>
                    <w:widowControl/>
                    <w:overflowPunct w:val="0"/>
                    <w:autoSpaceDE w:val="0"/>
                    <w:autoSpaceDN w:val="0"/>
                    <w:adjustRightInd w:val="0"/>
                    <w:snapToGrid w:val="0"/>
                    <w:jc w:val="center"/>
                    <w:textAlignment w:val="center"/>
                    <w:rPr>
                      <w:rFonts w:hint="eastAsia"/>
                      <w:color w:val="000000"/>
                      <w:kern w:val="0"/>
                      <w:sz w:val="21"/>
                      <w:szCs w:val="21"/>
                      <w:lang w:bidi="ar"/>
                    </w:rPr>
                  </w:pPr>
                  <w:r>
                    <w:rPr>
                      <w:rFonts w:hint="eastAsia"/>
                      <w:color w:val="000000"/>
                      <w:sz w:val="21"/>
                      <w:szCs w:val="21"/>
                    </w:rPr>
                    <w:t>6</w:t>
                  </w:r>
                </w:p>
              </w:tc>
              <w:tc>
                <w:tcPr>
                  <w:tcW w:w="618" w:type="pct"/>
                  <w:noWrap w:val="0"/>
                  <w:vAlign w:val="center"/>
                </w:tcPr>
                <w:p w14:paraId="685E51EE">
                  <w:pPr>
                    <w:widowControl/>
                    <w:overflowPunct w:val="0"/>
                    <w:autoSpaceDE w:val="0"/>
                    <w:autoSpaceDN w:val="0"/>
                    <w:adjustRightInd w:val="0"/>
                    <w:snapToGrid w:val="0"/>
                    <w:jc w:val="center"/>
                    <w:textAlignment w:val="center"/>
                    <w:rPr>
                      <w:rFonts w:hint="eastAsia"/>
                      <w:color w:val="000000"/>
                      <w:kern w:val="0"/>
                      <w:sz w:val="21"/>
                      <w:szCs w:val="21"/>
                      <w:lang w:bidi="ar"/>
                    </w:rPr>
                  </w:pPr>
                  <w:r>
                    <w:rPr>
                      <w:rFonts w:hint="eastAsia"/>
                      <w:color w:val="000000"/>
                      <w:sz w:val="21"/>
                      <w:szCs w:val="21"/>
                    </w:rPr>
                    <w:t>1.5</w:t>
                  </w:r>
                </w:p>
              </w:tc>
              <w:tc>
                <w:tcPr>
                  <w:tcW w:w="776" w:type="pct"/>
                  <w:noWrap w:val="0"/>
                  <w:vAlign w:val="center"/>
                </w:tcPr>
                <w:p w14:paraId="48CC8478">
                  <w:pPr>
                    <w:widowControl/>
                    <w:overflowPunct w:val="0"/>
                    <w:autoSpaceDE w:val="0"/>
                    <w:autoSpaceDN w:val="0"/>
                    <w:adjustRightInd w:val="0"/>
                    <w:snapToGrid w:val="0"/>
                    <w:jc w:val="center"/>
                    <w:textAlignment w:val="center"/>
                    <w:rPr>
                      <w:rFonts w:hint="eastAsia"/>
                      <w:color w:val="000000"/>
                      <w:kern w:val="0"/>
                      <w:sz w:val="21"/>
                      <w:szCs w:val="21"/>
                      <w:lang w:bidi="ar"/>
                    </w:rPr>
                  </w:pPr>
                  <w:r>
                    <w:rPr>
                      <w:rFonts w:hint="eastAsia"/>
                      <w:color w:val="000000"/>
                      <w:sz w:val="21"/>
                      <w:szCs w:val="21"/>
                    </w:rPr>
                    <w:t>6</w:t>
                  </w:r>
                </w:p>
              </w:tc>
            </w:tr>
            <w:tr w14:paraId="2259B5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0" w:hRule="atLeast"/>
              </w:trPr>
              <w:tc>
                <w:tcPr>
                  <w:tcW w:w="615" w:type="pct"/>
                  <w:noWrap w:val="0"/>
                  <w:vAlign w:val="center"/>
                </w:tcPr>
                <w:p w14:paraId="7335B953">
                  <w:pPr>
                    <w:widowControl/>
                    <w:overflowPunct w:val="0"/>
                    <w:autoSpaceDE w:val="0"/>
                    <w:autoSpaceDN w:val="0"/>
                    <w:adjustRightInd w:val="0"/>
                    <w:snapToGrid w:val="0"/>
                    <w:jc w:val="center"/>
                    <w:textAlignment w:val="center"/>
                    <w:rPr>
                      <w:rFonts w:cs="宋体"/>
                      <w:color w:val="000000"/>
                      <w:kern w:val="0"/>
                      <w:sz w:val="21"/>
                      <w:szCs w:val="21"/>
                      <w:lang w:bidi="ar"/>
                    </w:rPr>
                  </w:pPr>
                  <w:r>
                    <w:rPr>
                      <w:rFonts w:hint="eastAsia" w:cs="宋体"/>
                      <w:color w:val="000000"/>
                      <w:kern w:val="0"/>
                      <w:sz w:val="21"/>
                      <w:szCs w:val="21"/>
                      <w:lang w:bidi="ar"/>
                    </w:rPr>
                    <w:t>酸雾洗涤塔补水</w:t>
                  </w:r>
                </w:p>
              </w:tc>
              <w:tc>
                <w:tcPr>
                  <w:tcW w:w="758" w:type="pct"/>
                  <w:noWrap w:val="0"/>
                  <w:vAlign w:val="center"/>
                </w:tcPr>
                <w:p w14:paraId="2083F007">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0.32m</w:t>
                  </w:r>
                  <w:r>
                    <w:rPr>
                      <w:rFonts w:hint="eastAsia"/>
                      <w:color w:val="000000"/>
                      <w:sz w:val="21"/>
                      <w:szCs w:val="21"/>
                      <w:vertAlign w:val="superscript"/>
                    </w:rPr>
                    <w:t>3</w:t>
                  </w:r>
                  <w:r>
                    <w:rPr>
                      <w:rFonts w:hint="eastAsia"/>
                      <w:color w:val="000000"/>
                      <w:sz w:val="21"/>
                      <w:szCs w:val="21"/>
                    </w:rPr>
                    <w:t>/d</w:t>
                  </w:r>
                </w:p>
              </w:tc>
              <w:tc>
                <w:tcPr>
                  <w:tcW w:w="784" w:type="pct"/>
                  <w:noWrap w:val="0"/>
                  <w:vAlign w:val="center"/>
                </w:tcPr>
                <w:p w14:paraId="6A1B0F35">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每天补水</w:t>
                  </w:r>
                </w:p>
              </w:tc>
              <w:tc>
                <w:tcPr>
                  <w:tcW w:w="669" w:type="pct"/>
                  <w:noWrap w:val="0"/>
                  <w:vAlign w:val="center"/>
                </w:tcPr>
                <w:p w14:paraId="3ED868EC">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0.32</w:t>
                  </w:r>
                </w:p>
              </w:tc>
              <w:tc>
                <w:tcPr>
                  <w:tcW w:w="777" w:type="pct"/>
                  <w:noWrap w:val="0"/>
                  <w:vAlign w:val="center"/>
                </w:tcPr>
                <w:p w14:paraId="2C9CBB5B">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96</w:t>
                  </w:r>
                </w:p>
              </w:tc>
              <w:tc>
                <w:tcPr>
                  <w:tcW w:w="618" w:type="pct"/>
                  <w:noWrap w:val="0"/>
                  <w:vAlign w:val="center"/>
                </w:tcPr>
                <w:p w14:paraId="2A8EFEB1">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w:t>
                  </w:r>
                </w:p>
              </w:tc>
              <w:tc>
                <w:tcPr>
                  <w:tcW w:w="776" w:type="pct"/>
                  <w:noWrap w:val="0"/>
                  <w:vAlign w:val="center"/>
                </w:tcPr>
                <w:p w14:paraId="4999C9C9">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w:t>
                  </w:r>
                </w:p>
              </w:tc>
            </w:tr>
            <w:tr w14:paraId="2E1DBB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0" w:hRule="atLeast"/>
              </w:trPr>
              <w:tc>
                <w:tcPr>
                  <w:tcW w:w="615" w:type="pct"/>
                  <w:noWrap w:val="0"/>
                  <w:vAlign w:val="center"/>
                </w:tcPr>
                <w:p w14:paraId="19B8C303">
                  <w:pPr>
                    <w:widowControl/>
                    <w:overflowPunct w:val="0"/>
                    <w:autoSpaceDE w:val="0"/>
                    <w:autoSpaceDN w:val="0"/>
                    <w:adjustRightInd w:val="0"/>
                    <w:snapToGrid w:val="0"/>
                    <w:jc w:val="center"/>
                    <w:textAlignment w:val="center"/>
                    <w:rPr>
                      <w:rFonts w:cs="宋体"/>
                      <w:color w:val="000000"/>
                      <w:kern w:val="0"/>
                      <w:sz w:val="21"/>
                      <w:szCs w:val="21"/>
                      <w:lang w:bidi="ar"/>
                    </w:rPr>
                  </w:pPr>
                  <w:r>
                    <w:rPr>
                      <w:rFonts w:hint="eastAsia" w:cs="宋体"/>
                      <w:color w:val="000000"/>
                      <w:kern w:val="0"/>
                      <w:sz w:val="21"/>
                      <w:szCs w:val="21"/>
                      <w:lang w:bidi="ar"/>
                    </w:rPr>
                    <w:t>冷却塔排水</w:t>
                  </w:r>
                </w:p>
              </w:tc>
              <w:tc>
                <w:tcPr>
                  <w:tcW w:w="758" w:type="pct"/>
                  <w:noWrap w:val="0"/>
                  <w:vAlign w:val="center"/>
                </w:tcPr>
                <w:p w14:paraId="31FDFC46">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5m</w:t>
                  </w:r>
                  <w:r>
                    <w:rPr>
                      <w:rFonts w:hint="eastAsia"/>
                      <w:color w:val="000000"/>
                      <w:sz w:val="21"/>
                      <w:szCs w:val="21"/>
                      <w:vertAlign w:val="superscript"/>
                    </w:rPr>
                    <w:t>3</w:t>
                  </w:r>
                  <w:r>
                    <w:rPr>
                      <w:rFonts w:hint="eastAsia"/>
                      <w:color w:val="000000"/>
                      <w:sz w:val="21"/>
                      <w:szCs w:val="21"/>
                    </w:rPr>
                    <w:t>/次</w:t>
                  </w:r>
                </w:p>
              </w:tc>
              <w:tc>
                <w:tcPr>
                  <w:tcW w:w="784" w:type="pct"/>
                  <w:noWrap w:val="0"/>
                  <w:vAlign w:val="center"/>
                </w:tcPr>
                <w:p w14:paraId="48A8189C">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每半年1次</w:t>
                  </w:r>
                </w:p>
              </w:tc>
              <w:tc>
                <w:tcPr>
                  <w:tcW w:w="669" w:type="pct"/>
                  <w:noWrap w:val="0"/>
                  <w:vAlign w:val="center"/>
                </w:tcPr>
                <w:p w14:paraId="78220065">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5</w:t>
                  </w:r>
                </w:p>
                <w:p w14:paraId="467567B7">
                  <w:pPr>
                    <w:pStyle w:val="28"/>
                    <w:rPr>
                      <w:color w:val="000000"/>
                    </w:rPr>
                  </w:pPr>
                  <w:r>
                    <w:rPr>
                      <w:rFonts w:hint="eastAsia" w:eastAsia="宋体"/>
                      <w:color w:val="000000"/>
                      <w:sz w:val="21"/>
                      <w:szCs w:val="21"/>
                    </w:rPr>
                    <w:t>（最大量）</w:t>
                  </w:r>
                </w:p>
              </w:tc>
              <w:tc>
                <w:tcPr>
                  <w:tcW w:w="777" w:type="pct"/>
                  <w:noWrap w:val="0"/>
                  <w:vAlign w:val="center"/>
                </w:tcPr>
                <w:p w14:paraId="73E5B050">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10</w:t>
                  </w:r>
                </w:p>
              </w:tc>
              <w:tc>
                <w:tcPr>
                  <w:tcW w:w="618" w:type="pct"/>
                  <w:noWrap w:val="0"/>
                  <w:vAlign w:val="center"/>
                </w:tcPr>
                <w:p w14:paraId="325B93B5">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5</w:t>
                  </w:r>
                </w:p>
              </w:tc>
              <w:tc>
                <w:tcPr>
                  <w:tcW w:w="776" w:type="pct"/>
                  <w:noWrap w:val="0"/>
                  <w:vAlign w:val="center"/>
                </w:tcPr>
                <w:p w14:paraId="466F4515">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10</w:t>
                  </w:r>
                </w:p>
              </w:tc>
            </w:tr>
            <w:tr w14:paraId="0A820B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0" w:hRule="atLeast"/>
              </w:trPr>
              <w:tc>
                <w:tcPr>
                  <w:tcW w:w="615" w:type="pct"/>
                  <w:noWrap w:val="0"/>
                  <w:vAlign w:val="center"/>
                </w:tcPr>
                <w:p w14:paraId="1B6FCF74">
                  <w:pPr>
                    <w:widowControl/>
                    <w:overflowPunct w:val="0"/>
                    <w:autoSpaceDE w:val="0"/>
                    <w:autoSpaceDN w:val="0"/>
                    <w:adjustRightInd w:val="0"/>
                    <w:snapToGrid w:val="0"/>
                    <w:jc w:val="center"/>
                    <w:textAlignment w:val="center"/>
                    <w:rPr>
                      <w:rFonts w:cs="宋体"/>
                      <w:color w:val="000000"/>
                      <w:kern w:val="0"/>
                      <w:sz w:val="21"/>
                      <w:szCs w:val="21"/>
                      <w:lang w:bidi="ar"/>
                    </w:rPr>
                  </w:pPr>
                  <w:r>
                    <w:rPr>
                      <w:rFonts w:hint="eastAsia" w:cs="宋体"/>
                      <w:color w:val="000000"/>
                      <w:kern w:val="0"/>
                      <w:sz w:val="21"/>
                      <w:szCs w:val="21"/>
                      <w:lang w:bidi="ar"/>
                    </w:rPr>
                    <w:t>冷却塔补水</w:t>
                  </w:r>
                </w:p>
              </w:tc>
              <w:tc>
                <w:tcPr>
                  <w:tcW w:w="758" w:type="pct"/>
                  <w:noWrap w:val="0"/>
                  <w:vAlign w:val="center"/>
                </w:tcPr>
                <w:p w14:paraId="2889780D">
                  <w:pPr>
                    <w:widowControl/>
                    <w:overflowPunct w:val="0"/>
                    <w:autoSpaceDE w:val="0"/>
                    <w:autoSpaceDN w:val="0"/>
                    <w:adjustRightInd w:val="0"/>
                    <w:snapToGrid w:val="0"/>
                    <w:jc w:val="center"/>
                    <w:textAlignment w:val="center"/>
                    <w:rPr>
                      <w:rFonts w:hint="eastAsia"/>
                      <w:color w:val="000000"/>
                      <w:sz w:val="21"/>
                      <w:szCs w:val="21"/>
                    </w:rPr>
                  </w:pPr>
                  <w:r>
                    <w:rPr>
                      <w:rFonts w:hint="eastAsia"/>
                      <w:color w:val="000000"/>
                      <w:sz w:val="21"/>
                      <w:szCs w:val="21"/>
                    </w:rPr>
                    <w:t>0.4m</w:t>
                  </w:r>
                  <w:r>
                    <w:rPr>
                      <w:rFonts w:hint="eastAsia"/>
                      <w:color w:val="000000"/>
                      <w:sz w:val="21"/>
                      <w:szCs w:val="21"/>
                      <w:vertAlign w:val="superscript"/>
                    </w:rPr>
                    <w:t>3</w:t>
                  </w:r>
                  <w:r>
                    <w:rPr>
                      <w:rFonts w:hint="eastAsia"/>
                      <w:color w:val="000000"/>
                      <w:sz w:val="21"/>
                      <w:szCs w:val="21"/>
                    </w:rPr>
                    <w:t>/d</w:t>
                  </w:r>
                </w:p>
              </w:tc>
              <w:tc>
                <w:tcPr>
                  <w:tcW w:w="784" w:type="pct"/>
                  <w:noWrap w:val="0"/>
                  <w:vAlign w:val="center"/>
                </w:tcPr>
                <w:p w14:paraId="1F948A61">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每天补水</w:t>
                  </w:r>
                </w:p>
              </w:tc>
              <w:tc>
                <w:tcPr>
                  <w:tcW w:w="669" w:type="pct"/>
                  <w:noWrap w:val="0"/>
                  <w:vAlign w:val="center"/>
                </w:tcPr>
                <w:p w14:paraId="233AB775">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0.4</w:t>
                  </w:r>
                </w:p>
              </w:tc>
              <w:tc>
                <w:tcPr>
                  <w:tcW w:w="777" w:type="pct"/>
                  <w:noWrap w:val="0"/>
                  <w:vAlign w:val="center"/>
                </w:tcPr>
                <w:p w14:paraId="601CD9A2">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120</w:t>
                  </w:r>
                </w:p>
              </w:tc>
              <w:tc>
                <w:tcPr>
                  <w:tcW w:w="618" w:type="pct"/>
                  <w:noWrap w:val="0"/>
                  <w:vAlign w:val="center"/>
                </w:tcPr>
                <w:p w14:paraId="5567909A">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w:t>
                  </w:r>
                </w:p>
              </w:tc>
              <w:tc>
                <w:tcPr>
                  <w:tcW w:w="776" w:type="pct"/>
                  <w:noWrap w:val="0"/>
                  <w:vAlign w:val="center"/>
                </w:tcPr>
                <w:p w14:paraId="727E222B">
                  <w:pPr>
                    <w:widowControl/>
                    <w:overflowPunct w:val="0"/>
                    <w:autoSpaceDE w:val="0"/>
                    <w:autoSpaceDN w:val="0"/>
                    <w:adjustRightInd w:val="0"/>
                    <w:snapToGrid w:val="0"/>
                    <w:jc w:val="center"/>
                    <w:textAlignment w:val="center"/>
                    <w:rPr>
                      <w:color w:val="000000"/>
                      <w:sz w:val="21"/>
                      <w:szCs w:val="21"/>
                    </w:rPr>
                  </w:pPr>
                  <w:r>
                    <w:rPr>
                      <w:rFonts w:hint="eastAsia"/>
                      <w:color w:val="000000"/>
                      <w:sz w:val="21"/>
                      <w:szCs w:val="21"/>
                    </w:rPr>
                    <w:t>/</w:t>
                  </w:r>
                </w:p>
              </w:tc>
            </w:tr>
            <w:tr w14:paraId="57A03C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trPr>
              <w:tc>
                <w:tcPr>
                  <w:tcW w:w="2157" w:type="pct"/>
                  <w:gridSpan w:val="3"/>
                  <w:noWrap w:val="0"/>
                  <w:vAlign w:val="center"/>
                </w:tcPr>
                <w:p w14:paraId="793E4D47">
                  <w:pPr>
                    <w:widowControl/>
                    <w:overflowPunct w:val="0"/>
                    <w:autoSpaceDE w:val="0"/>
                    <w:autoSpaceDN w:val="0"/>
                    <w:adjustRightInd w:val="0"/>
                    <w:snapToGrid w:val="0"/>
                    <w:jc w:val="center"/>
                    <w:textAlignment w:val="center"/>
                    <w:rPr>
                      <w:rFonts w:hint="eastAsia" w:cs="宋体"/>
                      <w:color w:val="000000"/>
                      <w:sz w:val="21"/>
                      <w:szCs w:val="21"/>
                    </w:rPr>
                  </w:pPr>
                  <w:r>
                    <w:rPr>
                      <w:rFonts w:hint="eastAsia" w:cs="宋体"/>
                      <w:color w:val="000000"/>
                      <w:kern w:val="0"/>
                      <w:sz w:val="21"/>
                      <w:szCs w:val="21"/>
                      <w:lang w:bidi="ar"/>
                    </w:rPr>
                    <w:t>合计</w:t>
                  </w:r>
                </w:p>
              </w:tc>
              <w:tc>
                <w:tcPr>
                  <w:tcW w:w="669" w:type="pct"/>
                  <w:noWrap w:val="0"/>
                  <w:vAlign w:val="center"/>
                </w:tcPr>
                <w:p w14:paraId="23C92384">
                  <w:pPr>
                    <w:widowControl/>
                    <w:jc w:val="center"/>
                    <w:textAlignment w:val="center"/>
                    <w:rPr>
                      <w:color w:val="000000"/>
                      <w:sz w:val="21"/>
                      <w:szCs w:val="21"/>
                    </w:rPr>
                  </w:pPr>
                  <w:r>
                    <w:rPr>
                      <w:color w:val="000000"/>
                      <w:kern w:val="0"/>
                      <w:sz w:val="21"/>
                      <w:szCs w:val="21"/>
                      <w:lang w:bidi="ar"/>
                    </w:rPr>
                    <w:t>14.24</w:t>
                  </w:r>
                </w:p>
              </w:tc>
              <w:tc>
                <w:tcPr>
                  <w:tcW w:w="777" w:type="pct"/>
                  <w:noWrap w:val="0"/>
                  <w:vAlign w:val="center"/>
                </w:tcPr>
                <w:p w14:paraId="30646422">
                  <w:pPr>
                    <w:widowControl/>
                    <w:jc w:val="center"/>
                    <w:textAlignment w:val="center"/>
                    <w:rPr>
                      <w:color w:val="000000"/>
                      <w:sz w:val="21"/>
                      <w:szCs w:val="21"/>
                    </w:rPr>
                  </w:pPr>
                  <w:r>
                    <w:rPr>
                      <w:color w:val="000000"/>
                      <w:kern w:val="0"/>
                      <w:sz w:val="21"/>
                      <w:szCs w:val="21"/>
                      <w:lang w:bidi="ar"/>
                    </w:rPr>
                    <w:t>1208.07</w:t>
                  </w:r>
                </w:p>
              </w:tc>
              <w:tc>
                <w:tcPr>
                  <w:tcW w:w="618" w:type="pct"/>
                  <w:noWrap w:val="0"/>
                  <w:vAlign w:val="center"/>
                </w:tcPr>
                <w:p w14:paraId="33FC11E9">
                  <w:pPr>
                    <w:widowControl/>
                    <w:jc w:val="center"/>
                    <w:textAlignment w:val="center"/>
                    <w:rPr>
                      <w:color w:val="000000"/>
                      <w:sz w:val="21"/>
                      <w:szCs w:val="21"/>
                    </w:rPr>
                  </w:pPr>
                  <w:r>
                    <w:rPr>
                      <w:color w:val="000000"/>
                      <w:kern w:val="0"/>
                      <w:sz w:val="21"/>
                      <w:szCs w:val="21"/>
                      <w:lang w:bidi="ar"/>
                    </w:rPr>
                    <w:t>12.4</w:t>
                  </w:r>
                  <w:r>
                    <w:rPr>
                      <w:rFonts w:hint="eastAsia"/>
                      <w:color w:val="000000"/>
                      <w:kern w:val="0"/>
                      <w:sz w:val="21"/>
                      <w:szCs w:val="21"/>
                      <w:lang w:bidi="ar"/>
                    </w:rPr>
                    <w:t>3</w:t>
                  </w:r>
                </w:p>
              </w:tc>
              <w:tc>
                <w:tcPr>
                  <w:tcW w:w="776" w:type="pct"/>
                  <w:noWrap w:val="0"/>
                  <w:vAlign w:val="center"/>
                </w:tcPr>
                <w:p w14:paraId="1B56A9C5">
                  <w:pPr>
                    <w:widowControl/>
                    <w:jc w:val="center"/>
                    <w:textAlignment w:val="center"/>
                    <w:rPr>
                      <w:color w:val="000000"/>
                      <w:sz w:val="21"/>
                      <w:szCs w:val="21"/>
                    </w:rPr>
                  </w:pPr>
                  <w:r>
                    <w:rPr>
                      <w:color w:val="000000"/>
                      <w:kern w:val="0"/>
                      <w:sz w:val="21"/>
                      <w:szCs w:val="21"/>
                      <w:lang w:bidi="ar"/>
                    </w:rPr>
                    <w:t>888.65</w:t>
                  </w:r>
                </w:p>
              </w:tc>
            </w:tr>
          </w:tbl>
          <w:p w14:paraId="2EC417A4">
            <w:pPr>
              <w:adjustRightInd w:val="0"/>
              <w:spacing w:line="360" w:lineRule="auto"/>
              <w:ind w:firstLine="420" w:firstLineChars="200"/>
              <w:rPr>
                <w:rFonts w:hint="eastAsia"/>
                <w:color w:val="000000"/>
              </w:rPr>
            </w:pPr>
            <w:r>
              <w:rPr>
                <w:rFonts w:hint="eastAsia"/>
                <w:color w:val="000000"/>
              </w:rPr>
              <w:t>项目地面清洁废水、冷却塔排水、空压机排水、酸雾洗涤塔废水进入废水预处理设施进行预处理，之后与生活污水一起进入现有的生化池，处理达</w:t>
            </w:r>
            <w:r>
              <w:rPr>
                <w:rFonts w:hint="eastAsia"/>
                <w:color w:val="000000"/>
                <w:kern w:val="0"/>
              </w:rPr>
              <w:t>《污水综合排放标准》（GB8978-1996）三级标准后排入市政污水管网</w:t>
            </w:r>
            <w:r>
              <w:rPr>
                <w:rFonts w:hint="eastAsia"/>
                <w:color w:val="000000"/>
              </w:rPr>
              <w:t>。水平衡如下图所示。</w:t>
            </w:r>
          </w:p>
          <w:p w14:paraId="554C9170">
            <w:pPr>
              <w:pStyle w:val="27"/>
              <w:rPr>
                <w:color w:val="000000"/>
              </w:rPr>
            </w:pPr>
            <w:r>
              <w:rPr>
                <w:color w:val="000000"/>
              </w:rPr>
              <w:drawing>
                <wp:inline distT="0" distB="0" distL="114300" distR="114300">
                  <wp:extent cx="5351780" cy="3702685"/>
                  <wp:effectExtent l="0" t="0" r="1270" b="12065"/>
                  <wp:docPr id="5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6"/>
                          <pic:cNvPicPr>
                            <a:picLocks noChangeAspect="1"/>
                          </pic:cNvPicPr>
                        </pic:nvPicPr>
                        <pic:blipFill>
                          <a:blip r:embed="rId16"/>
                          <a:stretch>
                            <a:fillRect/>
                          </a:stretch>
                        </pic:blipFill>
                        <pic:spPr>
                          <a:xfrm>
                            <a:off x="0" y="0"/>
                            <a:ext cx="5351780" cy="3702685"/>
                          </a:xfrm>
                          <a:prstGeom prst="rect">
                            <a:avLst/>
                          </a:prstGeom>
                          <a:noFill/>
                          <a:ln>
                            <a:noFill/>
                          </a:ln>
                        </pic:spPr>
                      </pic:pic>
                    </a:graphicData>
                  </a:graphic>
                </wp:inline>
              </w:drawing>
            </w:r>
          </w:p>
          <w:p w14:paraId="42E1BAE8">
            <w:pPr>
              <w:adjustRightInd w:val="0"/>
              <w:snapToGrid w:val="0"/>
              <w:spacing w:line="360" w:lineRule="auto"/>
              <w:jc w:val="center"/>
              <w:rPr>
                <w:color w:val="000000"/>
              </w:rPr>
            </w:pPr>
            <w:r>
              <w:rPr>
                <w:rFonts w:hint="eastAsia"/>
                <w:b/>
                <w:bCs/>
                <w:color w:val="000000"/>
              </w:rPr>
              <w:t>图2</w:t>
            </w:r>
            <w:r>
              <w:rPr>
                <w:b/>
                <w:bCs/>
                <w:color w:val="000000"/>
              </w:rPr>
              <w:noBreakHyphen/>
            </w:r>
            <w:r>
              <w:rPr>
                <w:rFonts w:hint="eastAsia"/>
                <w:b/>
                <w:bCs/>
                <w:color w:val="000000"/>
              </w:rPr>
              <w:t>1  最大日水平衡图  单位：m</w:t>
            </w:r>
            <w:r>
              <w:rPr>
                <w:rFonts w:hint="eastAsia"/>
                <w:b/>
                <w:bCs/>
                <w:color w:val="000000"/>
                <w:vertAlign w:val="superscript"/>
              </w:rPr>
              <w:t>3</w:t>
            </w:r>
            <w:r>
              <w:rPr>
                <w:rFonts w:hint="eastAsia"/>
                <w:b/>
                <w:bCs/>
                <w:color w:val="000000"/>
              </w:rPr>
              <w:t>/d</w:t>
            </w:r>
          </w:p>
        </w:tc>
      </w:tr>
      <w:tr w14:paraId="0665E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noWrap w:val="0"/>
            <w:vAlign w:val="center"/>
          </w:tcPr>
          <w:p w14:paraId="36E3404B">
            <w:pPr>
              <w:pStyle w:val="1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工艺流程和产排污环节</w:t>
            </w:r>
          </w:p>
        </w:tc>
        <w:tc>
          <w:tcPr>
            <w:tcW w:w="4777" w:type="pct"/>
            <w:noWrap w:val="0"/>
            <w:vAlign w:val="top"/>
          </w:tcPr>
          <w:p w14:paraId="6378F50B">
            <w:pPr>
              <w:spacing w:line="360" w:lineRule="auto"/>
              <w:rPr>
                <w:b/>
                <w:bCs/>
                <w:color w:val="000000"/>
              </w:rPr>
            </w:pPr>
            <w:r>
              <w:rPr>
                <w:b/>
                <w:bCs/>
                <w:color w:val="000000"/>
              </w:rPr>
              <w:t>2.</w:t>
            </w:r>
            <w:r>
              <w:rPr>
                <w:rFonts w:hint="eastAsia"/>
                <w:b/>
                <w:bCs/>
                <w:color w:val="000000"/>
              </w:rPr>
              <w:t>8</w:t>
            </w:r>
            <w:r>
              <w:rPr>
                <w:b/>
                <w:bCs/>
                <w:color w:val="000000"/>
              </w:rPr>
              <w:t>施工期工艺流程和产排污环节：</w:t>
            </w:r>
          </w:p>
          <w:p w14:paraId="7E98D070">
            <w:pPr>
              <w:spacing w:line="360" w:lineRule="auto"/>
              <w:ind w:firstLine="420" w:firstLineChars="200"/>
              <w:rPr>
                <w:rFonts w:hint="eastAsia"/>
                <w:color w:val="000000"/>
              </w:rPr>
            </w:pPr>
            <w:r>
              <w:rPr>
                <w:rFonts w:hint="eastAsia"/>
                <w:color w:val="000000"/>
              </w:rPr>
              <w:t>项目施工期主要是厂房装修、设备安装。因此在施工过程中将会产生少量的固体废物以及设备噪声。</w:t>
            </w:r>
          </w:p>
          <w:p w14:paraId="46B0EC7A">
            <w:pPr>
              <w:spacing w:line="360" w:lineRule="auto"/>
              <w:ind w:firstLine="420" w:firstLineChars="200"/>
              <w:rPr>
                <w:rFonts w:hint="eastAsia"/>
                <w:color w:val="000000"/>
              </w:rPr>
            </w:pPr>
            <w:r>
              <w:rPr>
                <w:rFonts w:hint="eastAsia"/>
                <w:color w:val="000000"/>
              </w:rPr>
              <w:t>固体废物：由于施工期人员较少，产生的生活垃圾分类收集后交环卫部门处置，主要为设备安装时产生的废包装袋以及建筑垃圾等固体废物，因此施工期固废产生量较少，可以收集后交由有关单位处理处置。施工期料仓开挖产生少量弃土，运至政府指定渣场处置。</w:t>
            </w:r>
          </w:p>
          <w:p w14:paraId="764D032F">
            <w:pPr>
              <w:spacing w:line="360" w:lineRule="auto"/>
              <w:ind w:firstLine="420" w:firstLineChars="200"/>
              <w:rPr>
                <w:rFonts w:hint="eastAsia"/>
                <w:color w:val="000000"/>
              </w:rPr>
            </w:pPr>
            <w:r>
              <w:rPr>
                <w:rFonts w:hint="eastAsia"/>
                <w:color w:val="000000"/>
              </w:rPr>
              <w:t>噪声：厂房装修、设备的安装都会产生噪声，并对周边区域造成影响。</w:t>
            </w:r>
          </w:p>
          <w:p w14:paraId="23ABF332">
            <w:pPr>
              <w:spacing w:line="360" w:lineRule="auto"/>
              <w:ind w:firstLine="420" w:firstLineChars="200"/>
              <w:rPr>
                <w:rFonts w:hint="eastAsia"/>
                <w:color w:val="000000"/>
              </w:rPr>
            </w:pPr>
            <w:r>
              <w:rPr>
                <w:rFonts w:hint="eastAsia"/>
                <w:color w:val="000000"/>
              </w:rPr>
              <w:t>生活污水：施工期人员较少，产生的生活污水依托厂区现有生化池处理后，经市政污水管网进入西彭工业园区污水处理厂进一步处理，经过桥头河排入长江。</w:t>
            </w:r>
          </w:p>
          <w:p w14:paraId="5CF6B7B6">
            <w:pPr>
              <w:spacing w:line="360" w:lineRule="auto"/>
              <w:ind w:firstLine="420" w:firstLineChars="200"/>
              <w:rPr>
                <w:rFonts w:hint="eastAsia"/>
                <w:color w:val="000000"/>
              </w:rPr>
            </w:pPr>
            <w:r>
              <w:rPr>
                <w:rFonts w:hint="eastAsia"/>
                <w:color w:val="000000"/>
              </w:rPr>
              <w:t>以上施工期污染物的排放和影响将随施工期的结束而消失。</w:t>
            </w:r>
          </w:p>
          <w:p w14:paraId="626556DE">
            <w:pPr>
              <w:spacing w:line="360" w:lineRule="auto"/>
              <w:rPr>
                <w:b/>
                <w:bCs/>
                <w:color w:val="000000"/>
              </w:rPr>
            </w:pPr>
            <w:r>
              <w:rPr>
                <w:b/>
                <w:bCs/>
                <w:color w:val="000000"/>
              </w:rPr>
              <w:t>2.</w:t>
            </w:r>
            <w:r>
              <w:rPr>
                <w:rFonts w:hint="eastAsia"/>
                <w:b/>
                <w:bCs/>
                <w:color w:val="000000"/>
              </w:rPr>
              <w:t>9</w:t>
            </w:r>
            <w:r>
              <w:rPr>
                <w:b/>
                <w:bCs/>
                <w:color w:val="000000"/>
              </w:rPr>
              <w:t>营运期工艺流程和产排污环节</w:t>
            </w:r>
          </w:p>
          <w:p w14:paraId="57E5975E">
            <w:pPr>
              <w:spacing w:line="360" w:lineRule="auto"/>
              <w:ind w:firstLine="420" w:firstLineChars="200"/>
              <w:rPr>
                <w:color w:val="000000"/>
              </w:rPr>
            </w:pPr>
            <w:r>
              <w:rPr>
                <w:rFonts w:hint="eastAsia"/>
                <w:color w:val="000000"/>
              </w:rPr>
              <w:t>本项目涉及PVC电缆料、低烟无卤电缆料2个产品，2种产品生产工艺流程分开介绍。</w:t>
            </w:r>
          </w:p>
          <w:p w14:paraId="12D44082">
            <w:pPr>
              <w:spacing w:line="360" w:lineRule="auto"/>
              <w:ind w:firstLine="420" w:firstLineChars="200"/>
              <w:rPr>
                <w:rFonts w:hint="eastAsia"/>
                <w:b/>
                <w:bCs/>
                <w:color w:val="000000"/>
              </w:rPr>
            </w:pPr>
            <w:r>
              <w:rPr>
                <w:rFonts w:hint="eastAsia"/>
                <w:b/>
                <w:bCs/>
                <w:color w:val="000000"/>
              </w:rPr>
              <w:t>（1）PVC电缆料生产工艺流程</w:t>
            </w:r>
            <w:r>
              <w:rPr>
                <w:b/>
                <w:bCs/>
                <w:color w:val="000000"/>
              </w:rPr>
              <w:t>图</w:t>
            </w:r>
            <w:r>
              <w:rPr>
                <w:rFonts w:hint="eastAsia"/>
                <w:b/>
                <w:bCs/>
                <w:color w:val="000000"/>
              </w:rPr>
              <w:t>及生产流程说明：</w:t>
            </w:r>
          </w:p>
          <w:p w14:paraId="6BBB5066">
            <w:pPr>
              <w:overflowPunct w:val="0"/>
              <w:autoSpaceDE w:val="0"/>
              <w:autoSpaceDN w:val="0"/>
              <w:rPr>
                <w:rFonts w:hint="eastAsia"/>
                <w:b/>
                <w:color w:val="000000"/>
              </w:rPr>
            </w:pPr>
            <w:r>
              <w:rPr>
                <w:color w:val="000000"/>
              </w:rPr>
              <w:drawing>
                <wp:inline distT="0" distB="0" distL="114300" distR="114300">
                  <wp:extent cx="5415915" cy="3053080"/>
                  <wp:effectExtent l="0" t="0" r="13335" b="13970"/>
                  <wp:docPr id="4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pic:cNvPicPr>
                            <a:picLocks noChangeAspect="1"/>
                          </pic:cNvPicPr>
                        </pic:nvPicPr>
                        <pic:blipFill>
                          <a:blip r:embed="rId17"/>
                          <a:stretch>
                            <a:fillRect/>
                          </a:stretch>
                        </pic:blipFill>
                        <pic:spPr>
                          <a:xfrm>
                            <a:off x="0" y="0"/>
                            <a:ext cx="5415915" cy="3053080"/>
                          </a:xfrm>
                          <a:prstGeom prst="rect">
                            <a:avLst/>
                          </a:prstGeom>
                          <a:noFill/>
                          <a:ln>
                            <a:noFill/>
                          </a:ln>
                        </pic:spPr>
                      </pic:pic>
                    </a:graphicData>
                  </a:graphic>
                </wp:inline>
              </w:drawing>
            </w:r>
          </w:p>
          <w:p w14:paraId="3B42E2C1">
            <w:pPr>
              <w:ind w:firstLine="480"/>
              <w:jc w:val="center"/>
              <w:rPr>
                <w:rFonts w:hint="eastAsia"/>
                <w:b/>
                <w:bCs/>
                <w:color w:val="000000"/>
              </w:rPr>
            </w:pPr>
            <w:r>
              <w:rPr>
                <w:rFonts w:hint="eastAsia"/>
                <w:b/>
                <w:bCs/>
                <w:color w:val="000000"/>
              </w:rPr>
              <w:t>图2-2  PVC电缆料生产加工工艺流程及产污环节图</w:t>
            </w:r>
          </w:p>
          <w:p w14:paraId="59853D37">
            <w:pPr>
              <w:spacing w:line="360" w:lineRule="auto"/>
              <w:ind w:firstLine="420" w:firstLineChars="200"/>
              <w:rPr>
                <w:rFonts w:hint="eastAsia"/>
                <w:color w:val="000000"/>
              </w:rPr>
            </w:pPr>
            <w:r>
              <w:rPr>
                <w:rFonts w:hint="eastAsia"/>
                <w:color w:val="000000"/>
              </w:rPr>
              <w:t>PVC电缆料生产工艺流程说明：</w:t>
            </w:r>
          </w:p>
          <w:p w14:paraId="57761F6A">
            <w:pPr>
              <w:spacing w:line="360" w:lineRule="auto"/>
              <w:ind w:firstLine="420" w:firstLineChars="200"/>
              <w:rPr>
                <w:rFonts w:hint="eastAsia"/>
                <w:color w:val="000000"/>
              </w:rPr>
            </w:pPr>
            <w:r>
              <w:rPr>
                <w:rFonts w:hint="eastAsia"/>
                <w:color w:val="000000"/>
                <w:kern w:val="0"/>
              </w:rPr>
              <w:t>罐车卸料：本项目液体原料</w:t>
            </w:r>
            <w:r>
              <w:rPr>
                <w:rFonts w:hint="eastAsia"/>
                <w:color w:val="000000"/>
              </w:rPr>
              <w:t>TOTM、DOA、DOS、DOTP、ESO、氯化石蜡，由罐车运输至厂房西北角进行卸料，卸料过程产生大呼吸废气G1。</w:t>
            </w:r>
          </w:p>
          <w:p w14:paraId="2A413C44">
            <w:pPr>
              <w:spacing w:line="360" w:lineRule="auto"/>
              <w:ind w:firstLine="420" w:firstLineChars="200"/>
              <w:rPr>
                <w:rFonts w:hint="eastAsia"/>
                <w:color w:val="000000"/>
              </w:rPr>
            </w:pPr>
            <w:r>
              <w:rPr>
                <w:rFonts w:hint="eastAsia"/>
                <w:color w:val="000000"/>
                <w:kern w:val="0"/>
              </w:rPr>
              <w:t>储罐储存：液体原料</w:t>
            </w:r>
            <w:r>
              <w:rPr>
                <w:rFonts w:hint="eastAsia"/>
                <w:color w:val="000000"/>
              </w:rPr>
              <w:t>TOTM、DOA、DOS、DOTP、ESO、氯化石蜡在固定顶罐内储存过程中，因昼夜温度、压力变化产生的小呼吸废气G2。</w:t>
            </w:r>
          </w:p>
          <w:p w14:paraId="143A6C8A">
            <w:pPr>
              <w:spacing w:line="360" w:lineRule="auto"/>
              <w:ind w:firstLine="420" w:firstLineChars="200"/>
              <w:rPr>
                <w:rFonts w:hint="eastAsia"/>
                <w:color w:val="000000"/>
              </w:rPr>
            </w:pPr>
            <w:r>
              <w:rPr>
                <w:rFonts w:hint="eastAsia"/>
                <w:color w:val="000000"/>
                <w:kern w:val="0"/>
              </w:rPr>
              <w:t>投料：PVC树脂粉、碳酸钙、高岭土、颜料等固体袋装粉料，</w:t>
            </w:r>
            <w:r>
              <w:rPr>
                <w:rFonts w:hint="eastAsia"/>
                <w:color w:val="000000"/>
              </w:rPr>
              <w:t>需要人工拆袋投料进料斗中，在投料过程中产生少量投料粉尘G3，</w:t>
            </w:r>
            <w:r>
              <w:rPr>
                <w:rFonts w:hint="eastAsia"/>
                <w:color w:val="000000"/>
                <w:kern w:val="0"/>
              </w:rPr>
              <w:t>产生原料废包装袋S1。</w:t>
            </w:r>
          </w:p>
          <w:p w14:paraId="63E75F09">
            <w:pPr>
              <w:spacing w:line="360" w:lineRule="auto"/>
              <w:ind w:firstLine="420" w:firstLineChars="200"/>
              <w:rPr>
                <w:color w:val="000000"/>
                <w:kern w:val="0"/>
              </w:rPr>
            </w:pPr>
            <w:r>
              <w:rPr>
                <w:rFonts w:hint="eastAsia"/>
                <w:color w:val="000000"/>
                <w:kern w:val="0"/>
              </w:rPr>
              <w:t>配料：固体原料及液体原料</w:t>
            </w:r>
            <w:r>
              <w:rPr>
                <w:rFonts w:hint="eastAsia"/>
                <w:color w:val="000000"/>
              </w:rPr>
              <w:t>生产时通过管道自动计量配料系统，按设置的配料比例（PVC树脂粉:碳酸钙:高岭土:ESO环氧大豆油:氯化石蜡:TOTM:DOTP:DOA:DAS:颜料:Sb</w:t>
            </w:r>
            <w:r>
              <w:rPr>
                <w:rFonts w:hint="eastAsia"/>
                <w:color w:val="000000"/>
                <w:vertAlign w:val="subscript"/>
              </w:rPr>
              <w:t>2</w:t>
            </w:r>
            <w:r>
              <w:rPr>
                <w:rFonts w:hint="eastAsia"/>
                <w:color w:val="000000"/>
              </w:rPr>
              <w:t>O</w:t>
            </w:r>
            <w:r>
              <w:rPr>
                <w:rFonts w:hint="eastAsia"/>
                <w:color w:val="000000"/>
                <w:vertAlign w:val="subscript"/>
              </w:rPr>
              <w:t>3</w:t>
            </w:r>
            <w:r>
              <w:rPr>
                <w:rFonts w:hint="eastAsia"/>
                <w:color w:val="000000"/>
              </w:rPr>
              <w:t>:硼酸锌:稳定剂=21:9:1.15:2.5:2.5:0.7:0.7:0.8:0.7:0.005:0.005:0.015:0.</w:t>
            </w:r>
            <w:r>
              <w:rPr>
                <w:rFonts w:hint="eastAsia"/>
                <w:color w:val="000000"/>
                <w:lang w:val="en-US" w:eastAsia="zh-CN"/>
              </w:rPr>
              <w:t>71</w:t>
            </w:r>
            <w:r>
              <w:rPr>
                <w:rFonts w:hint="eastAsia"/>
                <w:color w:val="000000"/>
              </w:rPr>
              <w:t>）在设备平台上自动称重配料，称重后进入密闭的高速混合机，配料过程连续进行，输送管道全密闭，单批次仅需要1min就完成配料，配料过程将原料配料完成后自动进入</w:t>
            </w:r>
            <w:r>
              <w:rPr>
                <w:rFonts w:hint="eastAsia"/>
                <w:color w:val="000000"/>
                <w:kern w:val="0"/>
              </w:rPr>
              <w:t>高速混合机进行下一步工序。该过程在密闭空间内完成，无粉尘废气产生。</w:t>
            </w:r>
          </w:p>
          <w:p w14:paraId="262B5B19">
            <w:pPr>
              <w:spacing w:line="360" w:lineRule="auto"/>
              <w:ind w:firstLine="420" w:firstLineChars="200"/>
              <w:rPr>
                <w:rFonts w:hint="eastAsia"/>
                <w:color w:val="000000"/>
                <w:kern w:val="0"/>
              </w:rPr>
            </w:pPr>
            <w:r>
              <w:rPr>
                <w:rFonts w:hint="eastAsia"/>
                <w:color w:val="000000"/>
                <w:kern w:val="0"/>
              </w:rPr>
              <w:t>混料：在高速混合机中将按比例配好的固体原料、液体原料、其他小料（单独在高速混料机可打开的投料口处投加，结束后会封盖）进行混合，混合时间为10min，高速混料导致温度升高，混料过程温度可达100℃左右，原材料继续相互摩擦进行捏合，成为泥状，混料过程在高速混合机内密闭进行，此过程温度升高产生少量混料废气G4，主要为非甲烷总烃。</w:t>
            </w:r>
          </w:p>
          <w:p w14:paraId="4AC7D425">
            <w:pPr>
              <w:spacing w:line="360" w:lineRule="auto"/>
              <w:ind w:firstLine="420" w:firstLineChars="200"/>
              <w:rPr>
                <w:rFonts w:hint="eastAsia"/>
                <w:color w:val="000000"/>
                <w:kern w:val="0"/>
              </w:rPr>
            </w:pPr>
            <w:r>
              <w:rPr>
                <w:rFonts w:hint="eastAsia"/>
                <w:color w:val="000000"/>
                <w:kern w:val="0"/>
              </w:rPr>
              <w:t>混炼挤出：使用双阶混炼挤出机组对融合为一体的原材料进行挤压，双阶混炼挤出机组是分两个阶段协作完成物料塑化、混炼、脱挥、建压、成型的高分子材料加工设备，第一阶段功能为</w:t>
            </w:r>
            <w:r>
              <w:rPr>
                <w:rFonts w:cs="宋体"/>
                <w:color w:val="000000"/>
              </w:rPr>
              <w:t>强制喂料、高效塑化强剪切分散、脱挥</w:t>
            </w:r>
            <w:r>
              <w:rPr>
                <w:rFonts w:hint="eastAsia" w:cs="宋体"/>
                <w:color w:val="000000"/>
              </w:rPr>
              <w:t>（</w:t>
            </w:r>
            <w:r>
              <w:rPr>
                <w:rFonts w:cs="宋体"/>
                <w:color w:val="000000"/>
              </w:rPr>
              <w:t>脱除水分、低分子挥发物</w:t>
            </w:r>
            <w:r>
              <w:rPr>
                <w:rFonts w:hint="eastAsia" w:cs="宋体"/>
                <w:color w:val="000000"/>
              </w:rPr>
              <w:t>），</w:t>
            </w:r>
            <w:r>
              <w:rPr>
                <w:rFonts w:hint="eastAsia"/>
                <w:color w:val="000000"/>
                <w:kern w:val="0"/>
              </w:rPr>
              <w:t>第二阶段功能为</w:t>
            </w:r>
            <w:r>
              <w:rPr>
                <w:rFonts w:cs="宋体"/>
                <w:color w:val="000000"/>
              </w:rPr>
              <w:t>均化熔体、降温稳压柔性建压、稳定挤出</w:t>
            </w:r>
            <w:r>
              <w:rPr>
                <w:rFonts w:hint="eastAsia" w:cs="宋体"/>
                <w:color w:val="000000"/>
              </w:rPr>
              <w:t>，</w:t>
            </w:r>
            <w:r>
              <w:rPr>
                <w:rFonts w:hint="eastAsia"/>
                <w:color w:val="000000"/>
                <w:kern w:val="0"/>
              </w:rPr>
              <w:t>将原材料挤出为条状，电加热塑化的温度约为130~150℃，该工序为连续进行，成为生产线的咽喉环节，双阶混炼挤出机组设备运行过程采用间接循环冷却水进行控温，</w:t>
            </w:r>
            <w:r>
              <w:rPr>
                <w:rFonts w:hint="eastAsia"/>
                <w:color w:val="000000"/>
              </w:rPr>
              <w:t>此过程中少量游离物质挥发产生混炼废气G5，主要为氯化氢、氯乙烯、非甲烷总烃、臭气等多种有害气体以及少量颗粒物</w:t>
            </w:r>
            <w:r>
              <w:rPr>
                <w:rFonts w:hint="eastAsia"/>
                <w:color w:val="000000"/>
                <w:kern w:val="0"/>
              </w:rPr>
              <w:t>。</w:t>
            </w:r>
          </w:p>
          <w:p w14:paraId="6BD1861F">
            <w:pPr>
              <w:spacing w:line="360" w:lineRule="auto"/>
              <w:ind w:firstLine="420" w:firstLineChars="200"/>
              <w:rPr>
                <w:rFonts w:hint="eastAsia"/>
                <w:color w:val="000000"/>
                <w:kern w:val="0"/>
              </w:rPr>
            </w:pPr>
            <w:r>
              <w:rPr>
                <w:rFonts w:hint="eastAsia"/>
                <w:color w:val="000000"/>
                <w:kern w:val="0"/>
              </w:rPr>
              <w:t>切割：挤出后随即在切割机头上进行切割，切割成直径4mm的颗粒，切粒过程物料为高温状态（温度约130℃），切割时有小风量（风量约400m</w:t>
            </w:r>
            <w:r>
              <w:rPr>
                <w:rFonts w:hint="eastAsia"/>
                <w:color w:val="000000"/>
                <w:kern w:val="0"/>
                <w:vertAlign w:val="superscript"/>
              </w:rPr>
              <w:t>3</w:t>
            </w:r>
            <w:r>
              <w:rPr>
                <w:rFonts w:hint="eastAsia"/>
                <w:color w:val="000000"/>
                <w:kern w:val="0"/>
              </w:rPr>
              <w:t>/h）风机进行风吹冷却，切割尚未完全定型，不会产生粉尘，此时需对切割机头使用间接冷却循环水进行</w:t>
            </w:r>
            <w:r>
              <w:rPr>
                <w:rFonts w:hint="eastAsia"/>
                <w:color w:val="000000"/>
              </w:rPr>
              <w:t>降温</w:t>
            </w:r>
            <w:r>
              <w:rPr>
                <w:rFonts w:hint="eastAsia"/>
                <w:color w:val="000000"/>
                <w:kern w:val="0"/>
              </w:rPr>
              <w:t>，此过程产生废气G5。</w:t>
            </w:r>
          </w:p>
          <w:p w14:paraId="26A4B6BC">
            <w:pPr>
              <w:spacing w:line="360" w:lineRule="auto"/>
              <w:ind w:firstLine="420" w:firstLineChars="200"/>
              <w:rPr>
                <w:color w:val="000000"/>
              </w:rPr>
            </w:pPr>
            <w:r>
              <w:rPr>
                <w:rFonts w:hint="eastAsia"/>
                <w:color w:val="000000"/>
                <w:kern w:val="0"/>
              </w:rPr>
              <w:t>风冷：切割之后共需要进行四级风冷，筛选前有三级，筛选后有一级，利用离心风机将切割成型的颗粒</w:t>
            </w:r>
            <w:r>
              <w:rPr>
                <w:rFonts w:hint="eastAsia"/>
                <w:color w:val="000000"/>
              </w:rPr>
              <w:t>风送进入四级旋风机（第一级后温度约115</w:t>
            </w:r>
            <w:r>
              <w:rPr>
                <w:rFonts w:hint="eastAsia"/>
                <w:color w:val="000000"/>
                <w:kern w:val="0"/>
              </w:rPr>
              <w:t>℃，</w:t>
            </w:r>
            <w:r>
              <w:rPr>
                <w:rFonts w:hint="eastAsia"/>
                <w:color w:val="000000"/>
              </w:rPr>
              <w:t>第二级后温度约80</w:t>
            </w:r>
            <w:r>
              <w:rPr>
                <w:rFonts w:hint="eastAsia"/>
                <w:color w:val="000000"/>
                <w:kern w:val="0"/>
              </w:rPr>
              <w:t>℃，</w:t>
            </w:r>
            <w:r>
              <w:rPr>
                <w:rFonts w:hint="eastAsia"/>
                <w:color w:val="000000"/>
              </w:rPr>
              <w:t>第三级后温度约60</w:t>
            </w:r>
            <w:r>
              <w:rPr>
                <w:rFonts w:hint="eastAsia"/>
                <w:color w:val="000000"/>
                <w:kern w:val="0"/>
              </w:rPr>
              <w:t>℃，第四级后温度约50℃</w:t>
            </w:r>
            <w:r>
              <w:rPr>
                <w:rFonts w:hint="eastAsia"/>
                <w:color w:val="000000"/>
              </w:rPr>
              <w:t>），风冷过程在旋风机中进行，每级风冷冷却方式为上进料下吹风的形式，颗粒料落下来之后经风力管道输送至下一级旋风机顶进料，风则分流至旋风机底向上吹，第一级、第二级风冷过程颗粒料温度较高会产生废气G5</w:t>
            </w:r>
            <w:r>
              <w:rPr>
                <w:rFonts w:hint="eastAsia"/>
                <w:color w:val="000000"/>
                <w:kern w:val="0"/>
              </w:rPr>
              <w:t>。</w:t>
            </w:r>
          </w:p>
          <w:p w14:paraId="3EA0EBA6">
            <w:pPr>
              <w:spacing w:line="360" w:lineRule="auto"/>
              <w:ind w:firstLine="420" w:firstLineChars="200"/>
              <w:rPr>
                <w:color w:val="000000"/>
                <w:kern w:val="0"/>
              </w:rPr>
            </w:pPr>
            <w:r>
              <w:rPr>
                <w:rFonts w:hint="eastAsia"/>
                <w:color w:val="000000"/>
                <w:kern w:val="0"/>
              </w:rPr>
              <w:t>筛选：经过</w:t>
            </w:r>
            <w:r>
              <w:rPr>
                <w:rFonts w:hint="eastAsia"/>
                <w:color w:val="000000"/>
              </w:rPr>
              <w:t>三级风冷后，</w:t>
            </w:r>
            <w:r>
              <w:rPr>
                <w:rFonts w:hint="eastAsia"/>
                <w:color w:val="000000"/>
                <w:kern w:val="0"/>
              </w:rPr>
              <w:t>利用振动筛进行</w:t>
            </w:r>
            <w:r>
              <w:rPr>
                <w:rFonts w:hint="eastAsia"/>
                <w:color w:val="000000"/>
              </w:rPr>
              <w:t>选料，筛选出粒径＞4mm的不合格颗粒料，不合格粒料返回与原材料在高速混料机混合实现回收利用。经风冷后筛选后进行第四级旋风机进一步降温。前工段切割时颗粒尚未定型，切割过程不产生粉尘，筛选前为三级风冷，不会产生粉尘进入到筛选工段。</w:t>
            </w:r>
          </w:p>
          <w:p w14:paraId="26330237">
            <w:pPr>
              <w:spacing w:line="360" w:lineRule="auto"/>
              <w:ind w:firstLine="420" w:firstLineChars="200"/>
              <w:rPr>
                <w:rFonts w:hint="eastAsia"/>
                <w:color w:val="000000"/>
              </w:rPr>
            </w:pPr>
            <w:r>
              <w:rPr>
                <w:rFonts w:hint="eastAsia"/>
                <w:color w:val="000000"/>
                <w:kern w:val="0"/>
              </w:rPr>
              <w:t>计量包装：振动筛</w:t>
            </w:r>
            <w:r>
              <w:rPr>
                <w:rFonts w:hint="eastAsia"/>
                <w:color w:val="000000"/>
              </w:rPr>
              <w:t>选粒径合格的颗粒进打包机计量打包装袋，分25kg和1000kg两种规格进行包装，产品暂存于成品库。</w:t>
            </w:r>
          </w:p>
          <w:p w14:paraId="76B19D61">
            <w:pPr>
              <w:spacing w:line="360" w:lineRule="auto"/>
              <w:ind w:firstLine="420" w:firstLineChars="200"/>
              <w:rPr>
                <w:rFonts w:hint="eastAsia"/>
                <w:b/>
                <w:bCs/>
                <w:color w:val="000000"/>
              </w:rPr>
            </w:pPr>
            <w:r>
              <w:rPr>
                <w:rFonts w:hint="eastAsia"/>
                <w:b/>
                <w:bCs/>
                <w:color w:val="000000"/>
              </w:rPr>
              <w:t>（2）低烟无卤电缆料生产工艺流程</w:t>
            </w:r>
            <w:r>
              <w:rPr>
                <w:b/>
                <w:bCs/>
                <w:color w:val="000000"/>
              </w:rPr>
              <w:t>图</w:t>
            </w:r>
            <w:r>
              <w:rPr>
                <w:rFonts w:hint="eastAsia"/>
                <w:b/>
                <w:bCs/>
                <w:color w:val="000000"/>
              </w:rPr>
              <w:t>及生产流程说明：</w:t>
            </w:r>
          </w:p>
          <w:p w14:paraId="7C31E544">
            <w:pPr>
              <w:rPr>
                <w:rFonts w:hint="eastAsia"/>
                <w:color w:val="000000"/>
              </w:rPr>
            </w:pPr>
            <w:r>
              <w:rPr>
                <w:color w:val="000000"/>
              </w:rPr>
              <w:drawing>
                <wp:inline distT="0" distB="0" distL="114300" distR="114300">
                  <wp:extent cx="5421630" cy="2631440"/>
                  <wp:effectExtent l="0" t="0" r="7620" b="16510"/>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1"/>
                          </pic:cNvPicPr>
                        </pic:nvPicPr>
                        <pic:blipFill>
                          <a:blip r:embed="rId18"/>
                          <a:stretch>
                            <a:fillRect/>
                          </a:stretch>
                        </pic:blipFill>
                        <pic:spPr>
                          <a:xfrm>
                            <a:off x="0" y="0"/>
                            <a:ext cx="5421630" cy="2631440"/>
                          </a:xfrm>
                          <a:prstGeom prst="rect">
                            <a:avLst/>
                          </a:prstGeom>
                          <a:noFill/>
                          <a:ln>
                            <a:noFill/>
                          </a:ln>
                        </pic:spPr>
                      </pic:pic>
                    </a:graphicData>
                  </a:graphic>
                </wp:inline>
              </w:drawing>
            </w:r>
          </w:p>
          <w:p w14:paraId="764FC8D3">
            <w:pPr>
              <w:ind w:firstLine="480"/>
              <w:jc w:val="center"/>
              <w:rPr>
                <w:rFonts w:hint="eastAsia"/>
                <w:b/>
                <w:bCs/>
                <w:color w:val="000000"/>
              </w:rPr>
            </w:pPr>
            <w:r>
              <w:rPr>
                <w:rFonts w:hint="eastAsia"/>
                <w:b/>
                <w:bCs/>
                <w:color w:val="000000"/>
              </w:rPr>
              <w:t>图2-3  低烟无卤电缆料生产加工工艺流程及产污环节图</w:t>
            </w:r>
          </w:p>
          <w:p w14:paraId="65133B56">
            <w:pPr>
              <w:spacing w:line="360" w:lineRule="auto"/>
              <w:ind w:firstLine="420" w:firstLineChars="200"/>
              <w:rPr>
                <w:rFonts w:hint="eastAsia"/>
                <w:color w:val="000000"/>
              </w:rPr>
            </w:pPr>
            <w:r>
              <w:rPr>
                <w:rFonts w:hint="eastAsia"/>
                <w:color w:val="000000"/>
              </w:rPr>
              <w:t>低烟无卤电缆料生产工艺流程说明：</w:t>
            </w:r>
          </w:p>
          <w:p w14:paraId="5D3F567E">
            <w:pPr>
              <w:spacing w:line="360" w:lineRule="auto"/>
              <w:ind w:firstLine="420" w:firstLineChars="200"/>
              <w:rPr>
                <w:rFonts w:hint="eastAsia"/>
                <w:color w:val="000000"/>
                <w:kern w:val="0"/>
              </w:rPr>
            </w:pPr>
            <w:r>
              <w:rPr>
                <w:rFonts w:hint="eastAsia"/>
                <w:color w:val="000000"/>
                <w:kern w:val="0"/>
              </w:rPr>
              <w:t>配料：将原材料按规定的比例人工称重</w:t>
            </w:r>
            <w:r>
              <w:rPr>
                <w:rFonts w:hint="eastAsia"/>
                <w:color w:val="000000"/>
              </w:rPr>
              <w:t>（EVA:LLDPE:POE:氢氧化铝:相容剂:润滑剂:抗氧剂:颜料:二苯甲酮:氢氧化镁:硫代二丙酸双十二醇酯=125:12:23.5:231:22:1:1:0.05:2.98:12:2.5）</w:t>
            </w:r>
            <w:r>
              <w:rPr>
                <w:rFonts w:hint="eastAsia"/>
                <w:color w:val="000000"/>
                <w:kern w:val="0"/>
              </w:rPr>
              <w:t>，称重后投料至密炼机内，整个过程在2min内完成，此过程产生少量配料投粉尘G6，产生</w:t>
            </w:r>
            <w:r>
              <w:rPr>
                <w:rFonts w:hint="eastAsia"/>
                <w:color w:val="000000"/>
              </w:rPr>
              <w:t>原料</w:t>
            </w:r>
            <w:r>
              <w:rPr>
                <w:rFonts w:hint="eastAsia"/>
                <w:color w:val="000000"/>
                <w:kern w:val="0"/>
              </w:rPr>
              <w:t>废包装袋S1。</w:t>
            </w:r>
          </w:p>
          <w:p w14:paraId="0905899B">
            <w:pPr>
              <w:spacing w:line="360" w:lineRule="auto"/>
              <w:ind w:firstLine="420" w:firstLineChars="200"/>
              <w:rPr>
                <w:color w:val="000000"/>
                <w:kern w:val="0"/>
              </w:rPr>
            </w:pPr>
            <w:r>
              <w:rPr>
                <w:rFonts w:hint="eastAsia"/>
                <w:color w:val="000000"/>
                <w:kern w:val="0"/>
              </w:rPr>
              <w:t>密炼：在密炼机中将按比例配好的原材料进行混合，使之</w:t>
            </w:r>
            <w:r>
              <w:rPr>
                <w:rFonts w:hint="eastAsia"/>
                <w:color w:val="000000"/>
              </w:rPr>
              <w:t>完全</w:t>
            </w:r>
            <w:r>
              <w:rPr>
                <w:rFonts w:hint="eastAsia"/>
                <w:color w:val="000000"/>
                <w:kern w:val="0"/>
              </w:rPr>
              <w:t>融合在一起，成泥状，整个过程持续10min，温度可达130~150℃，密炼机过程产生密炼废气G7。密炼机出料进入转运料斗，料斗根据后面双阶混炼挤出机组的生产进度情况自动倒入料斗，此过程均会产生密炼废气。</w:t>
            </w:r>
          </w:p>
          <w:p w14:paraId="4E4C32E4">
            <w:pPr>
              <w:spacing w:line="360" w:lineRule="auto"/>
              <w:ind w:firstLine="420" w:firstLineChars="200"/>
              <w:rPr>
                <w:rFonts w:hint="eastAsia"/>
                <w:color w:val="000000"/>
                <w:kern w:val="0"/>
              </w:rPr>
            </w:pPr>
            <w:r>
              <w:rPr>
                <w:rFonts w:hint="eastAsia"/>
                <w:color w:val="000000"/>
                <w:kern w:val="0"/>
              </w:rPr>
              <w:t>混炼挤出：使用双阶混炼挤出机组对融合为一体的原材料进行挤压，双阶混炼挤出机组是分两个阶段协作完成物料塑化、混炼、脱挥、建压、成型的高分子材料加工设备，第一阶段功能为</w:t>
            </w:r>
            <w:r>
              <w:rPr>
                <w:rFonts w:cs="宋体"/>
                <w:color w:val="000000"/>
              </w:rPr>
              <w:t>强制喂料、高效塑化强剪切分散、脱挥</w:t>
            </w:r>
            <w:r>
              <w:rPr>
                <w:rFonts w:hint="eastAsia" w:cs="宋体"/>
                <w:color w:val="000000"/>
              </w:rPr>
              <w:t>（</w:t>
            </w:r>
            <w:r>
              <w:rPr>
                <w:rFonts w:cs="宋体"/>
                <w:color w:val="000000"/>
              </w:rPr>
              <w:t>脱除水分、低分子挥发物</w:t>
            </w:r>
            <w:r>
              <w:rPr>
                <w:rFonts w:hint="eastAsia" w:cs="宋体"/>
                <w:color w:val="000000"/>
              </w:rPr>
              <w:t>），</w:t>
            </w:r>
            <w:r>
              <w:rPr>
                <w:rFonts w:hint="eastAsia"/>
                <w:color w:val="000000"/>
                <w:kern w:val="0"/>
              </w:rPr>
              <w:t>第二阶段功能为</w:t>
            </w:r>
            <w:r>
              <w:rPr>
                <w:rFonts w:cs="宋体"/>
                <w:color w:val="000000"/>
              </w:rPr>
              <w:t>均化熔体、降温稳压柔性建压、稳定挤出</w:t>
            </w:r>
            <w:r>
              <w:rPr>
                <w:rFonts w:hint="eastAsia" w:cs="宋体"/>
                <w:color w:val="000000"/>
              </w:rPr>
              <w:t>，</w:t>
            </w:r>
            <w:r>
              <w:rPr>
                <w:rFonts w:hint="eastAsia"/>
                <w:color w:val="000000"/>
                <w:kern w:val="0"/>
              </w:rPr>
              <w:t>将原材料挤出为条状，电加热塑化的温度约为130~150℃，该工序为连续进行，成为生产线的咽喉环节，双阶混炼挤出机组设备运行过程采用循环冷却水进行控温，</w:t>
            </w:r>
            <w:r>
              <w:rPr>
                <w:rFonts w:hint="eastAsia"/>
                <w:color w:val="000000"/>
              </w:rPr>
              <w:t>此过程中少量游离物质挥发产生非甲烷总烃等有害气体G8以及少量颗粒物</w:t>
            </w:r>
            <w:r>
              <w:rPr>
                <w:rFonts w:hint="eastAsia"/>
                <w:color w:val="000000"/>
                <w:kern w:val="0"/>
              </w:rPr>
              <w:t>。</w:t>
            </w:r>
          </w:p>
          <w:p w14:paraId="3A0311DD">
            <w:pPr>
              <w:spacing w:line="360" w:lineRule="auto"/>
              <w:ind w:firstLine="420" w:firstLineChars="200"/>
              <w:rPr>
                <w:rFonts w:hint="eastAsia"/>
                <w:color w:val="000000"/>
                <w:kern w:val="0"/>
              </w:rPr>
            </w:pPr>
            <w:r>
              <w:rPr>
                <w:rFonts w:hint="eastAsia"/>
                <w:color w:val="000000"/>
                <w:kern w:val="0"/>
              </w:rPr>
              <w:t>切割：挤出后随即在切割机头上进行切割，切割成直径4mm的颗粒，切粒过程物料为高温状态（温度约130℃），切割时有小风量（风量约400m</w:t>
            </w:r>
            <w:r>
              <w:rPr>
                <w:rFonts w:hint="eastAsia"/>
                <w:color w:val="000000"/>
                <w:kern w:val="0"/>
                <w:vertAlign w:val="superscript"/>
              </w:rPr>
              <w:t>3</w:t>
            </w:r>
            <w:r>
              <w:rPr>
                <w:rFonts w:hint="eastAsia"/>
                <w:color w:val="000000"/>
                <w:kern w:val="0"/>
              </w:rPr>
              <w:t>/h）风机进行风吹冷却，尚未完全定型，不会产生粉尘，此时需对切割机头使用冷却循环水进行降温，此过程产生废气G8。</w:t>
            </w:r>
          </w:p>
          <w:p w14:paraId="735FB608">
            <w:pPr>
              <w:spacing w:line="360" w:lineRule="auto"/>
              <w:ind w:firstLine="420" w:firstLineChars="200"/>
              <w:rPr>
                <w:rFonts w:hint="eastAsia"/>
                <w:color w:val="000000"/>
                <w:kern w:val="0"/>
              </w:rPr>
            </w:pPr>
            <w:r>
              <w:rPr>
                <w:rFonts w:hint="eastAsia"/>
                <w:color w:val="000000"/>
                <w:kern w:val="0"/>
              </w:rPr>
              <w:t>风冷：切割之后共需要进行四级风冷，筛选前两级，筛选后两级，利用离心风机将切割成型的颗粒</w:t>
            </w:r>
            <w:r>
              <w:rPr>
                <w:rFonts w:hint="eastAsia"/>
                <w:color w:val="000000"/>
              </w:rPr>
              <w:t>风送进入四级旋风机（第一级后温度约110</w:t>
            </w:r>
            <w:r>
              <w:rPr>
                <w:rFonts w:hint="eastAsia"/>
                <w:color w:val="000000"/>
                <w:kern w:val="0"/>
              </w:rPr>
              <w:t>℃，</w:t>
            </w:r>
            <w:r>
              <w:rPr>
                <w:rFonts w:hint="eastAsia"/>
                <w:color w:val="000000"/>
              </w:rPr>
              <w:t>第二级后温度约75</w:t>
            </w:r>
            <w:r>
              <w:rPr>
                <w:rFonts w:hint="eastAsia"/>
                <w:color w:val="000000"/>
                <w:kern w:val="0"/>
              </w:rPr>
              <w:t>℃，</w:t>
            </w:r>
            <w:r>
              <w:rPr>
                <w:rFonts w:hint="eastAsia"/>
                <w:color w:val="000000"/>
              </w:rPr>
              <w:t>第三级后温度约50</w:t>
            </w:r>
            <w:r>
              <w:rPr>
                <w:rFonts w:hint="eastAsia"/>
                <w:color w:val="000000"/>
                <w:kern w:val="0"/>
              </w:rPr>
              <w:t>℃，第四级后温度约40℃</w:t>
            </w:r>
            <w:r>
              <w:rPr>
                <w:rFonts w:hint="eastAsia"/>
                <w:color w:val="000000"/>
              </w:rPr>
              <w:t>），风冷过程在旋风机中进行，每级风冷冷却方式为上进料下吹风的形式，颗粒料落下来之后经风力管道输送至下一级旋风机顶进料，风则分流至旋风机底向上吹，第一级、第二级风冷过程颗粒料温度较高会产生废气G8</w:t>
            </w:r>
            <w:r>
              <w:rPr>
                <w:rFonts w:hint="eastAsia"/>
                <w:color w:val="000000"/>
                <w:kern w:val="0"/>
              </w:rPr>
              <w:t>。</w:t>
            </w:r>
          </w:p>
          <w:p w14:paraId="5BB616E7">
            <w:pPr>
              <w:spacing w:line="360" w:lineRule="auto"/>
              <w:ind w:firstLine="420" w:firstLineChars="200"/>
              <w:rPr>
                <w:rFonts w:hint="eastAsia"/>
                <w:color w:val="000000"/>
                <w:kern w:val="0"/>
              </w:rPr>
            </w:pPr>
            <w:r>
              <w:rPr>
                <w:rFonts w:hint="eastAsia"/>
                <w:color w:val="000000"/>
                <w:kern w:val="0"/>
              </w:rPr>
              <w:t>筛选：</w:t>
            </w:r>
            <w:r>
              <w:rPr>
                <w:rFonts w:hint="eastAsia"/>
                <w:color w:val="000000"/>
              </w:rPr>
              <w:t>两级风冷后，</w:t>
            </w:r>
            <w:r>
              <w:rPr>
                <w:rFonts w:hint="eastAsia"/>
                <w:color w:val="000000"/>
                <w:kern w:val="0"/>
              </w:rPr>
              <w:t>利用振动筛进行</w:t>
            </w:r>
            <w:r>
              <w:rPr>
                <w:rFonts w:hint="eastAsia"/>
                <w:color w:val="000000"/>
              </w:rPr>
              <w:t>选料，筛选出粒径＞4mm的不合格颗粒全部与原材料混合后回收利用。筛选后进行第三级、四级旋风机进一步降温。前工段切割时颗粒尚未定型，切割过程不产生粉尘，筛选前为两级风冷，不会产生粉尘进入到筛选工段。</w:t>
            </w:r>
          </w:p>
          <w:p w14:paraId="469D1FDD">
            <w:pPr>
              <w:spacing w:line="360" w:lineRule="auto"/>
              <w:ind w:firstLine="420" w:firstLineChars="200"/>
              <w:rPr>
                <w:rFonts w:hint="eastAsia"/>
                <w:color w:val="000000"/>
              </w:rPr>
            </w:pPr>
            <w:r>
              <w:rPr>
                <w:rFonts w:hint="eastAsia"/>
                <w:color w:val="000000"/>
                <w:kern w:val="0"/>
              </w:rPr>
              <w:t>计量包装：振动筛</w:t>
            </w:r>
            <w:r>
              <w:rPr>
                <w:rFonts w:hint="eastAsia"/>
                <w:color w:val="000000"/>
              </w:rPr>
              <w:t>选粒径合格的颗粒进打包机计量打包装袋，分25kg和1000kg两种规格进行包装，产品暂存于成品库。</w:t>
            </w:r>
          </w:p>
          <w:p w14:paraId="014791FB">
            <w:pPr>
              <w:spacing w:line="360" w:lineRule="auto"/>
              <w:ind w:firstLine="420" w:firstLineChars="200"/>
              <w:rPr>
                <w:b/>
                <w:bCs/>
                <w:color w:val="000000"/>
              </w:rPr>
            </w:pPr>
            <w:r>
              <w:rPr>
                <w:rFonts w:hint="eastAsia"/>
                <w:b/>
                <w:bCs/>
                <w:color w:val="000000"/>
              </w:rPr>
              <w:t>（3）其他公辅工程产排污情况</w:t>
            </w:r>
          </w:p>
          <w:p w14:paraId="4E6A922F">
            <w:pPr>
              <w:spacing w:line="360" w:lineRule="auto"/>
              <w:ind w:firstLine="420" w:firstLineChars="200"/>
              <w:rPr>
                <w:color w:val="000000"/>
              </w:rPr>
            </w:pPr>
            <w:r>
              <w:rPr>
                <w:rFonts w:hint="eastAsia"/>
                <w:color w:val="000000"/>
              </w:rPr>
              <w:t>①压缩气体供应系统</w:t>
            </w:r>
          </w:p>
          <w:p w14:paraId="2E44BA90">
            <w:pPr>
              <w:spacing w:line="360" w:lineRule="auto"/>
              <w:ind w:firstLine="420" w:firstLineChars="200"/>
              <w:rPr>
                <w:rFonts w:hint="eastAsia"/>
                <w:color w:val="000000"/>
              </w:rPr>
            </w:pPr>
            <w:r>
              <w:rPr>
                <w:rFonts w:hint="eastAsia"/>
                <w:color w:val="000000"/>
              </w:rPr>
              <w:t>项目在厂区北侧设置空压机房，配置2台螺杆式空压机，1备1用，给高速混料机、密炼机的气动提供压缩空气。螺杆式空压机在运行过程中会产生含油废水W1。</w:t>
            </w:r>
          </w:p>
          <w:p w14:paraId="6780F881">
            <w:pPr>
              <w:spacing w:line="360" w:lineRule="auto"/>
              <w:ind w:firstLine="420" w:firstLineChars="200"/>
              <w:rPr>
                <w:color w:val="000000"/>
              </w:rPr>
            </w:pPr>
            <w:r>
              <w:rPr>
                <w:rFonts w:hint="eastAsia"/>
                <w:color w:val="000000"/>
              </w:rPr>
              <w:t>②冷却水循环系统</w:t>
            </w:r>
          </w:p>
          <w:p w14:paraId="4DC8D1CF">
            <w:pPr>
              <w:spacing w:line="360" w:lineRule="auto"/>
              <w:ind w:firstLine="420" w:firstLineChars="200"/>
              <w:rPr>
                <w:rFonts w:hint="eastAsia"/>
                <w:color w:val="000000"/>
              </w:rPr>
            </w:pPr>
            <w:r>
              <w:rPr>
                <w:rFonts w:hint="eastAsia"/>
                <w:color w:val="000000"/>
              </w:rPr>
              <w:t>项目2号厂房南侧设备冷却塔，给双阶混炼挤出机组、密炼机等设备提供冷却水，冷却水中添加有冷却水阻垢剂、除菌剂。冷却塔每半年换一次水，产生废水W2。</w:t>
            </w:r>
          </w:p>
          <w:p w14:paraId="5B4E3F83">
            <w:pPr>
              <w:spacing w:line="360" w:lineRule="auto"/>
              <w:ind w:firstLine="420" w:firstLineChars="200"/>
              <w:rPr>
                <w:color w:val="000000"/>
              </w:rPr>
            </w:pPr>
            <w:r>
              <w:rPr>
                <w:rFonts w:hint="eastAsia"/>
                <w:color w:val="000000"/>
              </w:rPr>
              <w:t>③液体原料罐</w:t>
            </w:r>
          </w:p>
          <w:p w14:paraId="1ACA5B2D">
            <w:pPr>
              <w:spacing w:line="360" w:lineRule="auto"/>
              <w:ind w:firstLine="420" w:firstLineChars="200"/>
              <w:rPr>
                <w:rFonts w:hint="eastAsia" w:cs="宋体"/>
                <w:color w:val="000000"/>
                <w:lang w:bidi="ar"/>
              </w:rPr>
            </w:pPr>
            <w:r>
              <w:rPr>
                <w:rFonts w:hint="eastAsia"/>
                <w:color w:val="000000"/>
              </w:rPr>
              <w:t>项目在2号厂房北侧设置6个原料罐，容积均为77m</w:t>
            </w:r>
            <w:r>
              <w:rPr>
                <w:rFonts w:hint="eastAsia"/>
                <w:color w:val="000000"/>
                <w:vertAlign w:val="superscript"/>
              </w:rPr>
              <w:t>3</w:t>
            </w:r>
            <w:r>
              <w:rPr>
                <w:rFonts w:hint="eastAsia"/>
                <w:color w:val="000000"/>
              </w:rPr>
              <w:t>，有效最大容积为70m</w:t>
            </w:r>
            <w:r>
              <w:rPr>
                <w:rFonts w:hint="eastAsia"/>
                <w:color w:val="000000"/>
                <w:vertAlign w:val="superscript"/>
              </w:rPr>
              <w:t>3</w:t>
            </w:r>
            <w:r>
              <w:rPr>
                <w:rFonts w:hint="eastAsia"/>
                <w:color w:val="000000"/>
              </w:rPr>
              <w:t>，分别储存</w:t>
            </w:r>
            <w:r>
              <w:rPr>
                <w:rFonts w:hint="eastAsia" w:cs="宋体"/>
                <w:color w:val="000000"/>
                <w:lang w:bidi="ar"/>
              </w:rPr>
              <w:t>TOTM、DOTP、DOA、DOS、ESO、氯化石蜡，原料在进料、储存过程中产生少量大小呼吸废气G1、G2。</w:t>
            </w:r>
          </w:p>
          <w:p w14:paraId="4903031C">
            <w:pPr>
              <w:spacing w:line="360" w:lineRule="auto"/>
              <w:ind w:firstLine="420" w:firstLineChars="200"/>
              <w:rPr>
                <w:rFonts w:hint="eastAsia" w:cs="宋体"/>
                <w:color w:val="000000"/>
                <w:lang w:bidi="ar"/>
              </w:rPr>
            </w:pPr>
            <w:r>
              <w:rPr>
                <w:rFonts w:cs="宋体"/>
                <w:color w:val="000000"/>
                <w:lang w:bidi="ar"/>
              </w:rPr>
              <w:fldChar w:fldCharType="begin"/>
            </w:r>
            <w:r>
              <w:rPr>
                <w:rFonts w:cs="宋体"/>
                <w:color w:val="000000"/>
                <w:lang w:bidi="ar"/>
              </w:rPr>
              <w:instrText xml:space="preserve"> = 4 \* GB3 \* MERGEFORMAT </w:instrText>
            </w:r>
            <w:r>
              <w:rPr>
                <w:rFonts w:cs="宋体"/>
                <w:color w:val="000000"/>
                <w:lang w:bidi="ar"/>
              </w:rPr>
              <w:fldChar w:fldCharType="separate"/>
            </w:r>
            <w:r>
              <w:rPr>
                <w:color w:val="000000"/>
              </w:rPr>
              <w:t>④</w:t>
            </w:r>
            <w:r>
              <w:rPr>
                <w:rFonts w:cs="宋体"/>
                <w:color w:val="000000"/>
                <w:lang w:bidi="ar"/>
              </w:rPr>
              <w:fldChar w:fldCharType="end"/>
            </w:r>
            <w:r>
              <w:rPr>
                <w:rFonts w:hint="eastAsia" w:cs="宋体"/>
                <w:color w:val="000000"/>
                <w:lang w:bidi="ar"/>
              </w:rPr>
              <w:t>质检室</w:t>
            </w:r>
          </w:p>
          <w:p w14:paraId="6B9E2343">
            <w:pPr>
              <w:spacing w:line="360" w:lineRule="auto"/>
              <w:ind w:firstLine="420" w:firstLineChars="200"/>
              <w:rPr>
                <w:rFonts w:cs="宋体"/>
                <w:color w:val="000000"/>
                <w:lang w:bidi="ar"/>
              </w:rPr>
            </w:pPr>
            <w:r>
              <w:rPr>
                <w:rFonts w:hint="eastAsia"/>
                <w:color w:val="000000"/>
              </w:rPr>
              <w:t>质检室主要检测内容包括塑料物理指标：拉伸模量、拉伸断裂强度、撕裂强度、电阻率、低温脆化温度、硬度等，其他指标委外质检。部分指标需要回热为电加热，温度不高，产生的废气极少不进行定量分析，</w:t>
            </w:r>
            <w:r>
              <w:rPr>
                <w:rFonts w:hint="eastAsia" w:cs="宋体"/>
                <w:color w:val="000000"/>
                <w:lang w:bidi="ar"/>
              </w:rPr>
              <w:t>在质检过程中产生塑料废样S2。</w:t>
            </w:r>
          </w:p>
          <w:p w14:paraId="075C20B1">
            <w:pPr>
              <w:spacing w:line="360" w:lineRule="auto"/>
              <w:ind w:firstLine="420" w:firstLineChars="200"/>
              <w:rPr>
                <w:rFonts w:cs="宋体"/>
                <w:color w:val="000000"/>
                <w:lang w:bidi="ar"/>
              </w:rPr>
            </w:pPr>
            <w:r>
              <w:rPr>
                <w:rFonts w:cs="宋体"/>
                <w:color w:val="000000"/>
                <w:lang w:bidi="ar"/>
              </w:rPr>
              <w:fldChar w:fldCharType="begin"/>
            </w:r>
            <w:r>
              <w:rPr>
                <w:rFonts w:cs="宋体"/>
                <w:color w:val="000000"/>
                <w:lang w:bidi="ar"/>
              </w:rPr>
              <w:instrText xml:space="preserve"> = 5 \* GB3 \* MERGEFORMAT </w:instrText>
            </w:r>
            <w:r>
              <w:rPr>
                <w:rFonts w:cs="宋体"/>
                <w:color w:val="000000"/>
                <w:lang w:bidi="ar"/>
              </w:rPr>
              <w:fldChar w:fldCharType="separate"/>
            </w:r>
            <w:r>
              <w:rPr>
                <w:color w:val="000000"/>
              </w:rPr>
              <w:t>⑤</w:t>
            </w:r>
            <w:r>
              <w:rPr>
                <w:rFonts w:cs="宋体"/>
                <w:color w:val="000000"/>
                <w:lang w:bidi="ar"/>
              </w:rPr>
              <w:fldChar w:fldCharType="end"/>
            </w:r>
            <w:r>
              <w:rPr>
                <w:rFonts w:hint="eastAsia" w:cs="宋体"/>
                <w:color w:val="000000"/>
                <w:lang w:bidi="ar"/>
              </w:rPr>
              <w:t>环保工程</w:t>
            </w:r>
          </w:p>
          <w:p w14:paraId="60BA4F89">
            <w:pPr>
              <w:spacing w:line="360" w:lineRule="auto"/>
              <w:ind w:firstLine="420" w:firstLineChars="200"/>
              <w:rPr>
                <w:color w:val="000000"/>
              </w:rPr>
            </w:pPr>
            <w:r>
              <w:rPr>
                <w:rFonts w:hint="eastAsia"/>
                <w:color w:val="000000"/>
              </w:rPr>
              <w:t>A废气治理</w:t>
            </w:r>
          </w:p>
          <w:p w14:paraId="4A6F7300">
            <w:pPr>
              <w:spacing w:line="360" w:lineRule="auto"/>
              <w:ind w:firstLine="420" w:firstLineChars="200"/>
              <w:rPr>
                <w:rFonts w:hint="eastAsia"/>
                <w:color w:val="000000"/>
              </w:rPr>
            </w:pPr>
            <w:r>
              <w:rPr>
                <w:rFonts w:hint="eastAsia"/>
                <w:color w:val="000000"/>
              </w:rPr>
              <w:t>本项目1#废气处理设施的处理工艺为：静电除油器+酸雾洗涤塔+除湿器+UV光氧催化+三级活性炭吸附；3#废气处理设施的处理工艺为：UV光氧催化+两级活性炭吸附；2#、4#废气处理设施的处理工艺为：布袋除尘器。布袋除尘器产生除尘灰S3，废活性炭S4，废静电油S5，废光氧灯管S6，废催化剂S7，废氢氧化钠包装袋S8，酸雾洗涤废水W3。</w:t>
            </w:r>
          </w:p>
          <w:p w14:paraId="28466404">
            <w:pPr>
              <w:spacing w:line="360" w:lineRule="auto"/>
              <w:ind w:firstLine="420" w:firstLineChars="200"/>
              <w:rPr>
                <w:color w:val="000000"/>
              </w:rPr>
            </w:pPr>
            <w:r>
              <w:rPr>
                <w:rFonts w:hint="eastAsia"/>
                <w:color w:val="000000"/>
              </w:rPr>
              <w:t>B废水处理</w:t>
            </w:r>
          </w:p>
          <w:p w14:paraId="656B6D0B">
            <w:pPr>
              <w:spacing w:line="360" w:lineRule="auto"/>
              <w:ind w:firstLine="420" w:firstLineChars="200"/>
              <w:rPr>
                <w:color w:val="000000"/>
              </w:rPr>
            </w:pPr>
            <w:r>
              <w:rPr>
                <w:rFonts w:hint="eastAsia"/>
                <w:color w:val="000000"/>
              </w:rPr>
              <w:t>本项目设置废水预处理设施处理项目产生的废水，隔油段产生隔油渣S</w:t>
            </w:r>
            <w:r>
              <w:rPr>
                <w:rFonts w:hint="eastAsia"/>
                <w:color w:val="000000"/>
                <w:lang w:val="en-US" w:eastAsia="zh-CN"/>
              </w:rPr>
              <w:t>9</w:t>
            </w:r>
            <w:r>
              <w:rPr>
                <w:rFonts w:hint="eastAsia"/>
                <w:color w:val="000000"/>
              </w:rPr>
              <w:t>，沉淀段产生沉渣S</w:t>
            </w:r>
            <w:r>
              <w:rPr>
                <w:rFonts w:hint="eastAsia"/>
                <w:color w:val="000000"/>
                <w:lang w:val="en-US" w:eastAsia="zh-CN"/>
              </w:rPr>
              <w:t>10</w:t>
            </w:r>
            <w:r>
              <w:rPr>
                <w:rFonts w:hint="eastAsia"/>
                <w:color w:val="000000"/>
              </w:rPr>
              <w:t>。</w:t>
            </w:r>
          </w:p>
          <w:p w14:paraId="459E84DB">
            <w:pPr>
              <w:spacing w:line="360" w:lineRule="auto"/>
              <w:ind w:firstLine="420" w:firstLineChars="200"/>
              <w:rPr>
                <w:color w:val="000000"/>
              </w:rPr>
            </w:pPr>
            <w:r>
              <w:rPr>
                <w:rFonts w:hint="eastAsia"/>
                <w:color w:val="000000"/>
              </w:rPr>
              <w:fldChar w:fldCharType="begin"/>
            </w:r>
            <w:r>
              <w:rPr>
                <w:rFonts w:hint="eastAsia"/>
                <w:color w:val="000000"/>
              </w:rPr>
              <w:instrText xml:space="preserve"> = 6 \* GB3 \* MERGEFORMAT </w:instrText>
            </w:r>
            <w:r>
              <w:rPr>
                <w:rFonts w:hint="eastAsia"/>
                <w:color w:val="000000"/>
              </w:rPr>
              <w:fldChar w:fldCharType="separate"/>
            </w:r>
            <w:r>
              <w:rPr>
                <w:color w:val="000000"/>
              </w:rPr>
              <w:t>⑥</w:t>
            </w:r>
            <w:r>
              <w:rPr>
                <w:rFonts w:hint="eastAsia"/>
                <w:color w:val="000000"/>
              </w:rPr>
              <w:fldChar w:fldCharType="end"/>
            </w:r>
            <w:r>
              <w:rPr>
                <w:rFonts w:hint="eastAsia"/>
                <w:color w:val="000000"/>
              </w:rPr>
              <w:t>其他</w:t>
            </w:r>
          </w:p>
          <w:p w14:paraId="28A32443">
            <w:pPr>
              <w:spacing w:line="360" w:lineRule="auto"/>
              <w:ind w:firstLine="420" w:firstLineChars="200"/>
              <w:rPr>
                <w:color w:val="000000"/>
              </w:rPr>
            </w:pPr>
            <w:r>
              <w:rPr>
                <w:rFonts w:hint="eastAsia"/>
                <w:color w:val="000000"/>
              </w:rPr>
              <w:t>废水：地坪清洁废水W4、职工生活污水W5。</w:t>
            </w:r>
          </w:p>
          <w:p w14:paraId="29040494">
            <w:pPr>
              <w:spacing w:line="360" w:lineRule="auto"/>
              <w:ind w:firstLine="420" w:firstLineChars="200"/>
              <w:rPr>
                <w:color w:val="000000"/>
              </w:rPr>
            </w:pPr>
            <w:r>
              <w:rPr>
                <w:rFonts w:hint="eastAsia"/>
                <w:color w:val="000000"/>
              </w:rPr>
              <w:t>固体废物：设备维护保养过程中定期更换的废机油S1</w:t>
            </w:r>
            <w:r>
              <w:rPr>
                <w:rFonts w:hint="eastAsia"/>
                <w:color w:val="000000"/>
                <w:lang w:val="en-US" w:eastAsia="zh-CN"/>
              </w:rPr>
              <w:t>1</w:t>
            </w:r>
            <w:r>
              <w:rPr>
                <w:rFonts w:hint="eastAsia"/>
                <w:color w:val="000000"/>
              </w:rPr>
              <w:t>、废油桶S1</w:t>
            </w:r>
            <w:r>
              <w:rPr>
                <w:rFonts w:hint="eastAsia"/>
                <w:color w:val="000000"/>
                <w:lang w:val="en-US" w:eastAsia="zh-CN"/>
              </w:rPr>
              <w:t>2</w:t>
            </w:r>
            <w:r>
              <w:rPr>
                <w:rFonts w:hint="eastAsia"/>
                <w:color w:val="000000"/>
              </w:rPr>
              <w:t>、含油废手套等劳保用品S1</w:t>
            </w:r>
            <w:r>
              <w:rPr>
                <w:rFonts w:hint="eastAsia"/>
                <w:color w:val="000000"/>
                <w:lang w:val="en-US" w:eastAsia="zh-CN"/>
              </w:rPr>
              <w:t>3</w:t>
            </w:r>
            <w:r>
              <w:rPr>
                <w:rFonts w:hint="eastAsia"/>
                <w:color w:val="000000"/>
              </w:rPr>
              <w:t>、叉车废电池S1</w:t>
            </w:r>
            <w:r>
              <w:rPr>
                <w:rFonts w:hint="eastAsia"/>
                <w:color w:val="000000"/>
                <w:lang w:val="en-US" w:eastAsia="zh-CN"/>
              </w:rPr>
              <w:t>4</w:t>
            </w:r>
            <w:r>
              <w:rPr>
                <w:rFonts w:hint="eastAsia"/>
                <w:color w:val="000000"/>
              </w:rPr>
              <w:t>、职工生活垃圾S1</w:t>
            </w:r>
            <w:r>
              <w:rPr>
                <w:rFonts w:hint="eastAsia"/>
                <w:color w:val="000000"/>
                <w:lang w:val="en-US" w:eastAsia="zh-CN"/>
              </w:rPr>
              <w:t>5</w:t>
            </w:r>
            <w:r>
              <w:rPr>
                <w:rFonts w:hint="eastAsia"/>
                <w:color w:val="000000"/>
              </w:rPr>
              <w:t>。</w:t>
            </w:r>
          </w:p>
          <w:p w14:paraId="2D527AF1">
            <w:pPr>
              <w:spacing w:line="360" w:lineRule="auto"/>
              <w:ind w:firstLine="420" w:firstLineChars="200"/>
              <w:rPr>
                <w:rFonts w:hint="eastAsia"/>
                <w:color w:val="000000"/>
              </w:rPr>
            </w:pPr>
            <w:r>
              <w:rPr>
                <w:rFonts w:hint="eastAsia"/>
                <w:color w:val="000000"/>
              </w:rPr>
              <w:t>噪声：主要是设备运行时产生的噪声。</w:t>
            </w:r>
          </w:p>
          <w:p w14:paraId="0232E4BA">
            <w:pPr>
              <w:spacing w:line="360" w:lineRule="auto"/>
              <w:ind w:firstLine="420" w:firstLineChars="200"/>
              <w:rPr>
                <w:rFonts w:hint="eastAsia"/>
                <w:b/>
                <w:bCs/>
                <w:color w:val="000000"/>
              </w:rPr>
            </w:pPr>
            <w:r>
              <w:rPr>
                <w:color w:val="000000"/>
              </w:rPr>
              <w:t>项目</w:t>
            </w:r>
            <w:r>
              <w:rPr>
                <w:rFonts w:hint="eastAsia"/>
                <w:color w:val="000000"/>
              </w:rPr>
              <w:t>生产</w:t>
            </w:r>
            <w:r>
              <w:rPr>
                <w:color w:val="000000"/>
              </w:rPr>
              <w:t>工艺、公辅工程等产污环节及主要污染物统计情况见下表</w:t>
            </w:r>
            <w:r>
              <w:rPr>
                <w:rFonts w:hint="eastAsia"/>
                <w:color w:val="000000"/>
              </w:rPr>
              <w:t>。</w:t>
            </w:r>
          </w:p>
          <w:p w14:paraId="2219EDF6">
            <w:pPr>
              <w:pStyle w:val="8"/>
              <w:spacing w:after="0"/>
              <w:ind w:left="0" w:leftChars="0"/>
              <w:jc w:val="center"/>
              <w:rPr>
                <w:rFonts w:hint="eastAsia"/>
                <w:b/>
                <w:bCs/>
                <w:color w:val="000000"/>
              </w:rPr>
            </w:pPr>
          </w:p>
          <w:p w14:paraId="6B84BAB8">
            <w:pPr>
              <w:pStyle w:val="8"/>
              <w:spacing w:after="0"/>
              <w:ind w:left="0" w:leftChars="0"/>
              <w:jc w:val="center"/>
              <w:rPr>
                <w:rFonts w:hint="eastAsia"/>
                <w:b/>
                <w:bCs/>
                <w:color w:val="000000"/>
              </w:rPr>
            </w:pPr>
          </w:p>
          <w:p w14:paraId="29A7C9CC">
            <w:pPr>
              <w:pStyle w:val="8"/>
              <w:spacing w:after="0"/>
              <w:ind w:left="0" w:leftChars="0"/>
              <w:jc w:val="center"/>
              <w:rPr>
                <w:rFonts w:hint="eastAsia"/>
                <w:b/>
                <w:bCs/>
                <w:color w:val="000000"/>
                <w:lang w:val="zh-CN"/>
              </w:rPr>
            </w:pPr>
            <w:r>
              <w:rPr>
                <w:rFonts w:hint="eastAsia"/>
                <w:b/>
                <w:bCs/>
                <w:color w:val="000000"/>
              </w:rPr>
              <w:t>表2-8</w:t>
            </w:r>
            <w:r>
              <w:rPr>
                <w:b/>
                <w:bCs/>
                <w:color w:val="000000"/>
              </w:rPr>
              <w:t xml:space="preserve"> </w:t>
            </w:r>
            <w:r>
              <w:rPr>
                <w:rFonts w:hint="eastAsia"/>
                <w:b/>
                <w:bCs/>
                <w:color w:val="000000"/>
              </w:rPr>
              <w:t>项目主要产污节点及主要污染物统计一览表</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729"/>
              <w:gridCol w:w="1635"/>
              <w:gridCol w:w="1883"/>
              <w:gridCol w:w="2023"/>
              <w:gridCol w:w="1505"/>
            </w:tblGrid>
            <w:tr w14:paraId="09F79A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14:paraId="0B410A7D">
                  <w:pPr>
                    <w:pStyle w:val="27"/>
                    <w:rPr>
                      <w:color w:val="000000"/>
                      <w:kern w:val="0"/>
                      <w:sz w:val="21"/>
                    </w:rPr>
                  </w:pPr>
                  <w:r>
                    <w:rPr>
                      <w:rFonts w:hint="eastAsia"/>
                      <w:color w:val="000000"/>
                      <w:sz w:val="21"/>
                    </w:rPr>
                    <w:t>类型</w:t>
                  </w:r>
                </w:p>
              </w:tc>
              <w:tc>
                <w:tcPr>
                  <w:tcW w:w="432" w:type="pct"/>
                  <w:noWrap w:val="0"/>
                  <w:vAlign w:val="center"/>
                </w:tcPr>
                <w:p w14:paraId="1619B001">
                  <w:pPr>
                    <w:pStyle w:val="27"/>
                    <w:rPr>
                      <w:color w:val="000000"/>
                      <w:sz w:val="21"/>
                    </w:rPr>
                  </w:pPr>
                  <w:r>
                    <w:rPr>
                      <w:rFonts w:hint="eastAsia"/>
                      <w:color w:val="000000"/>
                      <w:sz w:val="21"/>
                    </w:rPr>
                    <w:t>编号</w:t>
                  </w:r>
                </w:p>
              </w:tc>
              <w:tc>
                <w:tcPr>
                  <w:tcW w:w="969" w:type="pct"/>
                  <w:noWrap w:val="0"/>
                  <w:vAlign w:val="center"/>
                </w:tcPr>
                <w:p w14:paraId="31F90D02">
                  <w:pPr>
                    <w:pStyle w:val="27"/>
                    <w:rPr>
                      <w:color w:val="000000"/>
                      <w:sz w:val="21"/>
                    </w:rPr>
                  </w:pPr>
                  <w:r>
                    <w:rPr>
                      <w:rFonts w:hint="eastAsia"/>
                      <w:color w:val="000000"/>
                      <w:sz w:val="21"/>
                    </w:rPr>
                    <w:t>污染物名称</w:t>
                  </w:r>
                </w:p>
              </w:tc>
              <w:tc>
                <w:tcPr>
                  <w:tcW w:w="1116" w:type="pct"/>
                  <w:noWrap w:val="0"/>
                  <w:vAlign w:val="center"/>
                </w:tcPr>
                <w:p w14:paraId="02EE17BE">
                  <w:pPr>
                    <w:pStyle w:val="27"/>
                    <w:rPr>
                      <w:color w:val="000000"/>
                      <w:sz w:val="21"/>
                    </w:rPr>
                  </w:pPr>
                  <w:r>
                    <w:rPr>
                      <w:rFonts w:hint="eastAsia"/>
                      <w:color w:val="000000"/>
                      <w:sz w:val="21"/>
                    </w:rPr>
                    <w:t>产生工段</w:t>
                  </w:r>
                </w:p>
              </w:tc>
              <w:tc>
                <w:tcPr>
                  <w:tcW w:w="1199" w:type="pct"/>
                  <w:noWrap w:val="0"/>
                  <w:vAlign w:val="center"/>
                </w:tcPr>
                <w:p w14:paraId="14124323">
                  <w:pPr>
                    <w:pStyle w:val="27"/>
                    <w:rPr>
                      <w:color w:val="000000"/>
                      <w:sz w:val="21"/>
                    </w:rPr>
                  </w:pPr>
                  <w:r>
                    <w:rPr>
                      <w:rFonts w:hint="eastAsia"/>
                      <w:color w:val="000000"/>
                      <w:sz w:val="21"/>
                    </w:rPr>
                    <w:t>主要污染物</w:t>
                  </w:r>
                </w:p>
              </w:tc>
              <w:tc>
                <w:tcPr>
                  <w:tcW w:w="892" w:type="pct"/>
                  <w:noWrap w:val="0"/>
                  <w:vAlign w:val="center"/>
                </w:tcPr>
                <w:p w14:paraId="48F7B82C">
                  <w:pPr>
                    <w:pStyle w:val="27"/>
                    <w:rPr>
                      <w:color w:val="000000"/>
                      <w:sz w:val="21"/>
                    </w:rPr>
                  </w:pPr>
                  <w:r>
                    <w:rPr>
                      <w:rFonts w:hint="eastAsia"/>
                      <w:color w:val="000000"/>
                      <w:sz w:val="21"/>
                    </w:rPr>
                    <w:t>涉及设备</w:t>
                  </w:r>
                </w:p>
              </w:tc>
            </w:tr>
            <w:tr w14:paraId="5B4B4F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restart"/>
                  <w:noWrap w:val="0"/>
                  <w:vAlign w:val="center"/>
                </w:tcPr>
                <w:p w14:paraId="654B7C85">
                  <w:pPr>
                    <w:pStyle w:val="27"/>
                    <w:rPr>
                      <w:rFonts w:hint="eastAsia"/>
                      <w:color w:val="000000"/>
                      <w:sz w:val="21"/>
                    </w:rPr>
                  </w:pPr>
                  <w:r>
                    <w:rPr>
                      <w:rFonts w:hint="eastAsia"/>
                      <w:color w:val="000000"/>
                      <w:sz w:val="21"/>
                    </w:rPr>
                    <w:t>废气</w:t>
                  </w:r>
                </w:p>
              </w:tc>
              <w:tc>
                <w:tcPr>
                  <w:tcW w:w="432" w:type="pct"/>
                  <w:noWrap w:val="0"/>
                  <w:vAlign w:val="center"/>
                </w:tcPr>
                <w:p w14:paraId="2AC39C72">
                  <w:pPr>
                    <w:pStyle w:val="27"/>
                    <w:rPr>
                      <w:color w:val="000000"/>
                      <w:sz w:val="21"/>
                    </w:rPr>
                  </w:pPr>
                  <w:r>
                    <w:rPr>
                      <w:rFonts w:hint="eastAsia"/>
                      <w:color w:val="000000"/>
                      <w:sz w:val="21"/>
                    </w:rPr>
                    <w:t>G1</w:t>
                  </w:r>
                </w:p>
              </w:tc>
              <w:tc>
                <w:tcPr>
                  <w:tcW w:w="969" w:type="pct"/>
                  <w:noWrap w:val="0"/>
                  <w:vAlign w:val="center"/>
                </w:tcPr>
                <w:p w14:paraId="2FC9155D">
                  <w:pPr>
                    <w:pStyle w:val="27"/>
                    <w:rPr>
                      <w:rFonts w:hint="eastAsia"/>
                      <w:color w:val="000000"/>
                      <w:sz w:val="21"/>
                    </w:rPr>
                  </w:pPr>
                  <w:r>
                    <w:rPr>
                      <w:rFonts w:hint="eastAsia"/>
                      <w:color w:val="000000"/>
                      <w:sz w:val="21"/>
                    </w:rPr>
                    <w:t>大呼吸废气</w:t>
                  </w:r>
                </w:p>
              </w:tc>
              <w:tc>
                <w:tcPr>
                  <w:tcW w:w="1116" w:type="pct"/>
                  <w:noWrap w:val="0"/>
                  <w:vAlign w:val="center"/>
                </w:tcPr>
                <w:p w14:paraId="74C08E4D">
                  <w:pPr>
                    <w:pStyle w:val="27"/>
                    <w:rPr>
                      <w:color w:val="000000"/>
                      <w:sz w:val="21"/>
                    </w:rPr>
                  </w:pPr>
                  <w:r>
                    <w:rPr>
                      <w:rFonts w:hint="eastAsia"/>
                      <w:color w:val="000000"/>
                      <w:sz w:val="21"/>
                    </w:rPr>
                    <w:t>罐车卸料</w:t>
                  </w:r>
                </w:p>
              </w:tc>
              <w:tc>
                <w:tcPr>
                  <w:tcW w:w="1199" w:type="pct"/>
                  <w:noWrap w:val="0"/>
                  <w:vAlign w:val="center"/>
                </w:tcPr>
                <w:p w14:paraId="5AF82E9D">
                  <w:pPr>
                    <w:pStyle w:val="27"/>
                    <w:rPr>
                      <w:rFonts w:hint="eastAsia"/>
                      <w:color w:val="000000"/>
                      <w:sz w:val="21"/>
                    </w:rPr>
                  </w:pPr>
                  <w:r>
                    <w:rPr>
                      <w:rFonts w:hint="eastAsia"/>
                      <w:color w:val="000000"/>
                      <w:sz w:val="21"/>
                    </w:rPr>
                    <w:t>非甲烷总烃</w:t>
                  </w:r>
                </w:p>
              </w:tc>
              <w:tc>
                <w:tcPr>
                  <w:tcW w:w="892" w:type="pct"/>
                  <w:noWrap w:val="0"/>
                  <w:vAlign w:val="center"/>
                </w:tcPr>
                <w:p w14:paraId="53BBD984">
                  <w:pPr>
                    <w:pStyle w:val="27"/>
                    <w:rPr>
                      <w:color w:val="000000"/>
                      <w:sz w:val="21"/>
                    </w:rPr>
                  </w:pPr>
                  <w:r>
                    <w:rPr>
                      <w:rFonts w:hint="eastAsia"/>
                      <w:color w:val="000000"/>
                      <w:sz w:val="21"/>
                    </w:rPr>
                    <w:t>储罐</w:t>
                  </w:r>
                </w:p>
              </w:tc>
            </w:tr>
            <w:tr w14:paraId="18618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69D1A16A">
                  <w:pPr>
                    <w:pStyle w:val="27"/>
                    <w:rPr>
                      <w:rFonts w:hint="eastAsia"/>
                      <w:color w:val="000000"/>
                      <w:sz w:val="21"/>
                    </w:rPr>
                  </w:pPr>
                </w:p>
              </w:tc>
              <w:tc>
                <w:tcPr>
                  <w:tcW w:w="432" w:type="pct"/>
                  <w:noWrap w:val="0"/>
                  <w:vAlign w:val="center"/>
                </w:tcPr>
                <w:p w14:paraId="7DD09DD1">
                  <w:pPr>
                    <w:pStyle w:val="27"/>
                    <w:rPr>
                      <w:rFonts w:hint="eastAsia"/>
                      <w:color w:val="000000"/>
                      <w:sz w:val="21"/>
                    </w:rPr>
                  </w:pPr>
                  <w:r>
                    <w:rPr>
                      <w:rFonts w:hint="eastAsia"/>
                      <w:color w:val="000000"/>
                      <w:sz w:val="21"/>
                    </w:rPr>
                    <w:t>G2</w:t>
                  </w:r>
                </w:p>
              </w:tc>
              <w:tc>
                <w:tcPr>
                  <w:tcW w:w="969" w:type="pct"/>
                  <w:noWrap w:val="0"/>
                  <w:vAlign w:val="center"/>
                </w:tcPr>
                <w:p w14:paraId="2330E928">
                  <w:pPr>
                    <w:pStyle w:val="27"/>
                    <w:rPr>
                      <w:rFonts w:hint="eastAsia"/>
                      <w:color w:val="000000"/>
                      <w:sz w:val="21"/>
                    </w:rPr>
                  </w:pPr>
                  <w:r>
                    <w:rPr>
                      <w:rFonts w:hint="eastAsia"/>
                      <w:color w:val="000000"/>
                      <w:sz w:val="21"/>
                    </w:rPr>
                    <w:t>小呼吸废气</w:t>
                  </w:r>
                </w:p>
              </w:tc>
              <w:tc>
                <w:tcPr>
                  <w:tcW w:w="1116" w:type="pct"/>
                  <w:noWrap w:val="0"/>
                  <w:vAlign w:val="center"/>
                </w:tcPr>
                <w:p w14:paraId="2DF155AB">
                  <w:pPr>
                    <w:pStyle w:val="27"/>
                    <w:rPr>
                      <w:color w:val="000000"/>
                      <w:sz w:val="21"/>
                    </w:rPr>
                  </w:pPr>
                  <w:r>
                    <w:rPr>
                      <w:rFonts w:hint="eastAsia"/>
                      <w:color w:val="000000"/>
                      <w:sz w:val="21"/>
                    </w:rPr>
                    <w:t>储罐储存</w:t>
                  </w:r>
                </w:p>
              </w:tc>
              <w:tc>
                <w:tcPr>
                  <w:tcW w:w="1199" w:type="pct"/>
                  <w:noWrap w:val="0"/>
                  <w:vAlign w:val="center"/>
                </w:tcPr>
                <w:p w14:paraId="76C6711B">
                  <w:pPr>
                    <w:pStyle w:val="27"/>
                    <w:rPr>
                      <w:rFonts w:hint="eastAsia"/>
                      <w:color w:val="000000"/>
                      <w:sz w:val="21"/>
                    </w:rPr>
                  </w:pPr>
                  <w:r>
                    <w:rPr>
                      <w:rFonts w:hint="eastAsia"/>
                      <w:color w:val="000000"/>
                      <w:sz w:val="21"/>
                    </w:rPr>
                    <w:t>非甲烷总烃</w:t>
                  </w:r>
                </w:p>
              </w:tc>
              <w:tc>
                <w:tcPr>
                  <w:tcW w:w="892" w:type="pct"/>
                  <w:noWrap w:val="0"/>
                  <w:vAlign w:val="center"/>
                </w:tcPr>
                <w:p w14:paraId="384CBEB4">
                  <w:pPr>
                    <w:pStyle w:val="27"/>
                    <w:rPr>
                      <w:color w:val="000000"/>
                      <w:sz w:val="21"/>
                    </w:rPr>
                  </w:pPr>
                  <w:r>
                    <w:rPr>
                      <w:rFonts w:hint="eastAsia"/>
                      <w:color w:val="000000"/>
                      <w:sz w:val="21"/>
                    </w:rPr>
                    <w:t>储罐</w:t>
                  </w:r>
                </w:p>
              </w:tc>
            </w:tr>
            <w:tr w14:paraId="04DC48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248BAAD5">
                  <w:pPr>
                    <w:pStyle w:val="27"/>
                    <w:rPr>
                      <w:rFonts w:hint="eastAsia"/>
                      <w:color w:val="000000"/>
                      <w:sz w:val="21"/>
                    </w:rPr>
                  </w:pPr>
                </w:p>
              </w:tc>
              <w:tc>
                <w:tcPr>
                  <w:tcW w:w="432" w:type="pct"/>
                  <w:noWrap w:val="0"/>
                  <w:vAlign w:val="center"/>
                </w:tcPr>
                <w:p w14:paraId="59F01BB9">
                  <w:pPr>
                    <w:pStyle w:val="27"/>
                    <w:rPr>
                      <w:rFonts w:hint="eastAsia"/>
                      <w:color w:val="000000"/>
                      <w:sz w:val="21"/>
                    </w:rPr>
                  </w:pPr>
                  <w:r>
                    <w:rPr>
                      <w:rFonts w:hint="eastAsia"/>
                      <w:color w:val="000000"/>
                      <w:sz w:val="21"/>
                    </w:rPr>
                    <w:t>G3</w:t>
                  </w:r>
                </w:p>
              </w:tc>
              <w:tc>
                <w:tcPr>
                  <w:tcW w:w="969" w:type="pct"/>
                  <w:noWrap w:val="0"/>
                  <w:vAlign w:val="center"/>
                </w:tcPr>
                <w:p w14:paraId="3100F494">
                  <w:pPr>
                    <w:pStyle w:val="27"/>
                    <w:rPr>
                      <w:color w:val="000000"/>
                      <w:sz w:val="21"/>
                    </w:rPr>
                  </w:pPr>
                  <w:r>
                    <w:rPr>
                      <w:rFonts w:hint="eastAsia"/>
                      <w:color w:val="000000"/>
                      <w:sz w:val="21"/>
                    </w:rPr>
                    <w:t>投料粉尘</w:t>
                  </w:r>
                </w:p>
              </w:tc>
              <w:tc>
                <w:tcPr>
                  <w:tcW w:w="1116" w:type="pct"/>
                  <w:noWrap w:val="0"/>
                  <w:vAlign w:val="center"/>
                </w:tcPr>
                <w:p w14:paraId="6974C6CF">
                  <w:pPr>
                    <w:pStyle w:val="27"/>
                    <w:rPr>
                      <w:rFonts w:hint="eastAsia"/>
                      <w:color w:val="000000"/>
                      <w:sz w:val="21"/>
                    </w:rPr>
                  </w:pPr>
                  <w:r>
                    <w:rPr>
                      <w:rFonts w:hint="eastAsia"/>
                      <w:color w:val="000000"/>
                      <w:sz w:val="21"/>
                    </w:rPr>
                    <w:t>PVC电缆料生产线人工投料</w:t>
                  </w:r>
                </w:p>
              </w:tc>
              <w:tc>
                <w:tcPr>
                  <w:tcW w:w="1199" w:type="pct"/>
                  <w:noWrap w:val="0"/>
                  <w:vAlign w:val="center"/>
                </w:tcPr>
                <w:p w14:paraId="5209E5F7">
                  <w:pPr>
                    <w:pStyle w:val="27"/>
                    <w:rPr>
                      <w:rFonts w:hint="eastAsia"/>
                      <w:color w:val="000000"/>
                      <w:sz w:val="21"/>
                    </w:rPr>
                  </w:pPr>
                  <w:r>
                    <w:rPr>
                      <w:rFonts w:hint="eastAsia"/>
                      <w:color w:val="000000"/>
                      <w:sz w:val="21"/>
                    </w:rPr>
                    <w:t>粉尘</w:t>
                  </w:r>
                </w:p>
              </w:tc>
              <w:tc>
                <w:tcPr>
                  <w:tcW w:w="892" w:type="pct"/>
                  <w:noWrap w:val="0"/>
                  <w:vAlign w:val="center"/>
                </w:tcPr>
                <w:p w14:paraId="4E332D50">
                  <w:pPr>
                    <w:pStyle w:val="27"/>
                    <w:rPr>
                      <w:color w:val="000000"/>
                      <w:sz w:val="21"/>
                    </w:rPr>
                  </w:pPr>
                  <w:r>
                    <w:rPr>
                      <w:rFonts w:hint="eastAsia"/>
                      <w:color w:val="000000"/>
                      <w:sz w:val="21"/>
                    </w:rPr>
                    <w:t>料仓</w:t>
                  </w:r>
                </w:p>
              </w:tc>
            </w:tr>
            <w:tr w14:paraId="259BD7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3F9FCD4">
                  <w:pPr>
                    <w:pStyle w:val="27"/>
                    <w:rPr>
                      <w:rFonts w:hint="eastAsia"/>
                      <w:color w:val="000000"/>
                      <w:sz w:val="21"/>
                    </w:rPr>
                  </w:pPr>
                </w:p>
              </w:tc>
              <w:tc>
                <w:tcPr>
                  <w:tcW w:w="432" w:type="pct"/>
                  <w:noWrap w:val="0"/>
                  <w:vAlign w:val="center"/>
                </w:tcPr>
                <w:p w14:paraId="0329A658">
                  <w:pPr>
                    <w:pStyle w:val="27"/>
                    <w:rPr>
                      <w:rFonts w:hint="eastAsia"/>
                      <w:color w:val="000000"/>
                      <w:sz w:val="21"/>
                    </w:rPr>
                  </w:pPr>
                  <w:r>
                    <w:rPr>
                      <w:rFonts w:hint="eastAsia"/>
                      <w:color w:val="000000"/>
                      <w:sz w:val="21"/>
                    </w:rPr>
                    <w:t>G4</w:t>
                  </w:r>
                </w:p>
              </w:tc>
              <w:tc>
                <w:tcPr>
                  <w:tcW w:w="969" w:type="pct"/>
                  <w:noWrap w:val="0"/>
                  <w:vAlign w:val="center"/>
                </w:tcPr>
                <w:p w14:paraId="691A8510">
                  <w:pPr>
                    <w:pStyle w:val="27"/>
                    <w:rPr>
                      <w:color w:val="000000"/>
                      <w:sz w:val="21"/>
                    </w:rPr>
                  </w:pPr>
                  <w:r>
                    <w:rPr>
                      <w:rFonts w:hint="eastAsia"/>
                      <w:color w:val="000000"/>
                      <w:sz w:val="21"/>
                    </w:rPr>
                    <w:t>混料废气</w:t>
                  </w:r>
                </w:p>
              </w:tc>
              <w:tc>
                <w:tcPr>
                  <w:tcW w:w="1116" w:type="pct"/>
                  <w:noWrap w:val="0"/>
                  <w:vAlign w:val="center"/>
                </w:tcPr>
                <w:p w14:paraId="611CCB2D">
                  <w:pPr>
                    <w:pStyle w:val="27"/>
                    <w:rPr>
                      <w:color w:val="000000"/>
                      <w:sz w:val="21"/>
                    </w:rPr>
                  </w:pPr>
                  <w:r>
                    <w:rPr>
                      <w:rFonts w:hint="eastAsia"/>
                      <w:color w:val="000000"/>
                      <w:sz w:val="21"/>
                    </w:rPr>
                    <w:t>PVC电缆料生产线混料</w:t>
                  </w:r>
                </w:p>
              </w:tc>
              <w:tc>
                <w:tcPr>
                  <w:tcW w:w="1199" w:type="pct"/>
                  <w:noWrap w:val="0"/>
                  <w:vAlign w:val="center"/>
                </w:tcPr>
                <w:p w14:paraId="0F3D0685">
                  <w:pPr>
                    <w:pStyle w:val="27"/>
                    <w:rPr>
                      <w:rFonts w:hint="eastAsia"/>
                      <w:color w:val="000000"/>
                      <w:sz w:val="21"/>
                    </w:rPr>
                  </w:pPr>
                  <w:r>
                    <w:rPr>
                      <w:rFonts w:hint="eastAsia"/>
                      <w:color w:val="000000"/>
                      <w:sz w:val="21"/>
                    </w:rPr>
                    <w:t>非甲烷总烃、臭气</w:t>
                  </w:r>
                </w:p>
              </w:tc>
              <w:tc>
                <w:tcPr>
                  <w:tcW w:w="892" w:type="pct"/>
                  <w:noWrap w:val="0"/>
                  <w:vAlign w:val="center"/>
                </w:tcPr>
                <w:p w14:paraId="2AFD3114">
                  <w:pPr>
                    <w:pStyle w:val="27"/>
                    <w:rPr>
                      <w:rFonts w:hint="eastAsia"/>
                      <w:color w:val="000000"/>
                      <w:sz w:val="21"/>
                    </w:rPr>
                  </w:pPr>
                  <w:r>
                    <w:rPr>
                      <w:color w:val="000000"/>
                      <w:sz w:val="21"/>
                    </w:rPr>
                    <w:t>高速混</w:t>
                  </w:r>
                  <w:r>
                    <w:rPr>
                      <w:rFonts w:hint="eastAsia"/>
                      <w:color w:val="000000"/>
                      <w:sz w:val="21"/>
                    </w:rPr>
                    <w:t>料</w:t>
                  </w:r>
                  <w:r>
                    <w:rPr>
                      <w:color w:val="000000"/>
                      <w:sz w:val="21"/>
                    </w:rPr>
                    <w:t>机</w:t>
                  </w:r>
                </w:p>
              </w:tc>
            </w:tr>
            <w:tr w14:paraId="005FC7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6F71979C">
                  <w:pPr>
                    <w:pStyle w:val="27"/>
                    <w:rPr>
                      <w:rFonts w:hint="eastAsia"/>
                      <w:color w:val="000000"/>
                      <w:sz w:val="21"/>
                    </w:rPr>
                  </w:pPr>
                </w:p>
              </w:tc>
              <w:tc>
                <w:tcPr>
                  <w:tcW w:w="432" w:type="pct"/>
                  <w:noWrap w:val="0"/>
                  <w:vAlign w:val="center"/>
                </w:tcPr>
                <w:p w14:paraId="4E6C1112">
                  <w:pPr>
                    <w:pStyle w:val="27"/>
                    <w:rPr>
                      <w:color w:val="000000"/>
                      <w:sz w:val="21"/>
                    </w:rPr>
                  </w:pPr>
                  <w:r>
                    <w:rPr>
                      <w:rFonts w:hint="eastAsia"/>
                      <w:color w:val="000000"/>
                      <w:sz w:val="21"/>
                    </w:rPr>
                    <w:t>G5</w:t>
                  </w:r>
                </w:p>
              </w:tc>
              <w:tc>
                <w:tcPr>
                  <w:tcW w:w="969" w:type="pct"/>
                  <w:noWrap w:val="0"/>
                  <w:vAlign w:val="center"/>
                </w:tcPr>
                <w:p w14:paraId="3C505820">
                  <w:pPr>
                    <w:pStyle w:val="27"/>
                    <w:rPr>
                      <w:color w:val="000000"/>
                      <w:sz w:val="21"/>
                    </w:rPr>
                  </w:pPr>
                  <w:r>
                    <w:rPr>
                      <w:color w:val="000000"/>
                      <w:sz w:val="21"/>
                    </w:rPr>
                    <w:t>混炼废气</w:t>
                  </w:r>
                </w:p>
              </w:tc>
              <w:tc>
                <w:tcPr>
                  <w:tcW w:w="1116" w:type="pct"/>
                  <w:noWrap w:val="0"/>
                  <w:vAlign w:val="center"/>
                </w:tcPr>
                <w:p w14:paraId="0C0387DB">
                  <w:pPr>
                    <w:pStyle w:val="27"/>
                    <w:rPr>
                      <w:rFonts w:hint="eastAsia"/>
                      <w:color w:val="000000"/>
                      <w:sz w:val="21"/>
                    </w:rPr>
                  </w:pPr>
                  <w:r>
                    <w:rPr>
                      <w:rFonts w:hint="eastAsia"/>
                      <w:color w:val="000000"/>
                      <w:sz w:val="21"/>
                    </w:rPr>
                    <w:t>PVC电缆料生产线混炼挤出、切割、风冷</w:t>
                  </w:r>
                </w:p>
              </w:tc>
              <w:tc>
                <w:tcPr>
                  <w:tcW w:w="1199" w:type="pct"/>
                  <w:noWrap w:val="0"/>
                  <w:vAlign w:val="center"/>
                </w:tcPr>
                <w:p w14:paraId="4E529E82">
                  <w:pPr>
                    <w:pStyle w:val="27"/>
                    <w:rPr>
                      <w:rFonts w:hint="eastAsia"/>
                      <w:color w:val="000000"/>
                      <w:sz w:val="21"/>
                    </w:rPr>
                  </w:pPr>
                  <w:r>
                    <w:rPr>
                      <w:rFonts w:hint="eastAsia"/>
                      <w:color w:val="000000"/>
                      <w:sz w:val="21"/>
                    </w:rPr>
                    <w:t>颗粒物、油雾（以颗粒物计）、氯化氢、氯乙烯、非甲烷总烃、臭气</w:t>
                  </w:r>
                </w:p>
              </w:tc>
              <w:tc>
                <w:tcPr>
                  <w:tcW w:w="892" w:type="pct"/>
                  <w:noWrap w:val="0"/>
                  <w:vAlign w:val="center"/>
                </w:tcPr>
                <w:p w14:paraId="34FD9E51">
                  <w:pPr>
                    <w:pStyle w:val="27"/>
                    <w:rPr>
                      <w:color w:val="000000"/>
                      <w:sz w:val="21"/>
                    </w:rPr>
                  </w:pPr>
                  <w:r>
                    <w:rPr>
                      <w:color w:val="000000"/>
                      <w:sz w:val="21"/>
                    </w:rPr>
                    <w:t>双阶混炼挤出机组</w:t>
                  </w:r>
                  <w:r>
                    <w:rPr>
                      <w:rFonts w:hint="eastAsia"/>
                      <w:color w:val="000000"/>
                      <w:sz w:val="21"/>
                    </w:rPr>
                    <w:t>、切割机、前两</w:t>
                  </w:r>
                  <w:r>
                    <w:rPr>
                      <w:color w:val="000000"/>
                      <w:sz w:val="21"/>
                    </w:rPr>
                    <w:t>级</w:t>
                  </w:r>
                  <w:r>
                    <w:rPr>
                      <w:rFonts w:hint="eastAsia"/>
                      <w:color w:val="000000"/>
                      <w:sz w:val="21"/>
                    </w:rPr>
                    <w:t>旋风机</w:t>
                  </w:r>
                </w:p>
              </w:tc>
            </w:tr>
            <w:tr w14:paraId="3842C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192F19B6">
                  <w:pPr>
                    <w:pStyle w:val="27"/>
                    <w:rPr>
                      <w:rFonts w:hint="eastAsia"/>
                      <w:color w:val="000000"/>
                      <w:sz w:val="21"/>
                    </w:rPr>
                  </w:pPr>
                </w:p>
              </w:tc>
              <w:tc>
                <w:tcPr>
                  <w:tcW w:w="432" w:type="pct"/>
                  <w:noWrap w:val="0"/>
                  <w:vAlign w:val="center"/>
                </w:tcPr>
                <w:p w14:paraId="0C567294">
                  <w:pPr>
                    <w:pStyle w:val="27"/>
                    <w:rPr>
                      <w:rFonts w:hint="eastAsia"/>
                      <w:color w:val="000000"/>
                      <w:sz w:val="21"/>
                    </w:rPr>
                  </w:pPr>
                  <w:r>
                    <w:rPr>
                      <w:rFonts w:hint="eastAsia"/>
                      <w:color w:val="000000"/>
                      <w:sz w:val="21"/>
                    </w:rPr>
                    <w:t>G6</w:t>
                  </w:r>
                </w:p>
              </w:tc>
              <w:tc>
                <w:tcPr>
                  <w:tcW w:w="969" w:type="pct"/>
                  <w:noWrap w:val="0"/>
                  <w:vAlign w:val="center"/>
                </w:tcPr>
                <w:p w14:paraId="7F310D45">
                  <w:pPr>
                    <w:pStyle w:val="27"/>
                    <w:rPr>
                      <w:rFonts w:cs="宋体"/>
                      <w:color w:val="000000"/>
                      <w:sz w:val="21"/>
                    </w:rPr>
                  </w:pPr>
                  <w:r>
                    <w:rPr>
                      <w:rFonts w:hint="eastAsia"/>
                      <w:color w:val="000000"/>
                      <w:sz w:val="21"/>
                    </w:rPr>
                    <w:t>配料粉尘</w:t>
                  </w:r>
                </w:p>
              </w:tc>
              <w:tc>
                <w:tcPr>
                  <w:tcW w:w="1116" w:type="pct"/>
                  <w:noWrap w:val="0"/>
                  <w:vAlign w:val="center"/>
                </w:tcPr>
                <w:p w14:paraId="4517C6BF">
                  <w:pPr>
                    <w:pStyle w:val="27"/>
                    <w:rPr>
                      <w:rFonts w:cs="宋体"/>
                      <w:color w:val="000000"/>
                      <w:sz w:val="21"/>
                    </w:rPr>
                  </w:pPr>
                  <w:r>
                    <w:rPr>
                      <w:rFonts w:hint="eastAsia"/>
                      <w:color w:val="000000"/>
                      <w:sz w:val="21"/>
                    </w:rPr>
                    <w:t>低烟无卤电缆料生产线配料</w:t>
                  </w:r>
                </w:p>
              </w:tc>
              <w:tc>
                <w:tcPr>
                  <w:tcW w:w="1199" w:type="pct"/>
                  <w:noWrap w:val="0"/>
                  <w:vAlign w:val="center"/>
                </w:tcPr>
                <w:p w14:paraId="03A0723D">
                  <w:pPr>
                    <w:pStyle w:val="27"/>
                    <w:rPr>
                      <w:rFonts w:hint="eastAsia" w:cs="宋体"/>
                      <w:color w:val="000000"/>
                      <w:sz w:val="21"/>
                    </w:rPr>
                  </w:pPr>
                  <w:r>
                    <w:rPr>
                      <w:rFonts w:hint="eastAsia"/>
                      <w:color w:val="000000"/>
                      <w:sz w:val="21"/>
                    </w:rPr>
                    <w:t>粉尘</w:t>
                  </w:r>
                </w:p>
              </w:tc>
              <w:tc>
                <w:tcPr>
                  <w:tcW w:w="892" w:type="pct"/>
                  <w:noWrap w:val="0"/>
                  <w:vAlign w:val="center"/>
                </w:tcPr>
                <w:p w14:paraId="701C8231">
                  <w:pPr>
                    <w:pStyle w:val="27"/>
                    <w:rPr>
                      <w:rFonts w:cs="宋体"/>
                      <w:color w:val="000000"/>
                      <w:sz w:val="21"/>
                    </w:rPr>
                  </w:pPr>
                  <w:r>
                    <w:rPr>
                      <w:color w:val="000000"/>
                      <w:sz w:val="21"/>
                    </w:rPr>
                    <w:t>密炼机</w:t>
                  </w:r>
                  <w:r>
                    <w:rPr>
                      <w:rFonts w:hint="eastAsia"/>
                      <w:color w:val="000000"/>
                      <w:sz w:val="21"/>
                    </w:rPr>
                    <w:t>投料口</w:t>
                  </w:r>
                </w:p>
              </w:tc>
            </w:tr>
            <w:tr w14:paraId="14B4B4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268249A4">
                  <w:pPr>
                    <w:pStyle w:val="27"/>
                    <w:rPr>
                      <w:rFonts w:hint="eastAsia"/>
                      <w:color w:val="000000"/>
                      <w:sz w:val="21"/>
                    </w:rPr>
                  </w:pPr>
                </w:p>
              </w:tc>
              <w:tc>
                <w:tcPr>
                  <w:tcW w:w="432" w:type="pct"/>
                  <w:noWrap w:val="0"/>
                  <w:vAlign w:val="center"/>
                </w:tcPr>
                <w:p w14:paraId="3A39B64C">
                  <w:pPr>
                    <w:pStyle w:val="27"/>
                    <w:rPr>
                      <w:rFonts w:hint="eastAsia"/>
                      <w:color w:val="000000"/>
                      <w:sz w:val="21"/>
                    </w:rPr>
                  </w:pPr>
                  <w:r>
                    <w:rPr>
                      <w:rFonts w:hint="eastAsia"/>
                      <w:color w:val="000000"/>
                      <w:sz w:val="21"/>
                    </w:rPr>
                    <w:t>G7</w:t>
                  </w:r>
                </w:p>
              </w:tc>
              <w:tc>
                <w:tcPr>
                  <w:tcW w:w="969" w:type="pct"/>
                  <w:noWrap w:val="0"/>
                  <w:vAlign w:val="center"/>
                </w:tcPr>
                <w:p w14:paraId="77C1899E">
                  <w:pPr>
                    <w:pStyle w:val="27"/>
                    <w:rPr>
                      <w:color w:val="000000"/>
                      <w:sz w:val="21"/>
                    </w:rPr>
                  </w:pPr>
                  <w:r>
                    <w:rPr>
                      <w:rFonts w:hint="eastAsia"/>
                      <w:color w:val="000000"/>
                      <w:sz w:val="21"/>
                    </w:rPr>
                    <w:t>密炼废气</w:t>
                  </w:r>
                </w:p>
              </w:tc>
              <w:tc>
                <w:tcPr>
                  <w:tcW w:w="1116" w:type="pct"/>
                  <w:noWrap w:val="0"/>
                  <w:vAlign w:val="center"/>
                </w:tcPr>
                <w:p w14:paraId="204A046E">
                  <w:pPr>
                    <w:pStyle w:val="27"/>
                    <w:rPr>
                      <w:rFonts w:hint="eastAsia"/>
                      <w:color w:val="000000"/>
                      <w:sz w:val="21"/>
                    </w:rPr>
                  </w:pPr>
                  <w:r>
                    <w:rPr>
                      <w:rFonts w:hint="eastAsia"/>
                      <w:color w:val="000000"/>
                      <w:sz w:val="21"/>
                    </w:rPr>
                    <w:t>低烟无卤电缆料生产线密炼</w:t>
                  </w:r>
                </w:p>
              </w:tc>
              <w:tc>
                <w:tcPr>
                  <w:tcW w:w="1199" w:type="pct"/>
                  <w:noWrap w:val="0"/>
                  <w:vAlign w:val="center"/>
                </w:tcPr>
                <w:p w14:paraId="5F58AB9D">
                  <w:pPr>
                    <w:pStyle w:val="27"/>
                    <w:rPr>
                      <w:rFonts w:hint="eastAsia"/>
                      <w:color w:val="000000"/>
                      <w:sz w:val="21"/>
                    </w:rPr>
                  </w:pPr>
                  <w:r>
                    <w:rPr>
                      <w:rFonts w:hint="eastAsia"/>
                      <w:color w:val="000000"/>
                      <w:sz w:val="21"/>
                    </w:rPr>
                    <w:t>非甲烷总烃</w:t>
                  </w:r>
                </w:p>
              </w:tc>
              <w:tc>
                <w:tcPr>
                  <w:tcW w:w="892" w:type="pct"/>
                  <w:noWrap w:val="0"/>
                  <w:vAlign w:val="center"/>
                </w:tcPr>
                <w:p w14:paraId="4E77556C">
                  <w:pPr>
                    <w:pStyle w:val="27"/>
                    <w:rPr>
                      <w:color w:val="000000"/>
                      <w:sz w:val="21"/>
                    </w:rPr>
                  </w:pPr>
                  <w:r>
                    <w:rPr>
                      <w:color w:val="000000"/>
                      <w:sz w:val="21"/>
                    </w:rPr>
                    <w:t>密炼机</w:t>
                  </w:r>
                  <w:r>
                    <w:rPr>
                      <w:rFonts w:hint="eastAsia"/>
                      <w:color w:val="000000"/>
                      <w:sz w:val="21"/>
                    </w:rPr>
                    <w:t>出料口</w:t>
                  </w:r>
                </w:p>
              </w:tc>
            </w:tr>
            <w:tr w14:paraId="2CD5F0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61335E11">
                  <w:pPr>
                    <w:pStyle w:val="27"/>
                    <w:rPr>
                      <w:rFonts w:hint="eastAsia"/>
                      <w:color w:val="000000"/>
                      <w:sz w:val="21"/>
                    </w:rPr>
                  </w:pPr>
                </w:p>
              </w:tc>
              <w:tc>
                <w:tcPr>
                  <w:tcW w:w="432" w:type="pct"/>
                  <w:noWrap w:val="0"/>
                  <w:vAlign w:val="center"/>
                </w:tcPr>
                <w:p w14:paraId="172012C5">
                  <w:pPr>
                    <w:pStyle w:val="27"/>
                    <w:rPr>
                      <w:color w:val="000000"/>
                      <w:sz w:val="21"/>
                    </w:rPr>
                  </w:pPr>
                  <w:r>
                    <w:rPr>
                      <w:rFonts w:hint="eastAsia"/>
                      <w:color w:val="000000"/>
                      <w:sz w:val="21"/>
                    </w:rPr>
                    <w:t>G8</w:t>
                  </w:r>
                </w:p>
              </w:tc>
              <w:tc>
                <w:tcPr>
                  <w:tcW w:w="969" w:type="pct"/>
                  <w:noWrap w:val="0"/>
                  <w:vAlign w:val="center"/>
                </w:tcPr>
                <w:p w14:paraId="488F1023">
                  <w:pPr>
                    <w:pStyle w:val="27"/>
                    <w:rPr>
                      <w:rFonts w:cs="宋体"/>
                      <w:color w:val="000000"/>
                      <w:sz w:val="21"/>
                    </w:rPr>
                  </w:pPr>
                  <w:r>
                    <w:rPr>
                      <w:color w:val="000000"/>
                      <w:sz w:val="21"/>
                    </w:rPr>
                    <w:t>混炼废气</w:t>
                  </w:r>
                </w:p>
              </w:tc>
              <w:tc>
                <w:tcPr>
                  <w:tcW w:w="1116" w:type="pct"/>
                  <w:noWrap w:val="0"/>
                  <w:vAlign w:val="center"/>
                </w:tcPr>
                <w:p w14:paraId="34E59486">
                  <w:pPr>
                    <w:pStyle w:val="27"/>
                    <w:rPr>
                      <w:rFonts w:cs="宋体"/>
                      <w:color w:val="000000"/>
                      <w:sz w:val="21"/>
                    </w:rPr>
                  </w:pPr>
                  <w:r>
                    <w:rPr>
                      <w:rFonts w:hint="eastAsia"/>
                      <w:color w:val="000000"/>
                      <w:sz w:val="21"/>
                    </w:rPr>
                    <w:t>低烟无卤电缆料生产线挤出成型、切割、风冷</w:t>
                  </w:r>
                </w:p>
              </w:tc>
              <w:tc>
                <w:tcPr>
                  <w:tcW w:w="1199" w:type="pct"/>
                  <w:noWrap w:val="0"/>
                  <w:vAlign w:val="center"/>
                </w:tcPr>
                <w:p w14:paraId="03474631">
                  <w:pPr>
                    <w:pStyle w:val="27"/>
                    <w:rPr>
                      <w:rFonts w:cs="宋体"/>
                      <w:color w:val="000000"/>
                      <w:sz w:val="21"/>
                    </w:rPr>
                  </w:pPr>
                  <w:r>
                    <w:rPr>
                      <w:rFonts w:hint="eastAsia"/>
                      <w:color w:val="000000"/>
                      <w:sz w:val="21"/>
                    </w:rPr>
                    <w:t>颗粒物、非甲烷总烃</w:t>
                  </w:r>
                </w:p>
              </w:tc>
              <w:tc>
                <w:tcPr>
                  <w:tcW w:w="892" w:type="pct"/>
                  <w:noWrap w:val="0"/>
                  <w:vAlign w:val="center"/>
                </w:tcPr>
                <w:p w14:paraId="5F171F13">
                  <w:pPr>
                    <w:pStyle w:val="27"/>
                    <w:rPr>
                      <w:rFonts w:hint="eastAsia"/>
                      <w:color w:val="000000"/>
                      <w:sz w:val="21"/>
                    </w:rPr>
                  </w:pPr>
                  <w:r>
                    <w:rPr>
                      <w:rFonts w:hint="eastAsia"/>
                      <w:color w:val="000000"/>
                      <w:sz w:val="21"/>
                    </w:rPr>
                    <w:t>双阶混炼挤出机组、切割机、前两</w:t>
                  </w:r>
                  <w:r>
                    <w:rPr>
                      <w:color w:val="000000"/>
                      <w:sz w:val="21"/>
                    </w:rPr>
                    <w:t>级</w:t>
                  </w:r>
                  <w:r>
                    <w:rPr>
                      <w:rFonts w:hint="eastAsia"/>
                      <w:color w:val="000000"/>
                      <w:sz w:val="21"/>
                    </w:rPr>
                    <w:t>旋风机</w:t>
                  </w:r>
                </w:p>
              </w:tc>
            </w:tr>
            <w:tr w14:paraId="17E57B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restart"/>
                  <w:noWrap w:val="0"/>
                  <w:vAlign w:val="center"/>
                </w:tcPr>
                <w:p w14:paraId="0651BB62">
                  <w:pPr>
                    <w:pStyle w:val="27"/>
                    <w:rPr>
                      <w:rFonts w:hint="eastAsia"/>
                      <w:color w:val="000000"/>
                      <w:sz w:val="21"/>
                    </w:rPr>
                  </w:pPr>
                  <w:r>
                    <w:rPr>
                      <w:rFonts w:hint="eastAsia"/>
                      <w:color w:val="000000"/>
                      <w:sz w:val="21"/>
                    </w:rPr>
                    <w:t>废水</w:t>
                  </w:r>
                </w:p>
              </w:tc>
              <w:tc>
                <w:tcPr>
                  <w:tcW w:w="432" w:type="pct"/>
                  <w:noWrap w:val="0"/>
                  <w:vAlign w:val="center"/>
                </w:tcPr>
                <w:p w14:paraId="15F492B4">
                  <w:pPr>
                    <w:pStyle w:val="27"/>
                    <w:rPr>
                      <w:rFonts w:hint="eastAsia"/>
                      <w:color w:val="000000"/>
                      <w:sz w:val="21"/>
                    </w:rPr>
                  </w:pPr>
                  <w:r>
                    <w:rPr>
                      <w:rFonts w:hint="eastAsia"/>
                      <w:color w:val="000000"/>
                      <w:sz w:val="21"/>
                    </w:rPr>
                    <w:t>W1</w:t>
                  </w:r>
                </w:p>
              </w:tc>
              <w:tc>
                <w:tcPr>
                  <w:tcW w:w="969" w:type="pct"/>
                  <w:noWrap w:val="0"/>
                  <w:vAlign w:val="center"/>
                </w:tcPr>
                <w:p w14:paraId="78BC8E0A">
                  <w:pPr>
                    <w:pStyle w:val="27"/>
                    <w:rPr>
                      <w:color w:val="000000"/>
                      <w:sz w:val="21"/>
                    </w:rPr>
                  </w:pPr>
                  <w:r>
                    <w:rPr>
                      <w:rFonts w:hint="eastAsia"/>
                      <w:color w:val="000000"/>
                      <w:sz w:val="21"/>
                    </w:rPr>
                    <w:t>含油废水</w:t>
                  </w:r>
                </w:p>
              </w:tc>
              <w:tc>
                <w:tcPr>
                  <w:tcW w:w="1116" w:type="pct"/>
                  <w:noWrap w:val="0"/>
                  <w:vAlign w:val="center"/>
                </w:tcPr>
                <w:p w14:paraId="2D4D4644">
                  <w:pPr>
                    <w:pStyle w:val="27"/>
                    <w:rPr>
                      <w:color w:val="000000"/>
                      <w:sz w:val="21"/>
                    </w:rPr>
                  </w:pPr>
                  <w:r>
                    <w:rPr>
                      <w:rFonts w:hint="eastAsia"/>
                      <w:color w:val="000000"/>
                      <w:sz w:val="21"/>
                    </w:rPr>
                    <w:t>螺杆式空压机</w:t>
                  </w:r>
                </w:p>
              </w:tc>
              <w:tc>
                <w:tcPr>
                  <w:tcW w:w="1199" w:type="pct"/>
                  <w:noWrap w:val="0"/>
                  <w:vAlign w:val="center"/>
                </w:tcPr>
                <w:p w14:paraId="77A344BC">
                  <w:pPr>
                    <w:pStyle w:val="27"/>
                    <w:rPr>
                      <w:rFonts w:hint="eastAsia"/>
                      <w:color w:val="000000"/>
                      <w:sz w:val="21"/>
                    </w:rPr>
                  </w:pPr>
                  <w:r>
                    <w:rPr>
                      <w:rFonts w:hint="eastAsia"/>
                      <w:color w:val="000000"/>
                      <w:sz w:val="21"/>
                    </w:rPr>
                    <w:t>pH、COD、石油类</w:t>
                  </w:r>
                </w:p>
              </w:tc>
              <w:tc>
                <w:tcPr>
                  <w:tcW w:w="892" w:type="pct"/>
                  <w:noWrap w:val="0"/>
                  <w:vAlign w:val="center"/>
                </w:tcPr>
                <w:p w14:paraId="6D66FD6B">
                  <w:pPr>
                    <w:pStyle w:val="27"/>
                    <w:rPr>
                      <w:rFonts w:hint="eastAsia"/>
                      <w:color w:val="000000"/>
                      <w:sz w:val="21"/>
                    </w:rPr>
                  </w:pPr>
                  <w:r>
                    <w:rPr>
                      <w:rFonts w:hint="eastAsia"/>
                      <w:color w:val="000000"/>
                      <w:sz w:val="21"/>
                    </w:rPr>
                    <w:t>螺杆式空压机</w:t>
                  </w:r>
                </w:p>
              </w:tc>
            </w:tr>
            <w:tr w14:paraId="191C65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70A1D274">
                  <w:pPr>
                    <w:pStyle w:val="27"/>
                    <w:rPr>
                      <w:rFonts w:hint="eastAsia"/>
                      <w:color w:val="000000"/>
                      <w:sz w:val="21"/>
                    </w:rPr>
                  </w:pPr>
                </w:p>
              </w:tc>
              <w:tc>
                <w:tcPr>
                  <w:tcW w:w="432" w:type="pct"/>
                  <w:noWrap w:val="0"/>
                  <w:vAlign w:val="center"/>
                </w:tcPr>
                <w:p w14:paraId="790E5F87">
                  <w:pPr>
                    <w:pStyle w:val="27"/>
                    <w:rPr>
                      <w:rFonts w:hint="eastAsia"/>
                      <w:color w:val="000000"/>
                      <w:sz w:val="21"/>
                    </w:rPr>
                  </w:pPr>
                  <w:r>
                    <w:rPr>
                      <w:rFonts w:hint="eastAsia"/>
                      <w:color w:val="000000"/>
                      <w:sz w:val="21"/>
                    </w:rPr>
                    <w:t>W2</w:t>
                  </w:r>
                </w:p>
              </w:tc>
              <w:tc>
                <w:tcPr>
                  <w:tcW w:w="969" w:type="pct"/>
                  <w:noWrap w:val="0"/>
                  <w:vAlign w:val="center"/>
                </w:tcPr>
                <w:p w14:paraId="325A3B72">
                  <w:pPr>
                    <w:pStyle w:val="27"/>
                    <w:rPr>
                      <w:color w:val="000000"/>
                      <w:sz w:val="21"/>
                    </w:rPr>
                  </w:pPr>
                  <w:r>
                    <w:rPr>
                      <w:rFonts w:hint="eastAsia"/>
                      <w:color w:val="000000"/>
                      <w:sz w:val="21"/>
                    </w:rPr>
                    <w:t>冷却塔排水</w:t>
                  </w:r>
                </w:p>
              </w:tc>
              <w:tc>
                <w:tcPr>
                  <w:tcW w:w="1116" w:type="pct"/>
                  <w:noWrap w:val="0"/>
                  <w:vAlign w:val="center"/>
                </w:tcPr>
                <w:p w14:paraId="503052BB">
                  <w:pPr>
                    <w:pStyle w:val="27"/>
                    <w:rPr>
                      <w:rFonts w:hint="eastAsia"/>
                      <w:color w:val="000000"/>
                      <w:sz w:val="21"/>
                    </w:rPr>
                  </w:pPr>
                  <w:r>
                    <w:rPr>
                      <w:rFonts w:hint="eastAsia"/>
                      <w:color w:val="000000"/>
                      <w:sz w:val="21"/>
                    </w:rPr>
                    <w:t>冷却塔</w:t>
                  </w:r>
                </w:p>
              </w:tc>
              <w:tc>
                <w:tcPr>
                  <w:tcW w:w="1199" w:type="pct"/>
                  <w:noWrap w:val="0"/>
                  <w:vAlign w:val="center"/>
                </w:tcPr>
                <w:p w14:paraId="037F5858">
                  <w:pPr>
                    <w:pStyle w:val="27"/>
                    <w:rPr>
                      <w:color w:val="000000"/>
                      <w:sz w:val="21"/>
                    </w:rPr>
                  </w:pPr>
                  <w:r>
                    <w:rPr>
                      <w:rFonts w:hint="eastAsia"/>
                      <w:color w:val="000000"/>
                      <w:sz w:val="21"/>
                    </w:rPr>
                    <w:t>pH、COD、SS</w:t>
                  </w:r>
                </w:p>
              </w:tc>
              <w:tc>
                <w:tcPr>
                  <w:tcW w:w="892" w:type="pct"/>
                  <w:noWrap w:val="0"/>
                  <w:vAlign w:val="center"/>
                </w:tcPr>
                <w:p w14:paraId="58F78C6A">
                  <w:pPr>
                    <w:pStyle w:val="27"/>
                    <w:rPr>
                      <w:rFonts w:hint="eastAsia"/>
                      <w:color w:val="000000"/>
                      <w:sz w:val="21"/>
                    </w:rPr>
                  </w:pPr>
                  <w:r>
                    <w:rPr>
                      <w:rFonts w:hint="eastAsia"/>
                      <w:color w:val="000000"/>
                      <w:sz w:val="21"/>
                    </w:rPr>
                    <w:t>冷却塔</w:t>
                  </w:r>
                </w:p>
              </w:tc>
            </w:tr>
            <w:tr w14:paraId="0D7C9D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04EAC853">
                  <w:pPr>
                    <w:pStyle w:val="27"/>
                    <w:rPr>
                      <w:rFonts w:hint="eastAsia"/>
                      <w:color w:val="000000"/>
                      <w:sz w:val="21"/>
                    </w:rPr>
                  </w:pPr>
                </w:p>
              </w:tc>
              <w:tc>
                <w:tcPr>
                  <w:tcW w:w="432" w:type="pct"/>
                  <w:noWrap w:val="0"/>
                  <w:vAlign w:val="center"/>
                </w:tcPr>
                <w:p w14:paraId="1351340B">
                  <w:pPr>
                    <w:pStyle w:val="27"/>
                    <w:rPr>
                      <w:color w:val="000000"/>
                      <w:sz w:val="21"/>
                    </w:rPr>
                  </w:pPr>
                  <w:r>
                    <w:rPr>
                      <w:rFonts w:hint="eastAsia"/>
                      <w:color w:val="000000"/>
                      <w:sz w:val="21"/>
                    </w:rPr>
                    <w:t>W3</w:t>
                  </w:r>
                </w:p>
              </w:tc>
              <w:tc>
                <w:tcPr>
                  <w:tcW w:w="969" w:type="pct"/>
                  <w:noWrap w:val="0"/>
                  <w:vAlign w:val="center"/>
                </w:tcPr>
                <w:p w14:paraId="76DFC6F0">
                  <w:pPr>
                    <w:pStyle w:val="27"/>
                    <w:rPr>
                      <w:rFonts w:hint="eastAsia"/>
                      <w:color w:val="000000"/>
                      <w:sz w:val="21"/>
                    </w:rPr>
                  </w:pPr>
                  <w:r>
                    <w:rPr>
                      <w:rFonts w:hint="eastAsia"/>
                      <w:color w:val="000000"/>
                      <w:sz w:val="21"/>
                    </w:rPr>
                    <w:t>酸雾洗涤塔废水</w:t>
                  </w:r>
                </w:p>
              </w:tc>
              <w:tc>
                <w:tcPr>
                  <w:tcW w:w="1116" w:type="pct"/>
                  <w:noWrap w:val="0"/>
                  <w:vAlign w:val="center"/>
                </w:tcPr>
                <w:p w14:paraId="6554590C">
                  <w:pPr>
                    <w:pStyle w:val="27"/>
                    <w:rPr>
                      <w:color w:val="000000"/>
                      <w:sz w:val="21"/>
                    </w:rPr>
                  </w:pPr>
                  <w:r>
                    <w:rPr>
                      <w:rFonts w:hint="eastAsia"/>
                      <w:color w:val="000000"/>
                      <w:sz w:val="21"/>
                    </w:rPr>
                    <w:t>废气治理酸雾洗涤塔</w:t>
                  </w:r>
                </w:p>
              </w:tc>
              <w:tc>
                <w:tcPr>
                  <w:tcW w:w="1199" w:type="pct"/>
                  <w:noWrap w:val="0"/>
                  <w:vAlign w:val="center"/>
                </w:tcPr>
                <w:p w14:paraId="11E4379C">
                  <w:pPr>
                    <w:pStyle w:val="27"/>
                    <w:rPr>
                      <w:rFonts w:hint="eastAsia"/>
                      <w:color w:val="000000"/>
                      <w:sz w:val="21"/>
                    </w:rPr>
                  </w:pPr>
                  <w:r>
                    <w:rPr>
                      <w:rFonts w:hint="eastAsia"/>
                      <w:color w:val="000000"/>
                      <w:sz w:val="21"/>
                    </w:rPr>
                    <w:t>pH、COD、SS、石油类</w:t>
                  </w:r>
                </w:p>
              </w:tc>
              <w:tc>
                <w:tcPr>
                  <w:tcW w:w="892" w:type="pct"/>
                  <w:noWrap w:val="0"/>
                  <w:vAlign w:val="center"/>
                </w:tcPr>
                <w:p w14:paraId="35AEF371">
                  <w:pPr>
                    <w:pStyle w:val="27"/>
                    <w:rPr>
                      <w:rFonts w:hint="eastAsia"/>
                      <w:color w:val="000000"/>
                      <w:sz w:val="21"/>
                    </w:rPr>
                  </w:pPr>
                  <w:r>
                    <w:rPr>
                      <w:rFonts w:hint="eastAsia"/>
                      <w:color w:val="000000"/>
                      <w:sz w:val="21"/>
                    </w:rPr>
                    <w:t>酸雾洗涤塔</w:t>
                  </w:r>
                </w:p>
              </w:tc>
            </w:tr>
            <w:tr w14:paraId="22085D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Merge w:val="continue"/>
                  <w:noWrap w:val="0"/>
                  <w:vAlign w:val="center"/>
                </w:tcPr>
                <w:p w14:paraId="6FE28992">
                  <w:pPr>
                    <w:pStyle w:val="27"/>
                    <w:rPr>
                      <w:rFonts w:hint="eastAsia"/>
                      <w:color w:val="000000"/>
                      <w:sz w:val="21"/>
                    </w:rPr>
                  </w:pPr>
                </w:p>
              </w:tc>
              <w:tc>
                <w:tcPr>
                  <w:tcW w:w="432" w:type="pct"/>
                  <w:noWrap w:val="0"/>
                  <w:vAlign w:val="center"/>
                </w:tcPr>
                <w:p w14:paraId="203BB3F0">
                  <w:pPr>
                    <w:pStyle w:val="27"/>
                    <w:rPr>
                      <w:rFonts w:hint="eastAsia"/>
                      <w:color w:val="000000"/>
                      <w:sz w:val="21"/>
                    </w:rPr>
                  </w:pPr>
                  <w:r>
                    <w:rPr>
                      <w:rFonts w:hint="eastAsia"/>
                      <w:color w:val="000000"/>
                      <w:sz w:val="21"/>
                    </w:rPr>
                    <w:t>W4</w:t>
                  </w:r>
                </w:p>
              </w:tc>
              <w:tc>
                <w:tcPr>
                  <w:tcW w:w="969" w:type="pct"/>
                  <w:noWrap w:val="0"/>
                  <w:vAlign w:val="center"/>
                </w:tcPr>
                <w:p w14:paraId="5766E27D">
                  <w:pPr>
                    <w:pStyle w:val="27"/>
                    <w:rPr>
                      <w:rFonts w:hint="eastAsia"/>
                      <w:color w:val="000000"/>
                      <w:sz w:val="21"/>
                    </w:rPr>
                  </w:pPr>
                  <w:r>
                    <w:rPr>
                      <w:rFonts w:hint="eastAsia"/>
                      <w:color w:val="000000"/>
                      <w:sz w:val="21"/>
                    </w:rPr>
                    <w:t>地坪清洁废水</w:t>
                  </w:r>
                </w:p>
              </w:tc>
              <w:tc>
                <w:tcPr>
                  <w:tcW w:w="1116" w:type="pct"/>
                  <w:noWrap w:val="0"/>
                  <w:vAlign w:val="center"/>
                </w:tcPr>
                <w:p w14:paraId="38A4DBCC">
                  <w:pPr>
                    <w:pStyle w:val="27"/>
                    <w:rPr>
                      <w:rFonts w:hint="eastAsia"/>
                      <w:color w:val="000000"/>
                      <w:sz w:val="21"/>
                    </w:rPr>
                  </w:pPr>
                  <w:r>
                    <w:rPr>
                      <w:rFonts w:hint="eastAsia"/>
                      <w:color w:val="000000"/>
                      <w:sz w:val="21"/>
                    </w:rPr>
                    <w:t>地坪清洁</w:t>
                  </w:r>
                </w:p>
              </w:tc>
              <w:tc>
                <w:tcPr>
                  <w:tcW w:w="1199" w:type="pct"/>
                  <w:noWrap w:val="0"/>
                  <w:vAlign w:val="center"/>
                </w:tcPr>
                <w:p w14:paraId="457F5B00">
                  <w:pPr>
                    <w:pStyle w:val="27"/>
                    <w:rPr>
                      <w:color w:val="000000"/>
                      <w:sz w:val="21"/>
                    </w:rPr>
                  </w:pPr>
                  <w:r>
                    <w:rPr>
                      <w:rFonts w:hint="eastAsia"/>
                      <w:color w:val="000000"/>
                      <w:sz w:val="21"/>
                    </w:rPr>
                    <w:t>pH、COD、SS、石油类</w:t>
                  </w:r>
                </w:p>
              </w:tc>
              <w:tc>
                <w:tcPr>
                  <w:tcW w:w="892" w:type="pct"/>
                  <w:noWrap w:val="0"/>
                  <w:vAlign w:val="center"/>
                </w:tcPr>
                <w:p w14:paraId="2E6B4488">
                  <w:pPr>
                    <w:pStyle w:val="27"/>
                    <w:rPr>
                      <w:rFonts w:hint="eastAsia"/>
                      <w:color w:val="000000"/>
                      <w:sz w:val="21"/>
                    </w:rPr>
                  </w:pPr>
                  <w:r>
                    <w:rPr>
                      <w:rFonts w:hint="eastAsia"/>
                      <w:color w:val="000000"/>
                      <w:sz w:val="21"/>
                    </w:rPr>
                    <w:t>/</w:t>
                  </w:r>
                </w:p>
              </w:tc>
            </w:tr>
            <w:tr w14:paraId="78A16E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93B76FF">
                  <w:pPr>
                    <w:pStyle w:val="27"/>
                    <w:rPr>
                      <w:rFonts w:hint="eastAsia"/>
                      <w:color w:val="000000"/>
                      <w:sz w:val="21"/>
                    </w:rPr>
                  </w:pPr>
                </w:p>
              </w:tc>
              <w:tc>
                <w:tcPr>
                  <w:tcW w:w="432" w:type="pct"/>
                  <w:noWrap w:val="0"/>
                  <w:vAlign w:val="center"/>
                </w:tcPr>
                <w:p w14:paraId="5011D691">
                  <w:pPr>
                    <w:pStyle w:val="27"/>
                    <w:rPr>
                      <w:rFonts w:hint="eastAsia"/>
                      <w:color w:val="000000"/>
                      <w:sz w:val="21"/>
                    </w:rPr>
                  </w:pPr>
                  <w:r>
                    <w:rPr>
                      <w:rFonts w:hint="eastAsia"/>
                      <w:color w:val="000000"/>
                      <w:sz w:val="21"/>
                    </w:rPr>
                    <w:t>W5</w:t>
                  </w:r>
                </w:p>
              </w:tc>
              <w:tc>
                <w:tcPr>
                  <w:tcW w:w="969" w:type="pct"/>
                  <w:noWrap w:val="0"/>
                  <w:vAlign w:val="center"/>
                </w:tcPr>
                <w:p w14:paraId="2A2F400F">
                  <w:pPr>
                    <w:pStyle w:val="27"/>
                    <w:rPr>
                      <w:rFonts w:hint="eastAsia"/>
                      <w:color w:val="000000"/>
                      <w:sz w:val="21"/>
                    </w:rPr>
                  </w:pPr>
                  <w:r>
                    <w:rPr>
                      <w:rFonts w:hint="eastAsia"/>
                      <w:color w:val="000000"/>
                      <w:sz w:val="21"/>
                    </w:rPr>
                    <w:t>生活污水</w:t>
                  </w:r>
                </w:p>
              </w:tc>
              <w:tc>
                <w:tcPr>
                  <w:tcW w:w="1116" w:type="pct"/>
                  <w:noWrap w:val="0"/>
                  <w:vAlign w:val="center"/>
                </w:tcPr>
                <w:p w14:paraId="5FED8510">
                  <w:pPr>
                    <w:pStyle w:val="27"/>
                    <w:rPr>
                      <w:rFonts w:hint="eastAsia"/>
                      <w:color w:val="000000"/>
                      <w:sz w:val="21"/>
                    </w:rPr>
                  </w:pPr>
                  <w:r>
                    <w:rPr>
                      <w:rFonts w:hint="eastAsia"/>
                      <w:color w:val="000000"/>
                      <w:sz w:val="21"/>
                    </w:rPr>
                    <w:t>职工日常办公</w:t>
                  </w:r>
                </w:p>
              </w:tc>
              <w:tc>
                <w:tcPr>
                  <w:tcW w:w="1199" w:type="pct"/>
                  <w:noWrap w:val="0"/>
                  <w:vAlign w:val="center"/>
                </w:tcPr>
                <w:p w14:paraId="04257359">
                  <w:pPr>
                    <w:pStyle w:val="27"/>
                    <w:rPr>
                      <w:rFonts w:hint="eastAsia"/>
                      <w:color w:val="000000"/>
                      <w:sz w:val="21"/>
                    </w:rPr>
                  </w:pPr>
                  <w:r>
                    <w:rPr>
                      <w:rFonts w:hint="eastAsia"/>
                      <w:color w:val="000000"/>
                      <w:sz w:val="21"/>
                    </w:rPr>
                    <w:t>pH、COD、BOD</w:t>
                  </w:r>
                  <w:r>
                    <w:rPr>
                      <w:rFonts w:hint="eastAsia"/>
                      <w:color w:val="000000"/>
                      <w:sz w:val="21"/>
                      <w:vertAlign w:val="subscript"/>
                    </w:rPr>
                    <w:t>5</w:t>
                  </w:r>
                  <w:r>
                    <w:rPr>
                      <w:rFonts w:hint="eastAsia"/>
                      <w:color w:val="000000"/>
                      <w:sz w:val="21"/>
                    </w:rPr>
                    <w:t>、SS、氨氮、总磷等</w:t>
                  </w:r>
                </w:p>
              </w:tc>
              <w:tc>
                <w:tcPr>
                  <w:tcW w:w="892" w:type="pct"/>
                  <w:noWrap w:val="0"/>
                  <w:vAlign w:val="center"/>
                </w:tcPr>
                <w:p w14:paraId="1024C83D">
                  <w:pPr>
                    <w:pStyle w:val="27"/>
                    <w:rPr>
                      <w:rFonts w:hint="eastAsia"/>
                      <w:color w:val="000000"/>
                      <w:sz w:val="21"/>
                    </w:rPr>
                  </w:pPr>
                  <w:r>
                    <w:rPr>
                      <w:rFonts w:hint="eastAsia"/>
                      <w:color w:val="000000"/>
                      <w:sz w:val="21"/>
                    </w:rPr>
                    <w:t>/</w:t>
                  </w:r>
                </w:p>
              </w:tc>
            </w:tr>
            <w:tr w14:paraId="60DF17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noWrap w:val="0"/>
                  <w:vAlign w:val="center"/>
                </w:tcPr>
                <w:p w14:paraId="3D62B947">
                  <w:pPr>
                    <w:pStyle w:val="27"/>
                    <w:rPr>
                      <w:rFonts w:hint="eastAsia"/>
                      <w:color w:val="000000"/>
                      <w:sz w:val="21"/>
                    </w:rPr>
                  </w:pPr>
                  <w:r>
                    <w:rPr>
                      <w:rFonts w:hint="eastAsia"/>
                      <w:color w:val="000000"/>
                      <w:sz w:val="21"/>
                    </w:rPr>
                    <w:t>噪声</w:t>
                  </w:r>
                </w:p>
              </w:tc>
              <w:tc>
                <w:tcPr>
                  <w:tcW w:w="432" w:type="pct"/>
                  <w:noWrap w:val="0"/>
                  <w:vAlign w:val="center"/>
                </w:tcPr>
                <w:p w14:paraId="025B5BE4">
                  <w:pPr>
                    <w:pStyle w:val="27"/>
                    <w:rPr>
                      <w:rFonts w:hint="eastAsia"/>
                      <w:color w:val="000000"/>
                      <w:sz w:val="21"/>
                    </w:rPr>
                  </w:pPr>
                  <w:r>
                    <w:rPr>
                      <w:rFonts w:hint="eastAsia"/>
                      <w:color w:val="000000"/>
                      <w:sz w:val="21"/>
                    </w:rPr>
                    <w:t>N</w:t>
                  </w:r>
                </w:p>
              </w:tc>
              <w:tc>
                <w:tcPr>
                  <w:tcW w:w="969" w:type="pct"/>
                  <w:noWrap w:val="0"/>
                  <w:vAlign w:val="center"/>
                </w:tcPr>
                <w:p w14:paraId="434A7240">
                  <w:pPr>
                    <w:pStyle w:val="27"/>
                    <w:rPr>
                      <w:rFonts w:hint="eastAsia"/>
                      <w:color w:val="000000"/>
                      <w:sz w:val="21"/>
                    </w:rPr>
                  </w:pPr>
                  <w:r>
                    <w:rPr>
                      <w:rFonts w:hint="eastAsia"/>
                      <w:color w:val="000000"/>
                      <w:sz w:val="21"/>
                    </w:rPr>
                    <w:t>设备噪声</w:t>
                  </w:r>
                </w:p>
              </w:tc>
              <w:tc>
                <w:tcPr>
                  <w:tcW w:w="1116" w:type="pct"/>
                  <w:noWrap w:val="0"/>
                  <w:vAlign w:val="center"/>
                </w:tcPr>
                <w:p w14:paraId="6E3301A0">
                  <w:pPr>
                    <w:pStyle w:val="27"/>
                    <w:rPr>
                      <w:rFonts w:hint="eastAsia"/>
                      <w:color w:val="000000"/>
                      <w:sz w:val="21"/>
                    </w:rPr>
                  </w:pPr>
                  <w:r>
                    <w:rPr>
                      <w:rFonts w:hint="eastAsia"/>
                      <w:color w:val="000000"/>
                      <w:sz w:val="21"/>
                    </w:rPr>
                    <w:t>生产</w:t>
                  </w:r>
                </w:p>
              </w:tc>
              <w:tc>
                <w:tcPr>
                  <w:tcW w:w="1199" w:type="pct"/>
                  <w:noWrap w:val="0"/>
                  <w:vAlign w:val="center"/>
                </w:tcPr>
                <w:p w14:paraId="35E88BF2">
                  <w:pPr>
                    <w:pStyle w:val="27"/>
                    <w:rPr>
                      <w:rFonts w:hint="eastAsia"/>
                      <w:color w:val="000000"/>
                      <w:sz w:val="21"/>
                    </w:rPr>
                  </w:pPr>
                  <w:r>
                    <w:rPr>
                      <w:rFonts w:hint="eastAsia"/>
                      <w:color w:val="000000"/>
                      <w:sz w:val="21"/>
                    </w:rPr>
                    <w:t>等效A声级</w:t>
                  </w:r>
                </w:p>
              </w:tc>
              <w:tc>
                <w:tcPr>
                  <w:tcW w:w="892" w:type="pct"/>
                  <w:noWrap w:val="0"/>
                  <w:vAlign w:val="center"/>
                </w:tcPr>
                <w:p w14:paraId="225CA585">
                  <w:pPr>
                    <w:pStyle w:val="27"/>
                    <w:rPr>
                      <w:color w:val="000000"/>
                      <w:sz w:val="21"/>
                    </w:rPr>
                  </w:pPr>
                  <w:r>
                    <w:rPr>
                      <w:rFonts w:hint="eastAsia"/>
                      <w:color w:val="000000"/>
                      <w:sz w:val="21"/>
                    </w:rPr>
                    <w:t>生产设备及辅助设备</w:t>
                  </w:r>
                </w:p>
              </w:tc>
            </w:tr>
            <w:tr w14:paraId="0DD55F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restart"/>
                  <w:noWrap w:val="0"/>
                  <w:vAlign w:val="center"/>
                </w:tcPr>
                <w:p w14:paraId="6A62998A">
                  <w:pPr>
                    <w:pStyle w:val="27"/>
                    <w:rPr>
                      <w:rFonts w:hint="eastAsia"/>
                      <w:color w:val="000000"/>
                      <w:sz w:val="21"/>
                    </w:rPr>
                  </w:pPr>
                  <w:r>
                    <w:rPr>
                      <w:rFonts w:hint="eastAsia"/>
                      <w:color w:val="000000"/>
                      <w:sz w:val="21"/>
                    </w:rPr>
                    <w:t>固体废物</w:t>
                  </w:r>
                </w:p>
              </w:tc>
              <w:tc>
                <w:tcPr>
                  <w:tcW w:w="432" w:type="pct"/>
                  <w:noWrap w:val="0"/>
                  <w:vAlign w:val="center"/>
                </w:tcPr>
                <w:p w14:paraId="6E8C474D">
                  <w:pPr>
                    <w:pStyle w:val="27"/>
                    <w:rPr>
                      <w:rFonts w:hint="eastAsia"/>
                      <w:color w:val="000000"/>
                      <w:sz w:val="21"/>
                    </w:rPr>
                  </w:pPr>
                  <w:r>
                    <w:rPr>
                      <w:rFonts w:hint="eastAsia"/>
                      <w:color w:val="000000"/>
                      <w:sz w:val="21"/>
                    </w:rPr>
                    <w:t>S1</w:t>
                  </w:r>
                </w:p>
              </w:tc>
              <w:tc>
                <w:tcPr>
                  <w:tcW w:w="969" w:type="pct"/>
                  <w:noWrap w:val="0"/>
                  <w:vAlign w:val="center"/>
                </w:tcPr>
                <w:p w14:paraId="6B112580">
                  <w:pPr>
                    <w:pStyle w:val="27"/>
                    <w:rPr>
                      <w:rFonts w:hint="eastAsia"/>
                      <w:color w:val="000000"/>
                      <w:sz w:val="21"/>
                    </w:rPr>
                  </w:pPr>
                  <w:r>
                    <w:rPr>
                      <w:rFonts w:hint="eastAsia"/>
                      <w:color w:val="000000"/>
                      <w:sz w:val="21"/>
                    </w:rPr>
                    <w:t>废包装袋</w:t>
                  </w:r>
                </w:p>
              </w:tc>
              <w:tc>
                <w:tcPr>
                  <w:tcW w:w="1116" w:type="pct"/>
                  <w:noWrap w:val="0"/>
                  <w:vAlign w:val="center"/>
                </w:tcPr>
                <w:p w14:paraId="6EA6240D">
                  <w:pPr>
                    <w:pStyle w:val="27"/>
                    <w:rPr>
                      <w:rFonts w:hint="eastAsia"/>
                      <w:color w:val="000000"/>
                      <w:sz w:val="21"/>
                    </w:rPr>
                  </w:pPr>
                  <w:r>
                    <w:rPr>
                      <w:rFonts w:hint="eastAsia"/>
                      <w:color w:val="000000"/>
                      <w:sz w:val="21"/>
                    </w:rPr>
                    <w:t>投料</w:t>
                  </w:r>
                </w:p>
              </w:tc>
              <w:tc>
                <w:tcPr>
                  <w:tcW w:w="1199" w:type="pct"/>
                  <w:noWrap w:val="0"/>
                  <w:vAlign w:val="center"/>
                </w:tcPr>
                <w:p w14:paraId="4FC009BB">
                  <w:pPr>
                    <w:pStyle w:val="27"/>
                    <w:rPr>
                      <w:rFonts w:hint="eastAsia"/>
                      <w:color w:val="000000"/>
                      <w:sz w:val="21"/>
                    </w:rPr>
                  </w:pPr>
                  <w:r>
                    <w:rPr>
                      <w:rFonts w:hint="eastAsia"/>
                      <w:color w:val="000000"/>
                      <w:sz w:val="21"/>
                    </w:rPr>
                    <w:t>/</w:t>
                  </w:r>
                </w:p>
              </w:tc>
              <w:tc>
                <w:tcPr>
                  <w:tcW w:w="892" w:type="pct"/>
                  <w:noWrap w:val="0"/>
                  <w:vAlign w:val="center"/>
                </w:tcPr>
                <w:p w14:paraId="38327AF5">
                  <w:pPr>
                    <w:pStyle w:val="27"/>
                    <w:rPr>
                      <w:rFonts w:hint="eastAsia"/>
                      <w:color w:val="000000"/>
                      <w:sz w:val="21"/>
                    </w:rPr>
                  </w:pPr>
                  <w:r>
                    <w:rPr>
                      <w:rFonts w:hint="eastAsia"/>
                      <w:color w:val="000000"/>
                      <w:sz w:val="21"/>
                    </w:rPr>
                    <w:t>/</w:t>
                  </w:r>
                </w:p>
              </w:tc>
            </w:tr>
            <w:tr w14:paraId="5E972E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3DF6AF8">
                  <w:pPr>
                    <w:pStyle w:val="27"/>
                    <w:rPr>
                      <w:rFonts w:hint="eastAsia"/>
                      <w:color w:val="000000"/>
                      <w:sz w:val="21"/>
                    </w:rPr>
                  </w:pPr>
                </w:p>
              </w:tc>
              <w:tc>
                <w:tcPr>
                  <w:tcW w:w="432" w:type="pct"/>
                  <w:noWrap w:val="0"/>
                  <w:vAlign w:val="center"/>
                </w:tcPr>
                <w:p w14:paraId="422011B7">
                  <w:pPr>
                    <w:pStyle w:val="27"/>
                    <w:rPr>
                      <w:rFonts w:hint="eastAsia"/>
                      <w:color w:val="000000"/>
                      <w:sz w:val="21"/>
                    </w:rPr>
                  </w:pPr>
                  <w:r>
                    <w:rPr>
                      <w:rFonts w:hint="eastAsia"/>
                      <w:color w:val="000000"/>
                      <w:sz w:val="21"/>
                    </w:rPr>
                    <w:t>S2</w:t>
                  </w:r>
                </w:p>
              </w:tc>
              <w:tc>
                <w:tcPr>
                  <w:tcW w:w="969" w:type="pct"/>
                  <w:noWrap w:val="0"/>
                  <w:vAlign w:val="center"/>
                </w:tcPr>
                <w:p w14:paraId="06EF5391">
                  <w:pPr>
                    <w:pStyle w:val="27"/>
                    <w:rPr>
                      <w:rFonts w:hint="eastAsia"/>
                      <w:color w:val="000000"/>
                      <w:sz w:val="21"/>
                    </w:rPr>
                  </w:pPr>
                  <w:r>
                    <w:rPr>
                      <w:rFonts w:hint="eastAsia" w:cs="宋体"/>
                      <w:color w:val="000000"/>
                      <w:sz w:val="21"/>
                      <w:lang w:bidi="ar"/>
                    </w:rPr>
                    <w:t>质检塑料废样</w:t>
                  </w:r>
                </w:p>
              </w:tc>
              <w:tc>
                <w:tcPr>
                  <w:tcW w:w="1116" w:type="pct"/>
                  <w:noWrap w:val="0"/>
                  <w:vAlign w:val="center"/>
                </w:tcPr>
                <w:p w14:paraId="49A2509C">
                  <w:pPr>
                    <w:pStyle w:val="27"/>
                    <w:rPr>
                      <w:color w:val="000000"/>
                      <w:sz w:val="21"/>
                    </w:rPr>
                  </w:pPr>
                  <w:r>
                    <w:rPr>
                      <w:rFonts w:hint="eastAsia"/>
                      <w:color w:val="000000"/>
                      <w:sz w:val="21"/>
                    </w:rPr>
                    <w:t>质检室</w:t>
                  </w:r>
                </w:p>
              </w:tc>
              <w:tc>
                <w:tcPr>
                  <w:tcW w:w="1199" w:type="pct"/>
                  <w:noWrap w:val="0"/>
                  <w:vAlign w:val="center"/>
                </w:tcPr>
                <w:p w14:paraId="2D0E7703">
                  <w:pPr>
                    <w:pStyle w:val="27"/>
                    <w:rPr>
                      <w:rFonts w:hint="eastAsia"/>
                      <w:color w:val="000000"/>
                      <w:sz w:val="21"/>
                    </w:rPr>
                  </w:pPr>
                  <w:r>
                    <w:rPr>
                      <w:rFonts w:hint="eastAsia"/>
                      <w:color w:val="000000"/>
                      <w:sz w:val="21"/>
                    </w:rPr>
                    <w:t>/</w:t>
                  </w:r>
                </w:p>
              </w:tc>
              <w:tc>
                <w:tcPr>
                  <w:tcW w:w="892" w:type="pct"/>
                  <w:noWrap w:val="0"/>
                  <w:vAlign w:val="center"/>
                </w:tcPr>
                <w:p w14:paraId="43310F20">
                  <w:pPr>
                    <w:pStyle w:val="27"/>
                    <w:rPr>
                      <w:rFonts w:hint="eastAsia"/>
                      <w:color w:val="000000"/>
                      <w:sz w:val="21"/>
                    </w:rPr>
                  </w:pPr>
                  <w:r>
                    <w:rPr>
                      <w:rFonts w:hint="eastAsia"/>
                      <w:color w:val="000000"/>
                      <w:sz w:val="21"/>
                    </w:rPr>
                    <w:t>质检室</w:t>
                  </w:r>
                </w:p>
              </w:tc>
            </w:tr>
            <w:tr w14:paraId="7E0DB4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93FCE07">
                  <w:pPr>
                    <w:pStyle w:val="27"/>
                    <w:rPr>
                      <w:rFonts w:hint="eastAsia"/>
                      <w:color w:val="000000"/>
                      <w:sz w:val="21"/>
                    </w:rPr>
                  </w:pPr>
                </w:p>
              </w:tc>
              <w:tc>
                <w:tcPr>
                  <w:tcW w:w="432" w:type="pct"/>
                  <w:noWrap w:val="0"/>
                  <w:vAlign w:val="center"/>
                </w:tcPr>
                <w:p w14:paraId="09B50172">
                  <w:pPr>
                    <w:pStyle w:val="27"/>
                    <w:rPr>
                      <w:rFonts w:hint="eastAsia"/>
                      <w:color w:val="000000"/>
                      <w:sz w:val="21"/>
                    </w:rPr>
                  </w:pPr>
                  <w:r>
                    <w:rPr>
                      <w:rFonts w:hint="eastAsia"/>
                      <w:color w:val="000000"/>
                      <w:sz w:val="21"/>
                    </w:rPr>
                    <w:t>S3</w:t>
                  </w:r>
                </w:p>
              </w:tc>
              <w:tc>
                <w:tcPr>
                  <w:tcW w:w="969" w:type="pct"/>
                  <w:noWrap w:val="0"/>
                  <w:vAlign w:val="center"/>
                </w:tcPr>
                <w:p w14:paraId="7DFCB8E5">
                  <w:pPr>
                    <w:pStyle w:val="27"/>
                    <w:rPr>
                      <w:color w:val="000000"/>
                      <w:sz w:val="21"/>
                    </w:rPr>
                  </w:pPr>
                  <w:r>
                    <w:rPr>
                      <w:rFonts w:hint="eastAsia"/>
                      <w:color w:val="000000"/>
                      <w:sz w:val="21"/>
                    </w:rPr>
                    <w:t>除尘灰</w:t>
                  </w:r>
                </w:p>
              </w:tc>
              <w:tc>
                <w:tcPr>
                  <w:tcW w:w="1116" w:type="pct"/>
                  <w:noWrap w:val="0"/>
                  <w:vAlign w:val="center"/>
                </w:tcPr>
                <w:p w14:paraId="418AE496">
                  <w:pPr>
                    <w:pStyle w:val="27"/>
                    <w:rPr>
                      <w:color w:val="000000"/>
                      <w:sz w:val="21"/>
                    </w:rPr>
                  </w:pPr>
                  <w:r>
                    <w:rPr>
                      <w:rFonts w:hint="eastAsia"/>
                      <w:color w:val="000000"/>
                      <w:sz w:val="21"/>
                    </w:rPr>
                    <w:t>除尘</w:t>
                  </w:r>
                </w:p>
              </w:tc>
              <w:tc>
                <w:tcPr>
                  <w:tcW w:w="1199" w:type="pct"/>
                  <w:noWrap w:val="0"/>
                  <w:vAlign w:val="center"/>
                </w:tcPr>
                <w:p w14:paraId="4EDEBE5C">
                  <w:pPr>
                    <w:pStyle w:val="27"/>
                    <w:rPr>
                      <w:color w:val="000000"/>
                      <w:sz w:val="21"/>
                    </w:rPr>
                  </w:pPr>
                  <w:r>
                    <w:rPr>
                      <w:rFonts w:hint="eastAsia"/>
                      <w:color w:val="000000"/>
                      <w:sz w:val="21"/>
                    </w:rPr>
                    <w:t>塑料等</w:t>
                  </w:r>
                </w:p>
              </w:tc>
              <w:tc>
                <w:tcPr>
                  <w:tcW w:w="892" w:type="pct"/>
                  <w:noWrap w:val="0"/>
                  <w:vAlign w:val="center"/>
                </w:tcPr>
                <w:p w14:paraId="6FFC481A">
                  <w:pPr>
                    <w:pStyle w:val="27"/>
                    <w:rPr>
                      <w:color w:val="000000"/>
                      <w:sz w:val="21"/>
                    </w:rPr>
                  </w:pPr>
                  <w:r>
                    <w:rPr>
                      <w:rFonts w:hint="eastAsia"/>
                      <w:color w:val="000000"/>
                      <w:sz w:val="21"/>
                    </w:rPr>
                    <w:t>布袋除尘器</w:t>
                  </w:r>
                </w:p>
              </w:tc>
            </w:tr>
            <w:tr w14:paraId="261DEA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6A0E0D16">
                  <w:pPr>
                    <w:pStyle w:val="27"/>
                    <w:rPr>
                      <w:rFonts w:hint="eastAsia"/>
                      <w:color w:val="000000"/>
                      <w:sz w:val="21"/>
                    </w:rPr>
                  </w:pPr>
                </w:p>
              </w:tc>
              <w:tc>
                <w:tcPr>
                  <w:tcW w:w="432" w:type="pct"/>
                  <w:noWrap w:val="0"/>
                  <w:vAlign w:val="center"/>
                </w:tcPr>
                <w:p w14:paraId="10DD95B7">
                  <w:pPr>
                    <w:pStyle w:val="27"/>
                    <w:rPr>
                      <w:rFonts w:hint="eastAsia"/>
                      <w:color w:val="000000"/>
                      <w:sz w:val="21"/>
                    </w:rPr>
                  </w:pPr>
                  <w:r>
                    <w:rPr>
                      <w:rFonts w:hint="eastAsia"/>
                      <w:color w:val="000000"/>
                      <w:sz w:val="21"/>
                    </w:rPr>
                    <w:t>S4</w:t>
                  </w:r>
                </w:p>
              </w:tc>
              <w:tc>
                <w:tcPr>
                  <w:tcW w:w="969" w:type="pct"/>
                  <w:noWrap w:val="0"/>
                  <w:vAlign w:val="center"/>
                </w:tcPr>
                <w:p w14:paraId="5C701BA0">
                  <w:pPr>
                    <w:pStyle w:val="27"/>
                    <w:rPr>
                      <w:rFonts w:hint="eastAsia"/>
                      <w:color w:val="000000"/>
                      <w:sz w:val="21"/>
                    </w:rPr>
                  </w:pPr>
                  <w:r>
                    <w:rPr>
                      <w:rFonts w:hint="eastAsia"/>
                      <w:color w:val="000000"/>
                      <w:sz w:val="21"/>
                    </w:rPr>
                    <w:t>废活性炭</w:t>
                  </w:r>
                </w:p>
              </w:tc>
              <w:tc>
                <w:tcPr>
                  <w:tcW w:w="1116" w:type="pct"/>
                  <w:noWrap w:val="0"/>
                  <w:vAlign w:val="center"/>
                </w:tcPr>
                <w:p w14:paraId="56EC5D27">
                  <w:pPr>
                    <w:pStyle w:val="27"/>
                    <w:rPr>
                      <w:rFonts w:hint="eastAsia"/>
                      <w:color w:val="000000"/>
                      <w:sz w:val="21"/>
                    </w:rPr>
                  </w:pPr>
                  <w:r>
                    <w:rPr>
                      <w:rFonts w:hint="eastAsia"/>
                      <w:color w:val="000000"/>
                      <w:sz w:val="21"/>
                    </w:rPr>
                    <w:t>废气处理</w:t>
                  </w:r>
                </w:p>
              </w:tc>
              <w:tc>
                <w:tcPr>
                  <w:tcW w:w="1199" w:type="pct"/>
                  <w:noWrap w:val="0"/>
                  <w:vAlign w:val="center"/>
                </w:tcPr>
                <w:p w14:paraId="3565AAAC">
                  <w:pPr>
                    <w:pStyle w:val="27"/>
                    <w:rPr>
                      <w:color w:val="000000"/>
                      <w:sz w:val="21"/>
                    </w:rPr>
                  </w:pPr>
                  <w:r>
                    <w:rPr>
                      <w:rFonts w:hint="eastAsia"/>
                      <w:color w:val="000000"/>
                      <w:sz w:val="21"/>
                    </w:rPr>
                    <w:t>活性炭、挥发性有机物</w:t>
                  </w:r>
                </w:p>
              </w:tc>
              <w:tc>
                <w:tcPr>
                  <w:tcW w:w="892" w:type="pct"/>
                  <w:noWrap w:val="0"/>
                  <w:vAlign w:val="center"/>
                </w:tcPr>
                <w:p w14:paraId="6B3FA117">
                  <w:pPr>
                    <w:pStyle w:val="27"/>
                    <w:rPr>
                      <w:rFonts w:hint="eastAsia"/>
                      <w:color w:val="000000"/>
                      <w:sz w:val="21"/>
                    </w:rPr>
                  </w:pPr>
                  <w:r>
                    <w:rPr>
                      <w:rFonts w:hint="eastAsia"/>
                      <w:color w:val="000000"/>
                      <w:sz w:val="21"/>
                    </w:rPr>
                    <w:t>废气处理装置</w:t>
                  </w:r>
                </w:p>
              </w:tc>
            </w:tr>
            <w:tr w14:paraId="0FF6FE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48F3502">
                  <w:pPr>
                    <w:pStyle w:val="27"/>
                    <w:rPr>
                      <w:rFonts w:hint="eastAsia"/>
                      <w:color w:val="000000"/>
                      <w:sz w:val="21"/>
                    </w:rPr>
                  </w:pPr>
                </w:p>
              </w:tc>
              <w:tc>
                <w:tcPr>
                  <w:tcW w:w="432" w:type="pct"/>
                  <w:noWrap w:val="0"/>
                  <w:vAlign w:val="center"/>
                </w:tcPr>
                <w:p w14:paraId="3456A660">
                  <w:pPr>
                    <w:pStyle w:val="27"/>
                    <w:rPr>
                      <w:rFonts w:hint="eastAsia"/>
                      <w:color w:val="000000"/>
                      <w:sz w:val="21"/>
                    </w:rPr>
                  </w:pPr>
                  <w:r>
                    <w:rPr>
                      <w:rFonts w:hint="eastAsia"/>
                      <w:color w:val="000000"/>
                      <w:sz w:val="21"/>
                    </w:rPr>
                    <w:t>S5</w:t>
                  </w:r>
                </w:p>
              </w:tc>
              <w:tc>
                <w:tcPr>
                  <w:tcW w:w="969" w:type="pct"/>
                  <w:noWrap w:val="0"/>
                  <w:vAlign w:val="center"/>
                </w:tcPr>
                <w:p w14:paraId="74CA5192">
                  <w:pPr>
                    <w:pStyle w:val="27"/>
                    <w:rPr>
                      <w:color w:val="000000"/>
                      <w:sz w:val="21"/>
                    </w:rPr>
                  </w:pPr>
                  <w:r>
                    <w:rPr>
                      <w:rFonts w:hint="eastAsia"/>
                      <w:color w:val="000000"/>
                      <w:sz w:val="21"/>
                    </w:rPr>
                    <w:t>废静电油</w:t>
                  </w:r>
                </w:p>
              </w:tc>
              <w:tc>
                <w:tcPr>
                  <w:tcW w:w="1116" w:type="pct"/>
                  <w:noWrap w:val="0"/>
                  <w:vAlign w:val="center"/>
                </w:tcPr>
                <w:p w14:paraId="46498484">
                  <w:pPr>
                    <w:pStyle w:val="27"/>
                    <w:rPr>
                      <w:rFonts w:hint="eastAsia"/>
                      <w:color w:val="000000"/>
                      <w:sz w:val="21"/>
                    </w:rPr>
                  </w:pPr>
                  <w:r>
                    <w:rPr>
                      <w:rFonts w:hint="eastAsia"/>
                      <w:color w:val="000000"/>
                      <w:sz w:val="21"/>
                    </w:rPr>
                    <w:t>废气处理</w:t>
                  </w:r>
                </w:p>
              </w:tc>
              <w:tc>
                <w:tcPr>
                  <w:tcW w:w="1199" w:type="pct"/>
                  <w:noWrap w:val="0"/>
                  <w:vAlign w:val="center"/>
                </w:tcPr>
                <w:p w14:paraId="32EE88DC">
                  <w:pPr>
                    <w:pStyle w:val="27"/>
                    <w:rPr>
                      <w:color w:val="000000"/>
                      <w:sz w:val="21"/>
                    </w:rPr>
                  </w:pPr>
                  <w:r>
                    <w:rPr>
                      <w:rFonts w:hint="eastAsia"/>
                      <w:color w:val="000000"/>
                      <w:sz w:val="21"/>
                    </w:rPr>
                    <w:t>环氧大豆油</w:t>
                  </w:r>
                </w:p>
              </w:tc>
              <w:tc>
                <w:tcPr>
                  <w:tcW w:w="892" w:type="pct"/>
                  <w:noWrap w:val="0"/>
                  <w:vAlign w:val="center"/>
                </w:tcPr>
                <w:p w14:paraId="3A50F2FF">
                  <w:pPr>
                    <w:pStyle w:val="27"/>
                    <w:rPr>
                      <w:color w:val="000000"/>
                      <w:sz w:val="21"/>
                    </w:rPr>
                  </w:pPr>
                  <w:r>
                    <w:rPr>
                      <w:rFonts w:hint="eastAsia"/>
                      <w:color w:val="000000"/>
                      <w:sz w:val="21"/>
                    </w:rPr>
                    <w:t>静电除油器</w:t>
                  </w:r>
                </w:p>
              </w:tc>
            </w:tr>
            <w:tr w14:paraId="1EEC8F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0C9A6606">
                  <w:pPr>
                    <w:pStyle w:val="27"/>
                    <w:rPr>
                      <w:rFonts w:hint="eastAsia"/>
                      <w:color w:val="000000"/>
                      <w:sz w:val="21"/>
                    </w:rPr>
                  </w:pPr>
                </w:p>
              </w:tc>
              <w:tc>
                <w:tcPr>
                  <w:tcW w:w="432" w:type="pct"/>
                  <w:noWrap w:val="0"/>
                  <w:vAlign w:val="center"/>
                </w:tcPr>
                <w:p w14:paraId="6B0B49F5">
                  <w:pPr>
                    <w:pStyle w:val="27"/>
                    <w:rPr>
                      <w:rFonts w:hint="eastAsia"/>
                      <w:color w:val="000000"/>
                      <w:sz w:val="21"/>
                    </w:rPr>
                  </w:pPr>
                  <w:r>
                    <w:rPr>
                      <w:rFonts w:hint="eastAsia"/>
                      <w:color w:val="000000"/>
                      <w:sz w:val="21"/>
                    </w:rPr>
                    <w:t>S6</w:t>
                  </w:r>
                </w:p>
              </w:tc>
              <w:tc>
                <w:tcPr>
                  <w:tcW w:w="969" w:type="pct"/>
                  <w:noWrap w:val="0"/>
                  <w:vAlign w:val="center"/>
                </w:tcPr>
                <w:p w14:paraId="57092B25">
                  <w:pPr>
                    <w:pStyle w:val="27"/>
                    <w:rPr>
                      <w:rFonts w:hint="eastAsia"/>
                      <w:color w:val="000000"/>
                      <w:sz w:val="21"/>
                    </w:rPr>
                  </w:pPr>
                  <w:r>
                    <w:rPr>
                      <w:rFonts w:hint="eastAsia"/>
                      <w:color w:val="000000"/>
                      <w:sz w:val="21"/>
                    </w:rPr>
                    <w:t>废光氧灯管</w:t>
                  </w:r>
                </w:p>
              </w:tc>
              <w:tc>
                <w:tcPr>
                  <w:tcW w:w="1116" w:type="pct"/>
                  <w:noWrap w:val="0"/>
                  <w:vAlign w:val="center"/>
                </w:tcPr>
                <w:p w14:paraId="03696CFF">
                  <w:pPr>
                    <w:pStyle w:val="27"/>
                    <w:rPr>
                      <w:rFonts w:hint="eastAsia"/>
                      <w:color w:val="000000"/>
                      <w:sz w:val="21"/>
                    </w:rPr>
                  </w:pPr>
                  <w:r>
                    <w:rPr>
                      <w:rFonts w:hint="eastAsia"/>
                      <w:color w:val="000000"/>
                      <w:sz w:val="21"/>
                    </w:rPr>
                    <w:t>废气处理</w:t>
                  </w:r>
                </w:p>
              </w:tc>
              <w:tc>
                <w:tcPr>
                  <w:tcW w:w="1199" w:type="pct"/>
                  <w:noWrap w:val="0"/>
                  <w:vAlign w:val="center"/>
                </w:tcPr>
                <w:p w14:paraId="16061F11">
                  <w:pPr>
                    <w:pStyle w:val="27"/>
                    <w:rPr>
                      <w:color w:val="000000"/>
                      <w:sz w:val="21"/>
                    </w:rPr>
                  </w:pPr>
                  <w:r>
                    <w:rPr>
                      <w:rFonts w:hint="eastAsia"/>
                      <w:color w:val="000000"/>
                      <w:sz w:val="21"/>
                    </w:rPr>
                    <w:t>含汞灯管</w:t>
                  </w:r>
                </w:p>
              </w:tc>
              <w:tc>
                <w:tcPr>
                  <w:tcW w:w="892" w:type="pct"/>
                  <w:noWrap w:val="0"/>
                  <w:vAlign w:val="center"/>
                </w:tcPr>
                <w:p w14:paraId="34622AA4">
                  <w:pPr>
                    <w:pStyle w:val="27"/>
                    <w:rPr>
                      <w:color w:val="000000"/>
                      <w:sz w:val="21"/>
                    </w:rPr>
                  </w:pPr>
                  <w:r>
                    <w:rPr>
                      <w:rFonts w:hint="eastAsia"/>
                      <w:color w:val="000000"/>
                      <w:sz w:val="21"/>
                    </w:rPr>
                    <w:t>UV光氧催化</w:t>
                  </w:r>
                </w:p>
              </w:tc>
            </w:tr>
            <w:tr w14:paraId="71B195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D4B5677">
                  <w:pPr>
                    <w:pStyle w:val="27"/>
                    <w:rPr>
                      <w:rFonts w:hint="eastAsia"/>
                      <w:color w:val="000000"/>
                      <w:sz w:val="21"/>
                    </w:rPr>
                  </w:pPr>
                </w:p>
              </w:tc>
              <w:tc>
                <w:tcPr>
                  <w:tcW w:w="432" w:type="pct"/>
                  <w:noWrap w:val="0"/>
                  <w:vAlign w:val="center"/>
                </w:tcPr>
                <w:p w14:paraId="6CACE816">
                  <w:pPr>
                    <w:pStyle w:val="27"/>
                    <w:rPr>
                      <w:rFonts w:hint="eastAsia"/>
                      <w:color w:val="000000"/>
                      <w:sz w:val="21"/>
                    </w:rPr>
                  </w:pPr>
                  <w:r>
                    <w:rPr>
                      <w:rFonts w:hint="eastAsia"/>
                      <w:color w:val="000000"/>
                      <w:sz w:val="21"/>
                    </w:rPr>
                    <w:t>S7</w:t>
                  </w:r>
                </w:p>
              </w:tc>
              <w:tc>
                <w:tcPr>
                  <w:tcW w:w="969" w:type="pct"/>
                  <w:noWrap w:val="0"/>
                  <w:vAlign w:val="center"/>
                </w:tcPr>
                <w:p w14:paraId="48C9BA6C">
                  <w:pPr>
                    <w:pStyle w:val="27"/>
                    <w:rPr>
                      <w:color w:val="000000"/>
                      <w:sz w:val="21"/>
                    </w:rPr>
                  </w:pPr>
                  <w:r>
                    <w:rPr>
                      <w:rFonts w:hint="eastAsia"/>
                      <w:color w:val="000000"/>
                      <w:sz w:val="21"/>
                    </w:rPr>
                    <w:t>废催化剂</w:t>
                  </w:r>
                </w:p>
              </w:tc>
              <w:tc>
                <w:tcPr>
                  <w:tcW w:w="1116" w:type="pct"/>
                  <w:noWrap w:val="0"/>
                  <w:vAlign w:val="center"/>
                </w:tcPr>
                <w:p w14:paraId="4BD214CB">
                  <w:pPr>
                    <w:pStyle w:val="27"/>
                    <w:rPr>
                      <w:rFonts w:hint="eastAsia"/>
                      <w:color w:val="000000"/>
                      <w:sz w:val="21"/>
                    </w:rPr>
                  </w:pPr>
                  <w:r>
                    <w:rPr>
                      <w:rFonts w:hint="eastAsia"/>
                      <w:color w:val="000000"/>
                      <w:sz w:val="21"/>
                    </w:rPr>
                    <w:t>废气处理</w:t>
                  </w:r>
                </w:p>
              </w:tc>
              <w:tc>
                <w:tcPr>
                  <w:tcW w:w="1199" w:type="pct"/>
                  <w:noWrap w:val="0"/>
                  <w:vAlign w:val="center"/>
                </w:tcPr>
                <w:p w14:paraId="35B74C8D">
                  <w:pPr>
                    <w:pStyle w:val="27"/>
                    <w:rPr>
                      <w:color w:val="000000"/>
                      <w:sz w:val="21"/>
                    </w:rPr>
                  </w:pPr>
                  <w:r>
                    <w:rPr>
                      <w:rFonts w:hint="eastAsia"/>
                      <w:color w:val="000000"/>
                      <w:sz w:val="21"/>
                    </w:rPr>
                    <w:t>二氧化钛</w:t>
                  </w:r>
                </w:p>
              </w:tc>
              <w:tc>
                <w:tcPr>
                  <w:tcW w:w="892" w:type="pct"/>
                  <w:noWrap w:val="0"/>
                  <w:vAlign w:val="center"/>
                </w:tcPr>
                <w:p w14:paraId="41A9FE8E">
                  <w:pPr>
                    <w:pStyle w:val="27"/>
                    <w:rPr>
                      <w:rFonts w:hint="eastAsia"/>
                      <w:color w:val="000000"/>
                      <w:sz w:val="21"/>
                    </w:rPr>
                  </w:pPr>
                  <w:r>
                    <w:rPr>
                      <w:rFonts w:hint="eastAsia"/>
                      <w:color w:val="000000"/>
                      <w:sz w:val="21"/>
                    </w:rPr>
                    <w:t>UV光氧催化</w:t>
                  </w:r>
                </w:p>
              </w:tc>
            </w:tr>
            <w:tr w14:paraId="1831C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3FC81C04">
                  <w:pPr>
                    <w:pStyle w:val="27"/>
                    <w:rPr>
                      <w:rFonts w:hint="eastAsia"/>
                      <w:color w:val="000000"/>
                      <w:sz w:val="21"/>
                    </w:rPr>
                  </w:pPr>
                </w:p>
              </w:tc>
              <w:tc>
                <w:tcPr>
                  <w:tcW w:w="432" w:type="pct"/>
                  <w:noWrap w:val="0"/>
                  <w:vAlign w:val="center"/>
                </w:tcPr>
                <w:p w14:paraId="47FC36DE">
                  <w:pPr>
                    <w:pStyle w:val="27"/>
                    <w:rPr>
                      <w:rFonts w:hint="eastAsia"/>
                      <w:color w:val="000000"/>
                      <w:sz w:val="21"/>
                    </w:rPr>
                  </w:pPr>
                  <w:r>
                    <w:rPr>
                      <w:rFonts w:hint="eastAsia"/>
                      <w:color w:val="000000"/>
                      <w:sz w:val="21"/>
                    </w:rPr>
                    <w:t>S8</w:t>
                  </w:r>
                </w:p>
              </w:tc>
              <w:tc>
                <w:tcPr>
                  <w:tcW w:w="969" w:type="pct"/>
                  <w:noWrap w:val="0"/>
                  <w:vAlign w:val="center"/>
                </w:tcPr>
                <w:p w14:paraId="04110A3A">
                  <w:pPr>
                    <w:pStyle w:val="27"/>
                    <w:rPr>
                      <w:color w:val="000000"/>
                      <w:sz w:val="21"/>
                    </w:rPr>
                  </w:pPr>
                  <w:r>
                    <w:rPr>
                      <w:rFonts w:hint="eastAsia"/>
                      <w:color w:val="000000"/>
                      <w:sz w:val="21"/>
                    </w:rPr>
                    <w:t>废氢氧化钠包装袋</w:t>
                  </w:r>
                </w:p>
              </w:tc>
              <w:tc>
                <w:tcPr>
                  <w:tcW w:w="1116" w:type="pct"/>
                  <w:noWrap w:val="0"/>
                  <w:vAlign w:val="center"/>
                </w:tcPr>
                <w:p w14:paraId="26ED0C4F">
                  <w:pPr>
                    <w:pStyle w:val="27"/>
                    <w:rPr>
                      <w:rFonts w:hint="eastAsia"/>
                      <w:color w:val="000000"/>
                      <w:sz w:val="21"/>
                    </w:rPr>
                  </w:pPr>
                  <w:r>
                    <w:rPr>
                      <w:rFonts w:hint="eastAsia"/>
                      <w:color w:val="000000"/>
                      <w:sz w:val="21"/>
                    </w:rPr>
                    <w:t>废气处理</w:t>
                  </w:r>
                </w:p>
              </w:tc>
              <w:tc>
                <w:tcPr>
                  <w:tcW w:w="1199" w:type="pct"/>
                  <w:noWrap w:val="0"/>
                  <w:vAlign w:val="center"/>
                </w:tcPr>
                <w:p w14:paraId="5AB281A4">
                  <w:pPr>
                    <w:pStyle w:val="27"/>
                    <w:rPr>
                      <w:color w:val="000000"/>
                      <w:sz w:val="21"/>
                    </w:rPr>
                  </w:pPr>
                  <w:r>
                    <w:rPr>
                      <w:rFonts w:hint="eastAsia"/>
                      <w:color w:val="000000"/>
                      <w:sz w:val="21"/>
                    </w:rPr>
                    <w:t>氢氧化钠</w:t>
                  </w:r>
                </w:p>
              </w:tc>
              <w:tc>
                <w:tcPr>
                  <w:tcW w:w="892" w:type="pct"/>
                  <w:noWrap w:val="0"/>
                  <w:vAlign w:val="center"/>
                </w:tcPr>
                <w:p w14:paraId="3F9D02E2">
                  <w:pPr>
                    <w:pStyle w:val="27"/>
                    <w:rPr>
                      <w:rFonts w:hint="eastAsia"/>
                      <w:color w:val="000000"/>
                      <w:sz w:val="21"/>
                    </w:rPr>
                  </w:pPr>
                  <w:r>
                    <w:rPr>
                      <w:rFonts w:hint="eastAsia"/>
                      <w:color w:val="000000"/>
                      <w:sz w:val="21"/>
                    </w:rPr>
                    <w:t>酸雾洗涤塔</w:t>
                  </w:r>
                </w:p>
              </w:tc>
            </w:tr>
            <w:tr w14:paraId="2321D9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48AAAF5E">
                  <w:pPr>
                    <w:pStyle w:val="27"/>
                    <w:rPr>
                      <w:rFonts w:hint="eastAsia"/>
                      <w:color w:val="000000"/>
                      <w:sz w:val="21"/>
                    </w:rPr>
                  </w:pPr>
                </w:p>
              </w:tc>
              <w:tc>
                <w:tcPr>
                  <w:tcW w:w="432" w:type="pct"/>
                  <w:noWrap w:val="0"/>
                  <w:vAlign w:val="center"/>
                </w:tcPr>
                <w:p w14:paraId="0C4E9347">
                  <w:pPr>
                    <w:pStyle w:val="27"/>
                    <w:rPr>
                      <w:rFonts w:hint="eastAsia" w:eastAsia="宋体"/>
                      <w:color w:val="000000"/>
                      <w:sz w:val="21"/>
                      <w:lang w:eastAsia="zh-CN"/>
                    </w:rPr>
                  </w:pPr>
                  <w:r>
                    <w:rPr>
                      <w:rFonts w:hint="eastAsia"/>
                      <w:color w:val="000000"/>
                      <w:sz w:val="21"/>
                    </w:rPr>
                    <w:t>S</w:t>
                  </w:r>
                  <w:r>
                    <w:rPr>
                      <w:rFonts w:hint="eastAsia"/>
                      <w:color w:val="000000"/>
                      <w:sz w:val="21"/>
                      <w:lang w:val="en-US" w:eastAsia="zh-CN"/>
                    </w:rPr>
                    <w:t>9</w:t>
                  </w:r>
                </w:p>
              </w:tc>
              <w:tc>
                <w:tcPr>
                  <w:tcW w:w="969" w:type="pct"/>
                  <w:noWrap w:val="0"/>
                  <w:vAlign w:val="center"/>
                </w:tcPr>
                <w:p w14:paraId="76685114">
                  <w:pPr>
                    <w:pStyle w:val="27"/>
                    <w:rPr>
                      <w:rFonts w:hint="eastAsia"/>
                      <w:color w:val="000000"/>
                      <w:sz w:val="21"/>
                    </w:rPr>
                  </w:pPr>
                  <w:r>
                    <w:rPr>
                      <w:rFonts w:hint="eastAsia"/>
                      <w:color w:val="000000"/>
                      <w:sz w:val="21"/>
                    </w:rPr>
                    <w:t>隔油渣</w:t>
                  </w:r>
                </w:p>
              </w:tc>
              <w:tc>
                <w:tcPr>
                  <w:tcW w:w="1116" w:type="pct"/>
                  <w:noWrap w:val="0"/>
                  <w:vAlign w:val="center"/>
                </w:tcPr>
                <w:p w14:paraId="50BD59A9">
                  <w:pPr>
                    <w:pStyle w:val="27"/>
                    <w:rPr>
                      <w:color w:val="000000"/>
                      <w:sz w:val="21"/>
                    </w:rPr>
                  </w:pPr>
                  <w:r>
                    <w:rPr>
                      <w:rFonts w:hint="eastAsia"/>
                      <w:color w:val="000000"/>
                      <w:sz w:val="21"/>
                    </w:rPr>
                    <w:t>废水处理</w:t>
                  </w:r>
                </w:p>
              </w:tc>
              <w:tc>
                <w:tcPr>
                  <w:tcW w:w="1199" w:type="pct"/>
                  <w:noWrap w:val="0"/>
                  <w:vAlign w:val="center"/>
                </w:tcPr>
                <w:p w14:paraId="6B3FCD12">
                  <w:pPr>
                    <w:pStyle w:val="27"/>
                    <w:rPr>
                      <w:color w:val="000000"/>
                      <w:sz w:val="21"/>
                    </w:rPr>
                  </w:pPr>
                  <w:r>
                    <w:rPr>
                      <w:rFonts w:hint="eastAsia"/>
                      <w:color w:val="000000"/>
                      <w:sz w:val="21"/>
                    </w:rPr>
                    <w:t>废油、水</w:t>
                  </w:r>
                </w:p>
              </w:tc>
              <w:tc>
                <w:tcPr>
                  <w:tcW w:w="892" w:type="pct"/>
                  <w:noWrap w:val="0"/>
                  <w:vAlign w:val="center"/>
                </w:tcPr>
                <w:p w14:paraId="68B9406C">
                  <w:pPr>
                    <w:pStyle w:val="27"/>
                    <w:rPr>
                      <w:color w:val="000000"/>
                      <w:sz w:val="21"/>
                    </w:rPr>
                  </w:pPr>
                  <w:r>
                    <w:rPr>
                      <w:rFonts w:hint="eastAsia"/>
                      <w:color w:val="000000"/>
                      <w:sz w:val="21"/>
                    </w:rPr>
                    <w:t>废水预处理设施</w:t>
                  </w:r>
                </w:p>
              </w:tc>
            </w:tr>
            <w:tr w14:paraId="453A2B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5240FED8">
                  <w:pPr>
                    <w:pStyle w:val="27"/>
                    <w:rPr>
                      <w:rFonts w:hint="eastAsia"/>
                      <w:color w:val="000000"/>
                      <w:sz w:val="21"/>
                    </w:rPr>
                  </w:pPr>
                </w:p>
              </w:tc>
              <w:tc>
                <w:tcPr>
                  <w:tcW w:w="432" w:type="pct"/>
                  <w:noWrap w:val="0"/>
                  <w:vAlign w:val="center"/>
                </w:tcPr>
                <w:p w14:paraId="10A552D4">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10</w:t>
                  </w:r>
                </w:p>
              </w:tc>
              <w:tc>
                <w:tcPr>
                  <w:tcW w:w="969" w:type="pct"/>
                  <w:noWrap w:val="0"/>
                  <w:vAlign w:val="center"/>
                </w:tcPr>
                <w:p w14:paraId="4ED68B83">
                  <w:pPr>
                    <w:pStyle w:val="27"/>
                    <w:rPr>
                      <w:color w:val="000000"/>
                      <w:sz w:val="21"/>
                    </w:rPr>
                  </w:pPr>
                  <w:r>
                    <w:rPr>
                      <w:rFonts w:hint="eastAsia"/>
                      <w:color w:val="000000"/>
                      <w:sz w:val="21"/>
                    </w:rPr>
                    <w:t>沉渣</w:t>
                  </w:r>
                </w:p>
              </w:tc>
              <w:tc>
                <w:tcPr>
                  <w:tcW w:w="1116" w:type="pct"/>
                  <w:noWrap w:val="0"/>
                  <w:vAlign w:val="center"/>
                </w:tcPr>
                <w:p w14:paraId="19B3A5F9">
                  <w:pPr>
                    <w:pStyle w:val="27"/>
                    <w:rPr>
                      <w:rFonts w:hint="eastAsia"/>
                      <w:color w:val="000000"/>
                      <w:sz w:val="21"/>
                    </w:rPr>
                  </w:pPr>
                  <w:r>
                    <w:rPr>
                      <w:rFonts w:hint="eastAsia"/>
                      <w:color w:val="000000"/>
                      <w:sz w:val="21"/>
                    </w:rPr>
                    <w:t>废水处理</w:t>
                  </w:r>
                </w:p>
              </w:tc>
              <w:tc>
                <w:tcPr>
                  <w:tcW w:w="1199" w:type="pct"/>
                  <w:noWrap w:val="0"/>
                  <w:vAlign w:val="center"/>
                </w:tcPr>
                <w:p w14:paraId="2444C9E6">
                  <w:pPr>
                    <w:pStyle w:val="27"/>
                    <w:rPr>
                      <w:color w:val="000000"/>
                      <w:sz w:val="21"/>
                    </w:rPr>
                  </w:pPr>
                  <w:r>
                    <w:rPr>
                      <w:rFonts w:hint="eastAsia"/>
                      <w:color w:val="000000"/>
                      <w:sz w:val="21"/>
                    </w:rPr>
                    <w:t>砂、水</w:t>
                  </w:r>
                </w:p>
              </w:tc>
              <w:tc>
                <w:tcPr>
                  <w:tcW w:w="892" w:type="pct"/>
                  <w:noWrap w:val="0"/>
                  <w:vAlign w:val="center"/>
                </w:tcPr>
                <w:p w14:paraId="520B4169">
                  <w:pPr>
                    <w:pStyle w:val="27"/>
                    <w:rPr>
                      <w:rFonts w:hint="eastAsia"/>
                      <w:color w:val="000000"/>
                      <w:sz w:val="21"/>
                    </w:rPr>
                  </w:pPr>
                  <w:r>
                    <w:rPr>
                      <w:rFonts w:hint="eastAsia"/>
                      <w:color w:val="000000"/>
                      <w:sz w:val="21"/>
                    </w:rPr>
                    <w:t>废水预处理设施</w:t>
                  </w:r>
                </w:p>
              </w:tc>
            </w:tr>
            <w:tr w14:paraId="54CD62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6A84F141">
                  <w:pPr>
                    <w:pStyle w:val="27"/>
                    <w:rPr>
                      <w:rFonts w:hint="eastAsia"/>
                      <w:color w:val="000000"/>
                      <w:sz w:val="21"/>
                    </w:rPr>
                  </w:pPr>
                </w:p>
              </w:tc>
              <w:tc>
                <w:tcPr>
                  <w:tcW w:w="432" w:type="pct"/>
                  <w:noWrap w:val="0"/>
                  <w:vAlign w:val="center"/>
                </w:tcPr>
                <w:p w14:paraId="18902BA2">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11</w:t>
                  </w:r>
                </w:p>
              </w:tc>
              <w:tc>
                <w:tcPr>
                  <w:tcW w:w="969" w:type="pct"/>
                  <w:noWrap w:val="0"/>
                  <w:vAlign w:val="center"/>
                </w:tcPr>
                <w:p w14:paraId="160BC3BC">
                  <w:pPr>
                    <w:pStyle w:val="27"/>
                    <w:rPr>
                      <w:rFonts w:hint="eastAsia" w:cs="宋体"/>
                      <w:color w:val="000000"/>
                      <w:sz w:val="21"/>
                    </w:rPr>
                  </w:pPr>
                  <w:r>
                    <w:rPr>
                      <w:rFonts w:hint="eastAsia"/>
                      <w:color w:val="000000"/>
                      <w:sz w:val="21"/>
                    </w:rPr>
                    <w:t>废机油</w:t>
                  </w:r>
                </w:p>
              </w:tc>
              <w:tc>
                <w:tcPr>
                  <w:tcW w:w="1116" w:type="pct"/>
                  <w:noWrap w:val="0"/>
                  <w:vAlign w:val="center"/>
                </w:tcPr>
                <w:p w14:paraId="4367A004">
                  <w:pPr>
                    <w:pStyle w:val="27"/>
                    <w:rPr>
                      <w:rFonts w:hint="eastAsia" w:cs="宋体"/>
                      <w:color w:val="000000"/>
                      <w:sz w:val="21"/>
                    </w:rPr>
                  </w:pPr>
                  <w:r>
                    <w:rPr>
                      <w:rFonts w:hint="eastAsia"/>
                      <w:color w:val="000000"/>
                      <w:sz w:val="21"/>
                    </w:rPr>
                    <w:t>设备维护保养</w:t>
                  </w:r>
                </w:p>
              </w:tc>
              <w:tc>
                <w:tcPr>
                  <w:tcW w:w="1199" w:type="pct"/>
                  <w:noWrap w:val="0"/>
                  <w:vAlign w:val="center"/>
                </w:tcPr>
                <w:p w14:paraId="6A71358B">
                  <w:pPr>
                    <w:pStyle w:val="27"/>
                    <w:rPr>
                      <w:rFonts w:hint="eastAsia"/>
                      <w:color w:val="000000"/>
                      <w:sz w:val="21"/>
                    </w:rPr>
                  </w:pPr>
                  <w:r>
                    <w:rPr>
                      <w:rFonts w:hint="eastAsia"/>
                      <w:color w:val="000000"/>
                      <w:sz w:val="21"/>
                    </w:rPr>
                    <w:t>废机油</w:t>
                  </w:r>
                </w:p>
              </w:tc>
              <w:tc>
                <w:tcPr>
                  <w:tcW w:w="892" w:type="pct"/>
                  <w:noWrap w:val="0"/>
                  <w:vAlign w:val="center"/>
                </w:tcPr>
                <w:p w14:paraId="024D5F16">
                  <w:pPr>
                    <w:pStyle w:val="27"/>
                    <w:rPr>
                      <w:rFonts w:hint="eastAsia"/>
                      <w:color w:val="000000"/>
                      <w:sz w:val="21"/>
                    </w:rPr>
                  </w:pPr>
                  <w:r>
                    <w:rPr>
                      <w:rFonts w:hint="eastAsia"/>
                      <w:color w:val="000000"/>
                      <w:sz w:val="21"/>
                    </w:rPr>
                    <w:t>/</w:t>
                  </w:r>
                </w:p>
              </w:tc>
            </w:tr>
            <w:tr w14:paraId="193BFB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77E17FBF">
                  <w:pPr>
                    <w:pStyle w:val="27"/>
                    <w:rPr>
                      <w:rFonts w:hint="eastAsia"/>
                      <w:color w:val="000000"/>
                      <w:sz w:val="21"/>
                    </w:rPr>
                  </w:pPr>
                </w:p>
              </w:tc>
              <w:tc>
                <w:tcPr>
                  <w:tcW w:w="432" w:type="pct"/>
                  <w:noWrap w:val="0"/>
                  <w:vAlign w:val="center"/>
                </w:tcPr>
                <w:p w14:paraId="47D5A384">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12</w:t>
                  </w:r>
                </w:p>
              </w:tc>
              <w:tc>
                <w:tcPr>
                  <w:tcW w:w="969" w:type="pct"/>
                  <w:noWrap w:val="0"/>
                  <w:vAlign w:val="center"/>
                </w:tcPr>
                <w:p w14:paraId="46977690">
                  <w:pPr>
                    <w:pStyle w:val="27"/>
                    <w:rPr>
                      <w:color w:val="000000"/>
                      <w:sz w:val="21"/>
                    </w:rPr>
                  </w:pPr>
                  <w:r>
                    <w:rPr>
                      <w:rFonts w:hint="eastAsia"/>
                      <w:color w:val="000000"/>
                      <w:sz w:val="21"/>
                    </w:rPr>
                    <w:t>废油桶</w:t>
                  </w:r>
                </w:p>
              </w:tc>
              <w:tc>
                <w:tcPr>
                  <w:tcW w:w="1116" w:type="pct"/>
                  <w:noWrap w:val="0"/>
                  <w:vAlign w:val="center"/>
                </w:tcPr>
                <w:p w14:paraId="74A3814B">
                  <w:pPr>
                    <w:pStyle w:val="27"/>
                    <w:rPr>
                      <w:rFonts w:hint="eastAsia"/>
                      <w:color w:val="000000"/>
                      <w:sz w:val="21"/>
                    </w:rPr>
                  </w:pPr>
                  <w:r>
                    <w:rPr>
                      <w:rFonts w:hint="eastAsia"/>
                      <w:color w:val="000000"/>
                      <w:sz w:val="21"/>
                    </w:rPr>
                    <w:t>设备维护保养</w:t>
                  </w:r>
                </w:p>
              </w:tc>
              <w:tc>
                <w:tcPr>
                  <w:tcW w:w="1199" w:type="pct"/>
                  <w:noWrap w:val="0"/>
                  <w:vAlign w:val="center"/>
                </w:tcPr>
                <w:p w14:paraId="066B3B9A">
                  <w:pPr>
                    <w:pStyle w:val="27"/>
                    <w:rPr>
                      <w:rFonts w:hint="eastAsia"/>
                      <w:color w:val="000000"/>
                      <w:sz w:val="21"/>
                    </w:rPr>
                  </w:pPr>
                  <w:r>
                    <w:rPr>
                      <w:rFonts w:hint="eastAsia"/>
                      <w:color w:val="000000"/>
                      <w:sz w:val="21"/>
                    </w:rPr>
                    <w:t>废机油</w:t>
                  </w:r>
                </w:p>
              </w:tc>
              <w:tc>
                <w:tcPr>
                  <w:tcW w:w="892" w:type="pct"/>
                  <w:noWrap w:val="0"/>
                  <w:vAlign w:val="center"/>
                </w:tcPr>
                <w:p w14:paraId="593E3342">
                  <w:pPr>
                    <w:pStyle w:val="27"/>
                    <w:rPr>
                      <w:color w:val="000000"/>
                      <w:sz w:val="21"/>
                    </w:rPr>
                  </w:pPr>
                  <w:r>
                    <w:rPr>
                      <w:rFonts w:hint="eastAsia"/>
                      <w:color w:val="000000"/>
                      <w:sz w:val="21"/>
                    </w:rPr>
                    <w:t>/</w:t>
                  </w:r>
                </w:p>
              </w:tc>
            </w:tr>
            <w:tr w14:paraId="464201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0BA9A669">
                  <w:pPr>
                    <w:pStyle w:val="27"/>
                    <w:rPr>
                      <w:rFonts w:hint="eastAsia"/>
                      <w:color w:val="000000"/>
                      <w:sz w:val="21"/>
                    </w:rPr>
                  </w:pPr>
                </w:p>
              </w:tc>
              <w:tc>
                <w:tcPr>
                  <w:tcW w:w="432" w:type="pct"/>
                  <w:noWrap w:val="0"/>
                  <w:vAlign w:val="center"/>
                </w:tcPr>
                <w:p w14:paraId="552FDC1C">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13</w:t>
                  </w:r>
                </w:p>
              </w:tc>
              <w:tc>
                <w:tcPr>
                  <w:tcW w:w="969" w:type="pct"/>
                  <w:noWrap w:val="0"/>
                  <w:vAlign w:val="center"/>
                </w:tcPr>
                <w:p w14:paraId="50A76AA6">
                  <w:pPr>
                    <w:pStyle w:val="27"/>
                    <w:rPr>
                      <w:rFonts w:hint="eastAsia" w:cs="宋体"/>
                      <w:color w:val="000000"/>
                      <w:sz w:val="21"/>
                    </w:rPr>
                  </w:pPr>
                  <w:r>
                    <w:rPr>
                      <w:rFonts w:hint="eastAsia"/>
                      <w:color w:val="000000"/>
                      <w:sz w:val="21"/>
                    </w:rPr>
                    <w:t>含油废手套等劳保用品</w:t>
                  </w:r>
                </w:p>
              </w:tc>
              <w:tc>
                <w:tcPr>
                  <w:tcW w:w="1116" w:type="pct"/>
                  <w:noWrap w:val="0"/>
                  <w:vAlign w:val="center"/>
                </w:tcPr>
                <w:p w14:paraId="657D74AF">
                  <w:pPr>
                    <w:pStyle w:val="27"/>
                    <w:rPr>
                      <w:rFonts w:hint="eastAsia" w:cs="宋体"/>
                      <w:color w:val="000000"/>
                      <w:sz w:val="21"/>
                    </w:rPr>
                  </w:pPr>
                  <w:r>
                    <w:rPr>
                      <w:rFonts w:hint="eastAsia"/>
                      <w:color w:val="000000"/>
                      <w:sz w:val="21"/>
                    </w:rPr>
                    <w:t>设备维护保养</w:t>
                  </w:r>
                </w:p>
              </w:tc>
              <w:tc>
                <w:tcPr>
                  <w:tcW w:w="1199" w:type="pct"/>
                  <w:noWrap w:val="0"/>
                  <w:vAlign w:val="center"/>
                </w:tcPr>
                <w:p w14:paraId="40C46CF6">
                  <w:pPr>
                    <w:pStyle w:val="27"/>
                    <w:rPr>
                      <w:rFonts w:hint="eastAsia"/>
                      <w:color w:val="000000"/>
                      <w:sz w:val="21"/>
                    </w:rPr>
                  </w:pPr>
                  <w:r>
                    <w:rPr>
                      <w:rFonts w:hint="eastAsia"/>
                      <w:color w:val="000000"/>
                      <w:sz w:val="21"/>
                    </w:rPr>
                    <w:t>手套、废油</w:t>
                  </w:r>
                </w:p>
              </w:tc>
              <w:tc>
                <w:tcPr>
                  <w:tcW w:w="892" w:type="pct"/>
                  <w:noWrap w:val="0"/>
                  <w:vAlign w:val="center"/>
                </w:tcPr>
                <w:p w14:paraId="71D22CC1">
                  <w:pPr>
                    <w:pStyle w:val="27"/>
                    <w:rPr>
                      <w:rFonts w:hint="eastAsia"/>
                      <w:color w:val="000000"/>
                      <w:sz w:val="21"/>
                    </w:rPr>
                  </w:pPr>
                  <w:r>
                    <w:rPr>
                      <w:rFonts w:hint="eastAsia"/>
                      <w:color w:val="000000"/>
                      <w:sz w:val="21"/>
                    </w:rPr>
                    <w:t>/</w:t>
                  </w:r>
                </w:p>
              </w:tc>
            </w:tr>
            <w:tr w14:paraId="085B57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266AF2DF">
                  <w:pPr>
                    <w:pStyle w:val="27"/>
                    <w:rPr>
                      <w:rFonts w:hint="eastAsia"/>
                      <w:color w:val="000000"/>
                      <w:sz w:val="21"/>
                    </w:rPr>
                  </w:pPr>
                </w:p>
              </w:tc>
              <w:tc>
                <w:tcPr>
                  <w:tcW w:w="432" w:type="pct"/>
                  <w:noWrap w:val="0"/>
                  <w:vAlign w:val="center"/>
                </w:tcPr>
                <w:p w14:paraId="40A43AC8">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14</w:t>
                  </w:r>
                </w:p>
              </w:tc>
              <w:tc>
                <w:tcPr>
                  <w:tcW w:w="969" w:type="pct"/>
                  <w:noWrap w:val="0"/>
                  <w:vAlign w:val="center"/>
                </w:tcPr>
                <w:p w14:paraId="0AB6AA0E">
                  <w:pPr>
                    <w:pStyle w:val="27"/>
                    <w:rPr>
                      <w:rFonts w:hint="eastAsia"/>
                      <w:color w:val="000000"/>
                      <w:sz w:val="21"/>
                    </w:rPr>
                  </w:pPr>
                  <w:r>
                    <w:rPr>
                      <w:rFonts w:hint="eastAsia"/>
                      <w:color w:val="000000"/>
                      <w:sz w:val="21"/>
                    </w:rPr>
                    <w:t>叉车废蓄电池</w:t>
                  </w:r>
                </w:p>
              </w:tc>
              <w:tc>
                <w:tcPr>
                  <w:tcW w:w="1116" w:type="pct"/>
                  <w:noWrap w:val="0"/>
                  <w:vAlign w:val="center"/>
                </w:tcPr>
                <w:p w14:paraId="10D04E26">
                  <w:pPr>
                    <w:pStyle w:val="27"/>
                    <w:rPr>
                      <w:rFonts w:hint="eastAsia"/>
                      <w:color w:val="000000"/>
                      <w:sz w:val="21"/>
                    </w:rPr>
                  </w:pPr>
                  <w:r>
                    <w:rPr>
                      <w:rFonts w:hint="eastAsia"/>
                      <w:color w:val="000000"/>
                      <w:sz w:val="21"/>
                    </w:rPr>
                    <w:t>厂内运输</w:t>
                  </w:r>
                </w:p>
              </w:tc>
              <w:tc>
                <w:tcPr>
                  <w:tcW w:w="1199" w:type="pct"/>
                  <w:noWrap w:val="0"/>
                  <w:vAlign w:val="center"/>
                </w:tcPr>
                <w:p w14:paraId="2625F183">
                  <w:pPr>
                    <w:pStyle w:val="27"/>
                    <w:rPr>
                      <w:color w:val="000000"/>
                      <w:sz w:val="21"/>
                    </w:rPr>
                  </w:pPr>
                  <w:r>
                    <w:rPr>
                      <w:rFonts w:hint="eastAsia"/>
                      <w:color w:val="000000"/>
                      <w:sz w:val="21"/>
                    </w:rPr>
                    <w:t>铅、酸</w:t>
                  </w:r>
                </w:p>
              </w:tc>
              <w:tc>
                <w:tcPr>
                  <w:tcW w:w="892" w:type="pct"/>
                  <w:noWrap w:val="0"/>
                  <w:vAlign w:val="center"/>
                </w:tcPr>
                <w:p w14:paraId="642BC39B">
                  <w:pPr>
                    <w:pStyle w:val="27"/>
                    <w:rPr>
                      <w:rFonts w:hint="eastAsia"/>
                      <w:color w:val="000000"/>
                      <w:sz w:val="21"/>
                    </w:rPr>
                  </w:pPr>
                  <w:r>
                    <w:rPr>
                      <w:rFonts w:hint="eastAsia"/>
                      <w:color w:val="000000"/>
                      <w:sz w:val="21"/>
                    </w:rPr>
                    <w:t>叉车</w:t>
                  </w:r>
                </w:p>
              </w:tc>
            </w:tr>
            <w:tr w14:paraId="1DB67C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0BA1F7DF">
                  <w:pPr>
                    <w:pStyle w:val="27"/>
                    <w:rPr>
                      <w:rFonts w:hint="eastAsia"/>
                      <w:color w:val="000000"/>
                      <w:sz w:val="21"/>
                    </w:rPr>
                  </w:pPr>
                </w:p>
              </w:tc>
              <w:tc>
                <w:tcPr>
                  <w:tcW w:w="432" w:type="pct"/>
                  <w:noWrap w:val="0"/>
                  <w:vAlign w:val="center"/>
                </w:tcPr>
                <w:p w14:paraId="72196DD7">
                  <w:pPr>
                    <w:pStyle w:val="27"/>
                    <w:rPr>
                      <w:rFonts w:hint="default" w:eastAsia="宋体"/>
                      <w:color w:val="000000"/>
                      <w:sz w:val="21"/>
                      <w:lang w:val="en-US" w:eastAsia="zh-CN"/>
                    </w:rPr>
                  </w:pPr>
                  <w:r>
                    <w:rPr>
                      <w:rFonts w:hint="eastAsia"/>
                      <w:color w:val="000000"/>
                      <w:sz w:val="21"/>
                    </w:rPr>
                    <w:t>S</w:t>
                  </w:r>
                  <w:r>
                    <w:rPr>
                      <w:rFonts w:hint="eastAsia"/>
                      <w:color w:val="000000"/>
                      <w:sz w:val="21"/>
                      <w:lang w:val="en-US" w:eastAsia="zh-CN"/>
                    </w:rPr>
                    <w:t>15</w:t>
                  </w:r>
                </w:p>
              </w:tc>
              <w:tc>
                <w:tcPr>
                  <w:tcW w:w="969" w:type="pct"/>
                  <w:noWrap w:val="0"/>
                  <w:vAlign w:val="center"/>
                </w:tcPr>
                <w:p w14:paraId="0B2A21E3">
                  <w:pPr>
                    <w:pStyle w:val="27"/>
                    <w:rPr>
                      <w:color w:val="000000"/>
                      <w:sz w:val="21"/>
                    </w:rPr>
                  </w:pPr>
                  <w:r>
                    <w:rPr>
                      <w:rFonts w:hint="eastAsia"/>
                      <w:color w:val="000000"/>
                      <w:sz w:val="21"/>
                    </w:rPr>
                    <w:t>生活垃圾</w:t>
                  </w:r>
                </w:p>
              </w:tc>
              <w:tc>
                <w:tcPr>
                  <w:tcW w:w="1116" w:type="pct"/>
                  <w:noWrap w:val="0"/>
                  <w:vAlign w:val="center"/>
                </w:tcPr>
                <w:p w14:paraId="0546CAFE">
                  <w:pPr>
                    <w:pStyle w:val="27"/>
                    <w:rPr>
                      <w:color w:val="000000"/>
                      <w:sz w:val="21"/>
                    </w:rPr>
                  </w:pPr>
                  <w:r>
                    <w:rPr>
                      <w:rFonts w:hint="eastAsia"/>
                      <w:color w:val="000000"/>
                      <w:sz w:val="21"/>
                    </w:rPr>
                    <w:t>职工日常办公等</w:t>
                  </w:r>
                </w:p>
              </w:tc>
              <w:tc>
                <w:tcPr>
                  <w:tcW w:w="1199" w:type="pct"/>
                  <w:noWrap w:val="0"/>
                  <w:vAlign w:val="center"/>
                </w:tcPr>
                <w:p w14:paraId="5CE1B8E1">
                  <w:pPr>
                    <w:pStyle w:val="27"/>
                    <w:rPr>
                      <w:color w:val="000000"/>
                      <w:sz w:val="21"/>
                    </w:rPr>
                  </w:pPr>
                  <w:r>
                    <w:rPr>
                      <w:rFonts w:hint="eastAsia"/>
                      <w:color w:val="000000"/>
                      <w:sz w:val="21"/>
                    </w:rPr>
                    <w:t>生活垃圾</w:t>
                  </w:r>
                </w:p>
              </w:tc>
              <w:tc>
                <w:tcPr>
                  <w:tcW w:w="892" w:type="pct"/>
                  <w:noWrap w:val="0"/>
                  <w:vAlign w:val="center"/>
                </w:tcPr>
                <w:p w14:paraId="7CC40B24">
                  <w:pPr>
                    <w:pStyle w:val="27"/>
                    <w:rPr>
                      <w:color w:val="000000"/>
                      <w:sz w:val="21"/>
                    </w:rPr>
                  </w:pPr>
                  <w:r>
                    <w:rPr>
                      <w:rFonts w:hint="eastAsia"/>
                      <w:color w:val="000000"/>
                      <w:sz w:val="21"/>
                    </w:rPr>
                    <w:t>/</w:t>
                  </w:r>
                </w:p>
              </w:tc>
            </w:tr>
            <w:tr w14:paraId="48BF0C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vMerge w:val="continue"/>
                  <w:noWrap w:val="0"/>
                  <w:vAlign w:val="center"/>
                </w:tcPr>
                <w:p w14:paraId="2D4FA547">
                  <w:pPr>
                    <w:pStyle w:val="27"/>
                    <w:rPr>
                      <w:rFonts w:hint="eastAsia"/>
                      <w:color w:val="000000"/>
                      <w:sz w:val="21"/>
                    </w:rPr>
                  </w:pPr>
                </w:p>
              </w:tc>
              <w:tc>
                <w:tcPr>
                  <w:tcW w:w="432" w:type="pct"/>
                  <w:noWrap w:val="0"/>
                  <w:vAlign w:val="center"/>
                </w:tcPr>
                <w:p w14:paraId="2399B0A3">
                  <w:pPr>
                    <w:pStyle w:val="27"/>
                    <w:rPr>
                      <w:rFonts w:hint="default" w:eastAsia="宋体"/>
                      <w:color w:val="000000"/>
                      <w:sz w:val="21"/>
                      <w:lang w:val="en-US" w:eastAsia="zh-CN"/>
                    </w:rPr>
                  </w:pPr>
                  <w:r>
                    <w:rPr>
                      <w:rFonts w:hint="eastAsia"/>
                      <w:color w:val="000000"/>
                      <w:sz w:val="21"/>
                      <w:lang w:val="en-US" w:eastAsia="zh-CN"/>
                    </w:rPr>
                    <w:t>S16</w:t>
                  </w:r>
                </w:p>
              </w:tc>
              <w:tc>
                <w:tcPr>
                  <w:tcW w:w="969" w:type="pct"/>
                  <w:noWrap w:val="0"/>
                  <w:vAlign w:val="center"/>
                </w:tcPr>
                <w:p w14:paraId="7823C0D4">
                  <w:pPr>
                    <w:pStyle w:val="27"/>
                    <w:rPr>
                      <w:rFonts w:hint="default" w:eastAsia="宋体"/>
                      <w:color w:val="000000"/>
                      <w:sz w:val="21"/>
                      <w:lang w:val="en-US" w:eastAsia="zh-CN"/>
                    </w:rPr>
                  </w:pPr>
                  <w:r>
                    <w:rPr>
                      <w:rFonts w:hint="eastAsia"/>
                      <w:color w:val="000000"/>
                      <w:sz w:val="21"/>
                      <w:lang w:val="en-US" w:eastAsia="zh-CN"/>
                    </w:rPr>
                    <w:t>废布袋</w:t>
                  </w:r>
                </w:p>
              </w:tc>
              <w:tc>
                <w:tcPr>
                  <w:tcW w:w="1116" w:type="pct"/>
                  <w:noWrap w:val="0"/>
                  <w:vAlign w:val="center"/>
                </w:tcPr>
                <w:p w14:paraId="508B2715">
                  <w:pPr>
                    <w:pStyle w:val="27"/>
                    <w:rPr>
                      <w:rFonts w:hint="eastAsia" w:eastAsia="宋体"/>
                      <w:color w:val="000000"/>
                      <w:sz w:val="21"/>
                      <w:lang w:val="en-US" w:eastAsia="zh-CN"/>
                    </w:rPr>
                  </w:pPr>
                  <w:r>
                    <w:rPr>
                      <w:rFonts w:hint="eastAsia"/>
                      <w:color w:val="000000"/>
                      <w:sz w:val="21"/>
                      <w:lang w:val="en-US" w:eastAsia="zh-CN"/>
                    </w:rPr>
                    <w:t>废气处理</w:t>
                  </w:r>
                </w:p>
              </w:tc>
              <w:tc>
                <w:tcPr>
                  <w:tcW w:w="1199" w:type="pct"/>
                  <w:noWrap w:val="0"/>
                  <w:vAlign w:val="center"/>
                </w:tcPr>
                <w:p w14:paraId="64BA56DC">
                  <w:pPr>
                    <w:pStyle w:val="27"/>
                    <w:rPr>
                      <w:rFonts w:hint="eastAsia"/>
                      <w:color w:val="000000"/>
                      <w:sz w:val="21"/>
                    </w:rPr>
                  </w:pPr>
                  <w:r>
                    <w:rPr>
                      <w:rFonts w:hint="eastAsia"/>
                      <w:color w:val="000000"/>
                      <w:sz w:val="21"/>
                    </w:rPr>
                    <w:t>/</w:t>
                  </w:r>
                </w:p>
              </w:tc>
              <w:tc>
                <w:tcPr>
                  <w:tcW w:w="892" w:type="pct"/>
                  <w:noWrap w:val="0"/>
                  <w:vAlign w:val="center"/>
                </w:tcPr>
                <w:p w14:paraId="14289383">
                  <w:pPr>
                    <w:pStyle w:val="27"/>
                    <w:rPr>
                      <w:rFonts w:hint="eastAsia" w:eastAsia="宋体"/>
                      <w:color w:val="000000"/>
                      <w:sz w:val="21"/>
                      <w:lang w:val="en-US" w:eastAsia="zh-CN"/>
                    </w:rPr>
                  </w:pPr>
                  <w:r>
                    <w:rPr>
                      <w:rFonts w:hint="eastAsia"/>
                      <w:color w:val="000000"/>
                      <w:sz w:val="21"/>
                      <w:lang w:val="en-US" w:eastAsia="zh-CN"/>
                    </w:rPr>
                    <w:t>布袋除尘器</w:t>
                  </w:r>
                </w:p>
              </w:tc>
            </w:tr>
          </w:tbl>
          <w:p w14:paraId="1D8955FD">
            <w:pPr>
              <w:spacing w:line="360" w:lineRule="auto"/>
              <w:ind w:firstLine="420" w:firstLineChars="200"/>
              <w:rPr>
                <w:color w:val="000000"/>
              </w:rPr>
            </w:pPr>
          </w:p>
        </w:tc>
      </w:tr>
      <w:tr w14:paraId="447CE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noWrap w:val="0"/>
            <w:vAlign w:val="center"/>
          </w:tcPr>
          <w:p w14:paraId="660E2C8E">
            <w:pPr>
              <w:pStyle w:val="14"/>
              <w:adjustRightInd w:val="0"/>
              <w:snapToGrid w:val="0"/>
              <w:spacing w:before="0" w:beforeAutospacing="0" w:after="0" w:afterAutospacing="0"/>
              <w:jc w:val="center"/>
              <w:rPr>
                <w:rFonts w:ascii="Times New Roman" w:hAnsi="Times New Roman"/>
                <w:color w:val="000000"/>
                <w:szCs w:val="24"/>
              </w:rPr>
            </w:pPr>
            <w:r>
              <w:rPr>
                <w:rFonts w:ascii="Times New Roman" w:hAnsi="Times New Roman"/>
                <w:bCs/>
                <w:color w:val="000000"/>
                <w:kern w:val="2"/>
                <w:szCs w:val="24"/>
              </w:rPr>
              <w:t>与项目有关的原有环境污染问题</w:t>
            </w:r>
          </w:p>
        </w:tc>
        <w:tc>
          <w:tcPr>
            <w:tcW w:w="4777" w:type="pct"/>
            <w:noWrap w:val="0"/>
            <w:vAlign w:val="top"/>
          </w:tcPr>
          <w:p w14:paraId="2A74E970">
            <w:pPr>
              <w:spacing w:line="360" w:lineRule="auto"/>
              <w:ind w:firstLine="420" w:firstLineChars="200"/>
              <w:rPr>
                <w:rFonts w:hint="eastAsia"/>
                <w:bCs/>
                <w:color w:val="000000"/>
                <w:kern w:val="0"/>
                <w:highlight w:val="yellow"/>
              </w:rPr>
            </w:pPr>
            <w:r>
              <w:rPr>
                <w:rFonts w:hint="eastAsia"/>
                <w:color w:val="000000"/>
              </w:rPr>
              <w:t>本项目租用九龙坡区西彭镇铝城大道86号附1号现有厂区，目前已有2栋厂房、1栋办公楼及1栋门卫，均为空置。该厂区为出租方重庆赛亿高分子材料有限公司通过拍卖的方式竞得。经调查该厂区已闲置多年，原为重庆市金鹿电动车有限公司的生产厂房，生产电动车及电动轮（环评批复：渝（九）环准[2006]131号），主要工艺为焊接、组装、测试，现场无遗留污染。目前厂区内环保设施仅剩下生化池，处理工艺为厌氧消化，其处理规模为30m</w:t>
            </w:r>
            <w:r>
              <w:rPr>
                <w:rFonts w:hint="eastAsia"/>
                <w:color w:val="000000"/>
                <w:vertAlign w:val="superscript"/>
              </w:rPr>
              <w:t>3</w:t>
            </w:r>
            <w:r>
              <w:rPr>
                <w:rFonts w:hint="eastAsia"/>
                <w:color w:val="000000"/>
              </w:rPr>
              <w:t>/d，环评批复详见附件5。</w:t>
            </w:r>
          </w:p>
        </w:tc>
      </w:tr>
    </w:tbl>
    <w:p w14:paraId="36613A47">
      <w:pPr>
        <w:rPr>
          <w:color w:val="000000"/>
        </w:rPr>
        <w:sectPr>
          <w:footerReference r:id="rId9" w:type="default"/>
          <w:pgSz w:w="11905" w:h="16838"/>
          <w:pgMar w:top="1440" w:right="1531" w:bottom="1440" w:left="1531" w:header="851" w:footer="992" w:gutter="0"/>
          <w:cols w:space="720" w:num="1"/>
          <w:docGrid w:type="lines" w:linePitch="312" w:charSpace="0"/>
        </w:sectPr>
      </w:pPr>
    </w:p>
    <w:p w14:paraId="288D7FE2">
      <w:pPr>
        <w:pStyle w:val="14"/>
        <w:spacing w:before="0" w:beforeAutospacing="0" w:after="0" w:afterAutospacing="0"/>
        <w:jc w:val="center"/>
        <w:outlineLvl w:val="0"/>
        <w:rPr>
          <w:rFonts w:ascii="Times New Roman" w:hAnsi="Times New Roman"/>
          <w:b/>
          <w:bCs/>
          <w:snapToGrid w:val="0"/>
          <w:color w:val="000000"/>
          <w:sz w:val="30"/>
          <w:szCs w:val="30"/>
        </w:rPr>
      </w:pPr>
      <w:bookmarkStart w:id="8" w:name="_Toc95902494"/>
      <w:bookmarkStart w:id="9" w:name="_Toc99551041"/>
      <w:r>
        <w:rPr>
          <w:rFonts w:ascii="Times New Roman" w:hAnsi="Times New Roman"/>
          <w:b/>
          <w:bCs/>
          <w:snapToGrid w:val="0"/>
          <w:color w:val="000000"/>
          <w:sz w:val="30"/>
          <w:szCs w:val="30"/>
        </w:rPr>
        <w:t>三、区域环境质量现状、环境保护目标及评价标准</w:t>
      </w:r>
      <w:bookmarkEnd w:id="8"/>
      <w:bookmarkEnd w:id="9"/>
    </w:p>
    <w:tbl>
      <w:tblPr>
        <w:tblStyle w:val="16"/>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8255"/>
      </w:tblGrid>
      <w:tr w14:paraId="12CDE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noWrap w:val="0"/>
            <w:vAlign w:val="center"/>
          </w:tcPr>
          <w:p w14:paraId="6C42CB4E">
            <w:pPr>
              <w:adjustRightInd w:val="0"/>
              <w:snapToGrid w:val="0"/>
              <w:jc w:val="center"/>
              <w:rPr>
                <w:color w:val="000000"/>
                <w:kern w:val="0"/>
              </w:rPr>
            </w:pPr>
            <w:r>
              <w:rPr>
                <w:color w:val="000000"/>
                <w:kern w:val="0"/>
              </w:rPr>
              <w:t>区域</w:t>
            </w:r>
          </w:p>
          <w:p w14:paraId="73DD8E67">
            <w:pPr>
              <w:adjustRightInd w:val="0"/>
              <w:snapToGrid w:val="0"/>
              <w:jc w:val="center"/>
              <w:rPr>
                <w:color w:val="000000"/>
                <w:kern w:val="0"/>
              </w:rPr>
            </w:pPr>
            <w:r>
              <w:rPr>
                <w:color w:val="000000"/>
                <w:kern w:val="0"/>
              </w:rPr>
              <w:t>环境</w:t>
            </w:r>
          </w:p>
          <w:p w14:paraId="6AC97783">
            <w:pPr>
              <w:adjustRightInd w:val="0"/>
              <w:snapToGrid w:val="0"/>
              <w:jc w:val="center"/>
              <w:rPr>
                <w:color w:val="000000"/>
                <w:kern w:val="0"/>
              </w:rPr>
            </w:pPr>
            <w:r>
              <w:rPr>
                <w:color w:val="000000"/>
                <w:kern w:val="0"/>
              </w:rPr>
              <w:t>质量</w:t>
            </w:r>
          </w:p>
          <w:p w14:paraId="58F67CAE">
            <w:pPr>
              <w:adjustRightInd w:val="0"/>
              <w:snapToGrid w:val="0"/>
              <w:jc w:val="center"/>
              <w:rPr>
                <w:color w:val="000000"/>
                <w:kern w:val="0"/>
                <w:szCs w:val="21"/>
              </w:rPr>
            </w:pPr>
            <w:r>
              <w:rPr>
                <w:color w:val="000000"/>
                <w:kern w:val="0"/>
              </w:rPr>
              <w:t>现状</w:t>
            </w:r>
          </w:p>
        </w:tc>
        <w:tc>
          <w:tcPr>
            <w:tcW w:w="4558" w:type="pct"/>
            <w:noWrap w:val="0"/>
            <w:vAlign w:val="center"/>
          </w:tcPr>
          <w:p w14:paraId="26B06F8E">
            <w:pPr>
              <w:widowControl/>
              <w:adjustRightInd w:val="0"/>
              <w:spacing w:line="360" w:lineRule="auto"/>
              <w:contextualSpacing/>
              <w:jc w:val="left"/>
              <w:rPr>
                <w:b/>
                <w:color w:val="000000"/>
              </w:rPr>
            </w:pPr>
            <w:r>
              <w:rPr>
                <w:b/>
                <w:color w:val="000000"/>
              </w:rPr>
              <w:t>3.1环境空气质量</w:t>
            </w:r>
          </w:p>
          <w:p w14:paraId="07B14E6E">
            <w:pPr>
              <w:widowControl/>
              <w:adjustRightInd w:val="0"/>
              <w:spacing w:line="360" w:lineRule="auto"/>
              <w:ind w:firstLine="414" w:firstLineChars="197"/>
              <w:contextualSpacing/>
              <w:jc w:val="left"/>
              <w:rPr>
                <w:b/>
                <w:bCs/>
                <w:color w:val="000000"/>
                <w:kern w:val="0"/>
              </w:rPr>
            </w:pPr>
            <w:r>
              <w:rPr>
                <w:rFonts w:hint="eastAsia"/>
                <w:b/>
                <w:bCs/>
                <w:color w:val="000000"/>
                <w:kern w:val="0"/>
              </w:rPr>
              <w:t>（1）空气质量达标区判定</w:t>
            </w:r>
          </w:p>
          <w:p w14:paraId="2BFFF4C9">
            <w:pPr>
              <w:widowControl/>
              <w:adjustRightInd w:val="0"/>
              <w:spacing w:line="360" w:lineRule="auto"/>
              <w:ind w:firstLine="413" w:firstLineChars="197"/>
              <w:contextualSpacing/>
              <w:jc w:val="left"/>
              <w:rPr>
                <w:color w:val="000000"/>
                <w:kern w:val="0"/>
              </w:rPr>
            </w:pPr>
            <w:r>
              <w:rPr>
                <w:color w:val="000000"/>
                <w:kern w:val="0"/>
              </w:rPr>
              <w:t>根据《重庆市环境空气质量功能区划分规定》（渝府发[2016]19号）规定，项目所在地属二类区域，执行《环境空气质量标准》（GB3095-2012）中二级标准。</w:t>
            </w:r>
          </w:p>
          <w:p w14:paraId="3FA1A8BE">
            <w:pPr>
              <w:adjustRightInd w:val="0"/>
              <w:spacing w:line="360" w:lineRule="auto"/>
              <w:ind w:firstLine="420" w:firstLineChars="200"/>
              <w:contextualSpacing/>
              <w:rPr>
                <w:color w:val="000000"/>
              </w:rPr>
            </w:pPr>
            <w:r>
              <w:rPr>
                <w:color w:val="000000"/>
              </w:rPr>
              <w:t>项目位于重庆市</w:t>
            </w:r>
            <w:r>
              <w:rPr>
                <w:rFonts w:hint="eastAsia"/>
                <w:color w:val="000000"/>
              </w:rPr>
              <w:t>九龙坡</w:t>
            </w:r>
            <w:r>
              <w:rPr>
                <w:color w:val="000000"/>
              </w:rPr>
              <w:t>区，本次评价引用《</w:t>
            </w:r>
            <w:r>
              <w:rPr>
                <w:rFonts w:hint="eastAsia"/>
                <w:color w:val="000000"/>
              </w:rPr>
              <w:t>二〇二四年</w:t>
            </w:r>
            <w:r>
              <w:rPr>
                <w:color w:val="000000"/>
                <w:kern w:val="0"/>
              </w:rPr>
              <w:t>重庆市生态环境状况公报</w:t>
            </w:r>
            <w:r>
              <w:rPr>
                <w:color w:val="000000"/>
              </w:rPr>
              <w:t>》对</w:t>
            </w:r>
            <w:r>
              <w:rPr>
                <w:rFonts w:hint="eastAsia"/>
                <w:color w:val="000000"/>
              </w:rPr>
              <w:t>基本</w:t>
            </w:r>
            <w:r>
              <w:rPr>
                <w:color w:val="000000"/>
              </w:rPr>
              <w:t>因子SO</w:t>
            </w:r>
            <w:r>
              <w:rPr>
                <w:color w:val="000000"/>
                <w:vertAlign w:val="subscript"/>
              </w:rPr>
              <w:t>2</w:t>
            </w:r>
            <w:r>
              <w:rPr>
                <w:color w:val="000000"/>
              </w:rPr>
              <w:t>、NO</w:t>
            </w:r>
            <w:r>
              <w:rPr>
                <w:color w:val="000000"/>
                <w:vertAlign w:val="subscript"/>
              </w:rPr>
              <w:t>2</w:t>
            </w:r>
            <w:r>
              <w:rPr>
                <w:color w:val="000000"/>
              </w:rPr>
              <w:t>、PM</w:t>
            </w:r>
            <w:r>
              <w:rPr>
                <w:color w:val="000000"/>
                <w:vertAlign w:val="subscript"/>
              </w:rPr>
              <w:t>10</w:t>
            </w:r>
            <w:r>
              <w:rPr>
                <w:color w:val="000000"/>
              </w:rPr>
              <w:t>、PM</w:t>
            </w:r>
            <w:r>
              <w:rPr>
                <w:color w:val="000000"/>
                <w:vertAlign w:val="subscript"/>
              </w:rPr>
              <w:t>2.5</w:t>
            </w:r>
            <w:r>
              <w:rPr>
                <w:color w:val="000000"/>
              </w:rPr>
              <w:t>、CO、O</w:t>
            </w:r>
            <w:r>
              <w:rPr>
                <w:color w:val="000000"/>
                <w:vertAlign w:val="subscript"/>
              </w:rPr>
              <w:t>3</w:t>
            </w:r>
            <w:r>
              <w:rPr>
                <w:rFonts w:hint="eastAsia"/>
                <w:color w:val="000000"/>
              </w:rPr>
              <w:t>的例行监测数据</w:t>
            </w:r>
            <w:r>
              <w:rPr>
                <w:color w:val="000000"/>
              </w:rPr>
              <w:t>进行</w:t>
            </w:r>
            <w:r>
              <w:rPr>
                <w:rFonts w:hint="eastAsia"/>
                <w:color w:val="000000"/>
              </w:rPr>
              <w:t>评价</w:t>
            </w:r>
            <w:r>
              <w:rPr>
                <w:color w:val="000000"/>
              </w:rPr>
              <w:t>。空气质量情况见表</w:t>
            </w:r>
            <w:r>
              <w:rPr>
                <w:rFonts w:hint="eastAsia"/>
                <w:color w:val="000000"/>
              </w:rPr>
              <w:t>3</w:t>
            </w:r>
            <w:r>
              <w:rPr>
                <w:color w:val="000000"/>
              </w:rPr>
              <w:t>-1。</w:t>
            </w:r>
          </w:p>
          <w:p w14:paraId="7C154B4D">
            <w:pPr>
              <w:jc w:val="center"/>
              <w:rPr>
                <w:b/>
                <w:bCs/>
                <w:color w:val="000000"/>
              </w:rPr>
            </w:pPr>
            <w:r>
              <w:rPr>
                <w:b/>
                <w:bCs/>
                <w:color w:val="000000"/>
              </w:rPr>
              <w:t>表</w:t>
            </w:r>
            <w:r>
              <w:rPr>
                <w:rFonts w:hint="eastAsia"/>
                <w:b/>
                <w:bCs/>
                <w:color w:val="000000"/>
              </w:rPr>
              <w:t>3</w:t>
            </w:r>
            <w:r>
              <w:rPr>
                <w:b/>
                <w:bCs/>
                <w:color w:val="000000"/>
              </w:rPr>
              <w:t xml:space="preserve">-1  </w:t>
            </w:r>
            <w:r>
              <w:rPr>
                <w:rFonts w:hint="eastAsia"/>
                <w:b/>
                <w:bCs/>
                <w:color w:val="000000"/>
              </w:rPr>
              <w:t>九龙坡</w:t>
            </w:r>
            <w:r>
              <w:rPr>
                <w:b/>
                <w:bCs/>
                <w:color w:val="000000"/>
              </w:rPr>
              <w:t>区空气质量现状评价表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2327"/>
              <w:gridCol w:w="1336"/>
              <w:gridCol w:w="1245"/>
              <w:gridCol w:w="1201"/>
              <w:gridCol w:w="1033"/>
            </w:tblGrid>
            <w:tr w14:paraId="360D00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noWrap w:val="0"/>
                  <w:vAlign w:val="center"/>
                </w:tcPr>
                <w:p w14:paraId="39DB09AC">
                  <w:pPr>
                    <w:adjustRightInd w:val="0"/>
                    <w:snapToGrid w:val="0"/>
                    <w:jc w:val="center"/>
                    <w:rPr>
                      <w:b/>
                      <w:bCs/>
                      <w:color w:val="000000"/>
                      <w:sz w:val="21"/>
                      <w:szCs w:val="21"/>
                    </w:rPr>
                  </w:pPr>
                  <w:r>
                    <w:rPr>
                      <w:b/>
                      <w:bCs/>
                      <w:color w:val="000000"/>
                      <w:sz w:val="21"/>
                      <w:szCs w:val="21"/>
                    </w:rPr>
                    <w:t>污染物</w:t>
                  </w:r>
                </w:p>
              </w:tc>
              <w:tc>
                <w:tcPr>
                  <w:tcW w:w="1447" w:type="pct"/>
                  <w:noWrap w:val="0"/>
                  <w:vAlign w:val="center"/>
                </w:tcPr>
                <w:p w14:paraId="1CF883B4">
                  <w:pPr>
                    <w:adjustRightInd w:val="0"/>
                    <w:snapToGrid w:val="0"/>
                    <w:jc w:val="center"/>
                    <w:rPr>
                      <w:b/>
                      <w:bCs/>
                      <w:color w:val="000000"/>
                      <w:sz w:val="21"/>
                      <w:szCs w:val="21"/>
                    </w:rPr>
                  </w:pPr>
                  <w:r>
                    <w:rPr>
                      <w:b/>
                      <w:bCs/>
                      <w:color w:val="000000"/>
                      <w:sz w:val="21"/>
                      <w:szCs w:val="21"/>
                    </w:rPr>
                    <w:t>年评价指标</w:t>
                  </w:r>
                </w:p>
              </w:tc>
              <w:tc>
                <w:tcPr>
                  <w:tcW w:w="831" w:type="pct"/>
                  <w:noWrap w:val="0"/>
                  <w:vAlign w:val="center"/>
                </w:tcPr>
                <w:p w14:paraId="5DDB0D00">
                  <w:pPr>
                    <w:adjustRightInd w:val="0"/>
                    <w:snapToGrid w:val="0"/>
                    <w:jc w:val="center"/>
                    <w:rPr>
                      <w:b/>
                      <w:bCs/>
                      <w:color w:val="000000"/>
                      <w:sz w:val="21"/>
                      <w:szCs w:val="21"/>
                    </w:rPr>
                  </w:pPr>
                  <w:r>
                    <w:rPr>
                      <w:b/>
                      <w:bCs/>
                      <w:color w:val="000000"/>
                      <w:sz w:val="21"/>
                      <w:szCs w:val="21"/>
                    </w:rPr>
                    <w:t>现状浓度（μg/m</w:t>
                  </w:r>
                  <w:r>
                    <w:rPr>
                      <w:b/>
                      <w:bCs/>
                      <w:color w:val="000000"/>
                      <w:sz w:val="21"/>
                      <w:szCs w:val="21"/>
                      <w:vertAlign w:val="superscript"/>
                    </w:rPr>
                    <w:t>3</w:t>
                  </w:r>
                  <w:r>
                    <w:rPr>
                      <w:b/>
                      <w:bCs/>
                      <w:color w:val="000000"/>
                      <w:sz w:val="21"/>
                      <w:szCs w:val="21"/>
                    </w:rPr>
                    <w:t>）</w:t>
                  </w:r>
                </w:p>
              </w:tc>
              <w:tc>
                <w:tcPr>
                  <w:tcW w:w="774" w:type="pct"/>
                  <w:noWrap w:val="0"/>
                  <w:vAlign w:val="center"/>
                </w:tcPr>
                <w:p w14:paraId="4B211984">
                  <w:pPr>
                    <w:adjustRightInd w:val="0"/>
                    <w:snapToGrid w:val="0"/>
                    <w:jc w:val="center"/>
                    <w:rPr>
                      <w:b/>
                      <w:bCs/>
                      <w:color w:val="000000"/>
                      <w:sz w:val="21"/>
                      <w:szCs w:val="21"/>
                    </w:rPr>
                  </w:pPr>
                  <w:r>
                    <w:rPr>
                      <w:b/>
                      <w:bCs/>
                      <w:color w:val="000000"/>
                      <w:sz w:val="21"/>
                      <w:szCs w:val="21"/>
                    </w:rPr>
                    <w:t>标准值（μg/m</w:t>
                  </w:r>
                  <w:r>
                    <w:rPr>
                      <w:b/>
                      <w:bCs/>
                      <w:color w:val="000000"/>
                      <w:sz w:val="21"/>
                      <w:szCs w:val="21"/>
                      <w:vertAlign w:val="superscript"/>
                    </w:rPr>
                    <w:t>3</w:t>
                  </w:r>
                  <w:r>
                    <w:rPr>
                      <w:b/>
                      <w:bCs/>
                      <w:color w:val="000000"/>
                      <w:sz w:val="21"/>
                      <w:szCs w:val="21"/>
                    </w:rPr>
                    <w:t>）</w:t>
                  </w:r>
                </w:p>
              </w:tc>
              <w:tc>
                <w:tcPr>
                  <w:tcW w:w="747" w:type="pct"/>
                  <w:noWrap w:val="0"/>
                  <w:vAlign w:val="center"/>
                </w:tcPr>
                <w:p w14:paraId="052DA5BA">
                  <w:pPr>
                    <w:adjustRightInd w:val="0"/>
                    <w:snapToGrid w:val="0"/>
                    <w:jc w:val="center"/>
                    <w:rPr>
                      <w:b/>
                      <w:bCs/>
                      <w:color w:val="000000"/>
                      <w:sz w:val="21"/>
                      <w:szCs w:val="21"/>
                    </w:rPr>
                  </w:pPr>
                  <w:r>
                    <w:rPr>
                      <w:b/>
                      <w:bCs/>
                      <w:color w:val="000000"/>
                      <w:sz w:val="21"/>
                      <w:szCs w:val="21"/>
                    </w:rPr>
                    <w:t>占标率（%）</w:t>
                  </w:r>
                </w:p>
              </w:tc>
              <w:tc>
                <w:tcPr>
                  <w:tcW w:w="642" w:type="pct"/>
                  <w:noWrap w:val="0"/>
                  <w:vAlign w:val="center"/>
                </w:tcPr>
                <w:p w14:paraId="06C058A4">
                  <w:pPr>
                    <w:adjustRightInd w:val="0"/>
                    <w:snapToGrid w:val="0"/>
                    <w:jc w:val="center"/>
                    <w:rPr>
                      <w:b/>
                      <w:bCs/>
                      <w:color w:val="000000"/>
                      <w:sz w:val="21"/>
                      <w:szCs w:val="21"/>
                    </w:rPr>
                  </w:pPr>
                  <w:r>
                    <w:rPr>
                      <w:b/>
                      <w:bCs/>
                      <w:color w:val="000000"/>
                      <w:sz w:val="21"/>
                      <w:szCs w:val="21"/>
                    </w:rPr>
                    <w:t>达标情况</w:t>
                  </w:r>
                </w:p>
              </w:tc>
            </w:tr>
            <w:tr w14:paraId="7F6EE0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noWrap w:val="0"/>
                  <w:vAlign w:val="center"/>
                </w:tcPr>
                <w:p w14:paraId="538AB399">
                  <w:pPr>
                    <w:adjustRightInd w:val="0"/>
                    <w:snapToGrid w:val="0"/>
                    <w:jc w:val="center"/>
                    <w:rPr>
                      <w:color w:val="000000"/>
                      <w:sz w:val="21"/>
                      <w:szCs w:val="21"/>
                    </w:rPr>
                  </w:pPr>
                  <w:r>
                    <w:rPr>
                      <w:color w:val="000000"/>
                      <w:sz w:val="21"/>
                      <w:szCs w:val="21"/>
                    </w:rPr>
                    <w:t>SO</w:t>
                  </w:r>
                  <w:r>
                    <w:rPr>
                      <w:color w:val="000000"/>
                      <w:sz w:val="21"/>
                      <w:szCs w:val="21"/>
                      <w:vertAlign w:val="subscript"/>
                    </w:rPr>
                    <w:t>2</w:t>
                  </w:r>
                </w:p>
              </w:tc>
              <w:tc>
                <w:tcPr>
                  <w:tcW w:w="1447" w:type="pct"/>
                  <w:noWrap w:val="0"/>
                  <w:vAlign w:val="center"/>
                </w:tcPr>
                <w:p w14:paraId="2067050E">
                  <w:pPr>
                    <w:adjustRightInd w:val="0"/>
                    <w:snapToGrid w:val="0"/>
                    <w:jc w:val="center"/>
                    <w:rPr>
                      <w:color w:val="000000"/>
                      <w:sz w:val="21"/>
                      <w:szCs w:val="21"/>
                    </w:rPr>
                  </w:pPr>
                  <w:r>
                    <w:rPr>
                      <w:color w:val="000000"/>
                      <w:sz w:val="21"/>
                      <w:szCs w:val="21"/>
                    </w:rPr>
                    <w:t>年均值</w:t>
                  </w:r>
                </w:p>
              </w:tc>
              <w:tc>
                <w:tcPr>
                  <w:tcW w:w="831" w:type="pct"/>
                  <w:noWrap w:val="0"/>
                  <w:vAlign w:val="bottom"/>
                </w:tcPr>
                <w:p w14:paraId="3DA4F8C3">
                  <w:pPr>
                    <w:pStyle w:val="31"/>
                    <w:spacing w:line="240" w:lineRule="auto"/>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8</w:t>
                  </w:r>
                </w:p>
              </w:tc>
              <w:tc>
                <w:tcPr>
                  <w:tcW w:w="774" w:type="pct"/>
                  <w:noWrap w:val="0"/>
                  <w:vAlign w:val="center"/>
                </w:tcPr>
                <w:p w14:paraId="0697C1B1">
                  <w:pPr>
                    <w:adjustRightInd w:val="0"/>
                    <w:snapToGrid w:val="0"/>
                    <w:jc w:val="center"/>
                    <w:rPr>
                      <w:color w:val="000000"/>
                      <w:sz w:val="21"/>
                      <w:szCs w:val="21"/>
                    </w:rPr>
                  </w:pPr>
                  <w:r>
                    <w:rPr>
                      <w:color w:val="000000"/>
                      <w:sz w:val="21"/>
                      <w:szCs w:val="21"/>
                    </w:rPr>
                    <w:t>60</w:t>
                  </w:r>
                </w:p>
              </w:tc>
              <w:tc>
                <w:tcPr>
                  <w:tcW w:w="1200" w:type="dxa"/>
                  <w:noWrap w:val="0"/>
                  <w:vAlign w:val="center"/>
                </w:tcPr>
                <w:p w14:paraId="17035012">
                  <w:pPr>
                    <w:adjustRightInd w:val="0"/>
                    <w:snapToGrid w:val="0"/>
                    <w:jc w:val="center"/>
                    <w:rPr>
                      <w:color w:val="000000"/>
                      <w:sz w:val="21"/>
                      <w:szCs w:val="21"/>
                    </w:rPr>
                  </w:pPr>
                  <w:r>
                    <w:rPr>
                      <w:rFonts w:hint="eastAsia"/>
                      <w:color w:val="000000"/>
                      <w:sz w:val="21"/>
                      <w:szCs w:val="21"/>
                    </w:rPr>
                    <w:t xml:space="preserve">13.3 </w:t>
                  </w:r>
                </w:p>
              </w:tc>
              <w:tc>
                <w:tcPr>
                  <w:tcW w:w="642" w:type="pct"/>
                  <w:noWrap w:val="0"/>
                  <w:vAlign w:val="bottom"/>
                </w:tcPr>
                <w:p w14:paraId="47E88C7D">
                  <w:pPr>
                    <w:pStyle w:val="31"/>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达标</w:t>
                  </w:r>
                </w:p>
              </w:tc>
            </w:tr>
            <w:tr w14:paraId="45FB3D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56" w:type="pct"/>
                  <w:noWrap w:val="0"/>
                  <w:vAlign w:val="center"/>
                </w:tcPr>
                <w:p w14:paraId="67350FA2">
                  <w:pPr>
                    <w:adjustRightInd w:val="0"/>
                    <w:snapToGrid w:val="0"/>
                    <w:jc w:val="center"/>
                    <w:rPr>
                      <w:color w:val="000000"/>
                      <w:sz w:val="21"/>
                      <w:szCs w:val="21"/>
                    </w:rPr>
                  </w:pPr>
                  <w:r>
                    <w:rPr>
                      <w:color w:val="000000"/>
                      <w:sz w:val="21"/>
                      <w:szCs w:val="21"/>
                    </w:rPr>
                    <w:t>NO</w:t>
                  </w:r>
                  <w:r>
                    <w:rPr>
                      <w:color w:val="000000"/>
                      <w:sz w:val="21"/>
                      <w:szCs w:val="21"/>
                      <w:vertAlign w:val="subscript"/>
                    </w:rPr>
                    <w:t>2</w:t>
                  </w:r>
                </w:p>
              </w:tc>
              <w:tc>
                <w:tcPr>
                  <w:tcW w:w="1447" w:type="pct"/>
                  <w:noWrap w:val="0"/>
                  <w:vAlign w:val="center"/>
                </w:tcPr>
                <w:p w14:paraId="4023A909">
                  <w:pPr>
                    <w:adjustRightInd w:val="0"/>
                    <w:snapToGrid w:val="0"/>
                    <w:jc w:val="center"/>
                    <w:rPr>
                      <w:color w:val="000000"/>
                      <w:sz w:val="21"/>
                      <w:szCs w:val="21"/>
                    </w:rPr>
                  </w:pPr>
                  <w:r>
                    <w:rPr>
                      <w:color w:val="000000"/>
                      <w:sz w:val="21"/>
                      <w:szCs w:val="21"/>
                    </w:rPr>
                    <w:t>年均值</w:t>
                  </w:r>
                </w:p>
              </w:tc>
              <w:tc>
                <w:tcPr>
                  <w:tcW w:w="831" w:type="pct"/>
                  <w:noWrap w:val="0"/>
                  <w:vAlign w:val="bottom"/>
                </w:tcPr>
                <w:p w14:paraId="713949F0">
                  <w:pPr>
                    <w:pStyle w:val="31"/>
                    <w:spacing w:line="240" w:lineRule="auto"/>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34</w:t>
                  </w:r>
                </w:p>
              </w:tc>
              <w:tc>
                <w:tcPr>
                  <w:tcW w:w="774" w:type="pct"/>
                  <w:noWrap w:val="0"/>
                  <w:vAlign w:val="center"/>
                </w:tcPr>
                <w:p w14:paraId="0FA7668C">
                  <w:pPr>
                    <w:adjustRightInd w:val="0"/>
                    <w:snapToGrid w:val="0"/>
                    <w:jc w:val="center"/>
                    <w:rPr>
                      <w:color w:val="000000"/>
                      <w:sz w:val="21"/>
                      <w:szCs w:val="21"/>
                    </w:rPr>
                  </w:pPr>
                  <w:r>
                    <w:rPr>
                      <w:color w:val="000000"/>
                      <w:sz w:val="21"/>
                      <w:szCs w:val="21"/>
                    </w:rPr>
                    <w:t>40</w:t>
                  </w:r>
                </w:p>
              </w:tc>
              <w:tc>
                <w:tcPr>
                  <w:tcW w:w="1200" w:type="dxa"/>
                  <w:noWrap w:val="0"/>
                  <w:vAlign w:val="center"/>
                </w:tcPr>
                <w:p w14:paraId="5729A8AE">
                  <w:pPr>
                    <w:adjustRightInd w:val="0"/>
                    <w:snapToGrid w:val="0"/>
                    <w:jc w:val="center"/>
                    <w:rPr>
                      <w:color w:val="000000"/>
                      <w:sz w:val="21"/>
                      <w:szCs w:val="21"/>
                    </w:rPr>
                  </w:pPr>
                  <w:r>
                    <w:rPr>
                      <w:rFonts w:hint="eastAsia"/>
                      <w:color w:val="000000"/>
                      <w:sz w:val="21"/>
                      <w:szCs w:val="21"/>
                    </w:rPr>
                    <w:t xml:space="preserve">85.0 </w:t>
                  </w:r>
                </w:p>
              </w:tc>
              <w:tc>
                <w:tcPr>
                  <w:tcW w:w="642" w:type="pct"/>
                  <w:noWrap w:val="0"/>
                  <w:vAlign w:val="bottom"/>
                </w:tcPr>
                <w:p w14:paraId="7FCBB244">
                  <w:pPr>
                    <w:jc w:val="center"/>
                    <w:rPr>
                      <w:color w:val="000000"/>
                      <w:sz w:val="21"/>
                      <w:szCs w:val="21"/>
                    </w:rPr>
                  </w:pPr>
                  <w:r>
                    <w:rPr>
                      <w:color w:val="000000"/>
                      <w:sz w:val="21"/>
                      <w:szCs w:val="21"/>
                    </w:rPr>
                    <w:t>达标</w:t>
                  </w:r>
                </w:p>
              </w:tc>
            </w:tr>
            <w:tr w14:paraId="5DBB0C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noWrap w:val="0"/>
                  <w:vAlign w:val="center"/>
                </w:tcPr>
                <w:p w14:paraId="13E73097">
                  <w:pPr>
                    <w:adjustRightInd w:val="0"/>
                    <w:snapToGrid w:val="0"/>
                    <w:jc w:val="center"/>
                    <w:rPr>
                      <w:color w:val="000000"/>
                      <w:sz w:val="21"/>
                      <w:szCs w:val="21"/>
                    </w:rPr>
                  </w:pPr>
                  <w:r>
                    <w:rPr>
                      <w:color w:val="000000"/>
                      <w:sz w:val="21"/>
                      <w:szCs w:val="21"/>
                    </w:rPr>
                    <w:t>PM</w:t>
                  </w:r>
                  <w:r>
                    <w:rPr>
                      <w:color w:val="000000"/>
                      <w:sz w:val="21"/>
                      <w:szCs w:val="21"/>
                      <w:vertAlign w:val="subscript"/>
                    </w:rPr>
                    <w:t>10</w:t>
                  </w:r>
                </w:p>
              </w:tc>
              <w:tc>
                <w:tcPr>
                  <w:tcW w:w="1447" w:type="pct"/>
                  <w:noWrap w:val="0"/>
                  <w:vAlign w:val="center"/>
                </w:tcPr>
                <w:p w14:paraId="1B2505CE">
                  <w:pPr>
                    <w:adjustRightInd w:val="0"/>
                    <w:snapToGrid w:val="0"/>
                    <w:jc w:val="center"/>
                    <w:rPr>
                      <w:color w:val="000000"/>
                      <w:sz w:val="21"/>
                      <w:szCs w:val="21"/>
                    </w:rPr>
                  </w:pPr>
                  <w:r>
                    <w:rPr>
                      <w:color w:val="000000"/>
                      <w:sz w:val="21"/>
                      <w:szCs w:val="21"/>
                    </w:rPr>
                    <w:t>年均值</w:t>
                  </w:r>
                </w:p>
              </w:tc>
              <w:tc>
                <w:tcPr>
                  <w:tcW w:w="831" w:type="pct"/>
                  <w:noWrap w:val="0"/>
                  <w:vAlign w:val="bottom"/>
                </w:tcPr>
                <w:p w14:paraId="10B841BF">
                  <w:pPr>
                    <w:pStyle w:val="31"/>
                    <w:spacing w:line="240" w:lineRule="auto"/>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51</w:t>
                  </w:r>
                </w:p>
              </w:tc>
              <w:tc>
                <w:tcPr>
                  <w:tcW w:w="774" w:type="pct"/>
                  <w:noWrap w:val="0"/>
                  <w:vAlign w:val="center"/>
                </w:tcPr>
                <w:p w14:paraId="7980B9B4">
                  <w:pPr>
                    <w:adjustRightInd w:val="0"/>
                    <w:snapToGrid w:val="0"/>
                    <w:jc w:val="center"/>
                    <w:rPr>
                      <w:color w:val="000000"/>
                      <w:sz w:val="21"/>
                      <w:szCs w:val="21"/>
                    </w:rPr>
                  </w:pPr>
                  <w:r>
                    <w:rPr>
                      <w:color w:val="000000"/>
                      <w:sz w:val="21"/>
                      <w:szCs w:val="21"/>
                    </w:rPr>
                    <w:t>70</w:t>
                  </w:r>
                </w:p>
              </w:tc>
              <w:tc>
                <w:tcPr>
                  <w:tcW w:w="1200" w:type="dxa"/>
                  <w:noWrap w:val="0"/>
                  <w:vAlign w:val="center"/>
                </w:tcPr>
                <w:p w14:paraId="3C26B576">
                  <w:pPr>
                    <w:adjustRightInd w:val="0"/>
                    <w:snapToGrid w:val="0"/>
                    <w:jc w:val="center"/>
                    <w:rPr>
                      <w:color w:val="000000"/>
                      <w:sz w:val="21"/>
                      <w:szCs w:val="21"/>
                    </w:rPr>
                  </w:pPr>
                  <w:r>
                    <w:rPr>
                      <w:rFonts w:hint="eastAsia"/>
                      <w:color w:val="000000"/>
                      <w:sz w:val="21"/>
                      <w:szCs w:val="21"/>
                    </w:rPr>
                    <w:t xml:space="preserve">72.9 </w:t>
                  </w:r>
                </w:p>
              </w:tc>
              <w:tc>
                <w:tcPr>
                  <w:tcW w:w="642" w:type="pct"/>
                  <w:noWrap w:val="0"/>
                  <w:vAlign w:val="bottom"/>
                </w:tcPr>
                <w:p w14:paraId="1C9248B7">
                  <w:pPr>
                    <w:jc w:val="center"/>
                    <w:rPr>
                      <w:color w:val="000000"/>
                      <w:sz w:val="21"/>
                      <w:szCs w:val="21"/>
                    </w:rPr>
                  </w:pPr>
                  <w:r>
                    <w:rPr>
                      <w:color w:val="000000"/>
                      <w:sz w:val="21"/>
                      <w:szCs w:val="21"/>
                    </w:rPr>
                    <w:t>达标</w:t>
                  </w:r>
                </w:p>
              </w:tc>
            </w:tr>
            <w:tr w14:paraId="6C97EA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6" w:type="pct"/>
                  <w:noWrap w:val="0"/>
                  <w:vAlign w:val="center"/>
                </w:tcPr>
                <w:p w14:paraId="7559B42F">
                  <w:pPr>
                    <w:adjustRightInd w:val="0"/>
                    <w:snapToGrid w:val="0"/>
                    <w:jc w:val="center"/>
                    <w:rPr>
                      <w:color w:val="000000"/>
                      <w:sz w:val="21"/>
                      <w:szCs w:val="21"/>
                    </w:rPr>
                  </w:pPr>
                  <w:r>
                    <w:rPr>
                      <w:color w:val="000000"/>
                      <w:sz w:val="21"/>
                      <w:szCs w:val="21"/>
                    </w:rPr>
                    <w:t>PM</w:t>
                  </w:r>
                  <w:r>
                    <w:rPr>
                      <w:color w:val="000000"/>
                      <w:sz w:val="21"/>
                      <w:szCs w:val="21"/>
                      <w:vertAlign w:val="subscript"/>
                    </w:rPr>
                    <w:t>2.5</w:t>
                  </w:r>
                </w:p>
              </w:tc>
              <w:tc>
                <w:tcPr>
                  <w:tcW w:w="1447" w:type="pct"/>
                  <w:noWrap w:val="0"/>
                  <w:vAlign w:val="center"/>
                </w:tcPr>
                <w:p w14:paraId="3EFB0A54">
                  <w:pPr>
                    <w:adjustRightInd w:val="0"/>
                    <w:snapToGrid w:val="0"/>
                    <w:jc w:val="center"/>
                    <w:rPr>
                      <w:color w:val="000000"/>
                      <w:sz w:val="21"/>
                      <w:szCs w:val="21"/>
                    </w:rPr>
                  </w:pPr>
                  <w:r>
                    <w:rPr>
                      <w:color w:val="000000"/>
                      <w:sz w:val="21"/>
                      <w:szCs w:val="21"/>
                    </w:rPr>
                    <w:t>年均值</w:t>
                  </w:r>
                </w:p>
              </w:tc>
              <w:tc>
                <w:tcPr>
                  <w:tcW w:w="831" w:type="pct"/>
                  <w:noWrap w:val="0"/>
                  <w:vAlign w:val="center"/>
                </w:tcPr>
                <w:p w14:paraId="3826466F">
                  <w:pPr>
                    <w:pStyle w:val="31"/>
                    <w:spacing w:line="240" w:lineRule="auto"/>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32.3</w:t>
                  </w:r>
                </w:p>
              </w:tc>
              <w:tc>
                <w:tcPr>
                  <w:tcW w:w="774" w:type="pct"/>
                  <w:noWrap w:val="0"/>
                  <w:vAlign w:val="center"/>
                </w:tcPr>
                <w:p w14:paraId="445FF06B">
                  <w:pPr>
                    <w:adjustRightInd w:val="0"/>
                    <w:snapToGrid w:val="0"/>
                    <w:jc w:val="center"/>
                    <w:rPr>
                      <w:color w:val="000000"/>
                      <w:sz w:val="21"/>
                      <w:szCs w:val="21"/>
                    </w:rPr>
                  </w:pPr>
                  <w:r>
                    <w:rPr>
                      <w:color w:val="000000"/>
                      <w:sz w:val="21"/>
                      <w:szCs w:val="21"/>
                    </w:rPr>
                    <w:t>35</w:t>
                  </w:r>
                </w:p>
              </w:tc>
              <w:tc>
                <w:tcPr>
                  <w:tcW w:w="1200" w:type="dxa"/>
                  <w:noWrap w:val="0"/>
                  <w:vAlign w:val="center"/>
                </w:tcPr>
                <w:p w14:paraId="46178DB3">
                  <w:pPr>
                    <w:adjustRightInd w:val="0"/>
                    <w:snapToGrid w:val="0"/>
                    <w:jc w:val="center"/>
                    <w:rPr>
                      <w:color w:val="000000"/>
                      <w:sz w:val="21"/>
                      <w:szCs w:val="21"/>
                    </w:rPr>
                  </w:pPr>
                  <w:r>
                    <w:rPr>
                      <w:rFonts w:hint="eastAsia"/>
                      <w:color w:val="000000"/>
                      <w:sz w:val="21"/>
                      <w:szCs w:val="21"/>
                    </w:rPr>
                    <w:t xml:space="preserve">92.3 </w:t>
                  </w:r>
                </w:p>
              </w:tc>
              <w:tc>
                <w:tcPr>
                  <w:tcW w:w="642" w:type="pct"/>
                  <w:noWrap w:val="0"/>
                  <w:vAlign w:val="center"/>
                </w:tcPr>
                <w:p w14:paraId="10F7CA5E">
                  <w:pPr>
                    <w:jc w:val="center"/>
                    <w:rPr>
                      <w:rFonts w:hint="eastAsia"/>
                      <w:color w:val="000000"/>
                      <w:sz w:val="21"/>
                      <w:szCs w:val="21"/>
                    </w:rPr>
                  </w:pPr>
                  <w:r>
                    <w:rPr>
                      <w:color w:val="000000"/>
                      <w:sz w:val="21"/>
                      <w:szCs w:val="21"/>
                    </w:rPr>
                    <w:t>达标</w:t>
                  </w:r>
                </w:p>
              </w:tc>
            </w:tr>
            <w:tr w14:paraId="7C6702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noWrap w:val="0"/>
                  <w:vAlign w:val="center"/>
                </w:tcPr>
                <w:p w14:paraId="0219BF67">
                  <w:pPr>
                    <w:adjustRightInd w:val="0"/>
                    <w:snapToGrid w:val="0"/>
                    <w:jc w:val="center"/>
                    <w:rPr>
                      <w:color w:val="000000"/>
                      <w:sz w:val="21"/>
                      <w:szCs w:val="21"/>
                    </w:rPr>
                  </w:pPr>
                  <w:r>
                    <w:rPr>
                      <w:color w:val="000000"/>
                      <w:sz w:val="21"/>
                      <w:szCs w:val="21"/>
                    </w:rPr>
                    <w:t>CO</w:t>
                  </w:r>
                </w:p>
              </w:tc>
              <w:tc>
                <w:tcPr>
                  <w:tcW w:w="1447" w:type="pct"/>
                  <w:noWrap w:val="0"/>
                  <w:vAlign w:val="center"/>
                </w:tcPr>
                <w:p w14:paraId="6D3121FF">
                  <w:pPr>
                    <w:adjustRightInd w:val="0"/>
                    <w:snapToGrid w:val="0"/>
                    <w:jc w:val="center"/>
                    <w:rPr>
                      <w:color w:val="000000"/>
                      <w:sz w:val="21"/>
                      <w:szCs w:val="21"/>
                    </w:rPr>
                  </w:pPr>
                  <w:r>
                    <w:rPr>
                      <w:color w:val="000000"/>
                      <w:sz w:val="21"/>
                      <w:szCs w:val="21"/>
                    </w:rPr>
                    <w:t>24小时平均值</w:t>
                  </w:r>
                </w:p>
              </w:tc>
              <w:tc>
                <w:tcPr>
                  <w:tcW w:w="831" w:type="pct"/>
                  <w:noWrap w:val="0"/>
                  <w:vAlign w:val="center"/>
                </w:tcPr>
                <w:p w14:paraId="7E097186">
                  <w:pPr>
                    <w:pStyle w:val="31"/>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lang w:val="en-US" w:eastAsia="zh-CN" w:bidi="en-US"/>
                    </w:rPr>
                    <w:t>1.</w:t>
                  </w:r>
                  <w:r>
                    <w:rPr>
                      <w:rFonts w:hint="eastAsia" w:ascii="Times New Roman" w:hAnsi="Times New Roman" w:cs="Times New Roman"/>
                      <w:color w:val="000000"/>
                      <w:sz w:val="21"/>
                      <w:szCs w:val="21"/>
                      <w:lang w:val="en-US" w:eastAsia="zh-CN" w:bidi="en-US"/>
                    </w:rPr>
                    <w:t>2</w:t>
                  </w:r>
                  <w:r>
                    <w:rPr>
                      <w:rFonts w:ascii="Times New Roman" w:hAnsi="Times New Roman" w:cs="Times New Roman"/>
                      <w:color w:val="000000"/>
                      <w:sz w:val="21"/>
                      <w:szCs w:val="21"/>
                    </w:rPr>
                    <w:t>mg/m</w:t>
                  </w:r>
                  <w:r>
                    <w:rPr>
                      <w:rFonts w:ascii="Times New Roman" w:hAnsi="Times New Roman" w:cs="Times New Roman"/>
                      <w:color w:val="000000"/>
                      <w:sz w:val="21"/>
                      <w:szCs w:val="21"/>
                      <w:vertAlign w:val="superscript"/>
                    </w:rPr>
                    <w:t>3</w:t>
                  </w:r>
                </w:p>
              </w:tc>
              <w:tc>
                <w:tcPr>
                  <w:tcW w:w="774" w:type="pct"/>
                  <w:noWrap w:val="0"/>
                  <w:vAlign w:val="center"/>
                </w:tcPr>
                <w:p w14:paraId="19875651">
                  <w:pPr>
                    <w:adjustRightInd w:val="0"/>
                    <w:snapToGrid w:val="0"/>
                    <w:jc w:val="center"/>
                    <w:rPr>
                      <w:color w:val="000000"/>
                      <w:sz w:val="21"/>
                      <w:szCs w:val="21"/>
                    </w:rPr>
                  </w:pPr>
                  <w:r>
                    <w:rPr>
                      <w:color w:val="000000"/>
                      <w:sz w:val="21"/>
                      <w:szCs w:val="21"/>
                    </w:rPr>
                    <w:t>4.0mg/m</w:t>
                  </w:r>
                  <w:r>
                    <w:rPr>
                      <w:color w:val="000000"/>
                      <w:sz w:val="21"/>
                      <w:szCs w:val="21"/>
                      <w:vertAlign w:val="superscript"/>
                    </w:rPr>
                    <w:t>3</w:t>
                  </w:r>
                </w:p>
              </w:tc>
              <w:tc>
                <w:tcPr>
                  <w:tcW w:w="1200" w:type="dxa"/>
                  <w:noWrap w:val="0"/>
                  <w:vAlign w:val="center"/>
                </w:tcPr>
                <w:p w14:paraId="2C712048">
                  <w:pPr>
                    <w:adjustRightInd w:val="0"/>
                    <w:snapToGrid w:val="0"/>
                    <w:jc w:val="center"/>
                    <w:rPr>
                      <w:color w:val="000000"/>
                      <w:sz w:val="21"/>
                      <w:szCs w:val="21"/>
                    </w:rPr>
                  </w:pPr>
                  <w:r>
                    <w:rPr>
                      <w:rFonts w:hint="eastAsia"/>
                      <w:color w:val="000000"/>
                      <w:sz w:val="21"/>
                      <w:szCs w:val="21"/>
                    </w:rPr>
                    <w:t xml:space="preserve">30.0 </w:t>
                  </w:r>
                </w:p>
              </w:tc>
              <w:tc>
                <w:tcPr>
                  <w:tcW w:w="642" w:type="pct"/>
                  <w:noWrap w:val="0"/>
                  <w:vAlign w:val="center"/>
                </w:tcPr>
                <w:p w14:paraId="4BE1908D">
                  <w:pPr>
                    <w:jc w:val="center"/>
                    <w:rPr>
                      <w:color w:val="000000"/>
                      <w:sz w:val="21"/>
                      <w:szCs w:val="21"/>
                    </w:rPr>
                  </w:pPr>
                  <w:r>
                    <w:rPr>
                      <w:color w:val="000000"/>
                      <w:sz w:val="21"/>
                      <w:szCs w:val="21"/>
                    </w:rPr>
                    <w:t>达标</w:t>
                  </w:r>
                </w:p>
              </w:tc>
            </w:tr>
            <w:tr w14:paraId="072C1D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noWrap w:val="0"/>
                  <w:vAlign w:val="center"/>
                </w:tcPr>
                <w:p w14:paraId="26A77F49">
                  <w:pPr>
                    <w:adjustRightInd w:val="0"/>
                    <w:snapToGrid w:val="0"/>
                    <w:jc w:val="center"/>
                    <w:rPr>
                      <w:color w:val="000000"/>
                      <w:sz w:val="21"/>
                      <w:szCs w:val="21"/>
                    </w:rPr>
                  </w:pPr>
                  <w:r>
                    <w:rPr>
                      <w:color w:val="000000"/>
                      <w:sz w:val="21"/>
                      <w:szCs w:val="21"/>
                    </w:rPr>
                    <w:t>O</w:t>
                  </w:r>
                  <w:r>
                    <w:rPr>
                      <w:color w:val="000000"/>
                      <w:sz w:val="21"/>
                      <w:szCs w:val="21"/>
                      <w:vertAlign w:val="subscript"/>
                    </w:rPr>
                    <w:t>3</w:t>
                  </w:r>
                </w:p>
              </w:tc>
              <w:tc>
                <w:tcPr>
                  <w:tcW w:w="1447" w:type="pct"/>
                  <w:noWrap w:val="0"/>
                  <w:vAlign w:val="center"/>
                </w:tcPr>
                <w:p w14:paraId="5CAB2E0D">
                  <w:pPr>
                    <w:adjustRightInd w:val="0"/>
                    <w:snapToGrid w:val="0"/>
                    <w:jc w:val="center"/>
                    <w:rPr>
                      <w:color w:val="000000"/>
                      <w:sz w:val="21"/>
                      <w:szCs w:val="21"/>
                    </w:rPr>
                  </w:pPr>
                  <w:r>
                    <w:rPr>
                      <w:color w:val="000000"/>
                      <w:sz w:val="21"/>
                      <w:szCs w:val="21"/>
                    </w:rPr>
                    <w:t>日最大8小时平均值</w:t>
                  </w:r>
                </w:p>
              </w:tc>
              <w:tc>
                <w:tcPr>
                  <w:tcW w:w="831" w:type="pct"/>
                  <w:noWrap w:val="0"/>
                  <w:vAlign w:val="center"/>
                </w:tcPr>
                <w:p w14:paraId="2F63504A">
                  <w:pPr>
                    <w:pStyle w:val="31"/>
                    <w:spacing w:line="240" w:lineRule="auto"/>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140</w:t>
                  </w:r>
                </w:p>
              </w:tc>
              <w:tc>
                <w:tcPr>
                  <w:tcW w:w="774" w:type="pct"/>
                  <w:noWrap w:val="0"/>
                  <w:vAlign w:val="center"/>
                </w:tcPr>
                <w:p w14:paraId="3152A710">
                  <w:pPr>
                    <w:adjustRightInd w:val="0"/>
                    <w:snapToGrid w:val="0"/>
                    <w:jc w:val="center"/>
                    <w:rPr>
                      <w:color w:val="000000"/>
                      <w:sz w:val="21"/>
                      <w:szCs w:val="21"/>
                    </w:rPr>
                  </w:pPr>
                  <w:r>
                    <w:rPr>
                      <w:color w:val="000000"/>
                      <w:sz w:val="21"/>
                      <w:szCs w:val="21"/>
                    </w:rPr>
                    <w:t>160</w:t>
                  </w:r>
                </w:p>
              </w:tc>
              <w:tc>
                <w:tcPr>
                  <w:tcW w:w="1200" w:type="dxa"/>
                  <w:noWrap w:val="0"/>
                  <w:vAlign w:val="center"/>
                </w:tcPr>
                <w:p w14:paraId="3D4A1DD4">
                  <w:pPr>
                    <w:adjustRightInd w:val="0"/>
                    <w:snapToGrid w:val="0"/>
                    <w:jc w:val="center"/>
                    <w:rPr>
                      <w:color w:val="000000"/>
                      <w:sz w:val="21"/>
                      <w:szCs w:val="21"/>
                    </w:rPr>
                  </w:pPr>
                  <w:r>
                    <w:rPr>
                      <w:rFonts w:hint="eastAsia"/>
                      <w:color w:val="000000"/>
                      <w:sz w:val="21"/>
                      <w:szCs w:val="21"/>
                    </w:rPr>
                    <w:t xml:space="preserve">87.5 </w:t>
                  </w:r>
                </w:p>
              </w:tc>
              <w:tc>
                <w:tcPr>
                  <w:tcW w:w="642" w:type="pct"/>
                  <w:noWrap w:val="0"/>
                  <w:vAlign w:val="center"/>
                </w:tcPr>
                <w:p w14:paraId="0D4FDBD0">
                  <w:pPr>
                    <w:jc w:val="center"/>
                    <w:rPr>
                      <w:color w:val="000000"/>
                      <w:sz w:val="21"/>
                      <w:szCs w:val="21"/>
                    </w:rPr>
                  </w:pPr>
                  <w:r>
                    <w:rPr>
                      <w:color w:val="000000"/>
                      <w:sz w:val="21"/>
                      <w:szCs w:val="21"/>
                    </w:rPr>
                    <w:t>达标</w:t>
                  </w:r>
                </w:p>
              </w:tc>
            </w:tr>
          </w:tbl>
          <w:p w14:paraId="3B861E8B">
            <w:pPr>
              <w:pStyle w:val="25"/>
              <w:ind w:firstLine="482"/>
              <w:rPr>
                <w:rFonts w:hint="eastAsia"/>
                <w:color w:val="000000"/>
              </w:rPr>
            </w:pPr>
            <w:r>
              <w:rPr>
                <w:rFonts w:hint="eastAsia"/>
                <w:color w:val="000000"/>
              </w:rPr>
              <w:t>根据上表：2024年重庆市九龙坡区的环境空气质量各污染物浓度均能达到《环境空气质量标准》（GB3095-2012）二级标准，所在区域环境空气质量判定为达标区域。</w:t>
            </w:r>
          </w:p>
          <w:p w14:paraId="1C55EB53">
            <w:pPr>
              <w:pStyle w:val="25"/>
              <w:ind w:firstLine="482"/>
              <w:rPr>
                <w:rFonts w:hint="eastAsia"/>
                <w:color w:val="000000"/>
              </w:rPr>
            </w:pPr>
            <w:r>
              <w:rPr>
                <w:rFonts w:hint="eastAsia"/>
                <w:color w:val="000000"/>
              </w:rPr>
              <w:t>对照《环境空气质量标准》（GB3095-2026）评价标准，PM2.5超过二级标准，后续九龙坡区将根据国家空气质量持续改善行动计划，积极推动空气质量持续改善。</w:t>
            </w:r>
          </w:p>
          <w:p w14:paraId="2353A916">
            <w:pPr>
              <w:pStyle w:val="25"/>
              <w:ind w:firstLine="482"/>
              <w:rPr>
                <w:rFonts w:cs="Times New Roman"/>
                <w:b/>
                <w:bCs/>
                <w:color w:val="000000"/>
                <w:kern w:val="0"/>
              </w:rPr>
            </w:pPr>
            <w:r>
              <w:rPr>
                <w:rFonts w:cs="Times New Roman"/>
                <w:b/>
                <w:bCs/>
                <w:color w:val="000000"/>
                <w:kern w:val="0"/>
              </w:rPr>
              <w:t>（2）</w:t>
            </w:r>
            <w:r>
              <w:rPr>
                <w:rFonts w:hint="eastAsia" w:cs="Times New Roman"/>
                <w:b/>
                <w:bCs/>
                <w:color w:val="000000"/>
                <w:kern w:val="0"/>
              </w:rPr>
              <w:t>其他</w:t>
            </w:r>
            <w:r>
              <w:rPr>
                <w:rFonts w:cs="Times New Roman"/>
                <w:b/>
                <w:bCs/>
                <w:color w:val="000000"/>
                <w:kern w:val="0"/>
              </w:rPr>
              <w:t>因子环境质量现状评价</w:t>
            </w:r>
          </w:p>
          <w:p w14:paraId="0B6DEC34">
            <w:pPr>
              <w:pStyle w:val="25"/>
              <w:ind w:firstLine="480"/>
              <w:rPr>
                <w:rFonts w:cs="Times New Roman"/>
                <w:color w:val="000000"/>
                <w:spacing w:val="-2"/>
              </w:rPr>
            </w:pPr>
            <w:r>
              <w:rPr>
                <w:rFonts w:hint="eastAsia"/>
                <w:color w:val="000000"/>
              </w:rPr>
              <w:t>根据《建设项目环境影响报告表内容、格式及编制技术指南常见问题解答》（2021年10月20日），本项目仅需对非甲烷总烃进行环境空气质量监测与评价。</w:t>
            </w:r>
            <w:r>
              <w:rPr>
                <w:rFonts w:cs="Times New Roman"/>
                <w:color w:val="000000"/>
              </w:rPr>
              <w:t>本项目</w:t>
            </w:r>
            <w:r>
              <w:rPr>
                <w:rFonts w:hint="eastAsia" w:cs="Times New Roman"/>
                <w:color w:val="000000"/>
              </w:rPr>
              <w:t>引用园区规划环评现状监测报告</w:t>
            </w:r>
            <w:r>
              <w:rPr>
                <w:rFonts w:cs="Times New Roman"/>
                <w:color w:val="000000"/>
                <w:spacing w:val="-2"/>
              </w:rPr>
              <w:t>，监测报告号为：</w:t>
            </w:r>
            <w:r>
              <w:rPr>
                <w:rFonts w:hint="eastAsia" w:cs="Times New Roman"/>
                <w:color w:val="000000"/>
                <w:spacing w:val="-2"/>
              </w:rPr>
              <w:t>港庆</w:t>
            </w:r>
            <w:r>
              <w:rPr>
                <w:rFonts w:cs="Times New Roman"/>
                <w:color w:val="000000"/>
                <w:spacing w:val="-2"/>
              </w:rPr>
              <w:t>（监）</w:t>
            </w:r>
            <w:r>
              <w:rPr>
                <w:rFonts w:hint="eastAsia" w:cs="Times New Roman"/>
                <w:color w:val="000000"/>
                <w:spacing w:val="-2"/>
              </w:rPr>
              <w:t>字【</w:t>
            </w:r>
            <w:r>
              <w:rPr>
                <w:rFonts w:cs="Times New Roman"/>
                <w:color w:val="000000"/>
                <w:spacing w:val="-2"/>
              </w:rPr>
              <w:t>202</w:t>
            </w:r>
            <w:r>
              <w:rPr>
                <w:rFonts w:hint="eastAsia" w:cs="Times New Roman"/>
                <w:color w:val="000000"/>
                <w:spacing w:val="-2"/>
              </w:rPr>
              <w:t>4】第07003-4-HP</w:t>
            </w:r>
            <w:r>
              <w:rPr>
                <w:rFonts w:cs="Times New Roman"/>
                <w:color w:val="000000"/>
                <w:spacing w:val="-2"/>
              </w:rPr>
              <w:t>号</w:t>
            </w:r>
            <w:r>
              <w:rPr>
                <w:rFonts w:hint="eastAsia" w:cs="Times New Roman"/>
                <w:color w:val="000000"/>
                <w:spacing w:val="-2"/>
              </w:rPr>
              <w:t>。</w:t>
            </w:r>
            <w:r>
              <w:rPr>
                <w:rFonts w:hint="eastAsia" w:cs="Times New Roman"/>
                <w:color w:val="000000"/>
              </w:rPr>
              <w:t>监测时间为</w:t>
            </w:r>
            <w:r>
              <w:rPr>
                <w:rFonts w:hint="eastAsia"/>
                <w:color w:val="000000"/>
              </w:rPr>
              <w:t>2025年6月23日~29日，监测频次为监测7天，4次/天，引用</w:t>
            </w:r>
            <w:r>
              <w:rPr>
                <w:rFonts w:hint="eastAsia" w:cs="Times New Roman"/>
                <w:color w:val="000000"/>
                <w:spacing w:val="-2"/>
              </w:rPr>
              <w:t>大气监测点位“渝西中学A区”位于本项目场址北侧约2.3km，引用监测点位有效。</w:t>
            </w:r>
          </w:p>
          <w:p w14:paraId="3B69C27B">
            <w:pPr>
              <w:pStyle w:val="25"/>
              <w:ind w:firstLine="480"/>
              <w:rPr>
                <w:rFonts w:cs="Times New Roman"/>
                <w:color w:val="000000"/>
              </w:rPr>
            </w:pPr>
            <w:r>
              <w:rPr>
                <w:rFonts w:cs="Times New Roman"/>
                <w:color w:val="000000"/>
              </w:rPr>
              <w:t>①评价标准</w:t>
            </w:r>
          </w:p>
          <w:p w14:paraId="2BDF5FD1">
            <w:pPr>
              <w:pStyle w:val="25"/>
              <w:ind w:firstLine="480"/>
              <w:rPr>
                <w:rFonts w:cs="Times New Roman"/>
                <w:color w:val="000000"/>
              </w:rPr>
            </w:pPr>
            <w:r>
              <w:rPr>
                <w:rFonts w:hint="eastAsia" w:cs="Times New Roman"/>
                <w:color w:val="000000"/>
              </w:rPr>
              <w:t>非甲烷总烃</w:t>
            </w:r>
            <w:r>
              <w:rPr>
                <w:rFonts w:cs="Times New Roman"/>
                <w:color w:val="000000"/>
              </w:rPr>
              <w:t>小时浓度</w:t>
            </w:r>
            <w:r>
              <w:rPr>
                <w:rFonts w:hint="eastAsia" w:cs="Times New Roman"/>
                <w:color w:val="000000"/>
              </w:rPr>
              <w:t>参照</w:t>
            </w:r>
            <w:r>
              <w:rPr>
                <w:rFonts w:cs="Times New Roman"/>
                <w:color w:val="000000"/>
              </w:rPr>
              <w:t>执行</w:t>
            </w:r>
            <w:r>
              <w:rPr>
                <w:rFonts w:hint="eastAsia" w:cs="Times New Roman"/>
                <w:color w:val="000000"/>
              </w:rPr>
              <w:t>河北省地方标准</w:t>
            </w:r>
            <w:r>
              <w:rPr>
                <w:rFonts w:cs="Times New Roman"/>
                <w:color w:val="000000"/>
              </w:rPr>
              <w:t>《</w:t>
            </w:r>
            <w:r>
              <w:rPr>
                <w:rFonts w:eastAsia="Times New Roman"/>
                <w:color w:val="000000"/>
                <w:lang w:val="zh-CN"/>
              </w:rPr>
              <w:t>环境空气质量</w:t>
            </w:r>
            <w:r>
              <w:rPr>
                <w:rFonts w:hint="eastAsia"/>
                <w:color w:val="000000"/>
              </w:rPr>
              <w:t xml:space="preserve"> </w:t>
            </w:r>
            <w:r>
              <w:rPr>
                <w:rFonts w:eastAsia="Times New Roman"/>
                <w:color w:val="000000"/>
                <w:lang w:val="zh-CN"/>
              </w:rPr>
              <w:t>非甲烷总烃限值</w:t>
            </w:r>
            <w:r>
              <w:rPr>
                <w:rFonts w:cs="Times New Roman"/>
                <w:color w:val="000000"/>
              </w:rPr>
              <w:t>》（DB 13/1577-2012）表中的</w:t>
            </w:r>
            <w:r>
              <w:rPr>
                <w:rFonts w:hint="eastAsia" w:cs="Times New Roman"/>
                <w:color w:val="000000"/>
              </w:rPr>
              <w:t>二级标准</w:t>
            </w:r>
            <w:r>
              <w:rPr>
                <w:rFonts w:cs="Times New Roman"/>
                <w:color w:val="000000"/>
              </w:rPr>
              <w:t>。</w:t>
            </w:r>
          </w:p>
          <w:p w14:paraId="01C86382">
            <w:pPr>
              <w:pStyle w:val="25"/>
              <w:ind w:firstLine="480"/>
              <w:rPr>
                <w:rFonts w:cs="Times New Roman"/>
                <w:color w:val="000000"/>
              </w:rPr>
            </w:pPr>
            <w:r>
              <w:rPr>
                <w:rFonts w:cs="Times New Roman"/>
                <w:color w:val="000000"/>
              </w:rPr>
              <w:t>②评价方法</w:t>
            </w:r>
          </w:p>
          <w:p w14:paraId="02876E24">
            <w:pPr>
              <w:pStyle w:val="25"/>
              <w:ind w:firstLine="480"/>
              <w:rPr>
                <w:rFonts w:cs="Times New Roman"/>
                <w:color w:val="000000"/>
              </w:rPr>
            </w:pPr>
            <w:r>
              <w:rPr>
                <w:rFonts w:cs="Times New Roman"/>
                <w:color w:val="000000"/>
              </w:rPr>
              <w:t>采用占标率和</w:t>
            </w:r>
            <w:r>
              <w:rPr>
                <w:color w:val="000000"/>
              </w:rPr>
              <w:t>超标率</w:t>
            </w:r>
            <w:r>
              <w:rPr>
                <w:rFonts w:cs="Times New Roman"/>
                <w:color w:val="000000"/>
              </w:rPr>
              <w:t>，并评价达标情况。评价方法如下：</w:t>
            </w:r>
          </w:p>
          <w:p w14:paraId="6D53055F">
            <w:pPr>
              <w:pStyle w:val="32"/>
              <w:spacing w:line="360" w:lineRule="auto"/>
              <w:ind w:firstLine="480" w:firstLineChars="200"/>
              <w:rPr>
                <w:rFonts w:eastAsia="宋体"/>
                <w:color w:val="000000"/>
                <w:sz w:val="24"/>
                <w:szCs w:val="24"/>
              </w:rPr>
            </w:pPr>
            <w:r>
              <w:rPr>
                <w:rFonts w:eastAsia="宋体"/>
                <w:color w:val="000000"/>
                <w:sz w:val="24"/>
                <w:szCs w:val="24"/>
              </w:rPr>
              <w:drawing>
                <wp:anchor distT="0" distB="0" distL="114300" distR="114300" simplePos="0" relativeHeight="251659264" behindDoc="0" locked="0" layoutInCell="1" allowOverlap="1">
                  <wp:simplePos x="0" y="0"/>
                  <wp:positionH relativeFrom="column">
                    <wp:posOffset>1873250</wp:posOffset>
                  </wp:positionH>
                  <wp:positionV relativeFrom="paragraph">
                    <wp:posOffset>-5080</wp:posOffset>
                  </wp:positionV>
                  <wp:extent cx="871855" cy="351155"/>
                  <wp:effectExtent l="0" t="0" r="4445" b="11430"/>
                  <wp:wrapNone/>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9"/>
                          <a:stretch>
                            <a:fillRect/>
                          </a:stretch>
                        </pic:blipFill>
                        <pic:spPr>
                          <a:xfrm>
                            <a:off x="0" y="0"/>
                            <a:ext cx="871855" cy="351155"/>
                          </a:xfrm>
                          <a:prstGeom prst="rect">
                            <a:avLst/>
                          </a:prstGeom>
                          <a:noFill/>
                          <a:ln>
                            <a:noFill/>
                          </a:ln>
                        </pic:spPr>
                      </pic:pic>
                    </a:graphicData>
                  </a:graphic>
                </wp:anchor>
              </w:drawing>
            </w:r>
          </w:p>
          <w:p w14:paraId="7758546F">
            <w:pPr>
              <w:pStyle w:val="32"/>
              <w:spacing w:line="360" w:lineRule="auto"/>
              <w:ind w:firstLine="480" w:firstLineChars="200"/>
              <w:rPr>
                <w:rStyle w:val="33"/>
                <w:color w:val="000000"/>
                <w:szCs w:val="24"/>
              </w:rPr>
            </w:pPr>
            <w:r>
              <w:rPr>
                <w:rStyle w:val="33"/>
                <w:color w:val="000000"/>
                <w:szCs w:val="24"/>
              </w:rPr>
              <w:t>式中：P</w:t>
            </w:r>
            <w:r>
              <w:rPr>
                <w:rStyle w:val="33"/>
                <w:color w:val="000000"/>
                <w:szCs w:val="24"/>
                <w:vertAlign w:val="subscript"/>
              </w:rPr>
              <w:t>i</w:t>
            </w:r>
            <w:r>
              <w:rPr>
                <w:color w:val="000000"/>
              </w:rPr>
              <w:t>—</w:t>
            </w:r>
            <w:r>
              <w:rPr>
                <w:rStyle w:val="33"/>
                <w:color w:val="000000"/>
                <w:szCs w:val="24"/>
              </w:rPr>
              <w:t>第i个污染物的最大地面</w:t>
            </w:r>
            <w:r>
              <w:rPr>
                <w:rStyle w:val="33"/>
                <w:color w:val="000000"/>
                <w:szCs w:val="24"/>
                <w:lang w:val="en-US"/>
              </w:rPr>
              <w:t>空气质量</w:t>
            </w:r>
            <w:r>
              <w:rPr>
                <w:rStyle w:val="33"/>
                <w:color w:val="000000"/>
                <w:szCs w:val="24"/>
              </w:rPr>
              <w:t>浓度占标率，%</w:t>
            </w:r>
          </w:p>
          <w:p w14:paraId="4603D084">
            <w:pPr>
              <w:pStyle w:val="32"/>
              <w:spacing w:line="360" w:lineRule="auto"/>
              <w:ind w:firstLine="1200" w:firstLineChars="500"/>
              <w:rPr>
                <w:rStyle w:val="33"/>
                <w:color w:val="000000"/>
                <w:szCs w:val="24"/>
              </w:rPr>
            </w:pPr>
            <w:r>
              <w:rPr>
                <w:rStyle w:val="33"/>
                <w:color w:val="000000"/>
                <w:szCs w:val="24"/>
              </w:rPr>
              <w:t>C</w:t>
            </w:r>
            <w:r>
              <w:rPr>
                <w:rStyle w:val="33"/>
                <w:color w:val="000000"/>
                <w:szCs w:val="24"/>
                <w:vertAlign w:val="subscript"/>
              </w:rPr>
              <w:t>i</w:t>
            </w:r>
            <w:r>
              <w:rPr>
                <w:color w:val="000000"/>
              </w:rPr>
              <w:t>—</w:t>
            </w:r>
            <w:r>
              <w:rPr>
                <w:rStyle w:val="33"/>
                <w:color w:val="000000"/>
                <w:szCs w:val="24"/>
              </w:rPr>
              <w:t>采用估算模式计算出第i个污染物的最大</w:t>
            </w:r>
            <w:r>
              <w:rPr>
                <w:rStyle w:val="33"/>
                <w:color w:val="000000"/>
                <w:szCs w:val="24"/>
                <w:lang w:val="en-US"/>
              </w:rPr>
              <w:t>1h</w:t>
            </w:r>
            <w:r>
              <w:rPr>
                <w:rStyle w:val="33"/>
                <w:color w:val="000000"/>
                <w:szCs w:val="24"/>
              </w:rPr>
              <w:t>地面</w:t>
            </w:r>
            <w:r>
              <w:rPr>
                <w:rStyle w:val="33"/>
                <w:color w:val="000000"/>
                <w:szCs w:val="24"/>
                <w:lang w:val="en-US"/>
              </w:rPr>
              <w:t>空气质量</w:t>
            </w:r>
            <w:r>
              <w:rPr>
                <w:rStyle w:val="33"/>
                <w:color w:val="000000"/>
                <w:szCs w:val="24"/>
              </w:rPr>
              <w:t>浓度，</w:t>
            </w:r>
            <w:r>
              <w:rPr>
                <w:rFonts w:eastAsia="宋体"/>
                <w:color w:val="000000"/>
              </w:rPr>
              <w:t>μg/m</w:t>
            </w:r>
            <w:r>
              <w:rPr>
                <w:rFonts w:eastAsia="宋体"/>
                <w:color w:val="000000"/>
                <w:vertAlign w:val="superscript"/>
              </w:rPr>
              <w:t>3</w:t>
            </w:r>
            <w:r>
              <w:rPr>
                <w:rStyle w:val="33"/>
                <w:color w:val="000000"/>
                <w:szCs w:val="24"/>
              </w:rPr>
              <w:t>；</w:t>
            </w:r>
          </w:p>
          <w:p w14:paraId="4E862979">
            <w:pPr>
              <w:pStyle w:val="32"/>
              <w:wordWrap w:val="0"/>
              <w:spacing w:line="360" w:lineRule="auto"/>
              <w:ind w:firstLine="1200" w:firstLineChars="500"/>
              <w:rPr>
                <w:rFonts w:eastAsia="宋体"/>
                <w:color w:val="000000"/>
                <w:sz w:val="24"/>
                <w:szCs w:val="24"/>
              </w:rPr>
            </w:pPr>
            <w:r>
              <w:rPr>
                <w:rStyle w:val="33"/>
                <w:color w:val="000000"/>
                <w:szCs w:val="24"/>
              </w:rPr>
              <w:t>C</w:t>
            </w:r>
            <w:r>
              <w:rPr>
                <w:rStyle w:val="33"/>
                <w:color w:val="000000"/>
                <w:szCs w:val="24"/>
                <w:vertAlign w:val="subscript"/>
              </w:rPr>
              <w:t>oi</w:t>
            </w:r>
            <w:r>
              <w:rPr>
                <w:color w:val="000000"/>
              </w:rPr>
              <w:t>—</w:t>
            </w:r>
            <w:r>
              <w:rPr>
                <w:rStyle w:val="33"/>
                <w:color w:val="000000"/>
                <w:szCs w:val="24"/>
              </w:rPr>
              <w:t>第i个污染物的环境空气质量标准，</w:t>
            </w:r>
            <w:r>
              <w:rPr>
                <w:rFonts w:eastAsia="宋体"/>
                <w:color w:val="000000"/>
              </w:rPr>
              <w:t>μg/m</w:t>
            </w:r>
            <w:r>
              <w:rPr>
                <w:rFonts w:eastAsia="宋体"/>
                <w:color w:val="000000"/>
                <w:vertAlign w:val="superscript"/>
              </w:rPr>
              <w:t>3</w:t>
            </w:r>
            <w:r>
              <w:rPr>
                <w:rStyle w:val="33"/>
                <w:color w:val="000000"/>
                <w:szCs w:val="24"/>
              </w:rPr>
              <w:t>。</w:t>
            </w:r>
          </w:p>
          <w:p w14:paraId="76945F51">
            <w:pPr>
              <w:pStyle w:val="25"/>
              <w:ind w:firstLine="480"/>
              <w:rPr>
                <w:rFonts w:hint="eastAsia" w:cs="Times New Roman"/>
                <w:color w:val="000000"/>
              </w:rPr>
            </w:pPr>
            <w:r>
              <w:rPr>
                <w:rFonts w:hint="eastAsia" w:cs="Times New Roman"/>
                <w:color w:val="000000"/>
              </w:rPr>
              <w:t>③监测结果</w:t>
            </w:r>
          </w:p>
          <w:p w14:paraId="359E862F">
            <w:pPr>
              <w:pStyle w:val="25"/>
              <w:ind w:firstLine="480"/>
              <w:rPr>
                <w:rFonts w:cs="Times New Roman"/>
                <w:color w:val="000000"/>
              </w:rPr>
            </w:pPr>
            <w:r>
              <w:rPr>
                <w:rFonts w:hint="eastAsia" w:cs="Times New Roman"/>
                <w:color w:val="000000"/>
              </w:rPr>
              <w:t>非甲烷总烃监测</w:t>
            </w:r>
            <w:r>
              <w:rPr>
                <w:rFonts w:hint="eastAsia"/>
                <w:color w:val="000000"/>
              </w:rPr>
              <w:t>结果</w:t>
            </w:r>
            <w:r>
              <w:rPr>
                <w:rFonts w:hint="eastAsia" w:cs="Times New Roman"/>
                <w:color w:val="000000"/>
              </w:rPr>
              <w:t>见下表。</w:t>
            </w:r>
          </w:p>
          <w:p w14:paraId="00CB7447">
            <w:pPr>
              <w:pStyle w:val="8"/>
              <w:spacing w:after="0"/>
              <w:ind w:left="0" w:leftChars="0"/>
              <w:jc w:val="center"/>
              <w:rPr>
                <w:b/>
                <w:bCs/>
                <w:color w:val="000000"/>
                <w:szCs w:val="32"/>
              </w:rPr>
            </w:pPr>
            <w:r>
              <w:rPr>
                <w:b/>
                <w:bCs/>
                <w:color w:val="000000"/>
                <w:szCs w:val="32"/>
              </w:rPr>
              <w:t>表3</w:t>
            </w:r>
            <w:r>
              <w:rPr>
                <w:rFonts w:hint="eastAsia"/>
                <w:b/>
                <w:bCs/>
                <w:color w:val="000000"/>
                <w:szCs w:val="32"/>
              </w:rPr>
              <w:t>-2</w:t>
            </w:r>
            <w:r>
              <w:rPr>
                <w:b/>
                <w:bCs/>
                <w:color w:val="000000"/>
                <w:szCs w:val="32"/>
              </w:rPr>
              <w:t xml:space="preserve"> 特征因子监测数据</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344"/>
              <w:gridCol w:w="1509"/>
              <w:gridCol w:w="1969"/>
              <w:gridCol w:w="1381"/>
              <w:gridCol w:w="1823"/>
            </w:tblGrid>
            <w:tr w14:paraId="36C6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37" w:type="pct"/>
                  <w:noWrap w:val="0"/>
                  <w:vAlign w:val="center"/>
                </w:tcPr>
                <w:p w14:paraId="65F40650">
                  <w:pPr>
                    <w:adjustRightInd w:val="0"/>
                    <w:snapToGrid w:val="0"/>
                    <w:jc w:val="center"/>
                    <w:rPr>
                      <w:color w:val="000000"/>
                      <w:kern w:val="0"/>
                      <w:sz w:val="21"/>
                      <w:szCs w:val="21"/>
                      <w:lang w:val="zh-TW" w:eastAsia="zh-TW" w:bidi="zh-TW"/>
                    </w:rPr>
                  </w:pPr>
                  <w:r>
                    <w:rPr>
                      <w:color w:val="000000"/>
                      <w:kern w:val="0"/>
                      <w:sz w:val="21"/>
                      <w:szCs w:val="21"/>
                      <w:lang w:val="zh-TW" w:eastAsia="zh-TW" w:bidi="zh-TW"/>
                    </w:rPr>
                    <w:t>监测项目</w:t>
                  </w:r>
                </w:p>
              </w:tc>
              <w:tc>
                <w:tcPr>
                  <w:tcW w:w="940" w:type="pct"/>
                  <w:noWrap w:val="0"/>
                  <w:vAlign w:val="center"/>
                </w:tcPr>
                <w:p w14:paraId="3A543DED">
                  <w:pPr>
                    <w:adjustRightInd w:val="0"/>
                    <w:snapToGrid w:val="0"/>
                    <w:jc w:val="center"/>
                    <w:rPr>
                      <w:color w:val="000000"/>
                      <w:kern w:val="0"/>
                      <w:sz w:val="21"/>
                      <w:szCs w:val="21"/>
                      <w:lang w:val="zh-TW" w:eastAsia="zh-TW" w:bidi="zh-TW"/>
                    </w:rPr>
                  </w:pPr>
                  <w:r>
                    <w:rPr>
                      <w:color w:val="000000"/>
                      <w:kern w:val="0"/>
                      <w:sz w:val="21"/>
                      <w:szCs w:val="21"/>
                      <w:lang w:bidi="zh-TW"/>
                    </w:rPr>
                    <w:t>单位</w:t>
                  </w:r>
                </w:p>
              </w:tc>
              <w:tc>
                <w:tcPr>
                  <w:tcW w:w="1226" w:type="pct"/>
                  <w:noWrap w:val="0"/>
                  <w:vAlign w:val="center"/>
                </w:tcPr>
                <w:p w14:paraId="0F518859">
                  <w:pPr>
                    <w:adjustRightInd w:val="0"/>
                    <w:snapToGrid w:val="0"/>
                    <w:jc w:val="center"/>
                    <w:rPr>
                      <w:color w:val="000000"/>
                      <w:kern w:val="0"/>
                      <w:sz w:val="21"/>
                      <w:szCs w:val="21"/>
                      <w:lang w:val="zh-TW" w:eastAsia="zh-TW" w:bidi="zh-TW"/>
                    </w:rPr>
                  </w:pPr>
                  <w:r>
                    <w:rPr>
                      <w:color w:val="000000"/>
                      <w:kern w:val="0"/>
                      <w:sz w:val="21"/>
                      <w:szCs w:val="21"/>
                      <w:lang w:val="zh-TW" w:eastAsia="zh-TW" w:bidi="zh-TW"/>
                    </w:rPr>
                    <w:t>浓度范围</w:t>
                  </w:r>
                </w:p>
              </w:tc>
              <w:tc>
                <w:tcPr>
                  <w:tcW w:w="860" w:type="pct"/>
                  <w:noWrap w:val="0"/>
                  <w:vAlign w:val="center"/>
                </w:tcPr>
                <w:p w14:paraId="233FDBEF">
                  <w:pPr>
                    <w:adjustRightInd w:val="0"/>
                    <w:snapToGrid w:val="0"/>
                    <w:jc w:val="center"/>
                    <w:rPr>
                      <w:color w:val="000000"/>
                      <w:kern w:val="0"/>
                      <w:sz w:val="21"/>
                      <w:szCs w:val="21"/>
                      <w:lang w:val="zh-TW" w:eastAsia="zh-TW" w:bidi="zh-TW"/>
                    </w:rPr>
                  </w:pPr>
                  <w:r>
                    <w:rPr>
                      <w:color w:val="000000"/>
                      <w:kern w:val="0"/>
                      <w:sz w:val="21"/>
                      <w:szCs w:val="21"/>
                      <w:lang w:val="zh-TW" w:eastAsia="zh-TW" w:bidi="zh-TW"/>
                    </w:rPr>
                    <w:t>标准值</w:t>
                  </w:r>
                </w:p>
              </w:tc>
              <w:tc>
                <w:tcPr>
                  <w:tcW w:w="1135" w:type="pct"/>
                  <w:noWrap w:val="0"/>
                  <w:vAlign w:val="center"/>
                </w:tcPr>
                <w:p w14:paraId="6F3405B1">
                  <w:pPr>
                    <w:adjustRightInd w:val="0"/>
                    <w:snapToGrid w:val="0"/>
                    <w:jc w:val="center"/>
                    <w:rPr>
                      <w:color w:val="000000"/>
                      <w:kern w:val="0"/>
                      <w:sz w:val="21"/>
                      <w:szCs w:val="21"/>
                      <w:lang w:val="zh-TW" w:eastAsia="zh-TW" w:bidi="zh-TW"/>
                    </w:rPr>
                  </w:pPr>
                  <w:r>
                    <w:rPr>
                      <w:rFonts w:hint="eastAsia"/>
                      <w:color w:val="000000"/>
                      <w:kern w:val="0"/>
                      <w:sz w:val="21"/>
                      <w:szCs w:val="21"/>
                      <w:lang w:bidi="en-US"/>
                    </w:rPr>
                    <w:t>最大占标率</w:t>
                  </w:r>
                </w:p>
              </w:tc>
            </w:tr>
            <w:tr w14:paraId="1DD0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37" w:type="pct"/>
                  <w:noWrap w:val="0"/>
                  <w:vAlign w:val="center"/>
                </w:tcPr>
                <w:p w14:paraId="1C9BDCCE">
                  <w:pPr>
                    <w:adjustRightInd w:val="0"/>
                    <w:snapToGrid w:val="0"/>
                    <w:jc w:val="center"/>
                    <w:rPr>
                      <w:color w:val="000000"/>
                      <w:kern w:val="0"/>
                      <w:sz w:val="21"/>
                      <w:szCs w:val="21"/>
                      <w:lang w:bidi="zh-TW"/>
                    </w:rPr>
                  </w:pPr>
                  <w:r>
                    <w:rPr>
                      <w:rFonts w:hint="eastAsia"/>
                      <w:color w:val="000000"/>
                      <w:kern w:val="0"/>
                      <w:sz w:val="21"/>
                      <w:szCs w:val="21"/>
                      <w:lang w:bidi="en-US"/>
                    </w:rPr>
                    <w:t>非甲烷总烃</w:t>
                  </w:r>
                </w:p>
              </w:tc>
              <w:tc>
                <w:tcPr>
                  <w:tcW w:w="940" w:type="pct"/>
                  <w:noWrap w:val="0"/>
                  <w:vAlign w:val="center"/>
                </w:tcPr>
                <w:p w14:paraId="038FE8B3">
                  <w:pPr>
                    <w:adjustRightInd w:val="0"/>
                    <w:snapToGrid w:val="0"/>
                    <w:jc w:val="center"/>
                    <w:rPr>
                      <w:color w:val="000000"/>
                      <w:kern w:val="0"/>
                      <w:sz w:val="21"/>
                      <w:szCs w:val="21"/>
                      <w:lang w:bidi="en-US"/>
                    </w:rPr>
                  </w:pPr>
                  <w:r>
                    <w:rPr>
                      <w:rFonts w:hint="eastAsia"/>
                      <w:color w:val="000000"/>
                      <w:sz w:val="21"/>
                      <w:szCs w:val="21"/>
                    </w:rPr>
                    <w:t>m</w:t>
                  </w:r>
                  <w:r>
                    <w:rPr>
                      <w:color w:val="000000"/>
                      <w:sz w:val="21"/>
                      <w:szCs w:val="21"/>
                    </w:rPr>
                    <w:t>g/m</w:t>
                  </w:r>
                  <w:r>
                    <w:rPr>
                      <w:color w:val="000000"/>
                      <w:sz w:val="21"/>
                      <w:szCs w:val="21"/>
                      <w:vertAlign w:val="superscript"/>
                    </w:rPr>
                    <w:t>3</w:t>
                  </w:r>
                </w:p>
              </w:tc>
              <w:tc>
                <w:tcPr>
                  <w:tcW w:w="1226" w:type="pct"/>
                  <w:noWrap w:val="0"/>
                  <w:vAlign w:val="center"/>
                </w:tcPr>
                <w:p w14:paraId="19823773">
                  <w:pPr>
                    <w:adjustRightInd w:val="0"/>
                    <w:snapToGrid w:val="0"/>
                    <w:jc w:val="center"/>
                    <w:rPr>
                      <w:color w:val="000000"/>
                      <w:kern w:val="0"/>
                      <w:sz w:val="21"/>
                      <w:szCs w:val="21"/>
                      <w:lang w:bidi="zh-TW"/>
                    </w:rPr>
                  </w:pPr>
                  <w:r>
                    <w:rPr>
                      <w:rFonts w:hint="eastAsia"/>
                      <w:color w:val="000000"/>
                      <w:kern w:val="0"/>
                      <w:sz w:val="21"/>
                      <w:szCs w:val="21"/>
                      <w:lang w:bidi="zh-TW"/>
                    </w:rPr>
                    <w:t>0.5~0.7</w:t>
                  </w:r>
                </w:p>
              </w:tc>
              <w:tc>
                <w:tcPr>
                  <w:tcW w:w="860" w:type="pct"/>
                  <w:noWrap w:val="0"/>
                  <w:vAlign w:val="center"/>
                </w:tcPr>
                <w:p w14:paraId="65AB2BB6">
                  <w:pPr>
                    <w:adjustRightInd w:val="0"/>
                    <w:snapToGrid w:val="0"/>
                    <w:jc w:val="center"/>
                    <w:rPr>
                      <w:rFonts w:hint="eastAsia"/>
                      <w:color w:val="000000"/>
                      <w:kern w:val="0"/>
                      <w:sz w:val="21"/>
                      <w:szCs w:val="21"/>
                      <w:lang w:bidi="zh-TW"/>
                    </w:rPr>
                  </w:pPr>
                  <w:r>
                    <w:rPr>
                      <w:rFonts w:hint="eastAsia"/>
                      <w:color w:val="000000"/>
                      <w:kern w:val="0"/>
                      <w:sz w:val="21"/>
                      <w:szCs w:val="21"/>
                      <w:lang w:bidi="en-US"/>
                    </w:rPr>
                    <w:t>2</w:t>
                  </w:r>
                </w:p>
              </w:tc>
              <w:tc>
                <w:tcPr>
                  <w:tcW w:w="1135" w:type="pct"/>
                  <w:noWrap w:val="0"/>
                  <w:vAlign w:val="center"/>
                </w:tcPr>
                <w:p w14:paraId="31BEE393">
                  <w:pPr>
                    <w:adjustRightInd w:val="0"/>
                    <w:snapToGrid w:val="0"/>
                    <w:jc w:val="center"/>
                    <w:rPr>
                      <w:color w:val="000000"/>
                      <w:kern w:val="0"/>
                      <w:sz w:val="21"/>
                      <w:szCs w:val="21"/>
                      <w:lang w:bidi="zh-TW"/>
                    </w:rPr>
                  </w:pPr>
                  <w:r>
                    <w:rPr>
                      <w:rFonts w:hint="eastAsia"/>
                      <w:color w:val="000000"/>
                      <w:kern w:val="0"/>
                      <w:sz w:val="21"/>
                      <w:szCs w:val="21"/>
                      <w:lang w:bidi="zh-TW"/>
                    </w:rPr>
                    <w:t>0.35</w:t>
                  </w:r>
                </w:p>
              </w:tc>
            </w:tr>
          </w:tbl>
          <w:p w14:paraId="7ED8B946">
            <w:pPr>
              <w:pStyle w:val="28"/>
              <w:spacing w:line="360" w:lineRule="auto"/>
              <w:ind w:firstLine="480" w:firstLineChars="200"/>
              <w:textAlignment w:val="auto"/>
              <w:rPr>
                <w:rFonts w:hint="eastAsia" w:ascii="Times New Roman" w:hAnsi="Times New Roman"/>
                <w:color w:val="000000"/>
              </w:rPr>
            </w:pPr>
            <w:r>
              <w:rPr>
                <w:rFonts w:ascii="Times New Roman" w:hAnsi="Times New Roman" w:eastAsia="宋体"/>
                <w:color w:val="000000"/>
              </w:rPr>
              <w:t>根据上述监测结果表明</w:t>
            </w:r>
            <w:r>
              <w:rPr>
                <w:rStyle w:val="33"/>
                <w:color w:val="000000"/>
              </w:rPr>
              <w:t>，</w:t>
            </w:r>
            <w:r>
              <w:rPr>
                <w:rStyle w:val="33"/>
                <w:rFonts w:hint="eastAsia"/>
                <w:color w:val="000000"/>
              </w:rPr>
              <w:t>非甲烷总烃</w:t>
            </w:r>
            <w:r>
              <w:rPr>
                <w:rStyle w:val="33"/>
                <w:color w:val="000000"/>
              </w:rPr>
              <w:t>小时浓度</w:t>
            </w:r>
            <w:r>
              <w:rPr>
                <w:rStyle w:val="33"/>
                <w:rFonts w:hint="eastAsia"/>
                <w:color w:val="000000"/>
              </w:rPr>
              <w:t>监测结果满足</w:t>
            </w:r>
            <w:r>
              <w:rPr>
                <w:rFonts w:hint="eastAsia" w:ascii="Times New Roman" w:hAnsi="Times New Roman" w:eastAsia="宋体"/>
                <w:color w:val="000000"/>
              </w:rPr>
              <w:t>河北省地方标准</w:t>
            </w:r>
            <w:r>
              <w:rPr>
                <w:rFonts w:ascii="Times New Roman" w:hAnsi="Times New Roman" w:eastAsia="宋体"/>
                <w:color w:val="000000"/>
              </w:rPr>
              <w:t>《</w:t>
            </w:r>
            <w:r>
              <w:rPr>
                <w:rFonts w:ascii="Times New Roman" w:hAnsi="Times New Roman" w:eastAsia="Times New Roman"/>
                <w:color w:val="000000"/>
                <w:lang w:val="zh-CN"/>
              </w:rPr>
              <w:t>环境空气质量</w:t>
            </w:r>
            <w:r>
              <w:rPr>
                <w:rFonts w:hint="eastAsia" w:ascii="Times New Roman" w:hAnsi="Times New Roman" w:eastAsia="宋体"/>
                <w:color w:val="000000"/>
              </w:rPr>
              <w:t xml:space="preserve"> </w:t>
            </w:r>
            <w:r>
              <w:rPr>
                <w:rFonts w:ascii="Times New Roman" w:hAnsi="Times New Roman" w:eastAsia="Times New Roman"/>
                <w:color w:val="000000"/>
                <w:lang w:val="zh-CN"/>
              </w:rPr>
              <w:t>非甲烷总烃限值</w:t>
            </w:r>
            <w:r>
              <w:rPr>
                <w:rFonts w:ascii="Times New Roman" w:hAnsi="Times New Roman" w:eastAsia="宋体"/>
                <w:color w:val="000000"/>
              </w:rPr>
              <w:t>》（DB 13/1577-2012）</w:t>
            </w:r>
            <w:r>
              <w:rPr>
                <w:rStyle w:val="33"/>
                <w:color w:val="000000"/>
              </w:rPr>
              <w:t>要求。</w:t>
            </w:r>
          </w:p>
          <w:p w14:paraId="36F37BC4">
            <w:pPr>
              <w:pStyle w:val="28"/>
              <w:spacing w:line="360" w:lineRule="auto"/>
              <w:textAlignment w:val="auto"/>
              <w:rPr>
                <w:rFonts w:ascii="Times New Roman" w:hAnsi="Times New Roman" w:eastAsia="Times New Roman"/>
                <w:b/>
                <w:bCs/>
                <w:color w:val="000000"/>
                <w:lang w:val="zh-CN"/>
              </w:rPr>
            </w:pPr>
            <w:r>
              <w:rPr>
                <w:rFonts w:ascii="Times New Roman" w:hAnsi="Times New Roman" w:eastAsia="Times New Roman"/>
                <w:b/>
                <w:bCs/>
                <w:color w:val="000000"/>
                <w:lang w:val="zh-CN"/>
              </w:rPr>
              <w:t>3.2地表水环境质量</w:t>
            </w:r>
          </w:p>
          <w:p w14:paraId="72A216EE">
            <w:pPr>
              <w:pStyle w:val="28"/>
              <w:spacing w:line="360" w:lineRule="auto"/>
              <w:ind w:firstLine="480" w:firstLineChars="200"/>
              <w:textAlignment w:val="auto"/>
              <w:rPr>
                <w:rFonts w:ascii="Times New Roman" w:hAnsi="Times New Roman" w:eastAsia="Times New Roman"/>
                <w:color w:val="000000"/>
                <w:lang w:val="zh-CN"/>
              </w:rPr>
            </w:pPr>
            <w:r>
              <w:rPr>
                <w:rFonts w:ascii="Times New Roman" w:hAnsi="Times New Roman" w:eastAsia="Times New Roman"/>
                <w:color w:val="000000"/>
                <w:lang w:val="zh-CN"/>
              </w:rPr>
              <w:t>项目废水经西彭工业园区污水处理厂处理达标后排入桥头河，最终汇入长江。项目所在区域桥头河未划分水域功能，长江新瓦房-大溪河口段水域范围属Ⅱ类水域。桥头河汇入长江口上游500m至大溪河口长江段属于Ⅱ类水域，执行《地表水环境质量标准》（GB3838-2002）Ⅱ类标准要求。</w:t>
            </w:r>
          </w:p>
          <w:p w14:paraId="031C2D9D">
            <w:pPr>
              <w:pStyle w:val="28"/>
              <w:spacing w:line="360" w:lineRule="auto"/>
              <w:ind w:firstLine="480" w:firstLineChars="200"/>
              <w:textAlignment w:val="auto"/>
              <w:rPr>
                <w:rFonts w:ascii="Times New Roman" w:hAnsi="Times New Roman" w:eastAsia="Times New Roman"/>
                <w:color w:val="000000"/>
                <w:lang w:val="zh-CN"/>
              </w:rPr>
            </w:pPr>
            <w:r>
              <w:rPr>
                <w:rFonts w:ascii="Times New Roman" w:hAnsi="Times New Roman" w:eastAsia="Times New Roman"/>
                <w:color w:val="000000"/>
                <w:lang w:val="zh-CN"/>
              </w:rPr>
              <w:t>根据2025年5月30日发布的《2024年重庆市生态环境状况公报》中“长江干流重庆段水质为优，20个监测断面水质均为Ⅱ类”的描述，项目所在区域地表水环境状况较好，符合《地表水环境质量标准》（GB3838-2002）Ⅱ类标准要求。</w:t>
            </w:r>
          </w:p>
          <w:p w14:paraId="20C17419">
            <w:pPr>
              <w:pStyle w:val="28"/>
              <w:spacing w:line="360" w:lineRule="auto"/>
              <w:textAlignment w:val="auto"/>
              <w:rPr>
                <w:rFonts w:ascii="Times New Roman" w:hAnsi="Times New Roman" w:eastAsia="Times New Roman"/>
                <w:b/>
                <w:bCs/>
                <w:color w:val="000000"/>
                <w:lang w:val="zh-CN"/>
              </w:rPr>
            </w:pPr>
            <w:bookmarkStart w:id="10" w:name="_Toc99551042"/>
            <w:bookmarkStart w:id="11" w:name="_Toc95902495"/>
            <w:r>
              <w:rPr>
                <w:rFonts w:ascii="Times New Roman" w:hAnsi="Times New Roman" w:eastAsia="Times New Roman"/>
                <w:b/>
                <w:bCs/>
                <w:color w:val="000000"/>
                <w:lang w:val="zh-CN"/>
              </w:rPr>
              <w:t>3.3声环境质量</w:t>
            </w:r>
            <w:bookmarkEnd w:id="10"/>
            <w:bookmarkEnd w:id="11"/>
          </w:p>
          <w:p w14:paraId="0DB7D982">
            <w:pPr>
              <w:pStyle w:val="28"/>
              <w:spacing w:line="360" w:lineRule="auto"/>
              <w:ind w:firstLine="480" w:firstLineChars="200"/>
              <w:textAlignment w:val="auto"/>
              <w:rPr>
                <w:rFonts w:ascii="Times New Roman" w:hAnsi="Times New Roman" w:eastAsia="Times New Roman"/>
                <w:color w:val="000000"/>
                <w:lang w:val="zh-CN"/>
              </w:rPr>
            </w:pPr>
            <w:r>
              <w:rPr>
                <w:rFonts w:hint="eastAsia" w:ascii="Times New Roman" w:hAnsi="Times New Roman" w:eastAsia="Times New Roman"/>
                <w:color w:val="000000"/>
              </w:rPr>
              <w:t>本项目</w:t>
            </w:r>
            <w:r>
              <w:rPr>
                <w:rFonts w:ascii="Times New Roman" w:hAnsi="Times New Roman" w:eastAsia="Times New Roman"/>
                <w:color w:val="000000"/>
                <w:lang w:val="zh-CN"/>
              </w:rPr>
              <w:t>周边均为工业企业，厂界外周边50米范围无声环境保护目标，根据《建设项目环境影响报告表编制技术指南（污染影响类）（试行）》，可不进行声环境质量现状监测。</w:t>
            </w:r>
          </w:p>
          <w:p w14:paraId="5D750B0C">
            <w:pPr>
              <w:pStyle w:val="28"/>
              <w:spacing w:line="360" w:lineRule="auto"/>
              <w:textAlignment w:val="auto"/>
              <w:rPr>
                <w:rFonts w:hint="eastAsia" w:ascii="Times New Roman" w:hAnsi="Times New Roman" w:eastAsia="Times New Roman"/>
                <w:b/>
                <w:bCs/>
                <w:color w:val="000000"/>
                <w:lang w:val="zh-CN"/>
              </w:rPr>
            </w:pPr>
            <w:r>
              <w:rPr>
                <w:rFonts w:hint="eastAsia" w:ascii="Times New Roman" w:hAnsi="Times New Roman" w:eastAsia="Times New Roman"/>
                <w:b/>
                <w:bCs/>
                <w:color w:val="000000"/>
                <w:lang w:val="zh-CN"/>
              </w:rPr>
              <w:t>3.</w:t>
            </w:r>
            <w:r>
              <w:rPr>
                <w:rFonts w:hint="eastAsia" w:ascii="Times New Roman" w:hAnsi="Times New Roman" w:eastAsia="Times New Roman"/>
                <w:b/>
                <w:bCs/>
                <w:color w:val="000000"/>
              </w:rPr>
              <w:t>4</w:t>
            </w:r>
            <w:r>
              <w:rPr>
                <w:rFonts w:hint="eastAsia" w:ascii="Times New Roman" w:hAnsi="Times New Roman" w:eastAsia="Times New Roman"/>
                <w:b/>
                <w:bCs/>
                <w:color w:val="000000"/>
                <w:lang w:val="zh-CN"/>
              </w:rPr>
              <w:t xml:space="preserve"> 地下水、土壤环境</w:t>
            </w:r>
            <w:r>
              <w:rPr>
                <w:rFonts w:ascii="Times New Roman" w:hAnsi="Times New Roman" w:eastAsia="Times New Roman"/>
                <w:b/>
                <w:bCs/>
                <w:color w:val="000000"/>
                <w:lang w:val="zh-CN"/>
              </w:rPr>
              <w:t>质量现状</w:t>
            </w:r>
          </w:p>
          <w:p w14:paraId="5032AB41">
            <w:pPr>
              <w:pStyle w:val="28"/>
              <w:spacing w:line="360" w:lineRule="auto"/>
              <w:ind w:firstLine="480" w:firstLineChars="200"/>
              <w:textAlignment w:val="auto"/>
              <w:rPr>
                <w:rFonts w:hint="eastAsia" w:ascii="Times New Roman" w:hAnsi="Times New Roman" w:eastAsia="宋体"/>
                <w:color w:val="000000"/>
              </w:rPr>
            </w:pPr>
            <w:r>
              <w:rPr>
                <w:rFonts w:ascii="Times New Roman" w:hAnsi="Times New Roman" w:eastAsia="Times New Roman"/>
                <w:color w:val="000000"/>
                <w:lang w:val="zh-CN"/>
              </w:rPr>
              <w:t>根据《建设项目环境影响报告表编制指南》（污染影响类），原则上不开展地表水、土壤环境质量现状调查。</w:t>
            </w:r>
            <w:r>
              <w:rPr>
                <w:rFonts w:hint="eastAsia" w:ascii="Times New Roman" w:hAnsi="Times New Roman" w:eastAsia="Times New Roman"/>
                <w:color w:val="000000"/>
              </w:rPr>
              <w:t>本</w:t>
            </w:r>
            <w:r>
              <w:rPr>
                <w:rFonts w:ascii="Times New Roman" w:hAnsi="Times New Roman" w:eastAsia="Times New Roman"/>
                <w:color w:val="000000"/>
                <w:lang w:val="zh-CN"/>
              </w:rPr>
              <w:t>项目</w:t>
            </w:r>
            <w:r>
              <w:rPr>
                <w:rFonts w:hint="eastAsia" w:ascii="Times New Roman" w:hAnsi="Times New Roman" w:eastAsia="宋体"/>
                <w:color w:val="000000"/>
              </w:rPr>
              <w:t>原料罐、</w:t>
            </w:r>
            <w:r>
              <w:rPr>
                <w:rFonts w:hint="eastAsia" w:ascii="Times New Roman" w:hAnsi="Times New Roman" w:eastAsia="Times New Roman"/>
                <w:color w:val="000000"/>
              </w:rPr>
              <w:t>废水处理设施及配套管网均</w:t>
            </w:r>
            <w:r>
              <w:rPr>
                <w:rFonts w:ascii="Times New Roman" w:hAnsi="Times New Roman" w:eastAsia="Times New Roman"/>
                <w:color w:val="000000"/>
                <w:lang w:val="zh-CN"/>
              </w:rPr>
              <w:t>按照国家有关标准和规范的要求，设计、建设和安装有关防泄漏、防渗设施，防止有毒有害物质污染土壤和地下水</w:t>
            </w:r>
            <w:r>
              <w:rPr>
                <w:rFonts w:hint="eastAsia" w:ascii="Times New Roman" w:hAnsi="Times New Roman" w:eastAsia="Times New Roman"/>
                <w:color w:val="000000"/>
                <w:lang w:val="zh-CN"/>
              </w:rPr>
              <w:t>；</w:t>
            </w:r>
            <w:r>
              <w:rPr>
                <w:rFonts w:hint="eastAsia" w:ascii="Times New Roman" w:hAnsi="Times New Roman" w:eastAsia="Times New Roman"/>
                <w:color w:val="000000"/>
              </w:rPr>
              <w:t>本项目设有专门的危废贮存点，危废贮存点按照《</w:t>
            </w:r>
            <w:r>
              <w:rPr>
                <w:rFonts w:hint="eastAsia" w:ascii="Times New Roman" w:hAnsi="Times New Roman" w:eastAsia="Times New Roman"/>
                <w:color w:val="000000"/>
              </w:rPr>
              <w:fldChar w:fldCharType="begin"/>
            </w:r>
            <w:r>
              <w:rPr>
                <w:rFonts w:hint="eastAsia" w:ascii="Times New Roman" w:hAnsi="Times New Roman" w:eastAsia="Times New Roman"/>
                <w:color w:val="000000"/>
              </w:rPr>
              <w:instrText xml:space="preserve"> HYPERLINK "https://www.mee.gov.cn/ywgz/fgbz/bz/bzwb/gthw/gtfwwrkzbz/202302/W020230224679408713470.pdf" </w:instrText>
            </w:r>
            <w:r>
              <w:rPr>
                <w:rFonts w:hint="eastAsia" w:ascii="Times New Roman" w:hAnsi="Times New Roman" w:eastAsia="Times New Roman"/>
                <w:color w:val="000000"/>
              </w:rPr>
              <w:fldChar w:fldCharType="separate"/>
            </w:r>
            <w:r>
              <w:rPr>
                <w:rFonts w:hint="eastAsia" w:ascii="Times New Roman" w:hAnsi="Times New Roman" w:eastAsia="Times New Roman"/>
                <w:color w:val="000000"/>
              </w:rPr>
              <w:t>危险废物贮存污染控制标准》（GB 18597—2023</w:t>
            </w:r>
            <w:r>
              <w:rPr>
                <w:rFonts w:hint="eastAsia" w:ascii="Times New Roman" w:hAnsi="Times New Roman" w:eastAsia="Times New Roman"/>
                <w:color w:val="000000"/>
              </w:rPr>
              <w:fldChar w:fldCharType="end"/>
            </w:r>
            <w:r>
              <w:rPr>
                <w:rFonts w:hint="eastAsia" w:ascii="Times New Roman" w:hAnsi="Times New Roman" w:eastAsia="Times New Roman"/>
                <w:color w:val="000000"/>
              </w:rPr>
              <w:t>）中的相关要求采取防渗措施</w:t>
            </w:r>
            <w:r>
              <w:rPr>
                <w:rFonts w:hint="eastAsia" w:ascii="Times New Roman" w:hAnsi="Times New Roman" w:eastAsia="Times New Roman"/>
                <w:color w:val="000000"/>
                <w:lang w:val="zh-CN"/>
              </w:rPr>
              <w:t>。</w:t>
            </w:r>
            <w:r>
              <w:rPr>
                <w:rFonts w:ascii="Times New Roman" w:hAnsi="Times New Roman" w:eastAsia="Times New Roman"/>
                <w:color w:val="000000"/>
                <w:lang w:val="zh-CN"/>
              </w:rPr>
              <w:t>采取上述措施后拟建项目基本不会造成土壤及地下水环境的污染，因此不进行地下水及土壤现状调查</w:t>
            </w:r>
            <w:r>
              <w:rPr>
                <w:rFonts w:hint="eastAsia" w:ascii="Times New Roman" w:hAnsi="Times New Roman" w:eastAsia="Times New Roman"/>
                <w:color w:val="000000"/>
                <w:lang w:val="zh-CN"/>
              </w:rPr>
              <w:t>。</w:t>
            </w:r>
          </w:p>
        </w:tc>
      </w:tr>
      <w:tr w14:paraId="772B3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441" w:type="pct"/>
            <w:noWrap w:val="0"/>
            <w:vAlign w:val="center"/>
          </w:tcPr>
          <w:p w14:paraId="4F98B4D2">
            <w:pPr>
              <w:adjustRightInd w:val="0"/>
              <w:snapToGrid w:val="0"/>
              <w:jc w:val="center"/>
              <w:rPr>
                <w:color w:val="000000"/>
                <w:kern w:val="0"/>
              </w:rPr>
            </w:pPr>
            <w:r>
              <w:rPr>
                <w:color w:val="000000"/>
                <w:kern w:val="0"/>
              </w:rPr>
              <w:t>环境</w:t>
            </w:r>
          </w:p>
          <w:p w14:paraId="2690EE19">
            <w:pPr>
              <w:adjustRightInd w:val="0"/>
              <w:snapToGrid w:val="0"/>
              <w:jc w:val="center"/>
              <w:rPr>
                <w:color w:val="000000"/>
                <w:kern w:val="0"/>
              </w:rPr>
            </w:pPr>
            <w:r>
              <w:rPr>
                <w:color w:val="000000"/>
                <w:kern w:val="0"/>
              </w:rPr>
              <w:t>保护</w:t>
            </w:r>
          </w:p>
          <w:p w14:paraId="67F1DE98">
            <w:pPr>
              <w:adjustRightInd w:val="0"/>
              <w:snapToGrid w:val="0"/>
              <w:jc w:val="center"/>
              <w:rPr>
                <w:color w:val="000000"/>
                <w:kern w:val="0"/>
                <w:szCs w:val="21"/>
              </w:rPr>
            </w:pPr>
            <w:r>
              <w:rPr>
                <w:color w:val="000000"/>
                <w:kern w:val="0"/>
              </w:rPr>
              <w:t>目标</w:t>
            </w:r>
          </w:p>
        </w:tc>
        <w:tc>
          <w:tcPr>
            <w:tcW w:w="4558" w:type="pct"/>
            <w:noWrap w:val="0"/>
            <w:vAlign w:val="center"/>
          </w:tcPr>
          <w:p w14:paraId="7A5603D1">
            <w:pPr>
              <w:snapToGrid w:val="0"/>
              <w:spacing w:line="360" w:lineRule="auto"/>
              <w:jc w:val="left"/>
              <w:rPr>
                <w:b/>
                <w:bCs/>
                <w:color w:val="000000"/>
              </w:rPr>
            </w:pPr>
            <w:r>
              <w:rPr>
                <w:b/>
                <w:bCs/>
                <w:color w:val="000000"/>
              </w:rPr>
              <w:t>3.</w:t>
            </w:r>
            <w:r>
              <w:rPr>
                <w:rFonts w:hint="eastAsia"/>
                <w:b/>
                <w:bCs/>
                <w:color w:val="000000"/>
              </w:rPr>
              <w:t>6</w:t>
            </w:r>
            <w:r>
              <w:rPr>
                <w:b/>
                <w:bCs/>
                <w:color w:val="000000"/>
              </w:rPr>
              <w:t>环境保护目标</w:t>
            </w:r>
          </w:p>
          <w:p w14:paraId="7B2FA60D">
            <w:pPr>
              <w:snapToGrid w:val="0"/>
              <w:spacing w:line="360" w:lineRule="auto"/>
              <w:jc w:val="left"/>
              <w:rPr>
                <w:b/>
                <w:bCs/>
                <w:color w:val="000000"/>
              </w:rPr>
            </w:pPr>
            <w:r>
              <w:rPr>
                <w:b/>
                <w:bCs/>
                <w:color w:val="000000"/>
              </w:rPr>
              <w:t>3.</w:t>
            </w:r>
            <w:r>
              <w:rPr>
                <w:rFonts w:hint="eastAsia"/>
                <w:b/>
                <w:bCs/>
                <w:color w:val="000000"/>
              </w:rPr>
              <w:t>6.1生态</w:t>
            </w:r>
            <w:r>
              <w:rPr>
                <w:b/>
                <w:bCs/>
                <w:color w:val="000000"/>
              </w:rPr>
              <w:t>环境保护目标</w:t>
            </w:r>
          </w:p>
          <w:p w14:paraId="4C15B7B3">
            <w:pPr>
              <w:spacing w:line="360" w:lineRule="auto"/>
              <w:ind w:firstLine="420" w:firstLineChars="200"/>
              <w:rPr>
                <w:color w:val="000000"/>
              </w:rPr>
            </w:pPr>
            <w:r>
              <w:rPr>
                <w:color w:val="000000"/>
              </w:rPr>
              <w:t>根据现场调查，项目评价范围内无</w:t>
            </w:r>
            <w:r>
              <w:rPr>
                <w:rFonts w:hint="eastAsia"/>
                <w:color w:val="000000"/>
              </w:rPr>
              <w:t>生态保护红线</w:t>
            </w:r>
            <w:r>
              <w:rPr>
                <w:color w:val="000000"/>
              </w:rPr>
              <w:t>、自然保护区、</w:t>
            </w:r>
            <w:r>
              <w:rPr>
                <w:rFonts w:hint="eastAsia"/>
                <w:color w:val="000000"/>
              </w:rPr>
              <w:t>自然公园</w:t>
            </w:r>
            <w:r>
              <w:rPr>
                <w:color w:val="000000"/>
              </w:rPr>
              <w:t>等</w:t>
            </w:r>
            <w:r>
              <w:rPr>
                <w:rFonts w:hint="eastAsia"/>
                <w:color w:val="000000"/>
              </w:rPr>
              <w:t>生态敏感区</w:t>
            </w:r>
            <w:r>
              <w:rPr>
                <w:color w:val="000000"/>
              </w:rPr>
              <w:t>。</w:t>
            </w:r>
          </w:p>
          <w:p w14:paraId="6B1E2810">
            <w:pPr>
              <w:spacing w:line="360" w:lineRule="auto"/>
              <w:jc w:val="left"/>
              <w:rPr>
                <w:b/>
                <w:bCs/>
                <w:color w:val="000000"/>
              </w:rPr>
            </w:pPr>
            <w:r>
              <w:rPr>
                <w:rFonts w:hint="eastAsia"/>
                <w:b/>
                <w:bCs/>
                <w:color w:val="000000"/>
              </w:rPr>
              <w:t>3.6.2</w:t>
            </w:r>
            <w:r>
              <w:rPr>
                <w:b/>
                <w:bCs/>
                <w:color w:val="000000"/>
              </w:rPr>
              <w:t>声环境保护目标</w:t>
            </w:r>
          </w:p>
          <w:p w14:paraId="108FF4FB">
            <w:pPr>
              <w:adjustRightInd w:val="0"/>
              <w:spacing w:line="360" w:lineRule="auto"/>
              <w:ind w:firstLine="420" w:firstLineChars="200"/>
              <w:rPr>
                <w:color w:val="000000"/>
              </w:rPr>
            </w:pPr>
            <w:r>
              <w:rPr>
                <w:color w:val="000000"/>
              </w:rPr>
              <w:t>根据《建设项目环境影响报告表编制指南》（污染影响类），</w:t>
            </w:r>
            <w:r>
              <w:rPr>
                <w:rFonts w:hint="eastAsia"/>
                <w:color w:val="000000"/>
              </w:rPr>
              <w:t>本项目声环境评价范围为厂界外50m范围，根据现场调查，项目厂界外50m范围内无声环境保护目标、规划声环境保护目标。</w:t>
            </w:r>
          </w:p>
          <w:p w14:paraId="6A53EC7B">
            <w:pPr>
              <w:spacing w:line="360" w:lineRule="auto"/>
              <w:jc w:val="left"/>
              <w:rPr>
                <w:b/>
                <w:bCs/>
                <w:color w:val="000000"/>
              </w:rPr>
            </w:pPr>
            <w:r>
              <w:rPr>
                <w:rFonts w:hint="eastAsia"/>
                <w:b/>
                <w:bCs/>
                <w:color w:val="000000"/>
              </w:rPr>
              <w:t>3.6.3</w:t>
            </w:r>
            <w:r>
              <w:rPr>
                <w:b/>
                <w:bCs/>
                <w:color w:val="000000"/>
              </w:rPr>
              <w:t>大气环境保护目标</w:t>
            </w:r>
          </w:p>
          <w:p w14:paraId="0A1F6E78">
            <w:pPr>
              <w:adjustRightInd w:val="0"/>
              <w:spacing w:line="360" w:lineRule="auto"/>
              <w:ind w:firstLine="420" w:firstLineChars="200"/>
              <w:rPr>
                <w:color w:val="000000"/>
              </w:rPr>
            </w:pPr>
            <w:r>
              <w:rPr>
                <w:rFonts w:hint="eastAsia"/>
                <w:color w:val="000000"/>
              </w:rPr>
              <w:t>本项目东侧有大片区已平场区域，经调查，该区域为西南铝业（集团）有限责任公司的宽幅板带项目的地块，为工业用地。项目大气环境保护目标见表3-3。</w:t>
            </w:r>
          </w:p>
          <w:p w14:paraId="411BAA44">
            <w:pPr>
              <w:pStyle w:val="8"/>
              <w:spacing w:after="0"/>
              <w:ind w:left="0" w:leftChars="0"/>
              <w:jc w:val="center"/>
              <w:rPr>
                <w:rFonts w:hint="eastAsia"/>
                <w:b/>
                <w:bCs/>
                <w:color w:val="000000"/>
                <w:szCs w:val="32"/>
              </w:rPr>
            </w:pPr>
            <w:r>
              <w:rPr>
                <w:rFonts w:hint="eastAsia"/>
                <w:b/>
                <w:bCs/>
                <w:color w:val="000000"/>
                <w:szCs w:val="32"/>
              </w:rPr>
              <w:t>表3-3 项目周围大气环境保护目标一览表</w:t>
            </w:r>
          </w:p>
          <w:tbl>
            <w:tblPr>
              <w:tblStyle w:val="1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17" w:type="dxa"/>
                <w:left w:w="51" w:type="dxa"/>
                <w:bottom w:w="17" w:type="dxa"/>
                <w:right w:w="51" w:type="dxa"/>
              </w:tblCellMar>
            </w:tblPr>
            <w:tblGrid>
              <w:gridCol w:w="425"/>
              <w:gridCol w:w="1790"/>
              <w:gridCol w:w="672"/>
              <w:gridCol w:w="856"/>
              <w:gridCol w:w="888"/>
              <w:gridCol w:w="2324"/>
              <w:gridCol w:w="1081"/>
            </w:tblGrid>
            <w:tr w14:paraId="695A95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7" w:type="dxa"/>
                  <w:left w:w="51" w:type="dxa"/>
                  <w:bottom w:w="17" w:type="dxa"/>
                  <w:right w:w="51" w:type="dxa"/>
                </w:tblCellMar>
              </w:tblPrEx>
              <w:trPr>
                <w:trHeight w:val="680" w:hRule="atLeast"/>
                <w:tblHeader/>
              </w:trPr>
              <w:tc>
                <w:tcPr>
                  <w:tcW w:w="264" w:type="pct"/>
                  <w:vMerge w:val="restart"/>
                  <w:noWrap w:val="0"/>
                  <w:vAlign w:val="center"/>
                </w:tcPr>
                <w:p w14:paraId="31C0E7F8">
                  <w:pPr>
                    <w:spacing w:line="320" w:lineRule="exact"/>
                    <w:jc w:val="center"/>
                    <w:rPr>
                      <w:rFonts w:hint="eastAsia"/>
                      <w:b/>
                      <w:bCs/>
                      <w:color w:val="000000"/>
                      <w:sz w:val="21"/>
                      <w:szCs w:val="21"/>
                    </w:rPr>
                  </w:pPr>
                  <w:bookmarkStart w:id="12" w:name="_Hlk62650990"/>
                  <w:r>
                    <w:rPr>
                      <w:rFonts w:hint="eastAsia"/>
                      <w:b/>
                      <w:bCs/>
                      <w:color w:val="000000"/>
                      <w:sz w:val="21"/>
                      <w:szCs w:val="21"/>
                    </w:rPr>
                    <w:t>序号</w:t>
                  </w:r>
                </w:p>
              </w:tc>
              <w:tc>
                <w:tcPr>
                  <w:tcW w:w="1113" w:type="pct"/>
                  <w:vMerge w:val="restart"/>
                  <w:noWrap w:val="0"/>
                  <w:vAlign w:val="center"/>
                </w:tcPr>
                <w:p w14:paraId="680E0E5C">
                  <w:pPr>
                    <w:spacing w:line="320" w:lineRule="exact"/>
                    <w:jc w:val="center"/>
                    <w:rPr>
                      <w:b/>
                      <w:bCs/>
                      <w:color w:val="000000"/>
                      <w:sz w:val="21"/>
                      <w:szCs w:val="21"/>
                    </w:rPr>
                  </w:pPr>
                  <w:r>
                    <w:rPr>
                      <w:b/>
                      <w:bCs/>
                      <w:color w:val="000000"/>
                      <w:sz w:val="21"/>
                      <w:szCs w:val="21"/>
                    </w:rPr>
                    <w:t>名称</w:t>
                  </w:r>
                </w:p>
              </w:tc>
              <w:tc>
                <w:tcPr>
                  <w:tcW w:w="950" w:type="pct"/>
                  <w:gridSpan w:val="2"/>
                  <w:noWrap w:val="0"/>
                  <w:vAlign w:val="center"/>
                </w:tcPr>
                <w:p w14:paraId="35DC6981">
                  <w:pPr>
                    <w:pStyle w:val="34"/>
                    <w:spacing w:line="240" w:lineRule="auto"/>
                    <w:rPr>
                      <w:b/>
                      <w:bCs/>
                      <w:color w:val="000000"/>
                      <w:sz w:val="21"/>
                      <w:szCs w:val="21"/>
                    </w:rPr>
                  </w:pPr>
                  <w:r>
                    <w:rPr>
                      <w:b/>
                      <w:bCs/>
                      <w:color w:val="000000"/>
                      <w:sz w:val="21"/>
                      <w:szCs w:val="21"/>
                    </w:rPr>
                    <w:t>距</w:t>
                  </w:r>
                  <w:r>
                    <w:rPr>
                      <w:rFonts w:hint="eastAsia"/>
                      <w:b/>
                      <w:bCs/>
                      <w:color w:val="000000"/>
                      <w:sz w:val="21"/>
                      <w:szCs w:val="21"/>
                    </w:rPr>
                    <w:t>项目</w:t>
                  </w:r>
                  <w:r>
                    <w:rPr>
                      <w:b/>
                      <w:bCs/>
                      <w:color w:val="000000"/>
                      <w:sz w:val="21"/>
                      <w:szCs w:val="21"/>
                    </w:rPr>
                    <w:t>厂界</w:t>
                  </w:r>
                </w:p>
              </w:tc>
              <w:tc>
                <w:tcPr>
                  <w:tcW w:w="552" w:type="pct"/>
                  <w:vMerge w:val="restart"/>
                  <w:noWrap w:val="0"/>
                  <w:vAlign w:val="center"/>
                </w:tcPr>
                <w:p w14:paraId="475442ED">
                  <w:pPr>
                    <w:spacing w:line="320" w:lineRule="exact"/>
                    <w:jc w:val="center"/>
                    <w:rPr>
                      <w:b/>
                      <w:bCs/>
                      <w:color w:val="000000"/>
                      <w:sz w:val="21"/>
                      <w:szCs w:val="21"/>
                    </w:rPr>
                  </w:pPr>
                  <w:r>
                    <w:rPr>
                      <w:b/>
                      <w:bCs/>
                      <w:color w:val="000000"/>
                      <w:sz w:val="21"/>
                      <w:szCs w:val="21"/>
                    </w:rPr>
                    <w:t>保护对象</w:t>
                  </w:r>
                </w:p>
              </w:tc>
              <w:tc>
                <w:tcPr>
                  <w:tcW w:w="1445" w:type="pct"/>
                  <w:vMerge w:val="restart"/>
                  <w:noWrap w:val="0"/>
                  <w:vAlign w:val="center"/>
                </w:tcPr>
                <w:p w14:paraId="261F4899">
                  <w:pPr>
                    <w:spacing w:line="320" w:lineRule="exact"/>
                    <w:jc w:val="center"/>
                    <w:rPr>
                      <w:b/>
                      <w:bCs/>
                      <w:color w:val="000000"/>
                      <w:sz w:val="21"/>
                      <w:szCs w:val="21"/>
                    </w:rPr>
                  </w:pPr>
                  <w:r>
                    <w:rPr>
                      <w:b/>
                      <w:bCs/>
                      <w:color w:val="000000"/>
                      <w:sz w:val="21"/>
                      <w:szCs w:val="21"/>
                    </w:rPr>
                    <w:t>保护内容</w:t>
                  </w:r>
                </w:p>
              </w:tc>
              <w:tc>
                <w:tcPr>
                  <w:tcW w:w="672" w:type="pct"/>
                  <w:vMerge w:val="restart"/>
                  <w:noWrap w:val="0"/>
                  <w:vAlign w:val="center"/>
                </w:tcPr>
                <w:p w14:paraId="4E325E6D">
                  <w:pPr>
                    <w:spacing w:line="320" w:lineRule="exact"/>
                    <w:jc w:val="center"/>
                    <w:rPr>
                      <w:b/>
                      <w:bCs/>
                      <w:color w:val="000000"/>
                      <w:sz w:val="21"/>
                      <w:szCs w:val="21"/>
                    </w:rPr>
                  </w:pPr>
                  <w:r>
                    <w:rPr>
                      <w:b/>
                      <w:bCs/>
                      <w:color w:val="000000"/>
                      <w:sz w:val="21"/>
                      <w:szCs w:val="21"/>
                    </w:rPr>
                    <w:t>环境功能区</w:t>
                  </w:r>
                </w:p>
              </w:tc>
            </w:tr>
            <w:tr w14:paraId="41D675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7" w:type="dxa"/>
                  <w:left w:w="51" w:type="dxa"/>
                  <w:bottom w:w="17" w:type="dxa"/>
                  <w:right w:w="51" w:type="dxa"/>
                </w:tblCellMar>
              </w:tblPrEx>
              <w:trPr>
                <w:trHeight w:val="453" w:hRule="atLeast"/>
                <w:tblHeader/>
              </w:trPr>
              <w:tc>
                <w:tcPr>
                  <w:tcW w:w="264" w:type="pct"/>
                  <w:vMerge w:val="continue"/>
                  <w:noWrap w:val="0"/>
                  <w:vAlign w:val="center"/>
                </w:tcPr>
                <w:p w14:paraId="28F67C94">
                  <w:pPr>
                    <w:spacing w:line="320" w:lineRule="exact"/>
                    <w:jc w:val="center"/>
                    <w:rPr>
                      <w:rFonts w:hint="eastAsia"/>
                      <w:b/>
                      <w:bCs/>
                      <w:color w:val="000000"/>
                      <w:sz w:val="21"/>
                      <w:szCs w:val="21"/>
                    </w:rPr>
                  </w:pPr>
                </w:p>
              </w:tc>
              <w:tc>
                <w:tcPr>
                  <w:tcW w:w="1113" w:type="pct"/>
                  <w:vMerge w:val="continue"/>
                  <w:noWrap w:val="0"/>
                  <w:vAlign w:val="center"/>
                </w:tcPr>
                <w:p w14:paraId="54E13C54">
                  <w:pPr>
                    <w:spacing w:line="320" w:lineRule="exact"/>
                    <w:jc w:val="center"/>
                    <w:rPr>
                      <w:b/>
                      <w:bCs/>
                      <w:color w:val="000000"/>
                      <w:sz w:val="21"/>
                      <w:szCs w:val="21"/>
                    </w:rPr>
                  </w:pPr>
                </w:p>
              </w:tc>
              <w:tc>
                <w:tcPr>
                  <w:tcW w:w="418" w:type="pct"/>
                  <w:noWrap w:val="0"/>
                  <w:vAlign w:val="center"/>
                </w:tcPr>
                <w:p w14:paraId="02B70F0C">
                  <w:pPr>
                    <w:pStyle w:val="34"/>
                    <w:spacing w:line="240" w:lineRule="auto"/>
                    <w:rPr>
                      <w:b/>
                      <w:bCs/>
                      <w:color w:val="000000"/>
                      <w:sz w:val="21"/>
                      <w:szCs w:val="21"/>
                    </w:rPr>
                  </w:pPr>
                  <w:r>
                    <w:rPr>
                      <w:b/>
                      <w:bCs/>
                      <w:color w:val="000000"/>
                      <w:sz w:val="21"/>
                      <w:szCs w:val="21"/>
                    </w:rPr>
                    <w:t>方位</w:t>
                  </w:r>
                </w:p>
              </w:tc>
              <w:tc>
                <w:tcPr>
                  <w:tcW w:w="532" w:type="pct"/>
                  <w:noWrap w:val="0"/>
                  <w:vAlign w:val="center"/>
                </w:tcPr>
                <w:p w14:paraId="2B386B0B">
                  <w:pPr>
                    <w:pStyle w:val="34"/>
                    <w:spacing w:line="240" w:lineRule="auto"/>
                    <w:rPr>
                      <w:b/>
                      <w:bCs/>
                      <w:color w:val="000000"/>
                      <w:sz w:val="21"/>
                      <w:szCs w:val="21"/>
                    </w:rPr>
                  </w:pPr>
                  <w:r>
                    <w:rPr>
                      <w:b/>
                      <w:bCs/>
                      <w:color w:val="000000"/>
                      <w:sz w:val="21"/>
                      <w:szCs w:val="21"/>
                    </w:rPr>
                    <w:t>最近距离（m）</w:t>
                  </w:r>
                </w:p>
              </w:tc>
              <w:tc>
                <w:tcPr>
                  <w:tcW w:w="552" w:type="pct"/>
                  <w:vMerge w:val="continue"/>
                  <w:noWrap w:val="0"/>
                  <w:vAlign w:val="center"/>
                </w:tcPr>
                <w:p w14:paraId="71A9BC15">
                  <w:pPr>
                    <w:spacing w:line="320" w:lineRule="exact"/>
                    <w:jc w:val="center"/>
                    <w:rPr>
                      <w:b/>
                      <w:bCs/>
                      <w:color w:val="000000"/>
                      <w:sz w:val="21"/>
                      <w:szCs w:val="21"/>
                    </w:rPr>
                  </w:pPr>
                </w:p>
              </w:tc>
              <w:tc>
                <w:tcPr>
                  <w:tcW w:w="1445" w:type="pct"/>
                  <w:vMerge w:val="continue"/>
                  <w:noWrap w:val="0"/>
                  <w:vAlign w:val="center"/>
                </w:tcPr>
                <w:p w14:paraId="4A9BA4ED">
                  <w:pPr>
                    <w:spacing w:line="320" w:lineRule="exact"/>
                    <w:jc w:val="center"/>
                    <w:rPr>
                      <w:b/>
                      <w:bCs/>
                      <w:color w:val="000000"/>
                      <w:sz w:val="21"/>
                      <w:szCs w:val="21"/>
                    </w:rPr>
                  </w:pPr>
                </w:p>
              </w:tc>
              <w:tc>
                <w:tcPr>
                  <w:tcW w:w="672" w:type="pct"/>
                  <w:vMerge w:val="continue"/>
                  <w:noWrap w:val="0"/>
                  <w:vAlign w:val="center"/>
                </w:tcPr>
                <w:p w14:paraId="6C237FC8">
                  <w:pPr>
                    <w:spacing w:line="320" w:lineRule="exact"/>
                    <w:jc w:val="center"/>
                    <w:rPr>
                      <w:b/>
                      <w:bCs/>
                      <w:color w:val="000000"/>
                      <w:sz w:val="21"/>
                      <w:szCs w:val="21"/>
                    </w:rPr>
                  </w:pPr>
                </w:p>
              </w:tc>
            </w:tr>
            <w:tr w14:paraId="1DE7C3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7" w:type="dxa"/>
                  <w:left w:w="51" w:type="dxa"/>
                  <w:bottom w:w="17" w:type="dxa"/>
                  <w:right w:w="51" w:type="dxa"/>
                </w:tblCellMar>
              </w:tblPrEx>
              <w:trPr>
                <w:trHeight w:val="20" w:hRule="atLeast"/>
              </w:trPr>
              <w:tc>
                <w:tcPr>
                  <w:tcW w:w="264" w:type="pct"/>
                  <w:noWrap w:val="0"/>
                  <w:vAlign w:val="center"/>
                </w:tcPr>
                <w:p w14:paraId="47FD4200">
                  <w:pPr>
                    <w:pStyle w:val="34"/>
                    <w:spacing w:line="240" w:lineRule="auto"/>
                    <w:rPr>
                      <w:color w:val="000000"/>
                      <w:sz w:val="21"/>
                      <w:szCs w:val="21"/>
                    </w:rPr>
                  </w:pPr>
                  <w:r>
                    <w:rPr>
                      <w:rFonts w:hint="eastAsia"/>
                      <w:color w:val="000000"/>
                      <w:sz w:val="21"/>
                      <w:szCs w:val="21"/>
                    </w:rPr>
                    <w:t>1</w:t>
                  </w:r>
                </w:p>
              </w:tc>
              <w:tc>
                <w:tcPr>
                  <w:tcW w:w="1113" w:type="pct"/>
                  <w:noWrap w:val="0"/>
                  <w:vAlign w:val="center"/>
                </w:tcPr>
                <w:p w14:paraId="47D1E551">
                  <w:pPr>
                    <w:jc w:val="center"/>
                    <w:rPr>
                      <w:color w:val="000000"/>
                      <w:sz w:val="21"/>
                      <w:szCs w:val="21"/>
                    </w:rPr>
                  </w:pPr>
                  <w:r>
                    <w:rPr>
                      <w:rFonts w:hint="eastAsia"/>
                      <w:color w:val="000000"/>
                      <w:sz w:val="21"/>
                      <w:szCs w:val="21"/>
                    </w:rPr>
                    <w:t>西彭人民法庭</w:t>
                  </w:r>
                </w:p>
              </w:tc>
              <w:tc>
                <w:tcPr>
                  <w:tcW w:w="418" w:type="pct"/>
                  <w:noWrap w:val="0"/>
                  <w:vAlign w:val="center"/>
                </w:tcPr>
                <w:p w14:paraId="6B17562E">
                  <w:pPr>
                    <w:pStyle w:val="34"/>
                    <w:spacing w:line="240" w:lineRule="auto"/>
                    <w:rPr>
                      <w:color w:val="000000"/>
                      <w:sz w:val="21"/>
                      <w:szCs w:val="21"/>
                    </w:rPr>
                  </w:pPr>
                  <w:r>
                    <w:rPr>
                      <w:rFonts w:hint="eastAsia"/>
                      <w:color w:val="000000"/>
                      <w:sz w:val="21"/>
                      <w:szCs w:val="21"/>
                    </w:rPr>
                    <w:t>东北</w:t>
                  </w:r>
                </w:p>
              </w:tc>
              <w:tc>
                <w:tcPr>
                  <w:tcW w:w="532" w:type="pct"/>
                  <w:noWrap w:val="0"/>
                  <w:vAlign w:val="center"/>
                </w:tcPr>
                <w:p w14:paraId="7261A11E">
                  <w:pPr>
                    <w:pStyle w:val="34"/>
                    <w:spacing w:line="240" w:lineRule="auto"/>
                    <w:rPr>
                      <w:color w:val="000000"/>
                      <w:sz w:val="21"/>
                      <w:szCs w:val="21"/>
                    </w:rPr>
                  </w:pPr>
                  <w:r>
                    <w:rPr>
                      <w:rFonts w:hint="eastAsia"/>
                      <w:color w:val="000000"/>
                      <w:sz w:val="21"/>
                      <w:szCs w:val="21"/>
                    </w:rPr>
                    <w:t>90</w:t>
                  </w:r>
                </w:p>
              </w:tc>
              <w:tc>
                <w:tcPr>
                  <w:tcW w:w="552" w:type="pct"/>
                  <w:noWrap w:val="0"/>
                  <w:vAlign w:val="center"/>
                </w:tcPr>
                <w:p w14:paraId="06B1317D">
                  <w:pPr>
                    <w:spacing w:line="320" w:lineRule="exact"/>
                    <w:jc w:val="center"/>
                    <w:rPr>
                      <w:color w:val="000000"/>
                      <w:sz w:val="21"/>
                      <w:szCs w:val="21"/>
                    </w:rPr>
                  </w:pPr>
                  <w:r>
                    <w:rPr>
                      <w:rFonts w:hint="eastAsia"/>
                      <w:color w:val="000000"/>
                      <w:sz w:val="21"/>
                      <w:szCs w:val="21"/>
                    </w:rPr>
                    <w:t>行政机关</w:t>
                  </w:r>
                </w:p>
              </w:tc>
              <w:tc>
                <w:tcPr>
                  <w:tcW w:w="1445" w:type="pct"/>
                  <w:noWrap w:val="0"/>
                  <w:vAlign w:val="center"/>
                </w:tcPr>
                <w:p w14:paraId="0932AC56">
                  <w:pPr>
                    <w:pStyle w:val="34"/>
                    <w:spacing w:line="240" w:lineRule="auto"/>
                    <w:rPr>
                      <w:color w:val="000000"/>
                      <w:sz w:val="21"/>
                      <w:szCs w:val="21"/>
                    </w:rPr>
                  </w:pPr>
                  <w:r>
                    <w:rPr>
                      <w:rFonts w:hint="eastAsia"/>
                      <w:color w:val="000000"/>
                      <w:sz w:val="21"/>
                      <w:szCs w:val="21"/>
                    </w:rPr>
                    <w:t>约80人</w:t>
                  </w:r>
                </w:p>
              </w:tc>
              <w:tc>
                <w:tcPr>
                  <w:tcW w:w="672" w:type="pct"/>
                  <w:noWrap w:val="0"/>
                  <w:vAlign w:val="center"/>
                </w:tcPr>
                <w:p w14:paraId="1FE2257B">
                  <w:pPr>
                    <w:spacing w:line="320" w:lineRule="exact"/>
                    <w:jc w:val="center"/>
                    <w:rPr>
                      <w:color w:val="000000"/>
                      <w:sz w:val="21"/>
                      <w:szCs w:val="21"/>
                    </w:rPr>
                  </w:pPr>
                  <w:r>
                    <w:rPr>
                      <w:color w:val="000000"/>
                      <w:sz w:val="21"/>
                      <w:szCs w:val="21"/>
                    </w:rPr>
                    <w:t>二类区</w:t>
                  </w:r>
                </w:p>
              </w:tc>
            </w:tr>
            <w:tr w14:paraId="7541B4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7" w:type="dxa"/>
                  <w:left w:w="51" w:type="dxa"/>
                  <w:bottom w:w="17" w:type="dxa"/>
                  <w:right w:w="51" w:type="dxa"/>
                </w:tblCellMar>
              </w:tblPrEx>
              <w:trPr>
                <w:trHeight w:val="20" w:hRule="atLeast"/>
              </w:trPr>
              <w:tc>
                <w:tcPr>
                  <w:tcW w:w="264" w:type="pct"/>
                  <w:noWrap w:val="0"/>
                  <w:vAlign w:val="center"/>
                </w:tcPr>
                <w:p w14:paraId="22043399">
                  <w:pPr>
                    <w:pStyle w:val="34"/>
                    <w:spacing w:line="240" w:lineRule="auto"/>
                    <w:rPr>
                      <w:color w:val="000000"/>
                      <w:sz w:val="21"/>
                      <w:szCs w:val="21"/>
                    </w:rPr>
                  </w:pPr>
                  <w:r>
                    <w:rPr>
                      <w:rFonts w:hint="eastAsia"/>
                      <w:color w:val="000000"/>
                      <w:sz w:val="21"/>
                      <w:szCs w:val="21"/>
                    </w:rPr>
                    <w:t>2</w:t>
                  </w:r>
                </w:p>
              </w:tc>
              <w:tc>
                <w:tcPr>
                  <w:tcW w:w="1113" w:type="pct"/>
                  <w:noWrap w:val="0"/>
                  <w:vAlign w:val="center"/>
                </w:tcPr>
                <w:p w14:paraId="227F239F">
                  <w:pPr>
                    <w:jc w:val="center"/>
                    <w:rPr>
                      <w:color w:val="000000"/>
                      <w:sz w:val="21"/>
                      <w:szCs w:val="21"/>
                    </w:rPr>
                  </w:pPr>
                  <w:r>
                    <w:rPr>
                      <w:rFonts w:hint="eastAsia"/>
                      <w:color w:val="000000"/>
                      <w:sz w:val="21"/>
                      <w:szCs w:val="21"/>
                    </w:rPr>
                    <w:t>三期安置房</w:t>
                  </w:r>
                </w:p>
              </w:tc>
              <w:tc>
                <w:tcPr>
                  <w:tcW w:w="418" w:type="pct"/>
                  <w:noWrap w:val="0"/>
                  <w:vAlign w:val="center"/>
                </w:tcPr>
                <w:p w14:paraId="387980CB">
                  <w:pPr>
                    <w:pStyle w:val="34"/>
                    <w:spacing w:line="240" w:lineRule="auto"/>
                    <w:rPr>
                      <w:color w:val="000000"/>
                      <w:sz w:val="21"/>
                      <w:szCs w:val="21"/>
                    </w:rPr>
                  </w:pPr>
                  <w:r>
                    <w:rPr>
                      <w:rFonts w:hint="eastAsia"/>
                      <w:color w:val="000000"/>
                      <w:sz w:val="21"/>
                      <w:szCs w:val="21"/>
                    </w:rPr>
                    <w:t>东北</w:t>
                  </w:r>
                </w:p>
              </w:tc>
              <w:tc>
                <w:tcPr>
                  <w:tcW w:w="532" w:type="pct"/>
                  <w:noWrap w:val="0"/>
                  <w:vAlign w:val="center"/>
                </w:tcPr>
                <w:p w14:paraId="46914BB2">
                  <w:pPr>
                    <w:pStyle w:val="34"/>
                    <w:spacing w:line="240" w:lineRule="auto"/>
                    <w:rPr>
                      <w:color w:val="000000"/>
                      <w:sz w:val="21"/>
                      <w:szCs w:val="21"/>
                    </w:rPr>
                  </w:pPr>
                  <w:r>
                    <w:rPr>
                      <w:rFonts w:hint="eastAsia"/>
                      <w:color w:val="000000"/>
                      <w:sz w:val="21"/>
                      <w:szCs w:val="21"/>
                    </w:rPr>
                    <w:t>150</w:t>
                  </w:r>
                </w:p>
              </w:tc>
              <w:tc>
                <w:tcPr>
                  <w:tcW w:w="552" w:type="pct"/>
                  <w:noWrap w:val="0"/>
                  <w:vAlign w:val="center"/>
                </w:tcPr>
                <w:p w14:paraId="48A95C5A">
                  <w:pPr>
                    <w:spacing w:line="320" w:lineRule="exact"/>
                    <w:jc w:val="center"/>
                    <w:rPr>
                      <w:color w:val="000000"/>
                      <w:sz w:val="21"/>
                      <w:szCs w:val="21"/>
                    </w:rPr>
                  </w:pPr>
                  <w:r>
                    <w:rPr>
                      <w:rFonts w:hint="eastAsia"/>
                      <w:color w:val="000000"/>
                      <w:sz w:val="21"/>
                      <w:szCs w:val="21"/>
                    </w:rPr>
                    <w:t>居住区</w:t>
                  </w:r>
                </w:p>
              </w:tc>
              <w:tc>
                <w:tcPr>
                  <w:tcW w:w="1445" w:type="pct"/>
                  <w:noWrap w:val="0"/>
                  <w:vAlign w:val="center"/>
                </w:tcPr>
                <w:p w14:paraId="45C3468F">
                  <w:pPr>
                    <w:pStyle w:val="34"/>
                    <w:spacing w:line="240" w:lineRule="auto"/>
                    <w:rPr>
                      <w:color w:val="000000"/>
                      <w:sz w:val="21"/>
                      <w:szCs w:val="21"/>
                    </w:rPr>
                  </w:pPr>
                  <w:r>
                    <w:rPr>
                      <w:rFonts w:hint="eastAsia"/>
                      <w:color w:val="000000"/>
                      <w:sz w:val="21"/>
                      <w:szCs w:val="21"/>
                    </w:rPr>
                    <w:t>约1500人</w:t>
                  </w:r>
                </w:p>
              </w:tc>
              <w:tc>
                <w:tcPr>
                  <w:tcW w:w="672" w:type="pct"/>
                  <w:noWrap w:val="0"/>
                  <w:vAlign w:val="center"/>
                </w:tcPr>
                <w:p w14:paraId="4CEE32D9">
                  <w:pPr>
                    <w:spacing w:line="320" w:lineRule="exact"/>
                    <w:jc w:val="center"/>
                    <w:rPr>
                      <w:color w:val="000000"/>
                      <w:sz w:val="21"/>
                      <w:szCs w:val="21"/>
                    </w:rPr>
                  </w:pPr>
                  <w:r>
                    <w:rPr>
                      <w:color w:val="000000"/>
                      <w:sz w:val="21"/>
                      <w:szCs w:val="21"/>
                    </w:rPr>
                    <w:t>二类区</w:t>
                  </w:r>
                </w:p>
              </w:tc>
            </w:tr>
            <w:tr w14:paraId="3E0295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7" w:type="dxa"/>
                  <w:left w:w="51" w:type="dxa"/>
                  <w:bottom w:w="17" w:type="dxa"/>
                  <w:right w:w="51" w:type="dxa"/>
                </w:tblCellMar>
              </w:tblPrEx>
              <w:trPr>
                <w:trHeight w:val="20" w:hRule="atLeast"/>
              </w:trPr>
              <w:tc>
                <w:tcPr>
                  <w:tcW w:w="264" w:type="pct"/>
                  <w:noWrap w:val="0"/>
                  <w:vAlign w:val="center"/>
                </w:tcPr>
                <w:p w14:paraId="4F14974D">
                  <w:pPr>
                    <w:pStyle w:val="34"/>
                    <w:spacing w:line="240" w:lineRule="auto"/>
                    <w:rPr>
                      <w:color w:val="000000"/>
                      <w:sz w:val="21"/>
                      <w:szCs w:val="21"/>
                    </w:rPr>
                  </w:pPr>
                  <w:r>
                    <w:rPr>
                      <w:rFonts w:hint="eastAsia"/>
                      <w:color w:val="000000"/>
                      <w:sz w:val="21"/>
                      <w:szCs w:val="21"/>
                    </w:rPr>
                    <w:t>3</w:t>
                  </w:r>
                </w:p>
              </w:tc>
              <w:tc>
                <w:tcPr>
                  <w:tcW w:w="1113" w:type="pct"/>
                  <w:noWrap w:val="0"/>
                  <w:vAlign w:val="center"/>
                </w:tcPr>
                <w:p w14:paraId="6ED14BEF">
                  <w:pPr>
                    <w:jc w:val="center"/>
                    <w:rPr>
                      <w:rFonts w:hint="eastAsia"/>
                      <w:color w:val="000000"/>
                      <w:sz w:val="21"/>
                      <w:szCs w:val="21"/>
                    </w:rPr>
                  </w:pPr>
                  <w:r>
                    <w:rPr>
                      <w:rFonts w:hint="eastAsia"/>
                      <w:color w:val="000000"/>
                      <w:sz w:val="21"/>
                      <w:szCs w:val="21"/>
                    </w:rPr>
                    <w:t>规划居住地块</w:t>
                  </w:r>
                </w:p>
              </w:tc>
              <w:tc>
                <w:tcPr>
                  <w:tcW w:w="418" w:type="pct"/>
                  <w:noWrap w:val="0"/>
                  <w:vAlign w:val="center"/>
                </w:tcPr>
                <w:p w14:paraId="50F6CFF3">
                  <w:pPr>
                    <w:pStyle w:val="34"/>
                    <w:spacing w:line="240" w:lineRule="auto"/>
                    <w:rPr>
                      <w:rFonts w:hint="eastAsia"/>
                      <w:color w:val="000000"/>
                      <w:sz w:val="21"/>
                      <w:szCs w:val="21"/>
                    </w:rPr>
                  </w:pPr>
                  <w:r>
                    <w:rPr>
                      <w:rFonts w:hint="eastAsia"/>
                      <w:color w:val="000000"/>
                      <w:sz w:val="21"/>
                      <w:szCs w:val="21"/>
                    </w:rPr>
                    <w:t>西南</w:t>
                  </w:r>
                </w:p>
              </w:tc>
              <w:tc>
                <w:tcPr>
                  <w:tcW w:w="532" w:type="pct"/>
                  <w:noWrap w:val="0"/>
                  <w:vAlign w:val="center"/>
                </w:tcPr>
                <w:p w14:paraId="49459544">
                  <w:pPr>
                    <w:pStyle w:val="34"/>
                    <w:spacing w:line="240" w:lineRule="auto"/>
                    <w:rPr>
                      <w:color w:val="000000"/>
                      <w:sz w:val="21"/>
                      <w:szCs w:val="21"/>
                    </w:rPr>
                  </w:pPr>
                  <w:r>
                    <w:rPr>
                      <w:rFonts w:hint="eastAsia"/>
                      <w:color w:val="000000"/>
                      <w:sz w:val="21"/>
                      <w:szCs w:val="21"/>
                    </w:rPr>
                    <w:t>90</w:t>
                  </w:r>
                </w:p>
              </w:tc>
              <w:tc>
                <w:tcPr>
                  <w:tcW w:w="552" w:type="pct"/>
                  <w:noWrap w:val="0"/>
                  <w:vAlign w:val="center"/>
                </w:tcPr>
                <w:p w14:paraId="6FCE5A62">
                  <w:pPr>
                    <w:spacing w:line="320" w:lineRule="exact"/>
                    <w:jc w:val="center"/>
                    <w:rPr>
                      <w:rFonts w:hint="eastAsia"/>
                      <w:color w:val="000000"/>
                      <w:sz w:val="21"/>
                      <w:szCs w:val="21"/>
                    </w:rPr>
                  </w:pPr>
                  <w:r>
                    <w:rPr>
                      <w:rFonts w:hint="eastAsia"/>
                      <w:color w:val="000000"/>
                      <w:sz w:val="21"/>
                      <w:szCs w:val="21"/>
                    </w:rPr>
                    <w:t>居住区</w:t>
                  </w:r>
                </w:p>
              </w:tc>
              <w:tc>
                <w:tcPr>
                  <w:tcW w:w="1445" w:type="pct"/>
                  <w:noWrap w:val="0"/>
                  <w:vAlign w:val="center"/>
                </w:tcPr>
                <w:p w14:paraId="148E49BC">
                  <w:pPr>
                    <w:pStyle w:val="34"/>
                    <w:spacing w:line="240" w:lineRule="auto"/>
                    <w:rPr>
                      <w:color w:val="000000"/>
                      <w:sz w:val="21"/>
                      <w:szCs w:val="21"/>
                    </w:rPr>
                  </w:pPr>
                  <w:r>
                    <w:rPr>
                      <w:rFonts w:hint="eastAsia"/>
                      <w:color w:val="000000"/>
                      <w:sz w:val="21"/>
                      <w:szCs w:val="21"/>
                    </w:rPr>
                    <w:t>/</w:t>
                  </w:r>
                </w:p>
              </w:tc>
              <w:tc>
                <w:tcPr>
                  <w:tcW w:w="672" w:type="pct"/>
                  <w:noWrap w:val="0"/>
                  <w:vAlign w:val="center"/>
                </w:tcPr>
                <w:p w14:paraId="4F05DFF9">
                  <w:pPr>
                    <w:spacing w:line="320" w:lineRule="exact"/>
                    <w:jc w:val="center"/>
                    <w:rPr>
                      <w:color w:val="000000"/>
                      <w:sz w:val="21"/>
                      <w:szCs w:val="21"/>
                    </w:rPr>
                  </w:pPr>
                  <w:r>
                    <w:rPr>
                      <w:color w:val="000000"/>
                      <w:sz w:val="21"/>
                      <w:szCs w:val="21"/>
                    </w:rPr>
                    <w:t>二类区</w:t>
                  </w:r>
                </w:p>
              </w:tc>
            </w:tr>
            <w:bookmarkEnd w:id="12"/>
          </w:tbl>
          <w:p w14:paraId="14C0750F">
            <w:pPr>
              <w:adjustRightInd w:val="0"/>
              <w:spacing w:line="360" w:lineRule="auto"/>
              <w:rPr>
                <w:b/>
                <w:bCs/>
                <w:color w:val="000000"/>
                <w:kern w:val="0"/>
              </w:rPr>
            </w:pPr>
            <w:r>
              <w:rPr>
                <w:rFonts w:hint="eastAsia"/>
                <w:b/>
                <w:bCs/>
                <w:color w:val="000000"/>
                <w:kern w:val="0"/>
              </w:rPr>
              <w:t>3.6.4</w:t>
            </w:r>
            <w:r>
              <w:rPr>
                <w:b/>
                <w:bCs/>
                <w:color w:val="000000"/>
                <w:kern w:val="0"/>
              </w:rPr>
              <w:t>地表水环境保护目标</w:t>
            </w:r>
          </w:p>
          <w:p w14:paraId="1B1638EB">
            <w:pPr>
              <w:adjustRightInd w:val="0"/>
              <w:spacing w:line="360" w:lineRule="auto"/>
              <w:ind w:firstLine="420" w:firstLineChars="200"/>
              <w:rPr>
                <w:color w:val="000000"/>
                <w:kern w:val="0"/>
              </w:rPr>
            </w:pPr>
            <w:r>
              <w:rPr>
                <w:rFonts w:hint="eastAsia"/>
                <w:color w:val="000000"/>
                <w:szCs w:val="32"/>
              </w:rPr>
              <w:t>项目产生的废水经厂区废水处理系统处理达《污水综合排放标准》（GB8978-1996）三级标准后，排入西彭工业园区污水处理厂进一步处理，西彭工业园区污水处理厂废水经桥头河排入长江，</w:t>
            </w:r>
            <w:r>
              <w:rPr>
                <w:color w:val="000000"/>
                <w:kern w:val="0"/>
              </w:rPr>
              <w:t>地表水环境保护目标见表</w:t>
            </w:r>
            <w:r>
              <w:rPr>
                <w:rFonts w:hint="eastAsia"/>
                <w:color w:val="000000"/>
                <w:kern w:val="0"/>
              </w:rPr>
              <w:t>3-4</w:t>
            </w:r>
            <w:r>
              <w:rPr>
                <w:color w:val="000000"/>
                <w:kern w:val="0"/>
              </w:rPr>
              <w:t>。</w:t>
            </w:r>
          </w:p>
          <w:p w14:paraId="6A9860C5">
            <w:pPr>
              <w:pStyle w:val="8"/>
              <w:spacing w:after="0"/>
              <w:ind w:left="0" w:leftChars="0"/>
              <w:jc w:val="center"/>
              <w:rPr>
                <w:b/>
                <w:bCs/>
                <w:color w:val="000000"/>
              </w:rPr>
            </w:pPr>
            <w:r>
              <w:rPr>
                <w:b/>
                <w:bCs/>
                <w:color w:val="000000"/>
              </w:rPr>
              <w:t>表</w:t>
            </w:r>
            <w:r>
              <w:rPr>
                <w:rFonts w:hint="eastAsia"/>
                <w:b/>
                <w:bCs/>
                <w:color w:val="000000"/>
              </w:rPr>
              <w:t>3-4</w:t>
            </w:r>
            <w:r>
              <w:rPr>
                <w:b/>
                <w:bCs/>
                <w:color w:val="000000"/>
              </w:rPr>
              <w:t xml:space="preserve">  本项目水环境保护目标统计表</w:t>
            </w:r>
          </w:p>
          <w:tbl>
            <w:tblPr>
              <w:tblStyle w:val="1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51" w:type="dxa"/>
                <w:bottom w:w="28" w:type="dxa"/>
                <w:right w:w="51" w:type="dxa"/>
              </w:tblCellMar>
            </w:tblPr>
            <w:tblGrid>
              <w:gridCol w:w="711"/>
              <w:gridCol w:w="1890"/>
              <w:gridCol w:w="1063"/>
              <w:gridCol w:w="1679"/>
              <w:gridCol w:w="2696"/>
            </w:tblGrid>
            <w:tr w14:paraId="3D4879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1" w:type="dxa"/>
                  <w:bottom w:w="28" w:type="dxa"/>
                  <w:right w:w="51" w:type="dxa"/>
                </w:tblCellMar>
              </w:tblPrEx>
              <w:tc>
                <w:tcPr>
                  <w:tcW w:w="442" w:type="pct"/>
                  <w:noWrap w:val="0"/>
                  <w:vAlign w:val="center"/>
                </w:tcPr>
                <w:p w14:paraId="1BBFECF5">
                  <w:pPr>
                    <w:widowControl/>
                    <w:adjustRightInd w:val="0"/>
                    <w:snapToGrid w:val="0"/>
                    <w:jc w:val="center"/>
                    <w:rPr>
                      <w:b/>
                      <w:bCs/>
                      <w:color w:val="000000"/>
                      <w:kern w:val="0"/>
                      <w:sz w:val="21"/>
                      <w:szCs w:val="21"/>
                    </w:rPr>
                  </w:pPr>
                  <w:r>
                    <w:rPr>
                      <w:b/>
                      <w:bCs/>
                      <w:color w:val="000000"/>
                      <w:kern w:val="0"/>
                      <w:sz w:val="21"/>
                      <w:szCs w:val="21"/>
                    </w:rPr>
                    <w:t>序号</w:t>
                  </w:r>
                </w:p>
              </w:tc>
              <w:tc>
                <w:tcPr>
                  <w:tcW w:w="1175" w:type="pct"/>
                  <w:noWrap w:val="0"/>
                  <w:vAlign w:val="center"/>
                </w:tcPr>
                <w:p w14:paraId="1520551B">
                  <w:pPr>
                    <w:adjustRightInd w:val="0"/>
                    <w:snapToGrid w:val="0"/>
                    <w:jc w:val="center"/>
                    <w:rPr>
                      <w:b/>
                      <w:bCs/>
                      <w:color w:val="000000"/>
                      <w:sz w:val="21"/>
                      <w:szCs w:val="21"/>
                    </w:rPr>
                  </w:pPr>
                  <w:r>
                    <w:rPr>
                      <w:b/>
                      <w:bCs/>
                      <w:color w:val="000000"/>
                      <w:sz w:val="21"/>
                      <w:szCs w:val="21"/>
                    </w:rPr>
                    <w:t>名称</w:t>
                  </w:r>
                </w:p>
              </w:tc>
              <w:tc>
                <w:tcPr>
                  <w:tcW w:w="661" w:type="pct"/>
                  <w:noWrap w:val="0"/>
                  <w:vAlign w:val="center"/>
                </w:tcPr>
                <w:p w14:paraId="14D12DDB">
                  <w:pPr>
                    <w:adjustRightInd w:val="0"/>
                    <w:snapToGrid w:val="0"/>
                    <w:jc w:val="center"/>
                    <w:rPr>
                      <w:b/>
                      <w:bCs/>
                      <w:color w:val="000000"/>
                      <w:sz w:val="21"/>
                      <w:szCs w:val="21"/>
                    </w:rPr>
                  </w:pPr>
                  <w:r>
                    <w:rPr>
                      <w:b/>
                      <w:bCs/>
                      <w:color w:val="000000"/>
                      <w:sz w:val="21"/>
                      <w:szCs w:val="21"/>
                    </w:rPr>
                    <w:t>方位</w:t>
                  </w:r>
                </w:p>
              </w:tc>
              <w:tc>
                <w:tcPr>
                  <w:tcW w:w="1044" w:type="pct"/>
                  <w:noWrap w:val="0"/>
                  <w:vAlign w:val="center"/>
                </w:tcPr>
                <w:p w14:paraId="2D953D52">
                  <w:pPr>
                    <w:adjustRightInd w:val="0"/>
                    <w:snapToGrid w:val="0"/>
                    <w:jc w:val="center"/>
                    <w:rPr>
                      <w:b/>
                      <w:bCs/>
                      <w:color w:val="000000"/>
                      <w:sz w:val="21"/>
                      <w:szCs w:val="21"/>
                    </w:rPr>
                  </w:pPr>
                  <w:r>
                    <w:rPr>
                      <w:b/>
                      <w:bCs/>
                      <w:color w:val="000000"/>
                      <w:sz w:val="21"/>
                      <w:szCs w:val="21"/>
                    </w:rPr>
                    <w:t>最近距离（</w:t>
                  </w:r>
                  <w:r>
                    <w:rPr>
                      <w:rFonts w:hint="eastAsia"/>
                      <w:b/>
                      <w:bCs/>
                      <w:color w:val="000000"/>
                      <w:sz w:val="21"/>
                      <w:szCs w:val="21"/>
                    </w:rPr>
                    <w:t>k</w:t>
                  </w:r>
                  <w:r>
                    <w:rPr>
                      <w:b/>
                      <w:bCs/>
                      <w:color w:val="000000"/>
                      <w:sz w:val="21"/>
                      <w:szCs w:val="21"/>
                    </w:rPr>
                    <w:t>m）</w:t>
                  </w:r>
                </w:p>
              </w:tc>
              <w:tc>
                <w:tcPr>
                  <w:tcW w:w="1676" w:type="pct"/>
                  <w:noWrap w:val="0"/>
                  <w:vAlign w:val="center"/>
                </w:tcPr>
                <w:p w14:paraId="199D8AA1">
                  <w:pPr>
                    <w:adjustRightInd w:val="0"/>
                    <w:snapToGrid w:val="0"/>
                    <w:jc w:val="center"/>
                    <w:rPr>
                      <w:b/>
                      <w:bCs/>
                      <w:color w:val="000000"/>
                      <w:sz w:val="21"/>
                      <w:szCs w:val="21"/>
                    </w:rPr>
                  </w:pPr>
                  <w:r>
                    <w:rPr>
                      <w:b/>
                      <w:bCs/>
                      <w:color w:val="000000"/>
                      <w:sz w:val="21"/>
                      <w:szCs w:val="21"/>
                    </w:rPr>
                    <w:t>环境特征</w:t>
                  </w:r>
                </w:p>
              </w:tc>
            </w:tr>
            <w:tr w14:paraId="08704B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1" w:type="dxa"/>
                  <w:bottom w:w="28" w:type="dxa"/>
                  <w:right w:w="51" w:type="dxa"/>
                </w:tblCellMar>
              </w:tblPrEx>
              <w:tc>
                <w:tcPr>
                  <w:tcW w:w="442" w:type="pct"/>
                  <w:noWrap w:val="0"/>
                  <w:vAlign w:val="center"/>
                </w:tcPr>
                <w:p w14:paraId="79561676">
                  <w:pPr>
                    <w:adjustRightInd w:val="0"/>
                    <w:snapToGrid w:val="0"/>
                    <w:jc w:val="center"/>
                    <w:rPr>
                      <w:color w:val="000000"/>
                      <w:sz w:val="21"/>
                      <w:szCs w:val="21"/>
                    </w:rPr>
                  </w:pPr>
                  <w:r>
                    <w:rPr>
                      <w:rFonts w:hint="eastAsia"/>
                      <w:color w:val="000000"/>
                      <w:sz w:val="21"/>
                      <w:szCs w:val="21"/>
                    </w:rPr>
                    <w:t>1</w:t>
                  </w:r>
                </w:p>
              </w:tc>
              <w:tc>
                <w:tcPr>
                  <w:tcW w:w="1175" w:type="pct"/>
                  <w:noWrap w:val="0"/>
                  <w:vAlign w:val="center"/>
                </w:tcPr>
                <w:p w14:paraId="6196A6D7">
                  <w:pPr>
                    <w:adjustRightInd w:val="0"/>
                    <w:snapToGrid w:val="0"/>
                    <w:jc w:val="center"/>
                    <w:rPr>
                      <w:color w:val="000000"/>
                      <w:sz w:val="21"/>
                      <w:szCs w:val="21"/>
                    </w:rPr>
                  </w:pPr>
                  <w:r>
                    <w:rPr>
                      <w:rFonts w:hint="eastAsia"/>
                      <w:color w:val="000000"/>
                      <w:sz w:val="21"/>
                      <w:szCs w:val="21"/>
                    </w:rPr>
                    <w:t>长江</w:t>
                  </w:r>
                </w:p>
              </w:tc>
              <w:tc>
                <w:tcPr>
                  <w:tcW w:w="661" w:type="pct"/>
                  <w:noWrap w:val="0"/>
                  <w:vAlign w:val="center"/>
                </w:tcPr>
                <w:p w14:paraId="1F60F9ED">
                  <w:pPr>
                    <w:snapToGrid w:val="0"/>
                    <w:jc w:val="center"/>
                    <w:rPr>
                      <w:snapToGrid w:val="0"/>
                      <w:color w:val="000000"/>
                      <w:kern w:val="0"/>
                      <w:sz w:val="21"/>
                      <w:szCs w:val="21"/>
                    </w:rPr>
                  </w:pPr>
                  <w:r>
                    <w:rPr>
                      <w:rFonts w:hint="eastAsia"/>
                      <w:snapToGrid w:val="0"/>
                      <w:color w:val="000000"/>
                      <w:kern w:val="0"/>
                      <w:sz w:val="21"/>
                      <w:szCs w:val="21"/>
                    </w:rPr>
                    <w:t>南</w:t>
                  </w:r>
                </w:p>
              </w:tc>
              <w:tc>
                <w:tcPr>
                  <w:tcW w:w="1044" w:type="pct"/>
                  <w:noWrap w:val="0"/>
                  <w:vAlign w:val="center"/>
                </w:tcPr>
                <w:p w14:paraId="0EE377DB">
                  <w:pPr>
                    <w:snapToGrid w:val="0"/>
                    <w:jc w:val="center"/>
                    <w:rPr>
                      <w:snapToGrid w:val="0"/>
                      <w:color w:val="000000"/>
                      <w:kern w:val="0"/>
                      <w:sz w:val="21"/>
                      <w:szCs w:val="21"/>
                    </w:rPr>
                  </w:pPr>
                  <w:r>
                    <w:rPr>
                      <w:snapToGrid w:val="0"/>
                      <w:color w:val="000000"/>
                      <w:kern w:val="0"/>
                      <w:sz w:val="21"/>
                      <w:szCs w:val="21"/>
                    </w:rPr>
                    <w:t>约</w:t>
                  </w:r>
                  <w:r>
                    <w:rPr>
                      <w:rFonts w:hint="eastAsia"/>
                      <w:snapToGrid w:val="0"/>
                      <w:color w:val="000000"/>
                      <w:kern w:val="0"/>
                      <w:sz w:val="21"/>
                      <w:szCs w:val="21"/>
                    </w:rPr>
                    <w:t>1.4k</w:t>
                  </w:r>
                  <w:r>
                    <w:rPr>
                      <w:snapToGrid w:val="0"/>
                      <w:color w:val="000000"/>
                      <w:kern w:val="0"/>
                      <w:sz w:val="21"/>
                      <w:szCs w:val="21"/>
                    </w:rPr>
                    <w:t>m</w:t>
                  </w:r>
                </w:p>
              </w:tc>
              <w:tc>
                <w:tcPr>
                  <w:tcW w:w="1676" w:type="pct"/>
                  <w:noWrap w:val="0"/>
                  <w:vAlign w:val="top"/>
                </w:tcPr>
                <w:p w14:paraId="04540367">
                  <w:pPr>
                    <w:adjustRightInd w:val="0"/>
                    <w:snapToGrid w:val="0"/>
                    <w:jc w:val="center"/>
                    <w:rPr>
                      <w:color w:val="000000"/>
                      <w:sz w:val="21"/>
                      <w:szCs w:val="21"/>
                    </w:rPr>
                  </w:pPr>
                  <w:r>
                    <w:rPr>
                      <w:color w:val="000000"/>
                      <w:sz w:val="21"/>
                      <w:szCs w:val="21"/>
                    </w:rPr>
                    <w:t>类水域</w:t>
                  </w:r>
                </w:p>
              </w:tc>
            </w:tr>
            <w:tr w14:paraId="2D1836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1" w:type="dxa"/>
                  <w:bottom w:w="28" w:type="dxa"/>
                  <w:right w:w="51" w:type="dxa"/>
                </w:tblCellMar>
              </w:tblPrEx>
              <w:tc>
                <w:tcPr>
                  <w:tcW w:w="442" w:type="pct"/>
                  <w:noWrap w:val="0"/>
                  <w:vAlign w:val="center"/>
                </w:tcPr>
                <w:p w14:paraId="75BC8FB2">
                  <w:pPr>
                    <w:adjustRightInd w:val="0"/>
                    <w:snapToGrid w:val="0"/>
                    <w:jc w:val="center"/>
                    <w:rPr>
                      <w:color w:val="000000"/>
                      <w:sz w:val="21"/>
                      <w:szCs w:val="21"/>
                    </w:rPr>
                  </w:pPr>
                  <w:r>
                    <w:rPr>
                      <w:rFonts w:hint="eastAsia"/>
                      <w:color w:val="000000"/>
                      <w:sz w:val="21"/>
                      <w:szCs w:val="21"/>
                    </w:rPr>
                    <w:t>2</w:t>
                  </w:r>
                </w:p>
              </w:tc>
              <w:tc>
                <w:tcPr>
                  <w:tcW w:w="1175" w:type="pct"/>
                  <w:noWrap w:val="0"/>
                  <w:vAlign w:val="center"/>
                </w:tcPr>
                <w:p w14:paraId="153A0EF1">
                  <w:pPr>
                    <w:adjustRightInd w:val="0"/>
                    <w:snapToGrid w:val="0"/>
                    <w:jc w:val="center"/>
                    <w:rPr>
                      <w:color w:val="000000"/>
                      <w:sz w:val="21"/>
                      <w:szCs w:val="21"/>
                    </w:rPr>
                  </w:pPr>
                  <w:r>
                    <w:rPr>
                      <w:rFonts w:hint="eastAsia"/>
                      <w:color w:val="000000"/>
                      <w:sz w:val="21"/>
                      <w:szCs w:val="21"/>
                    </w:rPr>
                    <w:t>桥头河</w:t>
                  </w:r>
                </w:p>
              </w:tc>
              <w:tc>
                <w:tcPr>
                  <w:tcW w:w="661" w:type="pct"/>
                  <w:noWrap w:val="0"/>
                  <w:vAlign w:val="center"/>
                </w:tcPr>
                <w:p w14:paraId="5D6B238D">
                  <w:pPr>
                    <w:snapToGrid w:val="0"/>
                    <w:jc w:val="center"/>
                    <w:rPr>
                      <w:snapToGrid w:val="0"/>
                      <w:color w:val="000000"/>
                      <w:kern w:val="0"/>
                      <w:sz w:val="21"/>
                      <w:szCs w:val="21"/>
                    </w:rPr>
                  </w:pPr>
                  <w:r>
                    <w:rPr>
                      <w:rFonts w:hint="eastAsia"/>
                      <w:snapToGrid w:val="0"/>
                      <w:color w:val="000000"/>
                      <w:kern w:val="0"/>
                      <w:sz w:val="21"/>
                      <w:szCs w:val="21"/>
                    </w:rPr>
                    <w:t>东</w:t>
                  </w:r>
                </w:p>
              </w:tc>
              <w:tc>
                <w:tcPr>
                  <w:tcW w:w="1044" w:type="pct"/>
                  <w:noWrap w:val="0"/>
                  <w:vAlign w:val="center"/>
                </w:tcPr>
                <w:p w14:paraId="674A8088">
                  <w:pPr>
                    <w:snapToGrid w:val="0"/>
                    <w:jc w:val="center"/>
                    <w:rPr>
                      <w:snapToGrid w:val="0"/>
                      <w:color w:val="000000"/>
                      <w:kern w:val="0"/>
                      <w:sz w:val="21"/>
                      <w:szCs w:val="21"/>
                    </w:rPr>
                  </w:pPr>
                  <w:r>
                    <w:rPr>
                      <w:rFonts w:hint="eastAsia"/>
                      <w:snapToGrid w:val="0"/>
                      <w:color w:val="000000"/>
                      <w:kern w:val="0"/>
                      <w:sz w:val="21"/>
                      <w:szCs w:val="21"/>
                    </w:rPr>
                    <w:t>约0.75km</w:t>
                  </w:r>
                </w:p>
              </w:tc>
              <w:tc>
                <w:tcPr>
                  <w:tcW w:w="1676" w:type="pct"/>
                  <w:noWrap w:val="0"/>
                  <w:vAlign w:val="top"/>
                </w:tcPr>
                <w:p w14:paraId="2156EF3F">
                  <w:pPr>
                    <w:adjustRightInd w:val="0"/>
                    <w:snapToGrid w:val="0"/>
                    <w:jc w:val="center"/>
                    <w:rPr>
                      <w:color w:val="000000"/>
                      <w:sz w:val="21"/>
                      <w:szCs w:val="21"/>
                    </w:rPr>
                  </w:pPr>
                  <w:r>
                    <w:rPr>
                      <w:rFonts w:hint="eastAsia"/>
                      <w:color w:val="000000"/>
                      <w:sz w:val="21"/>
                      <w:szCs w:val="21"/>
                    </w:rPr>
                    <w:t>无水域功能</w:t>
                  </w:r>
                </w:p>
              </w:tc>
            </w:tr>
          </w:tbl>
          <w:p w14:paraId="097D6F8B">
            <w:pPr>
              <w:adjustRightInd w:val="0"/>
              <w:spacing w:line="360" w:lineRule="auto"/>
              <w:rPr>
                <w:b/>
                <w:bCs/>
                <w:color w:val="000000"/>
                <w:kern w:val="0"/>
              </w:rPr>
            </w:pPr>
            <w:r>
              <w:rPr>
                <w:rFonts w:hint="eastAsia"/>
                <w:b/>
                <w:bCs/>
                <w:color w:val="000000"/>
                <w:kern w:val="0"/>
              </w:rPr>
              <w:t>3.6.5地下水</w:t>
            </w:r>
            <w:r>
              <w:rPr>
                <w:b/>
                <w:bCs/>
                <w:color w:val="000000"/>
                <w:kern w:val="0"/>
              </w:rPr>
              <w:t>环境保护目标</w:t>
            </w:r>
          </w:p>
          <w:p w14:paraId="10D006E3">
            <w:pPr>
              <w:adjustRightInd w:val="0"/>
              <w:spacing w:line="360" w:lineRule="auto"/>
              <w:ind w:firstLine="420" w:firstLineChars="200"/>
              <w:rPr>
                <w:color w:val="000000"/>
                <w:kern w:val="0"/>
                <w:szCs w:val="21"/>
              </w:rPr>
            </w:pPr>
            <w:r>
              <w:rPr>
                <w:rFonts w:hint="eastAsia"/>
                <w:color w:val="000000"/>
                <w:kern w:val="0"/>
                <w:lang w:eastAsia="zh-CN"/>
              </w:rPr>
              <w:t>厂界</w:t>
            </w:r>
            <w:r>
              <w:rPr>
                <w:rFonts w:hint="eastAsia"/>
                <w:color w:val="000000"/>
                <w:kern w:val="0"/>
              </w:rPr>
              <w:t>外500米范围内无地下水集中式饮用水水源和热水、矿泉水、温泉等特殊地下水资源。</w:t>
            </w:r>
          </w:p>
        </w:tc>
      </w:tr>
      <w:tr w14:paraId="4C08A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noWrap w:val="0"/>
            <w:tcMar>
              <w:left w:w="28" w:type="dxa"/>
              <w:right w:w="28" w:type="dxa"/>
            </w:tcMar>
            <w:vAlign w:val="center"/>
          </w:tcPr>
          <w:p w14:paraId="4E38FAD2">
            <w:pPr>
              <w:adjustRightInd w:val="0"/>
              <w:snapToGrid w:val="0"/>
              <w:jc w:val="center"/>
              <w:rPr>
                <w:color w:val="000000"/>
                <w:kern w:val="0"/>
                <w:szCs w:val="21"/>
              </w:rPr>
            </w:pPr>
            <w:r>
              <w:rPr>
                <w:color w:val="000000"/>
                <w:kern w:val="0"/>
                <w:szCs w:val="21"/>
              </w:rPr>
              <w:t>污染</w:t>
            </w:r>
          </w:p>
          <w:p w14:paraId="438AF4AF">
            <w:pPr>
              <w:adjustRightInd w:val="0"/>
              <w:snapToGrid w:val="0"/>
              <w:jc w:val="center"/>
              <w:rPr>
                <w:color w:val="000000"/>
                <w:kern w:val="0"/>
                <w:szCs w:val="21"/>
              </w:rPr>
            </w:pPr>
            <w:r>
              <w:rPr>
                <w:color w:val="000000"/>
                <w:kern w:val="0"/>
                <w:szCs w:val="21"/>
              </w:rPr>
              <w:t>物排</w:t>
            </w:r>
          </w:p>
          <w:p w14:paraId="394D7F5E">
            <w:pPr>
              <w:adjustRightInd w:val="0"/>
              <w:snapToGrid w:val="0"/>
              <w:jc w:val="center"/>
              <w:rPr>
                <w:color w:val="000000"/>
                <w:kern w:val="0"/>
                <w:szCs w:val="21"/>
              </w:rPr>
            </w:pPr>
            <w:r>
              <w:rPr>
                <w:color w:val="000000"/>
                <w:kern w:val="0"/>
                <w:szCs w:val="21"/>
              </w:rPr>
              <w:t>放控</w:t>
            </w:r>
          </w:p>
          <w:p w14:paraId="15934E31">
            <w:pPr>
              <w:adjustRightInd w:val="0"/>
              <w:snapToGrid w:val="0"/>
              <w:jc w:val="center"/>
              <w:rPr>
                <w:color w:val="000000"/>
                <w:kern w:val="0"/>
                <w:szCs w:val="21"/>
              </w:rPr>
            </w:pPr>
            <w:r>
              <w:rPr>
                <w:color w:val="000000"/>
                <w:kern w:val="0"/>
                <w:szCs w:val="21"/>
              </w:rPr>
              <w:t>制标</w:t>
            </w:r>
          </w:p>
          <w:p w14:paraId="593D6BD3">
            <w:pPr>
              <w:adjustRightInd w:val="0"/>
              <w:snapToGrid w:val="0"/>
              <w:jc w:val="center"/>
              <w:rPr>
                <w:color w:val="000000"/>
                <w:kern w:val="0"/>
                <w:szCs w:val="21"/>
              </w:rPr>
            </w:pPr>
            <w:r>
              <w:rPr>
                <w:color w:val="000000"/>
                <w:kern w:val="0"/>
                <w:szCs w:val="21"/>
              </w:rPr>
              <w:t>准</w:t>
            </w:r>
          </w:p>
        </w:tc>
        <w:tc>
          <w:tcPr>
            <w:tcW w:w="4558" w:type="pct"/>
            <w:noWrap w:val="0"/>
            <w:vAlign w:val="center"/>
          </w:tcPr>
          <w:p w14:paraId="348E4F48">
            <w:pPr>
              <w:adjustRightInd w:val="0"/>
              <w:spacing w:line="360" w:lineRule="auto"/>
              <w:rPr>
                <w:b/>
                <w:bCs/>
                <w:color w:val="000000"/>
              </w:rPr>
            </w:pPr>
            <w:r>
              <w:rPr>
                <w:b/>
                <w:bCs/>
                <w:color w:val="000000"/>
              </w:rPr>
              <w:t>3.</w:t>
            </w:r>
            <w:r>
              <w:rPr>
                <w:rFonts w:hint="eastAsia"/>
                <w:b/>
                <w:bCs/>
                <w:color w:val="000000"/>
              </w:rPr>
              <w:t>7</w:t>
            </w:r>
            <w:r>
              <w:rPr>
                <w:b/>
                <w:bCs/>
                <w:color w:val="000000"/>
              </w:rPr>
              <w:t>污染物排放标准</w:t>
            </w:r>
          </w:p>
          <w:p w14:paraId="1F975063">
            <w:pPr>
              <w:adjustRightInd w:val="0"/>
              <w:spacing w:line="360" w:lineRule="auto"/>
              <w:ind w:firstLine="420" w:firstLineChars="200"/>
              <w:rPr>
                <w:b/>
                <w:bCs/>
                <w:color w:val="000000"/>
              </w:rPr>
            </w:pPr>
            <w:bookmarkStart w:id="13" w:name="_Toc95902502"/>
            <w:bookmarkStart w:id="14" w:name="_Toc99551049"/>
            <w:r>
              <w:rPr>
                <w:b/>
                <w:bCs/>
                <w:color w:val="000000"/>
              </w:rPr>
              <w:t>（1）废气</w:t>
            </w:r>
            <w:bookmarkEnd w:id="13"/>
            <w:bookmarkEnd w:id="14"/>
          </w:p>
          <w:p w14:paraId="1ADDAAD7">
            <w:pPr>
              <w:keepNext/>
              <w:keepLines/>
              <w:spacing w:line="360" w:lineRule="auto"/>
              <w:ind w:firstLine="420" w:firstLineChars="200"/>
              <w:jc w:val="left"/>
              <w:outlineLvl w:val="1"/>
              <w:rPr>
                <w:color w:val="000000"/>
              </w:rPr>
            </w:pPr>
            <w:r>
              <w:rPr>
                <w:rFonts w:hint="eastAsia"/>
                <w:color w:val="000000"/>
              </w:rPr>
              <w:t>等效排气筒判定：本项目4个排气筒高度均为15m，排气筒</w:t>
            </w:r>
            <w:r>
              <w:rPr>
                <w:rFonts w:hint="eastAsia"/>
                <w:color w:val="000000"/>
                <w:kern w:val="0"/>
                <w:szCs w:val="21"/>
              </w:rPr>
              <w:t>DA001与DA002相距32m，</w:t>
            </w:r>
            <w:r>
              <w:rPr>
                <w:rFonts w:hint="eastAsia"/>
                <w:color w:val="000000"/>
              </w:rPr>
              <w:t>排气筒</w:t>
            </w:r>
            <w:r>
              <w:rPr>
                <w:rFonts w:hint="eastAsia"/>
                <w:color w:val="000000"/>
                <w:kern w:val="0"/>
                <w:szCs w:val="21"/>
              </w:rPr>
              <w:t>DA003与DA004相距34m；</w:t>
            </w:r>
            <w:r>
              <w:rPr>
                <w:rFonts w:hint="eastAsia"/>
                <w:color w:val="000000"/>
              </w:rPr>
              <w:t>排气筒</w:t>
            </w:r>
            <w:r>
              <w:rPr>
                <w:rFonts w:hint="eastAsia"/>
                <w:color w:val="000000"/>
                <w:kern w:val="0"/>
                <w:szCs w:val="21"/>
              </w:rPr>
              <w:t>DA002与DA004相距18m，但两个排气筒执行不同标准；综上，本项目不涉及等效排气筒。</w:t>
            </w:r>
          </w:p>
          <w:p w14:paraId="1F247EC6">
            <w:pPr>
              <w:adjustRightInd w:val="0"/>
              <w:spacing w:line="360" w:lineRule="auto"/>
              <w:ind w:firstLine="420" w:firstLineChars="200"/>
              <w:rPr>
                <w:rFonts w:hint="eastAsia"/>
                <w:color w:val="000000"/>
                <w:kern w:val="0"/>
                <w:szCs w:val="21"/>
              </w:rPr>
            </w:pPr>
            <w:r>
              <w:rPr>
                <w:rFonts w:hint="eastAsia"/>
                <w:color w:val="000000"/>
                <w:kern w:val="0"/>
                <w:szCs w:val="21"/>
              </w:rPr>
              <w:t>本项目PVC电缆料生产线混料废气、混炼废气等经处理后，由位于厂房北侧的DA001排气筒排放，主要排放因子有颗粒物、</w:t>
            </w:r>
            <w:r>
              <w:rPr>
                <w:color w:val="000000"/>
                <w:kern w:val="0"/>
                <w:szCs w:val="21"/>
              </w:rPr>
              <w:t>非甲烷总烃</w:t>
            </w:r>
            <w:r>
              <w:rPr>
                <w:rFonts w:hint="eastAsia"/>
                <w:color w:val="000000"/>
                <w:kern w:val="0"/>
                <w:szCs w:val="21"/>
              </w:rPr>
              <w:t>、</w:t>
            </w:r>
            <w:r>
              <w:rPr>
                <w:color w:val="000000"/>
                <w:kern w:val="0"/>
                <w:szCs w:val="21"/>
              </w:rPr>
              <w:t>氯化氢</w:t>
            </w:r>
            <w:r>
              <w:rPr>
                <w:rFonts w:hint="eastAsia"/>
                <w:color w:val="000000"/>
                <w:kern w:val="0"/>
                <w:szCs w:val="21"/>
              </w:rPr>
              <w:t>、</w:t>
            </w:r>
            <w:r>
              <w:rPr>
                <w:color w:val="000000"/>
                <w:kern w:val="0"/>
                <w:szCs w:val="21"/>
              </w:rPr>
              <w:t>氯乙烯</w:t>
            </w:r>
            <w:r>
              <w:rPr>
                <w:rFonts w:hint="eastAsia"/>
                <w:color w:val="000000"/>
                <w:kern w:val="0"/>
                <w:szCs w:val="21"/>
              </w:rPr>
              <w:t>、臭气；PVC电缆料生产线投料粉尘经处理后，由位于厂房中部的DA002排气筒排放，主要排放因子为颗粒物。</w:t>
            </w:r>
          </w:p>
          <w:p w14:paraId="4462E814">
            <w:pPr>
              <w:adjustRightInd w:val="0"/>
              <w:spacing w:line="360" w:lineRule="auto"/>
              <w:ind w:firstLine="420" w:firstLineChars="200"/>
              <w:rPr>
                <w:color w:val="000000"/>
                <w:kern w:val="0"/>
                <w:szCs w:val="21"/>
              </w:rPr>
            </w:pPr>
            <w:r>
              <w:rPr>
                <w:rFonts w:hint="eastAsia"/>
                <w:color w:val="000000"/>
                <w:kern w:val="0"/>
                <w:szCs w:val="21"/>
              </w:rPr>
              <w:t>本项目低烟无卤电缆料生产线密炼废气、混炼废气等经处理后，由位于厂房南侧的DA003排气筒排放，主要排放因子有</w:t>
            </w:r>
            <w:r>
              <w:rPr>
                <w:color w:val="000000"/>
                <w:kern w:val="0"/>
                <w:szCs w:val="21"/>
              </w:rPr>
              <w:t>非甲烷总烃</w:t>
            </w:r>
            <w:r>
              <w:rPr>
                <w:rFonts w:hint="eastAsia"/>
                <w:color w:val="000000"/>
                <w:kern w:val="0"/>
                <w:szCs w:val="21"/>
              </w:rPr>
              <w:t>、颗粒物、臭气；生产线配料粉尘经处理后，由位于厂房中部的DA004排气筒排放，主要排放因子为颗粒物。</w:t>
            </w:r>
          </w:p>
          <w:p w14:paraId="302CCE61">
            <w:pPr>
              <w:adjustRightInd w:val="0"/>
              <w:spacing w:line="360" w:lineRule="auto"/>
              <w:ind w:firstLine="420" w:firstLineChars="200"/>
              <w:rPr>
                <w:rFonts w:hint="eastAsia"/>
                <w:color w:val="000000"/>
              </w:rPr>
            </w:pPr>
            <w:r>
              <w:rPr>
                <w:color w:val="000000"/>
                <w:kern w:val="0"/>
                <w:szCs w:val="21"/>
              </w:rPr>
              <w:t>项目</w:t>
            </w:r>
            <w:r>
              <w:rPr>
                <w:rFonts w:hint="eastAsia"/>
                <w:color w:val="000000"/>
                <w:kern w:val="0"/>
                <w:szCs w:val="21"/>
              </w:rPr>
              <w:t>位于重庆市九龙坡区，属于执行大气特别排放限值的区域。</w:t>
            </w:r>
            <w:r>
              <w:rPr>
                <w:color w:val="000000"/>
                <w:kern w:val="0"/>
                <w:szCs w:val="21"/>
              </w:rPr>
              <w:t>营运期</w:t>
            </w:r>
            <w:r>
              <w:rPr>
                <w:rFonts w:hint="eastAsia"/>
                <w:color w:val="000000"/>
                <w:kern w:val="0"/>
                <w:szCs w:val="21"/>
              </w:rPr>
              <w:t>低烟无卤电缆料生产过程产生废气中产生的</w:t>
            </w:r>
            <w:r>
              <w:rPr>
                <w:rFonts w:hint="eastAsia"/>
                <w:color w:val="000000"/>
              </w:rPr>
              <w:t>非甲烷总烃、颗粒物（DA003、</w:t>
            </w:r>
            <w:r>
              <w:rPr>
                <w:rFonts w:hint="eastAsia"/>
                <w:color w:val="000000"/>
                <w:kern w:val="0"/>
                <w:szCs w:val="21"/>
              </w:rPr>
              <w:t>DA004</w:t>
            </w:r>
            <w:r>
              <w:rPr>
                <w:rFonts w:hint="eastAsia"/>
                <w:color w:val="000000"/>
              </w:rPr>
              <w:t>）执行《合成树脂工业污染物排放标准》(GB31572-2015)中的特别排放限值，</w:t>
            </w:r>
            <w:r>
              <w:rPr>
                <w:color w:val="000000"/>
                <w:kern w:val="0"/>
                <w:szCs w:val="21"/>
              </w:rPr>
              <w:t>大气污染物具体排放限值见表</w:t>
            </w:r>
            <w:r>
              <w:rPr>
                <w:rFonts w:hint="eastAsia"/>
                <w:color w:val="000000"/>
                <w:kern w:val="0"/>
                <w:szCs w:val="21"/>
              </w:rPr>
              <w:t>3-5</w:t>
            </w:r>
            <w:r>
              <w:rPr>
                <w:color w:val="000000"/>
                <w:kern w:val="0"/>
                <w:szCs w:val="21"/>
              </w:rPr>
              <w:t>。</w:t>
            </w:r>
          </w:p>
          <w:p w14:paraId="0C12920B">
            <w:pPr>
              <w:pStyle w:val="23"/>
              <w:snapToGrid/>
              <w:spacing w:before="0" w:after="0" w:line="360" w:lineRule="auto"/>
              <w:ind w:right="0"/>
              <w:rPr>
                <w:rFonts w:hint="eastAsia" w:ascii="Times New Roman"/>
                <w:color w:val="000000"/>
                <w:sz w:val="24"/>
              </w:rPr>
            </w:pPr>
            <w:r>
              <w:rPr>
                <w:rFonts w:ascii="Times New Roman"/>
                <w:color w:val="000000"/>
                <w:sz w:val="24"/>
                <w:szCs w:val="24"/>
              </w:rPr>
              <w:t>表</w:t>
            </w:r>
            <w:r>
              <w:rPr>
                <w:rFonts w:hint="eastAsia" w:ascii="Times New Roman"/>
                <w:color w:val="000000"/>
                <w:sz w:val="24"/>
                <w:szCs w:val="24"/>
              </w:rPr>
              <w:t>3</w:t>
            </w:r>
            <w:r>
              <w:rPr>
                <w:rFonts w:ascii="Times New Roman"/>
                <w:color w:val="000000"/>
                <w:sz w:val="24"/>
                <w:szCs w:val="24"/>
              </w:rPr>
              <w:t>-</w:t>
            </w:r>
            <w:r>
              <w:rPr>
                <w:rFonts w:hint="eastAsia" w:ascii="Times New Roman"/>
                <w:color w:val="000000"/>
                <w:sz w:val="24"/>
                <w:szCs w:val="24"/>
              </w:rPr>
              <w:t>5《合成树脂工业污染物排放标准》(GB31572-2015，含2024年修改单)</w:t>
            </w:r>
          </w:p>
          <w:tbl>
            <w:tblPr>
              <w:tblStyle w:val="16"/>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1713"/>
              <w:gridCol w:w="1713"/>
              <w:gridCol w:w="2897"/>
            </w:tblGrid>
            <w:tr w14:paraId="3BBBA9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6" w:type="pct"/>
                  <w:noWrap w:val="0"/>
                  <w:vAlign w:val="center"/>
                </w:tcPr>
                <w:p w14:paraId="079E0773">
                  <w:pPr>
                    <w:jc w:val="center"/>
                    <w:rPr>
                      <w:rFonts w:hint="eastAsia"/>
                      <w:color w:val="000000"/>
                      <w:sz w:val="21"/>
                      <w:szCs w:val="21"/>
                    </w:rPr>
                  </w:pPr>
                  <w:r>
                    <w:rPr>
                      <w:rFonts w:hint="eastAsia"/>
                      <w:color w:val="000000"/>
                      <w:sz w:val="21"/>
                      <w:szCs w:val="21"/>
                    </w:rPr>
                    <w:t>污染物项目</w:t>
                  </w:r>
                </w:p>
              </w:tc>
              <w:tc>
                <w:tcPr>
                  <w:tcW w:w="1066" w:type="pct"/>
                  <w:noWrap w:val="0"/>
                  <w:vAlign w:val="center"/>
                </w:tcPr>
                <w:p w14:paraId="088F9E45">
                  <w:pPr>
                    <w:jc w:val="center"/>
                    <w:rPr>
                      <w:rFonts w:hint="eastAsia"/>
                      <w:color w:val="000000"/>
                      <w:sz w:val="21"/>
                      <w:szCs w:val="21"/>
                    </w:rPr>
                  </w:pPr>
                  <w:r>
                    <w:rPr>
                      <w:rFonts w:hint="eastAsia"/>
                      <w:color w:val="000000"/>
                      <w:sz w:val="21"/>
                      <w:szCs w:val="21"/>
                    </w:rPr>
                    <w:t>排放限值(mg/m</w:t>
                  </w:r>
                  <w:r>
                    <w:rPr>
                      <w:rFonts w:hint="eastAsia"/>
                      <w:color w:val="000000"/>
                      <w:sz w:val="21"/>
                      <w:szCs w:val="21"/>
                      <w:vertAlign w:val="superscript"/>
                    </w:rPr>
                    <w:t>3</w:t>
                  </w:r>
                  <w:r>
                    <w:rPr>
                      <w:rFonts w:hint="eastAsia"/>
                      <w:color w:val="000000"/>
                      <w:sz w:val="21"/>
                      <w:szCs w:val="21"/>
                    </w:rPr>
                    <w:t>)</w:t>
                  </w:r>
                </w:p>
              </w:tc>
              <w:tc>
                <w:tcPr>
                  <w:tcW w:w="1066" w:type="pct"/>
                  <w:noWrap w:val="0"/>
                  <w:vAlign w:val="center"/>
                </w:tcPr>
                <w:p w14:paraId="34D24730">
                  <w:pPr>
                    <w:jc w:val="center"/>
                    <w:rPr>
                      <w:rFonts w:hint="eastAsia"/>
                      <w:color w:val="000000"/>
                      <w:sz w:val="21"/>
                      <w:szCs w:val="21"/>
                    </w:rPr>
                  </w:pPr>
                  <w:r>
                    <w:rPr>
                      <w:rFonts w:hint="eastAsia"/>
                      <w:color w:val="000000"/>
                      <w:sz w:val="21"/>
                      <w:szCs w:val="21"/>
                    </w:rPr>
                    <w:t>适用的合成树脂类型</w:t>
                  </w:r>
                </w:p>
              </w:tc>
              <w:tc>
                <w:tcPr>
                  <w:tcW w:w="1800" w:type="pct"/>
                  <w:noWrap w:val="0"/>
                  <w:vAlign w:val="center"/>
                </w:tcPr>
                <w:p w14:paraId="28D1D1FA">
                  <w:pPr>
                    <w:jc w:val="center"/>
                    <w:rPr>
                      <w:color w:val="000000"/>
                      <w:sz w:val="21"/>
                      <w:szCs w:val="21"/>
                    </w:rPr>
                  </w:pPr>
                  <w:r>
                    <w:rPr>
                      <w:rFonts w:hint="eastAsia"/>
                      <w:color w:val="000000"/>
                      <w:sz w:val="21"/>
                      <w:szCs w:val="21"/>
                    </w:rPr>
                    <w:t>企业边界浓度限值（无组织）(mg/m</w:t>
                  </w:r>
                  <w:r>
                    <w:rPr>
                      <w:rFonts w:hint="eastAsia"/>
                      <w:color w:val="000000"/>
                      <w:sz w:val="21"/>
                      <w:szCs w:val="21"/>
                      <w:vertAlign w:val="superscript"/>
                    </w:rPr>
                    <w:t>3</w:t>
                  </w:r>
                  <w:r>
                    <w:rPr>
                      <w:rFonts w:hint="eastAsia"/>
                      <w:color w:val="000000"/>
                      <w:sz w:val="21"/>
                      <w:szCs w:val="21"/>
                    </w:rPr>
                    <w:t>)</w:t>
                  </w:r>
                </w:p>
              </w:tc>
            </w:tr>
            <w:tr w14:paraId="5FBD52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6" w:type="pct"/>
                  <w:noWrap w:val="0"/>
                  <w:vAlign w:val="center"/>
                </w:tcPr>
                <w:p w14:paraId="20883162">
                  <w:pPr>
                    <w:jc w:val="center"/>
                    <w:rPr>
                      <w:rFonts w:hint="eastAsia"/>
                      <w:color w:val="000000"/>
                      <w:sz w:val="21"/>
                      <w:szCs w:val="21"/>
                    </w:rPr>
                  </w:pPr>
                  <w:r>
                    <w:rPr>
                      <w:rFonts w:hint="eastAsia"/>
                      <w:color w:val="000000"/>
                      <w:sz w:val="21"/>
                      <w:szCs w:val="21"/>
                    </w:rPr>
                    <w:t>非甲烷总烃</w:t>
                  </w:r>
                </w:p>
              </w:tc>
              <w:tc>
                <w:tcPr>
                  <w:tcW w:w="1066" w:type="pct"/>
                  <w:noWrap w:val="0"/>
                  <w:vAlign w:val="center"/>
                </w:tcPr>
                <w:p w14:paraId="59B68432">
                  <w:pPr>
                    <w:jc w:val="center"/>
                    <w:rPr>
                      <w:color w:val="000000"/>
                      <w:sz w:val="21"/>
                      <w:szCs w:val="21"/>
                    </w:rPr>
                  </w:pPr>
                  <w:r>
                    <w:rPr>
                      <w:rFonts w:hint="eastAsia"/>
                      <w:color w:val="000000"/>
                      <w:sz w:val="21"/>
                      <w:szCs w:val="21"/>
                    </w:rPr>
                    <w:t>60</w:t>
                  </w:r>
                </w:p>
              </w:tc>
              <w:tc>
                <w:tcPr>
                  <w:tcW w:w="1066" w:type="pct"/>
                  <w:vMerge w:val="restart"/>
                  <w:noWrap w:val="0"/>
                  <w:vAlign w:val="center"/>
                </w:tcPr>
                <w:p w14:paraId="0D5BAEDD">
                  <w:pPr>
                    <w:jc w:val="center"/>
                    <w:rPr>
                      <w:rFonts w:hint="eastAsia"/>
                      <w:color w:val="000000"/>
                      <w:sz w:val="21"/>
                      <w:szCs w:val="21"/>
                    </w:rPr>
                  </w:pPr>
                  <w:r>
                    <w:rPr>
                      <w:rFonts w:hint="eastAsia"/>
                      <w:color w:val="000000"/>
                      <w:sz w:val="21"/>
                      <w:szCs w:val="21"/>
                    </w:rPr>
                    <w:t>所有合成树脂</w:t>
                  </w:r>
                </w:p>
                <w:p w14:paraId="02F0D555">
                  <w:pPr>
                    <w:jc w:val="center"/>
                    <w:rPr>
                      <w:rFonts w:hint="eastAsia"/>
                      <w:color w:val="000000"/>
                      <w:sz w:val="21"/>
                      <w:szCs w:val="21"/>
                    </w:rPr>
                  </w:pPr>
                  <w:r>
                    <w:rPr>
                      <w:rFonts w:hint="eastAsia"/>
                      <w:color w:val="000000"/>
                      <w:sz w:val="21"/>
                      <w:szCs w:val="21"/>
                    </w:rPr>
                    <w:t>（不包括聚氯乙烯树脂）</w:t>
                  </w:r>
                </w:p>
              </w:tc>
              <w:tc>
                <w:tcPr>
                  <w:tcW w:w="1800" w:type="pct"/>
                  <w:noWrap w:val="0"/>
                  <w:vAlign w:val="center"/>
                </w:tcPr>
                <w:p w14:paraId="2A574B96">
                  <w:pPr>
                    <w:jc w:val="center"/>
                    <w:rPr>
                      <w:color w:val="000000"/>
                      <w:sz w:val="21"/>
                      <w:szCs w:val="21"/>
                    </w:rPr>
                  </w:pPr>
                  <w:r>
                    <w:rPr>
                      <w:rFonts w:hint="eastAsia"/>
                      <w:color w:val="000000"/>
                      <w:sz w:val="21"/>
                      <w:szCs w:val="21"/>
                    </w:rPr>
                    <w:t>4</w:t>
                  </w:r>
                </w:p>
              </w:tc>
            </w:tr>
            <w:tr w14:paraId="76115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6" w:type="pct"/>
                  <w:noWrap w:val="0"/>
                  <w:vAlign w:val="center"/>
                </w:tcPr>
                <w:p w14:paraId="07E58BE4">
                  <w:pPr>
                    <w:jc w:val="center"/>
                    <w:rPr>
                      <w:rFonts w:hint="eastAsia"/>
                      <w:color w:val="000000"/>
                      <w:sz w:val="21"/>
                      <w:szCs w:val="21"/>
                    </w:rPr>
                  </w:pPr>
                  <w:r>
                    <w:rPr>
                      <w:rFonts w:hint="eastAsia"/>
                      <w:color w:val="000000"/>
                      <w:sz w:val="21"/>
                      <w:szCs w:val="21"/>
                    </w:rPr>
                    <w:t>颗粒物</w:t>
                  </w:r>
                </w:p>
              </w:tc>
              <w:tc>
                <w:tcPr>
                  <w:tcW w:w="1066" w:type="pct"/>
                  <w:noWrap w:val="0"/>
                  <w:vAlign w:val="center"/>
                </w:tcPr>
                <w:p w14:paraId="0DBDF750">
                  <w:pPr>
                    <w:jc w:val="center"/>
                    <w:rPr>
                      <w:color w:val="000000"/>
                      <w:sz w:val="21"/>
                      <w:szCs w:val="21"/>
                    </w:rPr>
                  </w:pPr>
                  <w:r>
                    <w:rPr>
                      <w:rFonts w:hint="eastAsia"/>
                      <w:color w:val="000000"/>
                      <w:sz w:val="21"/>
                      <w:szCs w:val="21"/>
                    </w:rPr>
                    <w:t>20</w:t>
                  </w:r>
                </w:p>
              </w:tc>
              <w:tc>
                <w:tcPr>
                  <w:tcW w:w="1066" w:type="pct"/>
                  <w:vMerge w:val="continue"/>
                  <w:noWrap w:val="0"/>
                  <w:vAlign w:val="center"/>
                </w:tcPr>
                <w:p w14:paraId="6F488E8D">
                  <w:pPr>
                    <w:jc w:val="center"/>
                    <w:rPr>
                      <w:rFonts w:hint="eastAsia"/>
                      <w:color w:val="000000"/>
                      <w:sz w:val="21"/>
                      <w:szCs w:val="21"/>
                    </w:rPr>
                  </w:pPr>
                </w:p>
              </w:tc>
              <w:tc>
                <w:tcPr>
                  <w:tcW w:w="1800" w:type="pct"/>
                  <w:noWrap w:val="0"/>
                  <w:vAlign w:val="center"/>
                </w:tcPr>
                <w:p w14:paraId="34B9EB37">
                  <w:pPr>
                    <w:jc w:val="center"/>
                    <w:rPr>
                      <w:color w:val="000000"/>
                      <w:sz w:val="21"/>
                      <w:szCs w:val="21"/>
                    </w:rPr>
                  </w:pPr>
                  <w:r>
                    <w:rPr>
                      <w:rFonts w:hint="eastAsia"/>
                      <w:color w:val="000000"/>
                      <w:sz w:val="21"/>
                      <w:szCs w:val="21"/>
                    </w:rPr>
                    <w:t>1</w:t>
                  </w:r>
                </w:p>
              </w:tc>
            </w:tr>
            <w:tr w14:paraId="14403C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47E1A399">
                  <w:pPr>
                    <w:rPr>
                      <w:color w:val="000000"/>
                      <w:sz w:val="21"/>
                      <w:szCs w:val="21"/>
                    </w:rPr>
                  </w:pPr>
                  <w:r>
                    <w:rPr>
                      <w:rFonts w:hint="eastAsia"/>
                      <w:color w:val="000000"/>
                      <w:sz w:val="21"/>
                      <w:szCs w:val="21"/>
                    </w:rPr>
                    <w:t>说明：根据《〈合成树脂工业污染物排放标准〉（GB 31572-2015）修改单编制说明》：“单位产品非甲烷总烃排放量是针对单体聚合过程中废气污染物产生特点而制定的。”本项目为塑料制品生产，无需执行单位产品非甲烷总烃排放量限值要求。</w:t>
                  </w:r>
                </w:p>
              </w:tc>
            </w:tr>
          </w:tbl>
          <w:p w14:paraId="3DB816A1">
            <w:pPr>
              <w:adjustRightInd w:val="0"/>
              <w:spacing w:line="360" w:lineRule="auto"/>
              <w:ind w:firstLine="420" w:firstLineChars="200"/>
              <w:rPr>
                <w:color w:val="000000"/>
                <w:kern w:val="0"/>
                <w:szCs w:val="21"/>
              </w:rPr>
            </w:pPr>
            <w:r>
              <w:rPr>
                <w:rFonts w:hint="eastAsia"/>
                <w:color w:val="000000"/>
              </w:rPr>
              <w:t>PVC电缆料生产废气中产生的颗粒物、非甲烷总烃、</w:t>
            </w:r>
            <w:r>
              <w:rPr>
                <w:rFonts w:hint="eastAsia"/>
                <w:color w:val="000000"/>
                <w:kern w:val="0"/>
                <w:szCs w:val="21"/>
              </w:rPr>
              <w:t>氯化氢、氯乙烯</w:t>
            </w:r>
            <w:r>
              <w:rPr>
                <w:rFonts w:hint="eastAsia"/>
                <w:color w:val="000000"/>
              </w:rPr>
              <w:t>（DA001、</w:t>
            </w:r>
            <w:r>
              <w:rPr>
                <w:rFonts w:hint="eastAsia"/>
                <w:color w:val="000000"/>
                <w:kern w:val="0"/>
                <w:szCs w:val="21"/>
              </w:rPr>
              <w:t>DA002</w:t>
            </w:r>
            <w:r>
              <w:rPr>
                <w:rFonts w:hint="eastAsia"/>
                <w:color w:val="000000"/>
              </w:rPr>
              <w:t>）</w:t>
            </w:r>
            <w:r>
              <w:rPr>
                <w:color w:val="000000"/>
                <w:kern w:val="0"/>
                <w:szCs w:val="21"/>
              </w:rPr>
              <w:t>执行重庆市地方</w:t>
            </w:r>
            <w:r>
              <w:rPr>
                <w:rFonts w:hint="eastAsia"/>
                <w:color w:val="000000"/>
                <w:kern w:val="0"/>
                <w:szCs w:val="21"/>
              </w:rPr>
              <w:t>标准</w:t>
            </w:r>
            <w:r>
              <w:rPr>
                <w:color w:val="000000"/>
                <w:kern w:val="0"/>
                <w:szCs w:val="21"/>
              </w:rPr>
              <w:t>《大气污染物综合排放标准》（DB50/418-2016）标准限值要求，</w:t>
            </w:r>
            <w:r>
              <w:rPr>
                <w:rFonts w:hint="eastAsia"/>
                <w:color w:val="000000"/>
                <w:kern w:val="0"/>
                <w:szCs w:val="21"/>
              </w:rPr>
              <w:t>排气筒高度为15m，排气筒高度不能高于周围200m范围较高建筑（三期安置房）5m，按排放速率限值的50%执行，</w:t>
            </w:r>
            <w:r>
              <w:rPr>
                <w:color w:val="000000"/>
                <w:kern w:val="0"/>
                <w:szCs w:val="21"/>
              </w:rPr>
              <w:t>大气污染物具体排放限值见表</w:t>
            </w:r>
            <w:r>
              <w:rPr>
                <w:rFonts w:hint="eastAsia"/>
                <w:color w:val="000000"/>
                <w:kern w:val="0"/>
                <w:szCs w:val="21"/>
              </w:rPr>
              <w:t>3-6</w:t>
            </w:r>
            <w:r>
              <w:rPr>
                <w:color w:val="000000"/>
                <w:kern w:val="0"/>
                <w:szCs w:val="21"/>
              </w:rPr>
              <w:t>。</w:t>
            </w:r>
          </w:p>
          <w:p w14:paraId="35B8127E">
            <w:pPr>
              <w:pStyle w:val="23"/>
              <w:snapToGrid/>
              <w:spacing w:before="0" w:after="0" w:line="360" w:lineRule="auto"/>
              <w:ind w:right="0"/>
              <w:rPr>
                <w:rFonts w:ascii="Times New Roman"/>
                <w:color w:val="000000"/>
                <w:sz w:val="24"/>
                <w:szCs w:val="24"/>
              </w:rPr>
            </w:pPr>
            <w:r>
              <w:rPr>
                <w:rFonts w:ascii="Times New Roman"/>
                <w:color w:val="000000"/>
                <w:sz w:val="24"/>
                <w:szCs w:val="24"/>
              </w:rPr>
              <w:t>表</w:t>
            </w:r>
            <w:r>
              <w:rPr>
                <w:rFonts w:hint="eastAsia" w:ascii="Times New Roman"/>
                <w:color w:val="000000"/>
                <w:sz w:val="24"/>
                <w:szCs w:val="24"/>
              </w:rPr>
              <w:t>3-6</w:t>
            </w:r>
            <w:r>
              <w:rPr>
                <w:rFonts w:ascii="Times New Roman"/>
                <w:color w:val="000000"/>
                <w:sz w:val="24"/>
                <w:szCs w:val="24"/>
              </w:rPr>
              <w:t xml:space="preserve">  </w:t>
            </w:r>
            <w:r>
              <w:rPr>
                <w:rFonts w:hint="eastAsia" w:ascii="Times New Roman"/>
                <w:color w:val="000000"/>
                <w:sz w:val="24"/>
                <w:szCs w:val="24"/>
              </w:rPr>
              <w:t>《大气污染物综合排放标准》（DB50/418-2016）</w:t>
            </w:r>
          </w:p>
          <w:tbl>
            <w:tblPr>
              <w:tblStyle w:val="16"/>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315"/>
              <w:gridCol w:w="808"/>
              <w:gridCol w:w="972"/>
              <w:gridCol w:w="1057"/>
              <w:gridCol w:w="1283"/>
              <w:gridCol w:w="1316"/>
            </w:tblGrid>
            <w:tr w14:paraId="5D550F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8" w:type="dxa"/>
                  <w:vMerge w:val="restart"/>
                  <w:noWrap w:val="0"/>
                  <w:vAlign w:val="center"/>
                </w:tcPr>
                <w:p w14:paraId="624014B9">
                  <w:pPr>
                    <w:jc w:val="center"/>
                    <w:rPr>
                      <w:color w:val="000000"/>
                      <w:sz w:val="21"/>
                      <w:szCs w:val="21"/>
                    </w:rPr>
                  </w:pPr>
                  <w:bookmarkStart w:id="15" w:name="_Toc99551050"/>
                  <w:bookmarkStart w:id="16" w:name="_Toc95902503"/>
                  <w:r>
                    <w:rPr>
                      <w:rFonts w:hint="eastAsia"/>
                      <w:color w:val="000000"/>
                      <w:sz w:val="21"/>
                      <w:szCs w:val="21"/>
                    </w:rPr>
                    <w:t>污染物</w:t>
                  </w:r>
                </w:p>
              </w:tc>
              <w:tc>
                <w:tcPr>
                  <w:tcW w:w="1338" w:type="dxa"/>
                  <w:vMerge w:val="restart"/>
                  <w:noWrap w:val="0"/>
                  <w:vAlign w:val="center"/>
                </w:tcPr>
                <w:p w14:paraId="03E8C445">
                  <w:pPr>
                    <w:jc w:val="center"/>
                    <w:rPr>
                      <w:rFonts w:hint="eastAsia"/>
                      <w:color w:val="000000"/>
                      <w:sz w:val="21"/>
                      <w:szCs w:val="21"/>
                    </w:rPr>
                  </w:pPr>
                  <w:r>
                    <w:rPr>
                      <w:rFonts w:hint="eastAsia"/>
                      <w:color w:val="000000"/>
                      <w:sz w:val="21"/>
                      <w:szCs w:val="21"/>
                    </w:rPr>
                    <w:t>最高允许排放浓度(mg/m</w:t>
                  </w:r>
                  <w:r>
                    <w:rPr>
                      <w:rFonts w:hint="eastAsia"/>
                      <w:color w:val="000000"/>
                      <w:sz w:val="21"/>
                      <w:szCs w:val="21"/>
                      <w:vertAlign w:val="superscript"/>
                    </w:rPr>
                    <w:t>3</w:t>
                  </w:r>
                  <w:r>
                    <w:rPr>
                      <w:rFonts w:hint="eastAsia"/>
                      <w:color w:val="000000"/>
                      <w:sz w:val="21"/>
                      <w:szCs w:val="21"/>
                    </w:rPr>
                    <w:t>)</w:t>
                  </w:r>
                </w:p>
              </w:tc>
              <w:tc>
                <w:tcPr>
                  <w:tcW w:w="2676" w:type="dxa"/>
                  <w:gridSpan w:val="3"/>
                  <w:noWrap w:val="0"/>
                  <w:vAlign w:val="center"/>
                </w:tcPr>
                <w:p w14:paraId="08119ADA">
                  <w:pPr>
                    <w:jc w:val="center"/>
                    <w:rPr>
                      <w:rFonts w:hint="eastAsia"/>
                      <w:color w:val="000000"/>
                      <w:sz w:val="21"/>
                      <w:szCs w:val="21"/>
                    </w:rPr>
                  </w:pPr>
                  <w:r>
                    <w:rPr>
                      <w:rFonts w:hint="eastAsia"/>
                      <w:color w:val="000000"/>
                      <w:sz w:val="21"/>
                      <w:szCs w:val="21"/>
                    </w:rPr>
                    <w:t>最高允许排放速率(kg/h)</w:t>
                  </w:r>
                </w:p>
              </w:tc>
              <w:tc>
                <w:tcPr>
                  <w:tcW w:w="2677" w:type="dxa"/>
                  <w:gridSpan w:val="2"/>
                  <w:noWrap w:val="0"/>
                  <w:vAlign w:val="center"/>
                </w:tcPr>
                <w:p w14:paraId="0E61BB81">
                  <w:pPr>
                    <w:jc w:val="center"/>
                    <w:rPr>
                      <w:rFonts w:hint="eastAsia"/>
                      <w:color w:val="000000"/>
                      <w:sz w:val="21"/>
                      <w:szCs w:val="21"/>
                    </w:rPr>
                  </w:pPr>
                  <w:r>
                    <w:rPr>
                      <w:rFonts w:hint="eastAsia"/>
                      <w:color w:val="000000"/>
                      <w:sz w:val="21"/>
                      <w:szCs w:val="21"/>
                    </w:rPr>
                    <w:t>无组织排放监控浓度限值</w:t>
                  </w:r>
                </w:p>
              </w:tc>
            </w:tr>
            <w:tr w14:paraId="73DEE2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8" w:type="dxa"/>
                  <w:vMerge w:val="continue"/>
                  <w:noWrap w:val="0"/>
                  <w:vAlign w:val="center"/>
                </w:tcPr>
                <w:p w14:paraId="501CAE7B">
                  <w:pPr>
                    <w:jc w:val="center"/>
                    <w:rPr>
                      <w:rFonts w:hint="eastAsia"/>
                      <w:color w:val="000000"/>
                      <w:sz w:val="21"/>
                      <w:szCs w:val="21"/>
                    </w:rPr>
                  </w:pPr>
                </w:p>
              </w:tc>
              <w:tc>
                <w:tcPr>
                  <w:tcW w:w="1338" w:type="dxa"/>
                  <w:vMerge w:val="continue"/>
                  <w:noWrap w:val="0"/>
                  <w:vAlign w:val="center"/>
                </w:tcPr>
                <w:p w14:paraId="2A5A3D9D">
                  <w:pPr>
                    <w:jc w:val="center"/>
                    <w:rPr>
                      <w:rFonts w:hint="eastAsia"/>
                      <w:color w:val="000000"/>
                      <w:sz w:val="21"/>
                      <w:szCs w:val="21"/>
                    </w:rPr>
                  </w:pPr>
                </w:p>
              </w:tc>
              <w:tc>
                <w:tcPr>
                  <w:tcW w:w="826" w:type="dxa"/>
                  <w:noWrap w:val="0"/>
                  <w:vAlign w:val="center"/>
                </w:tcPr>
                <w:p w14:paraId="295D72FB">
                  <w:pPr>
                    <w:jc w:val="center"/>
                    <w:rPr>
                      <w:rFonts w:hint="eastAsia"/>
                      <w:color w:val="000000"/>
                      <w:sz w:val="21"/>
                      <w:szCs w:val="21"/>
                    </w:rPr>
                  </w:pPr>
                  <w:r>
                    <w:rPr>
                      <w:rFonts w:hint="eastAsia"/>
                      <w:color w:val="000000"/>
                      <w:sz w:val="21"/>
                      <w:szCs w:val="21"/>
                    </w:rPr>
                    <w:t>排气筒高度(m)</w:t>
                  </w:r>
                </w:p>
              </w:tc>
              <w:tc>
                <w:tcPr>
                  <w:tcW w:w="994" w:type="dxa"/>
                  <w:noWrap w:val="0"/>
                  <w:vAlign w:val="center"/>
                </w:tcPr>
                <w:p w14:paraId="18078B7A">
                  <w:pPr>
                    <w:jc w:val="center"/>
                    <w:rPr>
                      <w:color w:val="000000"/>
                      <w:sz w:val="21"/>
                      <w:szCs w:val="21"/>
                    </w:rPr>
                  </w:pPr>
                  <w:r>
                    <w:rPr>
                      <w:rFonts w:hint="eastAsia"/>
                      <w:color w:val="000000"/>
                      <w:sz w:val="21"/>
                      <w:szCs w:val="21"/>
                    </w:rPr>
                    <w:t>二级</w:t>
                  </w:r>
                </w:p>
              </w:tc>
              <w:tc>
                <w:tcPr>
                  <w:tcW w:w="856" w:type="dxa"/>
                  <w:noWrap w:val="0"/>
                  <w:vAlign w:val="center"/>
                </w:tcPr>
                <w:p w14:paraId="444C2D24">
                  <w:pPr>
                    <w:jc w:val="center"/>
                    <w:rPr>
                      <w:rFonts w:hint="eastAsia"/>
                      <w:color w:val="000000"/>
                      <w:sz w:val="21"/>
                      <w:szCs w:val="21"/>
                    </w:rPr>
                  </w:pPr>
                  <w:r>
                    <w:rPr>
                      <w:rFonts w:hint="eastAsia"/>
                      <w:color w:val="000000"/>
                      <w:sz w:val="21"/>
                      <w:szCs w:val="21"/>
                    </w:rPr>
                    <w:t>二级（50%）</w:t>
                  </w:r>
                </w:p>
              </w:tc>
              <w:tc>
                <w:tcPr>
                  <w:tcW w:w="1338" w:type="dxa"/>
                  <w:noWrap w:val="0"/>
                  <w:vAlign w:val="center"/>
                </w:tcPr>
                <w:p w14:paraId="17C157E8">
                  <w:pPr>
                    <w:jc w:val="center"/>
                    <w:rPr>
                      <w:rFonts w:hint="eastAsia"/>
                      <w:color w:val="000000"/>
                      <w:sz w:val="21"/>
                      <w:szCs w:val="21"/>
                    </w:rPr>
                  </w:pPr>
                  <w:r>
                    <w:rPr>
                      <w:rFonts w:hint="eastAsia"/>
                      <w:color w:val="000000"/>
                      <w:sz w:val="21"/>
                      <w:szCs w:val="21"/>
                    </w:rPr>
                    <w:t>监控点</w:t>
                  </w:r>
                </w:p>
              </w:tc>
              <w:tc>
                <w:tcPr>
                  <w:tcW w:w="1339" w:type="dxa"/>
                  <w:noWrap w:val="0"/>
                  <w:vAlign w:val="center"/>
                </w:tcPr>
                <w:p w14:paraId="0A6C64C4">
                  <w:pPr>
                    <w:jc w:val="center"/>
                    <w:rPr>
                      <w:rFonts w:hint="eastAsia"/>
                      <w:color w:val="000000"/>
                      <w:sz w:val="21"/>
                      <w:szCs w:val="21"/>
                    </w:rPr>
                  </w:pPr>
                  <w:r>
                    <w:rPr>
                      <w:rFonts w:hint="eastAsia"/>
                      <w:color w:val="000000"/>
                      <w:sz w:val="21"/>
                      <w:szCs w:val="21"/>
                    </w:rPr>
                    <w:t>浓度(mg/m</w:t>
                  </w:r>
                  <w:r>
                    <w:rPr>
                      <w:rFonts w:hint="eastAsia"/>
                      <w:color w:val="000000"/>
                      <w:sz w:val="21"/>
                      <w:szCs w:val="21"/>
                      <w:vertAlign w:val="superscript"/>
                    </w:rPr>
                    <w:t>3</w:t>
                  </w:r>
                  <w:r>
                    <w:rPr>
                      <w:rFonts w:hint="eastAsia"/>
                      <w:color w:val="000000"/>
                      <w:sz w:val="21"/>
                      <w:szCs w:val="21"/>
                    </w:rPr>
                    <w:t>)</w:t>
                  </w:r>
                </w:p>
              </w:tc>
            </w:tr>
            <w:tr w14:paraId="087555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8" w:type="dxa"/>
                  <w:noWrap w:val="0"/>
                  <w:vAlign w:val="center"/>
                </w:tcPr>
                <w:p w14:paraId="15D23F0F">
                  <w:pPr>
                    <w:jc w:val="center"/>
                    <w:rPr>
                      <w:color w:val="000000"/>
                      <w:sz w:val="21"/>
                      <w:szCs w:val="21"/>
                    </w:rPr>
                  </w:pPr>
                  <w:r>
                    <w:rPr>
                      <w:rFonts w:hint="eastAsia"/>
                      <w:color w:val="000000"/>
                      <w:sz w:val="21"/>
                      <w:szCs w:val="21"/>
                    </w:rPr>
                    <w:t>非甲烷总烃</w:t>
                  </w:r>
                </w:p>
              </w:tc>
              <w:tc>
                <w:tcPr>
                  <w:tcW w:w="1338" w:type="dxa"/>
                  <w:noWrap w:val="0"/>
                  <w:vAlign w:val="center"/>
                </w:tcPr>
                <w:p w14:paraId="00C24907">
                  <w:pPr>
                    <w:jc w:val="center"/>
                    <w:rPr>
                      <w:color w:val="000000"/>
                      <w:sz w:val="21"/>
                      <w:szCs w:val="21"/>
                    </w:rPr>
                  </w:pPr>
                  <w:r>
                    <w:rPr>
                      <w:rFonts w:hint="eastAsia"/>
                      <w:color w:val="000000"/>
                      <w:sz w:val="21"/>
                      <w:szCs w:val="21"/>
                    </w:rPr>
                    <w:t>120</w:t>
                  </w:r>
                </w:p>
              </w:tc>
              <w:tc>
                <w:tcPr>
                  <w:tcW w:w="826" w:type="dxa"/>
                  <w:vMerge w:val="restart"/>
                  <w:noWrap w:val="0"/>
                  <w:vAlign w:val="center"/>
                </w:tcPr>
                <w:p w14:paraId="45E64731">
                  <w:pPr>
                    <w:jc w:val="center"/>
                    <w:rPr>
                      <w:color w:val="000000"/>
                      <w:sz w:val="21"/>
                      <w:szCs w:val="21"/>
                    </w:rPr>
                  </w:pPr>
                  <w:r>
                    <w:rPr>
                      <w:rFonts w:hint="eastAsia"/>
                      <w:color w:val="000000"/>
                      <w:sz w:val="21"/>
                      <w:szCs w:val="21"/>
                    </w:rPr>
                    <w:t>15</w:t>
                  </w:r>
                </w:p>
              </w:tc>
              <w:tc>
                <w:tcPr>
                  <w:tcW w:w="994" w:type="dxa"/>
                  <w:noWrap w:val="0"/>
                  <w:vAlign w:val="center"/>
                </w:tcPr>
                <w:p w14:paraId="6995678B">
                  <w:pPr>
                    <w:jc w:val="center"/>
                    <w:rPr>
                      <w:color w:val="000000"/>
                      <w:sz w:val="21"/>
                      <w:szCs w:val="21"/>
                    </w:rPr>
                  </w:pPr>
                  <w:r>
                    <w:rPr>
                      <w:rFonts w:hint="eastAsia"/>
                      <w:color w:val="000000"/>
                      <w:sz w:val="21"/>
                      <w:szCs w:val="21"/>
                    </w:rPr>
                    <w:t>10</w:t>
                  </w:r>
                </w:p>
              </w:tc>
              <w:tc>
                <w:tcPr>
                  <w:tcW w:w="856" w:type="dxa"/>
                  <w:noWrap w:val="0"/>
                  <w:vAlign w:val="center"/>
                </w:tcPr>
                <w:p w14:paraId="3AF8E138">
                  <w:pPr>
                    <w:jc w:val="center"/>
                    <w:rPr>
                      <w:color w:val="000000"/>
                      <w:sz w:val="21"/>
                      <w:szCs w:val="21"/>
                    </w:rPr>
                  </w:pPr>
                  <w:r>
                    <w:rPr>
                      <w:rFonts w:hint="eastAsia"/>
                      <w:color w:val="000000"/>
                      <w:sz w:val="21"/>
                      <w:szCs w:val="21"/>
                    </w:rPr>
                    <w:t>5</w:t>
                  </w:r>
                </w:p>
              </w:tc>
              <w:tc>
                <w:tcPr>
                  <w:tcW w:w="1338" w:type="dxa"/>
                  <w:vMerge w:val="restart"/>
                  <w:noWrap w:val="0"/>
                  <w:vAlign w:val="center"/>
                </w:tcPr>
                <w:p w14:paraId="76A76219">
                  <w:pPr>
                    <w:jc w:val="center"/>
                    <w:rPr>
                      <w:rFonts w:hint="eastAsia"/>
                      <w:color w:val="000000"/>
                      <w:sz w:val="21"/>
                      <w:szCs w:val="21"/>
                    </w:rPr>
                  </w:pPr>
                  <w:r>
                    <w:rPr>
                      <w:rFonts w:hint="eastAsia"/>
                      <w:color w:val="000000"/>
                      <w:sz w:val="21"/>
                      <w:szCs w:val="21"/>
                    </w:rPr>
                    <w:t>周界外浓度最高点</w:t>
                  </w:r>
                </w:p>
              </w:tc>
              <w:tc>
                <w:tcPr>
                  <w:tcW w:w="1339" w:type="dxa"/>
                  <w:noWrap w:val="0"/>
                  <w:vAlign w:val="center"/>
                </w:tcPr>
                <w:p w14:paraId="4A804A71">
                  <w:pPr>
                    <w:jc w:val="center"/>
                    <w:rPr>
                      <w:color w:val="000000"/>
                      <w:sz w:val="21"/>
                      <w:szCs w:val="21"/>
                    </w:rPr>
                  </w:pPr>
                  <w:r>
                    <w:rPr>
                      <w:rFonts w:hint="eastAsia"/>
                      <w:color w:val="000000"/>
                      <w:sz w:val="21"/>
                      <w:szCs w:val="21"/>
                    </w:rPr>
                    <w:t>4</w:t>
                  </w:r>
                </w:p>
              </w:tc>
            </w:tr>
            <w:tr w14:paraId="4DC796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38" w:type="dxa"/>
                  <w:noWrap w:val="0"/>
                  <w:vAlign w:val="center"/>
                </w:tcPr>
                <w:p w14:paraId="7DC1C123">
                  <w:pPr>
                    <w:jc w:val="center"/>
                    <w:rPr>
                      <w:rFonts w:hint="eastAsia"/>
                      <w:color w:val="000000"/>
                      <w:sz w:val="21"/>
                      <w:szCs w:val="21"/>
                    </w:rPr>
                  </w:pPr>
                  <w:r>
                    <w:rPr>
                      <w:rFonts w:hint="eastAsia"/>
                      <w:color w:val="000000"/>
                      <w:sz w:val="21"/>
                      <w:szCs w:val="21"/>
                    </w:rPr>
                    <w:t>颗粒物</w:t>
                  </w:r>
                </w:p>
              </w:tc>
              <w:tc>
                <w:tcPr>
                  <w:tcW w:w="1338" w:type="dxa"/>
                  <w:noWrap w:val="0"/>
                  <w:vAlign w:val="center"/>
                </w:tcPr>
                <w:p w14:paraId="59C2E753">
                  <w:pPr>
                    <w:jc w:val="center"/>
                    <w:rPr>
                      <w:color w:val="000000"/>
                      <w:sz w:val="21"/>
                      <w:szCs w:val="21"/>
                    </w:rPr>
                  </w:pPr>
                  <w:r>
                    <w:rPr>
                      <w:rFonts w:hint="eastAsia"/>
                      <w:color w:val="000000"/>
                      <w:sz w:val="21"/>
                      <w:szCs w:val="21"/>
                    </w:rPr>
                    <w:t>50</w:t>
                  </w:r>
                </w:p>
              </w:tc>
              <w:tc>
                <w:tcPr>
                  <w:tcW w:w="826" w:type="dxa"/>
                  <w:vMerge w:val="continue"/>
                  <w:noWrap w:val="0"/>
                  <w:vAlign w:val="center"/>
                </w:tcPr>
                <w:p w14:paraId="769184C5">
                  <w:pPr>
                    <w:jc w:val="center"/>
                    <w:rPr>
                      <w:rFonts w:hint="eastAsia"/>
                      <w:color w:val="000000"/>
                      <w:sz w:val="21"/>
                      <w:szCs w:val="21"/>
                    </w:rPr>
                  </w:pPr>
                </w:p>
              </w:tc>
              <w:tc>
                <w:tcPr>
                  <w:tcW w:w="994" w:type="dxa"/>
                  <w:noWrap w:val="0"/>
                  <w:vAlign w:val="center"/>
                </w:tcPr>
                <w:p w14:paraId="1828EB17">
                  <w:pPr>
                    <w:jc w:val="center"/>
                    <w:rPr>
                      <w:color w:val="000000"/>
                      <w:sz w:val="21"/>
                      <w:szCs w:val="21"/>
                    </w:rPr>
                  </w:pPr>
                  <w:r>
                    <w:rPr>
                      <w:rFonts w:hint="eastAsia"/>
                      <w:color w:val="000000"/>
                      <w:sz w:val="21"/>
                      <w:szCs w:val="21"/>
                    </w:rPr>
                    <w:t>0.8</w:t>
                  </w:r>
                </w:p>
              </w:tc>
              <w:tc>
                <w:tcPr>
                  <w:tcW w:w="856" w:type="dxa"/>
                  <w:noWrap w:val="0"/>
                  <w:vAlign w:val="center"/>
                </w:tcPr>
                <w:p w14:paraId="664C4C3D">
                  <w:pPr>
                    <w:jc w:val="center"/>
                    <w:rPr>
                      <w:color w:val="000000"/>
                      <w:sz w:val="21"/>
                      <w:szCs w:val="21"/>
                    </w:rPr>
                  </w:pPr>
                  <w:r>
                    <w:rPr>
                      <w:rFonts w:hint="eastAsia"/>
                      <w:color w:val="000000"/>
                      <w:sz w:val="21"/>
                      <w:szCs w:val="21"/>
                    </w:rPr>
                    <w:t>0.4</w:t>
                  </w:r>
                </w:p>
              </w:tc>
              <w:tc>
                <w:tcPr>
                  <w:tcW w:w="1338" w:type="dxa"/>
                  <w:vMerge w:val="continue"/>
                  <w:noWrap w:val="0"/>
                  <w:vAlign w:val="center"/>
                </w:tcPr>
                <w:p w14:paraId="66172FBF">
                  <w:pPr>
                    <w:jc w:val="center"/>
                    <w:rPr>
                      <w:rFonts w:hint="eastAsia"/>
                      <w:color w:val="000000"/>
                      <w:sz w:val="21"/>
                      <w:szCs w:val="21"/>
                    </w:rPr>
                  </w:pPr>
                </w:p>
              </w:tc>
              <w:tc>
                <w:tcPr>
                  <w:tcW w:w="1339" w:type="dxa"/>
                  <w:noWrap w:val="0"/>
                  <w:vAlign w:val="center"/>
                </w:tcPr>
                <w:p w14:paraId="17D8C6E3">
                  <w:pPr>
                    <w:jc w:val="center"/>
                    <w:rPr>
                      <w:color w:val="000000"/>
                      <w:sz w:val="21"/>
                      <w:szCs w:val="21"/>
                    </w:rPr>
                  </w:pPr>
                  <w:r>
                    <w:rPr>
                      <w:rFonts w:hint="eastAsia"/>
                      <w:color w:val="000000"/>
                      <w:sz w:val="21"/>
                      <w:szCs w:val="21"/>
                    </w:rPr>
                    <w:t>1</w:t>
                  </w:r>
                </w:p>
              </w:tc>
            </w:tr>
            <w:tr w14:paraId="6914E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8" w:type="dxa"/>
                  <w:noWrap w:val="0"/>
                  <w:vAlign w:val="center"/>
                </w:tcPr>
                <w:p w14:paraId="55B30F6C">
                  <w:pPr>
                    <w:jc w:val="center"/>
                    <w:rPr>
                      <w:rFonts w:hint="eastAsia"/>
                      <w:color w:val="000000"/>
                      <w:sz w:val="21"/>
                      <w:szCs w:val="21"/>
                    </w:rPr>
                  </w:pPr>
                  <w:r>
                    <w:rPr>
                      <w:rFonts w:hint="eastAsia"/>
                      <w:color w:val="000000"/>
                      <w:sz w:val="21"/>
                      <w:szCs w:val="21"/>
                    </w:rPr>
                    <w:t>氯化氢</w:t>
                  </w:r>
                </w:p>
              </w:tc>
              <w:tc>
                <w:tcPr>
                  <w:tcW w:w="1338" w:type="dxa"/>
                  <w:noWrap w:val="0"/>
                  <w:vAlign w:val="center"/>
                </w:tcPr>
                <w:p w14:paraId="4961BC1B">
                  <w:pPr>
                    <w:jc w:val="center"/>
                    <w:rPr>
                      <w:rFonts w:hint="eastAsia"/>
                      <w:color w:val="000000"/>
                      <w:sz w:val="21"/>
                      <w:szCs w:val="21"/>
                    </w:rPr>
                  </w:pPr>
                  <w:r>
                    <w:rPr>
                      <w:rFonts w:hint="eastAsia"/>
                      <w:color w:val="000000"/>
                      <w:sz w:val="21"/>
                      <w:szCs w:val="21"/>
                    </w:rPr>
                    <w:t>100</w:t>
                  </w:r>
                </w:p>
              </w:tc>
              <w:tc>
                <w:tcPr>
                  <w:tcW w:w="826" w:type="dxa"/>
                  <w:vMerge w:val="continue"/>
                  <w:noWrap w:val="0"/>
                  <w:vAlign w:val="center"/>
                </w:tcPr>
                <w:p w14:paraId="60DA7CA1">
                  <w:pPr>
                    <w:jc w:val="center"/>
                    <w:rPr>
                      <w:rFonts w:hint="eastAsia"/>
                      <w:color w:val="000000"/>
                      <w:sz w:val="21"/>
                      <w:szCs w:val="21"/>
                    </w:rPr>
                  </w:pPr>
                </w:p>
              </w:tc>
              <w:tc>
                <w:tcPr>
                  <w:tcW w:w="994" w:type="dxa"/>
                  <w:noWrap w:val="0"/>
                  <w:vAlign w:val="center"/>
                </w:tcPr>
                <w:p w14:paraId="4D3D461C">
                  <w:pPr>
                    <w:jc w:val="center"/>
                    <w:rPr>
                      <w:rFonts w:hint="eastAsia"/>
                      <w:color w:val="000000"/>
                      <w:sz w:val="21"/>
                      <w:szCs w:val="21"/>
                    </w:rPr>
                  </w:pPr>
                  <w:r>
                    <w:rPr>
                      <w:rFonts w:hint="eastAsia"/>
                      <w:color w:val="000000"/>
                      <w:sz w:val="21"/>
                      <w:szCs w:val="21"/>
                    </w:rPr>
                    <w:t>0.26</w:t>
                  </w:r>
                </w:p>
              </w:tc>
              <w:tc>
                <w:tcPr>
                  <w:tcW w:w="856" w:type="dxa"/>
                  <w:noWrap w:val="0"/>
                  <w:vAlign w:val="center"/>
                </w:tcPr>
                <w:p w14:paraId="4A76CB1B">
                  <w:pPr>
                    <w:jc w:val="center"/>
                    <w:rPr>
                      <w:color w:val="000000"/>
                      <w:sz w:val="21"/>
                      <w:szCs w:val="21"/>
                    </w:rPr>
                  </w:pPr>
                  <w:r>
                    <w:rPr>
                      <w:rFonts w:hint="eastAsia"/>
                      <w:color w:val="000000"/>
                      <w:sz w:val="21"/>
                      <w:szCs w:val="21"/>
                    </w:rPr>
                    <w:t>0.13</w:t>
                  </w:r>
                </w:p>
              </w:tc>
              <w:tc>
                <w:tcPr>
                  <w:tcW w:w="1338" w:type="dxa"/>
                  <w:vMerge w:val="continue"/>
                  <w:noWrap w:val="0"/>
                  <w:vAlign w:val="center"/>
                </w:tcPr>
                <w:p w14:paraId="24F95786">
                  <w:pPr>
                    <w:jc w:val="center"/>
                    <w:rPr>
                      <w:rFonts w:hint="eastAsia"/>
                      <w:color w:val="000000"/>
                      <w:sz w:val="21"/>
                      <w:szCs w:val="21"/>
                    </w:rPr>
                  </w:pPr>
                </w:p>
              </w:tc>
              <w:tc>
                <w:tcPr>
                  <w:tcW w:w="1339" w:type="dxa"/>
                  <w:noWrap w:val="0"/>
                  <w:vAlign w:val="center"/>
                </w:tcPr>
                <w:p w14:paraId="71DB9A3C">
                  <w:pPr>
                    <w:jc w:val="center"/>
                    <w:rPr>
                      <w:rFonts w:hint="eastAsia"/>
                      <w:color w:val="000000"/>
                      <w:sz w:val="21"/>
                      <w:szCs w:val="21"/>
                    </w:rPr>
                  </w:pPr>
                  <w:r>
                    <w:rPr>
                      <w:rFonts w:hint="eastAsia"/>
                      <w:color w:val="000000"/>
                      <w:sz w:val="21"/>
                      <w:szCs w:val="21"/>
                    </w:rPr>
                    <w:t>0.20</w:t>
                  </w:r>
                </w:p>
              </w:tc>
            </w:tr>
            <w:tr w14:paraId="272CA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8" w:type="dxa"/>
                  <w:noWrap w:val="0"/>
                  <w:vAlign w:val="center"/>
                </w:tcPr>
                <w:p w14:paraId="193D1CB5">
                  <w:pPr>
                    <w:jc w:val="center"/>
                    <w:rPr>
                      <w:color w:val="000000"/>
                      <w:sz w:val="21"/>
                      <w:szCs w:val="21"/>
                    </w:rPr>
                  </w:pPr>
                  <w:r>
                    <w:rPr>
                      <w:rFonts w:hint="eastAsia"/>
                      <w:color w:val="000000"/>
                      <w:sz w:val="21"/>
                      <w:szCs w:val="21"/>
                    </w:rPr>
                    <w:t>氯乙烯</w:t>
                  </w:r>
                </w:p>
              </w:tc>
              <w:tc>
                <w:tcPr>
                  <w:tcW w:w="1338" w:type="dxa"/>
                  <w:noWrap w:val="0"/>
                  <w:vAlign w:val="center"/>
                </w:tcPr>
                <w:p w14:paraId="0DFA2C0A">
                  <w:pPr>
                    <w:jc w:val="center"/>
                    <w:rPr>
                      <w:color w:val="000000"/>
                      <w:sz w:val="21"/>
                      <w:szCs w:val="21"/>
                    </w:rPr>
                  </w:pPr>
                  <w:r>
                    <w:rPr>
                      <w:rFonts w:hint="eastAsia"/>
                      <w:color w:val="000000"/>
                      <w:sz w:val="21"/>
                      <w:szCs w:val="21"/>
                    </w:rPr>
                    <w:t>36</w:t>
                  </w:r>
                </w:p>
              </w:tc>
              <w:tc>
                <w:tcPr>
                  <w:tcW w:w="826" w:type="dxa"/>
                  <w:vMerge w:val="continue"/>
                  <w:noWrap w:val="0"/>
                  <w:vAlign w:val="center"/>
                </w:tcPr>
                <w:p w14:paraId="027DDF39">
                  <w:pPr>
                    <w:jc w:val="center"/>
                    <w:rPr>
                      <w:rFonts w:hint="eastAsia"/>
                      <w:color w:val="000000"/>
                      <w:sz w:val="21"/>
                      <w:szCs w:val="21"/>
                    </w:rPr>
                  </w:pPr>
                </w:p>
              </w:tc>
              <w:tc>
                <w:tcPr>
                  <w:tcW w:w="994" w:type="dxa"/>
                  <w:noWrap w:val="0"/>
                  <w:vAlign w:val="center"/>
                </w:tcPr>
                <w:p w14:paraId="232130D0">
                  <w:pPr>
                    <w:jc w:val="center"/>
                    <w:rPr>
                      <w:color w:val="000000"/>
                      <w:sz w:val="21"/>
                      <w:szCs w:val="21"/>
                    </w:rPr>
                  </w:pPr>
                  <w:r>
                    <w:rPr>
                      <w:rFonts w:hint="eastAsia"/>
                      <w:color w:val="000000"/>
                      <w:sz w:val="21"/>
                      <w:szCs w:val="21"/>
                    </w:rPr>
                    <w:t>0.77</w:t>
                  </w:r>
                </w:p>
              </w:tc>
              <w:tc>
                <w:tcPr>
                  <w:tcW w:w="856" w:type="dxa"/>
                  <w:noWrap w:val="0"/>
                  <w:vAlign w:val="center"/>
                </w:tcPr>
                <w:p w14:paraId="30C74144">
                  <w:pPr>
                    <w:jc w:val="center"/>
                    <w:rPr>
                      <w:color w:val="000000"/>
                      <w:sz w:val="21"/>
                      <w:szCs w:val="21"/>
                    </w:rPr>
                  </w:pPr>
                  <w:r>
                    <w:rPr>
                      <w:rFonts w:hint="eastAsia"/>
                      <w:color w:val="000000"/>
                      <w:sz w:val="21"/>
                      <w:szCs w:val="21"/>
                    </w:rPr>
                    <w:t>0.38</w:t>
                  </w:r>
                </w:p>
              </w:tc>
              <w:tc>
                <w:tcPr>
                  <w:tcW w:w="1338" w:type="dxa"/>
                  <w:vMerge w:val="continue"/>
                  <w:noWrap w:val="0"/>
                  <w:vAlign w:val="center"/>
                </w:tcPr>
                <w:p w14:paraId="33F37422">
                  <w:pPr>
                    <w:jc w:val="center"/>
                    <w:rPr>
                      <w:rFonts w:hint="eastAsia"/>
                      <w:color w:val="000000"/>
                      <w:sz w:val="21"/>
                      <w:szCs w:val="21"/>
                    </w:rPr>
                  </w:pPr>
                </w:p>
              </w:tc>
              <w:tc>
                <w:tcPr>
                  <w:tcW w:w="1339" w:type="dxa"/>
                  <w:noWrap w:val="0"/>
                  <w:vAlign w:val="center"/>
                </w:tcPr>
                <w:p w14:paraId="763D586A">
                  <w:pPr>
                    <w:jc w:val="center"/>
                    <w:rPr>
                      <w:color w:val="000000"/>
                      <w:sz w:val="21"/>
                      <w:szCs w:val="21"/>
                    </w:rPr>
                  </w:pPr>
                  <w:r>
                    <w:rPr>
                      <w:rFonts w:hint="eastAsia"/>
                      <w:color w:val="000000"/>
                      <w:sz w:val="21"/>
                      <w:szCs w:val="21"/>
                    </w:rPr>
                    <w:t>0.60</w:t>
                  </w:r>
                </w:p>
              </w:tc>
            </w:tr>
          </w:tbl>
          <w:p w14:paraId="3A3D8099">
            <w:pPr>
              <w:keepNext/>
              <w:keepLines/>
              <w:spacing w:line="360" w:lineRule="auto"/>
              <w:ind w:firstLine="420" w:firstLineChars="200"/>
              <w:outlineLvl w:val="1"/>
              <w:rPr>
                <w:b/>
                <w:bCs/>
                <w:color w:val="000000"/>
              </w:rPr>
            </w:pPr>
            <w:r>
              <w:rPr>
                <w:rFonts w:hint="eastAsia"/>
                <w:color w:val="000000"/>
              </w:rPr>
              <w:t>恶臭污染物排气筒（DA001、</w:t>
            </w:r>
            <w:r>
              <w:rPr>
                <w:rFonts w:hint="eastAsia"/>
                <w:color w:val="000000"/>
                <w:kern w:val="0"/>
                <w:szCs w:val="21"/>
              </w:rPr>
              <w:t>DA003</w:t>
            </w:r>
            <w:r>
              <w:rPr>
                <w:rFonts w:hint="eastAsia"/>
                <w:color w:val="000000"/>
              </w:rPr>
              <w:t>）及厂界标准值执行</w:t>
            </w:r>
            <w:r>
              <w:rPr>
                <w:color w:val="000000"/>
              </w:rPr>
              <w:t>《恶臭污染物排放标准》（GB14554-93）</w:t>
            </w:r>
            <w:r>
              <w:rPr>
                <w:rFonts w:hint="eastAsia"/>
                <w:color w:val="000000"/>
              </w:rPr>
              <w:t>表3-7中标准值。</w:t>
            </w:r>
          </w:p>
          <w:p w14:paraId="1FBCE2EC">
            <w:pPr>
              <w:pStyle w:val="23"/>
              <w:snapToGrid/>
              <w:spacing w:before="0" w:after="0" w:line="360" w:lineRule="auto"/>
              <w:ind w:right="0"/>
              <w:rPr>
                <w:rFonts w:ascii="Times New Roman"/>
                <w:color w:val="000000"/>
                <w:sz w:val="24"/>
                <w:szCs w:val="24"/>
              </w:rPr>
            </w:pPr>
            <w:r>
              <w:rPr>
                <w:rFonts w:ascii="Times New Roman"/>
                <w:color w:val="000000"/>
                <w:sz w:val="24"/>
                <w:szCs w:val="24"/>
              </w:rPr>
              <w:t>表</w:t>
            </w:r>
            <w:r>
              <w:rPr>
                <w:rFonts w:hint="eastAsia" w:ascii="Times New Roman"/>
                <w:color w:val="000000"/>
                <w:sz w:val="24"/>
                <w:szCs w:val="24"/>
              </w:rPr>
              <w:t>3</w:t>
            </w:r>
            <w:r>
              <w:rPr>
                <w:rFonts w:ascii="Times New Roman"/>
                <w:color w:val="000000"/>
                <w:sz w:val="24"/>
                <w:szCs w:val="24"/>
              </w:rPr>
              <w:t>-</w:t>
            </w:r>
            <w:r>
              <w:rPr>
                <w:rFonts w:hint="eastAsia" w:ascii="Times New Roman"/>
                <w:color w:val="000000"/>
                <w:sz w:val="24"/>
                <w:szCs w:val="24"/>
              </w:rPr>
              <w:t>7</w:t>
            </w:r>
            <w:r>
              <w:rPr>
                <w:rFonts w:ascii="Times New Roman"/>
                <w:color w:val="000000"/>
                <w:sz w:val="24"/>
                <w:szCs w:val="24"/>
              </w:rPr>
              <w:t xml:space="preserve">  </w:t>
            </w:r>
            <w:r>
              <w:rPr>
                <w:rFonts w:hint="eastAsia" w:ascii="Times New Roman"/>
                <w:color w:val="000000"/>
                <w:sz w:val="24"/>
                <w:szCs w:val="24"/>
              </w:rPr>
              <w:t>《</w:t>
            </w:r>
            <w:r>
              <w:rPr>
                <w:rFonts w:ascii="Times New Roman"/>
                <w:color w:val="000000"/>
                <w:sz w:val="24"/>
                <w:szCs w:val="24"/>
              </w:rPr>
              <w:t>恶臭污染物排放标准</w:t>
            </w:r>
            <w:r>
              <w:rPr>
                <w:rFonts w:hint="eastAsia" w:ascii="Times New Roman"/>
                <w:color w:val="000000"/>
                <w:sz w:val="24"/>
                <w:szCs w:val="24"/>
              </w:rPr>
              <w:t>》</w:t>
            </w:r>
            <w:r>
              <w:rPr>
                <w:rFonts w:ascii="Times New Roman"/>
                <w:color w:val="000000"/>
                <w:sz w:val="24"/>
                <w:szCs w:val="24"/>
              </w:rPr>
              <w:t>（GB14554-93）</w:t>
            </w:r>
          </w:p>
          <w:tbl>
            <w:tblPr>
              <w:tblStyle w:val="1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2009"/>
              <w:gridCol w:w="2009"/>
              <w:gridCol w:w="2009"/>
            </w:tblGrid>
            <w:tr w14:paraId="34D25D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50" w:type="pct"/>
                  <w:noWrap w:val="0"/>
                  <w:vAlign w:val="center"/>
                </w:tcPr>
                <w:p w14:paraId="36A42079">
                  <w:pPr>
                    <w:jc w:val="center"/>
                    <w:rPr>
                      <w:color w:val="000000"/>
                      <w:sz w:val="21"/>
                      <w:szCs w:val="21"/>
                    </w:rPr>
                  </w:pPr>
                  <w:r>
                    <w:rPr>
                      <w:rFonts w:hint="eastAsia"/>
                      <w:color w:val="000000"/>
                      <w:sz w:val="21"/>
                      <w:szCs w:val="21"/>
                    </w:rPr>
                    <w:t>污染物</w:t>
                  </w:r>
                </w:p>
              </w:tc>
              <w:tc>
                <w:tcPr>
                  <w:tcW w:w="1250" w:type="pct"/>
                  <w:noWrap w:val="0"/>
                  <w:vAlign w:val="center"/>
                </w:tcPr>
                <w:p w14:paraId="4D43BC5B">
                  <w:pPr>
                    <w:jc w:val="center"/>
                    <w:rPr>
                      <w:color w:val="000000"/>
                      <w:sz w:val="21"/>
                      <w:szCs w:val="21"/>
                    </w:rPr>
                  </w:pPr>
                  <w:r>
                    <w:rPr>
                      <w:rFonts w:hint="eastAsia"/>
                      <w:color w:val="000000"/>
                      <w:sz w:val="21"/>
                      <w:szCs w:val="21"/>
                    </w:rPr>
                    <w:t>控制项目</w:t>
                  </w:r>
                </w:p>
              </w:tc>
              <w:tc>
                <w:tcPr>
                  <w:tcW w:w="1250" w:type="pct"/>
                  <w:noWrap w:val="0"/>
                  <w:vAlign w:val="center"/>
                </w:tcPr>
                <w:p w14:paraId="45DF7091">
                  <w:pPr>
                    <w:jc w:val="center"/>
                    <w:rPr>
                      <w:color w:val="000000"/>
                      <w:sz w:val="21"/>
                      <w:szCs w:val="21"/>
                    </w:rPr>
                  </w:pPr>
                  <w:r>
                    <w:rPr>
                      <w:rFonts w:hint="eastAsia"/>
                      <w:color w:val="000000"/>
                      <w:sz w:val="21"/>
                      <w:szCs w:val="21"/>
                    </w:rPr>
                    <w:t>单位</w:t>
                  </w:r>
                </w:p>
              </w:tc>
              <w:tc>
                <w:tcPr>
                  <w:tcW w:w="1250" w:type="pct"/>
                  <w:noWrap w:val="0"/>
                  <w:vAlign w:val="center"/>
                </w:tcPr>
                <w:p w14:paraId="12BDE4BC">
                  <w:pPr>
                    <w:jc w:val="center"/>
                    <w:rPr>
                      <w:color w:val="000000"/>
                      <w:sz w:val="21"/>
                      <w:szCs w:val="21"/>
                    </w:rPr>
                  </w:pPr>
                  <w:r>
                    <w:rPr>
                      <w:rFonts w:hint="eastAsia"/>
                      <w:color w:val="000000"/>
                      <w:sz w:val="21"/>
                      <w:szCs w:val="21"/>
                    </w:rPr>
                    <w:t>标准值</w:t>
                  </w:r>
                </w:p>
              </w:tc>
            </w:tr>
            <w:tr w14:paraId="1F88A3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restart"/>
                  <w:noWrap w:val="0"/>
                  <w:vAlign w:val="center"/>
                </w:tcPr>
                <w:p w14:paraId="58DB6EF3">
                  <w:pPr>
                    <w:jc w:val="center"/>
                    <w:rPr>
                      <w:rFonts w:hint="eastAsia"/>
                      <w:color w:val="000000"/>
                      <w:sz w:val="21"/>
                      <w:szCs w:val="21"/>
                    </w:rPr>
                  </w:pPr>
                  <w:r>
                    <w:rPr>
                      <w:rFonts w:hint="eastAsia"/>
                      <w:color w:val="000000"/>
                      <w:sz w:val="21"/>
                      <w:szCs w:val="21"/>
                    </w:rPr>
                    <w:t>臭气浓度</w:t>
                  </w:r>
                </w:p>
              </w:tc>
              <w:tc>
                <w:tcPr>
                  <w:tcW w:w="1250" w:type="pct"/>
                  <w:noWrap w:val="0"/>
                  <w:vAlign w:val="center"/>
                </w:tcPr>
                <w:p w14:paraId="340AF23F">
                  <w:pPr>
                    <w:jc w:val="center"/>
                    <w:rPr>
                      <w:rFonts w:hint="eastAsia"/>
                      <w:color w:val="000000"/>
                      <w:sz w:val="21"/>
                      <w:szCs w:val="21"/>
                    </w:rPr>
                  </w:pPr>
                  <w:r>
                    <w:rPr>
                      <w:rFonts w:hint="eastAsia"/>
                      <w:color w:val="000000"/>
                      <w:sz w:val="21"/>
                      <w:szCs w:val="21"/>
                    </w:rPr>
                    <w:t>有组织</w:t>
                  </w:r>
                </w:p>
                <w:p w14:paraId="17FCFC83">
                  <w:pPr>
                    <w:jc w:val="center"/>
                    <w:rPr>
                      <w:color w:val="000000"/>
                      <w:sz w:val="21"/>
                      <w:szCs w:val="21"/>
                    </w:rPr>
                  </w:pPr>
                  <w:r>
                    <w:rPr>
                      <w:rFonts w:hint="eastAsia"/>
                      <w:color w:val="000000"/>
                      <w:sz w:val="21"/>
                      <w:szCs w:val="21"/>
                    </w:rPr>
                    <w:t>（15m排气筒）</w:t>
                  </w:r>
                </w:p>
              </w:tc>
              <w:tc>
                <w:tcPr>
                  <w:tcW w:w="1250" w:type="pct"/>
                  <w:noWrap w:val="0"/>
                  <w:vAlign w:val="center"/>
                </w:tcPr>
                <w:p w14:paraId="3E301E61">
                  <w:pPr>
                    <w:jc w:val="center"/>
                    <w:rPr>
                      <w:color w:val="000000"/>
                      <w:sz w:val="21"/>
                      <w:szCs w:val="21"/>
                    </w:rPr>
                  </w:pPr>
                  <w:r>
                    <w:rPr>
                      <w:rFonts w:hint="eastAsia"/>
                      <w:color w:val="000000"/>
                      <w:sz w:val="21"/>
                      <w:szCs w:val="21"/>
                    </w:rPr>
                    <w:t>无量纲</w:t>
                  </w:r>
                </w:p>
              </w:tc>
              <w:tc>
                <w:tcPr>
                  <w:tcW w:w="1250" w:type="pct"/>
                  <w:noWrap w:val="0"/>
                  <w:vAlign w:val="center"/>
                </w:tcPr>
                <w:p w14:paraId="3FE66958">
                  <w:pPr>
                    <w:jc w:val="center"/>
                    <w:rPr>
                      <w:color w:val="000000"/>
                      <w:sz w:val="21"/>
                      <w:szCs w:val="21"/>
                    </w:rPr>
                  </w:pPr>
                  <w:r>
                    <w:rPr>
                      <w:rFonts w:hint="eastAsia"/>
                      <w:color w:val="000000"/>
                      <w:sz w:val="21"/>
                      <w:szCs w:val="21"/>
                    </w:rPr>
                    <w:t>2000</w:t>
                  </w:r>
                </w:p>
              </w:tc>
            </w:tr>
            <w:tr w14:paraId="038F39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noWrap w:val="0"/>
                  <w:vAlign w:val="center"/>
                </w:tcPr>
                <w:p w14:paraId="1CD8B821">
                  <w:pPr>
                    <w:jc w:val="center"/>
                    <w:rPr>
                      <w:rFonts w:hint="eastAsia"/>
                      <w:color w:val="000000"/>
                      <w:sz w:val="21"/>
                      <w:szCs w:val="21"/>
                    </w:rPr>
                  </w:pPr>
                </w:p>
              </w:tc>
              <w:tc>
                <w:tcPr>
                  <w:tcW w:w="1250" w:type="pct"/>
                  <w:noWrap w:val="0"/>
                  <w:vAlign w:val="center"/>
                </w:tcPr>
                <w:p w14:paraId="0DEDA620">
                  <w:pPr>
                    <w:jc w:val="center"/>
                    <w:rPr>
                      <w:rFonts w:hint="eastAsia"/>
                      <w:color w:val="000000"/>
                      <w:sz w:val="21"/>
                      <w:szCs w:val="21"/>
                    </w:rPr>
                  </w:pPr>
                  <w:r>
                    <w:rPr>
                      <w:rFonts w:hint="eastAsia"/>
                      <w:color w:val="000000"/>
                      <w:sz w:val="21"/>
                      <w:szCs w:val="21"/>
                    </w:rPr>
                    <w:t>无组织</w:t>
                  </w:r>
                </w:p>
                <w:p w14:paraId="35550FF8">
                  <w:pPr>
                    <w:jc w:val="center"/>
                    <w:rPr>
                      <w:color w:val="000000"/>
                      <w:sz w:val="21"/>
                      <w:szCs w:val="21"/>
                    </w:rPr>
                  </w:pPr>
                  <w:r>
                    <w:rPr>
                      <w:rFonts w:hint="eastAsia"/>
                      <w:color w:val="000000"/>
                      <w:sz w:val="21"/>
                      <w:szCs w:val="21"/>
                    </w:rPr>
                    <w:t>（新扩改建厂界）</w:t>
                  </w:r>
                </w:p>
              </w:tc>
              <w:tc>
                <w:tcPr>
                  <w:tcW w:w="1250" w:type="pct"/>
                  <w:noWrap w:val="0"/>
                  <w:vAlign w:val="center"/>
                </w:tcPr>
                <w:p w14:paraId="57196352">
                  <w:pPr>
                    <w:jc w:val="center"/>
                    <w:rPr>
                      <w:rFonts w:hint="eastAsia"/>
                      <w:color w:val="000000"/>
                      <w:sz w:val="21"/>
                      <w:szCs w:val="21"/>
                    </w:rPr>
                  </w:pPr>
                  <w:r>
                    <w:rPr>
                      <w:rFonts w:hint="eastAsia"/>
                      <w:color w:val="000000"/>
                      <w:sz w:val="21"/>
                      <w:szCs w:val="21"/>
                    </w:rPr>
                    <w:t>无量纲</w:t>
                  </w:r>
                </w:p>
              </w:tc>
              <w:tc>
                <w:tcPr>
                  <w:tcW w:w="1250" w:type="pct"/>
                  <w:noWrap w:val="0"/>
                  <w:vAlign w:val="center"/>
                </w:tcPr>
                <w:p w14:paraId="1997A1FF">
                  <w:pPr>
                    <w:jc w:val="center"/>
                    <w:rPr>
                      <w:color w:val="000000"/>
                      <w:sz w:val="21"/>
                      <w:szCs w:val="21"/>
                    </w:rPr>
                  </w:pPr>
                  <w:r>
                    <w:rPr>
                      <w:rFonts w:hint="eastAsia"/>
                      <w:color w:val="000000"/>
                      <w:sz w:val="21"/>
                      <w:szCs w:val="21"/>
                    </w:rPr>
                    <w:t>20</w:t>
                  </w:r>
                </w:p>
              </w:tc>
            </w:tr>
          </w:tbl>
          <w:p w14:paraId="4137FC2E">
            <w:pPr>
              <w:keepNext/>
              <w:keepLines/>
              <w:spacing w:line="360" w:lineRule="auto"/>
              <w:ind w:firstLine="420" w:firstLineChars="200"/>
              <w:outlineLvl w:val="1"/>
              <w:rPr>
                <w:rFonts w:hint="eastAsia" w:eastAsia="宋体"/>
                <w:color w:val="000000"/>
                <w:lang w:eastAsia="zh-CN"/>
              </w:rPr>
            </w:pPr>
            <w:bookmarkStart w:id="17" w:name="_Ref2387"/>
            <w:r>
              <w:rPr>
                <w:rFonts w:hint="eastAsia"/>
                <w:color w:val="000000"/>
              </w:rPr>
              <w:t>厂房外无组织排放非甲烷总烃执行《挥发性有机物无组织排放控制标准》（GB37822-2019）标准特别排放限值。详见表3-8。</w:t>
            </w:r>
          </w:p>
          <w:p w14:paraId="60C35677">
            <w:pPr>
              <w:pStyle w:val="23"/>
              <w:snapToGrid/>
              <w:spacing w:before="0" w:after="0" w:line="360" w:lineRule="auto"/>
              <w:ind w:right="0"/>
              <w:rPr>
                <w:rFonts w:ascii="Times New Roman"/>
                <w:color w:val="000000"/>
                <w:sz w:val="24"/>
                <w:szCs w:val="24"/>
              </w:rPr>
            </w:pPr>
            <w:r>
              <w:rPr>
                <w:rFonts w:ascii="Times New Roman"/>
                <w:color w:val="000000"/>
                <w:sz w:val="24"/>
                <w:szCs w:val="24"/>
              </w:rPr>
              <w:t>表3-</w:t>
            </w:r>
            <w:bookmarkEnd w:id="17"/>
            <w:r>
              <w:rPr>
                <w:rFonts w:hint="eastAsia" w:ascii="Times New Roman"/>
                <w:color w:val="000000"/>
                <w:sz w:val="24"/>
                <w:szCs w:val="24"/>
              </w:rPr>
              <w:t>8  《挥发性有机物无组织排放控制标准》（GB37822-2019）</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2095"/>
              <w:gridCol w:w="2536"/>
              <w:gridCol w:w="2060"/>
            </w:tblGrid>
            <w:tr w14:paraId="7E75E9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pct"/>
                  <w:noWrap w:val="0"/>
                  <w:vAlign w:val="center"/>
                </w:tcPr>
                <w:p w14:paraId="5B46185A">
                  <w:pPr>
                    <w:pStyle w:val="26"/>
                    <w:adjustRightInd w:val="0"/>
                    <w:snapToGrid w:val="0"/>
                    <w:spacing w:before="31"/>
                    <w:rPr>
                      <w:color w:val="000000"/>
                    </w:rPr>
                  </w:pPr>
                  <w:r>
                    <w:rPr>
                      <w:color w:val="000000"/>
                    </w:rPr>
                    <w:t>污染项目</w:t>
                  </w:r>
                </w:p>
              </w:tc>
              <w:tc>
                <w:tcPr>
                  <w:tcW w:w="1303" w:type="pct"/>
                  <w:noWrap w:val="0"/>
                  <w:vAlign w:val="center"/>
                </w:tcPr>
                <w:p w14:paraId="392EB4B0">
                  <w:pPr>
                    <w:pStyle w:val="26"/>
                    <w:adjustRightInd w:val="0"/>
                    <w:snapToGrid w:val="0"/>
                    <w:spacing w:before="31"/>
                    <w:rPr>
                      <w:rFonts w:hint="eastAsia"/>
                      <w:color w:val="000000"/>
                    </w:rPr>
                  </w:pPr>
                  <w:r>
                    <w:rPr>
                      <w:color w:val="000000"/>
                    </w:rPr>
                    <w:t>特别排放限</w:t>
                  </w:r>
                  <w:r>
                    <w:rPr>
                      <w:rFonts w:hint="eastAsia"/>
                      <w:color w:val="000000"/>
                    </w:rPr>
                    <w:t>值</w:t>
                  </w:r>
                </w:p>
                <w:p w14:paraId="40E63F25">
                  <w:pPr>
                    <w:pStyle w:val="26"/>
                    <w:adjustRightInd w:val="0"/>
                    <w:snapToGrid w:val="0"/>
                    <w:spacing w:before="31"/>
                    <w:rPr>
                      <w:color w:val="000000"/>
                    </w:rPr>
                  </w:pPr>
                  <w:r>
                    <w:rPr>
                      <w:color w:val="000000"/>
                    </w:rPr>
                    <w:t>mg/m</w:t>
                  </w:r>
                  <w:r>
                    <w:rPr>
                      <w:color w:val="000000"/>
                      <w:vertAlign w:val="superscript"/>
                    </w:rPr>
                    <w:t>3</w:t>
                  </w:r>
                </w:p>
              </w:tc>
              <w:tc>
                <w:tcPr>
                  <w:tcW w:w="1577" w:type="pct"/>
                  <w:noWrap w:val="0"/>
                  <w:vAlign w:val="center"/>
                </w:tcPr>
                <w:p w14:paraId="29D4D471">
                  <w:pPr>
                    <w:pStyle w:val="26"/>
                    <w:adjustRightInd w:val="0"/>
                    <w:snapToGrid w:val="0"/>
                    <w:spacing w:before="31"/>
                    <w:rPr>
                      <w:color w:val="000000"/>
                    </w:rPr>
                  </w:pPr>
                  <w:r>
                    <w:rPr>
                      <w:color w:val="000000"/>
                    </w:rPr>
                    <w:t>限值含义</w:t>
                  </w:r>
                </w:p>
              </w:tc>
              <w:tc>
                <w:tcPr>
                  <w:tcW w:w="1281" w:type="pct"/>
                  <w:noWrap w:val="0"/>
                  <w:vAlign w:val="center"/>
                </w:tcPr>
                <w:p w14:paraId="4FD629B4">
                  <w:pPr>
                    <w:pStyle w:val="26"/>
                    <w:adjustRightInd w:val="0"/>
                    <w:snapToGrid w:val="0"/>
                    <w:spacing w:before="31"/>
                    <w:rPr>
                      <w:color w:val="000000"/>
                    </w:rPr>
                  </w:pPr>
                  <w:r>
                    <w:rPr>
                      <w:color w:val="000000"/>
                    </w:rPr>
                    <w:t>无组织排放监控位置</w:t>
                  </w:r>
                </w:p>
              </w:tc>
            </w:tr>
            <w:tr w14:paraId="16FB0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restart"/>
                  <w:noWrap w:val="0"/>
                  <w:vAlign w:val="center"/>
                </w:tcPr>
                <w:p w14:paraId="0D761F1A">
                  <w:pPr>
                    <w:pStyle w:val="26"/>
                    <w:adjustRightInd w:val="0"/>
                    <w:snapToGrid w:val="0"/>
                    <w:spacing w:before="31"/>
                    <w:rPr>
                      <w:color w:val="000000"/>
                    </w:rPr>
                  </w:pPr>
                  <w:r>
                    <w:rPr>
                      <w:color w:val="000000"/>
                    </w:rPr>
                    <w:t>非甲烷总烃</w:t>
                  </w:r>
                </w:p>
              </w:tc>
              <w:tc>
                <w:tcPr>
                  <w:tcW w:w="1303" w:type="pct"/>
                  <w:noWrap w:val="0"/>
                  <w:vAlign w:val="center"/>
                </w:tcPr>
                <w:p w14:paraId="73E859BB">
                  <w:pPr>
                    <w:pStyle w:val="26"/>
                    <w:adjustRightInd w:val="0"/>
                    <w:snapToGrid w:val="0"/>
                    <w:spacing w:before="31"/>
                    <w:rPr>
                      <w:color w:val="000000"/>
                    </w:rPr>
                  </w:pPr>
                  <w:r>
                    <w:rPr>
                      <w:color w:val="000000"/>
                    </w:rPr>
                    <w:t>6</w:t>
                  </w:r>
                </w:p>
              </w:tc>
              <w:tc>
                <w:tcPr>
                  <w:tcW w:w="1577" w:type="pct"/>
                  <w:noWrap w:val="0"/>
                  <w:vAlign w:val="center"/>
                </w:tcPr>
                <w:p w14:paraId="1674B5BD">
                  <w:pPr>
                    <w:pStyle w:val="26"/>
                    <w:adjustRightInd w:val="0"/>
                    <w:snapToGrid w:val="0"/>
                    <w:spacing w:before="31"/>
                    <w:rPr>
                      <w:color w:val="000000"/>
                    </w:rPr>
                  </w:pPr>
                  <w:r>
                    <w:rPr>
                      <w:color w:val="000000"/>
                    </w:rPr>
                    <w:t>监控点处1h平均浓度值</w:t>
                  </w:r>
                </w:p>
              </w:tc>
              <w:tc>
                <w:tcPr>
                  <w:tcW w:w="1281" w:type="pct"/>
                  <w:vMerge w:val="restart"/>
                  <w:noWrap w:val="0"/>
                  <w:vAlign w:val="center"/>
                </w:tcPr>
                <w:p w14:paraId="0E4B4523">
                  <w:pPr>
                    <w:pStyle w:val="26"/>
                    <w:adjustRightInd w:val="0"/>
                    <w:snapToGrid w:val="0"/>
                    <w:spacing w:before="31"/>
                    <w:rPr>
                      <w:color w:val="000000"/>
                    </w:rPr>
                  </w:pPr>
                  <w:r>
                    <w:rPr>
                      <w:color w:val="000000"/>
                    </w:rPr>
                    <w:t>在厂房外设置监控点</w:t>
                  </w:r>
                </w:p>
              </w:tc>
            </w:tr>
            <w:tr w14:paraId="7922FE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continue"/>
                  <w:noWrap w:val="0"/>
                  <w:vAlign w:val="center"/>
                </w:tcPr>
                <w:p w14:paraId="45B6FAD3">
                  <w:pPr>
                    <w:pStyle w:val="26"/>
                    <w:adjustRightInd w:val="0"/>
                    <w:snapToGrid w:val="0"/>
                    <w:spacing w:before="31"/>
                    <w:rPr>
                      <w:color w:val="000000"/>
                    </w:rPr>
                  </w:pPr>
                </w:p>
              </w:tc>
              <w:tc>
                <w:tcPr>
                  <w:tcW w:w="1303" w:type="pct"/>
                  <w:noWrap w:val="0"/>
                  <w:vAlign w:val="center"/>
                </w:tcPr>
                <w:p w14:paraId="2DBA5A3C">
                  <w:pPr>
                    <w:pStyle w:val="26"/>
                    <w:adjustRightInd w:val="0"/>
                    <w:snapToGrid w:val="0"/>
                    <w:spacing w:before="31"/>
                    <w:rPr>
                      <w:color w:val="000000"/>
                    </w:rPr>
                  </w:pPr>
                  <w:r>
                    <w:rPr>
                      <w:color w:val="000000"/>
                    </w:rPr>
                    <w:t>20</w:t>
                  </w:r>
                </w:p>
              </w:tc>
              <w:tc>
                <w:tcPr>
                  <w:tcW w:w="1577" w:type="pct"/>
                  <w:noWrap w:val="0"/>
                  <w:vAlign w:val="center"/>
                </w:tcPr>
                <w:p w14:paraId="07B802E3">
                  <w:pPr>
                    <w:pStyle w:val="26"/>
                    <w:adjustRightInd w:val="0"/>
                    <w:snapToGrid w:val="0"/>
                    <w:spacing w:before="31"/>
                    <w:rPr>
                      <w:color w:val="000000"/>
                    </w:rPr>
                  </w:pPr>
                  <w:r>
                    <w:rPr>
                      <w:color w:val="000000"/>
                    </w:rPr>
                    <w:t>监控点处任意一次浓度值</w:t>
                  </w:r>
                </w:p>
              </w:tc>
              <w:tc>
                <w:tcPr>
                  <w:tcW w:w="1281" w:type="pct"/>
                  <w:vMerge w:val="continue"/>
                  <w:noWrap w:val="0"/>
                  <w:vAlign w:val="center"/>
                </w:tcPr>
                <w:p w14:paraId="19ABBC06">
                  <w:pPr>
                    <w:pStyle w:val="26"/>
                    <w:adjustRightInd w:val="0"/>
                    <w:snapToGrid w:val="0"/>
                    <w:spacing w:before="31"/>
                    <w:rPr>
                      <w:color w:val="000000"/>
                    </w:rPr>
                  </w:pPr>
                </w:p>
              </w:tc>
            </w:tr>
          </w:tbl>
          <w:p w14:paraId="18538905">
            <w:pPr>
              <w:keepNext/>
              <w:keepLines/>
              <w:spacing w:line="360" w:lineRule="auto"/>
              <w:ind w:firstLine="420" w:firstLineChars="200"/>
              <w:jc w:val="left"/>
              <w:outlineLvl w:val="1"/>
              <w:rPr>
                <w:b/>
                <w:bCs/>
                <w:color w:val="000000"/>
              </w:rPr>
            </w:pPr>
            <w:r>
              <w:rPr>
                <w:b/>
                <w:bCs/>
                <w:color w:val="000000"/>
              </w:rPr>
              <w:t>（2）废水</w:t>
            </w:r>
            <w:bookmarkEnd w:id="15"/>
            <w:bookmarkEnd w:id="16"/>
          </w:p>
          <w:p w14:paraId="591A4B7B">
            <w:pPr>
              <w:adjustRightInd w:val="0"/>
              <w:spacing w:line="360" w:lineRule="auto"/>
              <w:ind w:firstLine="420" w:firstLineChars="200"/>
              <w:contextualSpacing/>
              <w:rPr>
                <w:rFonts w:hint="eastAsia"/>
                <w:color w:val="000000"/>
                <w:kern w:val="0"/>
              </w:rPr>
            </w:pPr>
            <w:r>
              <w:rPr>
                <w:rFonts w:hint="eastAsia"/>
                <w:color w:val="000000"/>
                <w:kern w:val="0"/>
              </w:rPr>
              <w:t>项目产生的</w:t>
            </w:r>
            <w:r>
              <w:rPr>
                <w:rFonts w:hint="eastAsia"/>
                <w:color w:val="000000"/>
              </w:rPr>
              <w:t>废水</w:t>
            </w:r>
            <w:r>
              <w:rPr>
                <w:rFonts w:hint="eastAsia"/>
                <w:color w:val="000000"/>
                <w:kern w:val="0"/>
              </w:rPr>
              <w:t>经厂区废水处理系统处理达《污水综合排放标准》（GB8978-1996）三级标准后，排入市政污水管网，进入西彭工业园区污水处理厂进一步处理达《污水综合排放标准》（GB8978-1996）一级标准后，经过桥头河排入长江</w:t>
            </w:r>
            <w:r>
              <w:rPr>
                <w:rFonts w:hint="eastAsia"/>
                <w:color w:val="000000"/>
              </w:rPr>
              <w:t>（注：西彭工业园区污水处理厂正进行提标改造，改造完成后，出水执行《城镇污水处理厂污染物排放标准》（GB18918-2002）一级A标准，其中COD、NH</w:t>
            </w:r>
            <w:r>
              <w:rPr>
                <w:rFonts w:hint="eastAsia"/>
                <w:color w:val="000000"/>
                <w:vertAlign w:val="subscript"/>
              </w:rPr>
              <w:t>3</w:t>
            </w:r>
            <w:r>
              <w:rPr>
                <w:rFonts w:hint="eastAsia"/>
                <w:color w:val="000000"/>
              </w:rPr>
              <w:t>-N、TP达《地表水环境质量标准》（GB3838-2002）Ⅳ类标准）</w:t>
            </w:r>
            <w:r>
              <w:rPr>
                <w:rFonts w:hint="eastAsia"/>
                <w:color w:val="000000"/>
                <w:kern w:val="0"/>
              </w:rPr>
              <w:t>。</w:t>
            </w:r>
          </w:p>
          <w:p w14:paraId="1099E88B">
            <w:pPr>
              <w:pStyle w:val="23"/>
              <w:snapToGrid/>
              <w:spacing w:before="0" w:after="0" w:line="240" w:lineRule="auto"/>
              <w:ind w:right="0"/>
              <w:rPr>
                <w:rFonts w:hint="eastAsia" w:ascii="Times New Roman"/>
                <w:color w:val="000000"/>
                <w:sz w:val="24"/>
                <w:szCs w:val="24"/>
              </w:rPr>
            </w:pPr>
            <w:r>
              <w:rPr>
                <w:rFonts w:ascii="Times New Roman"/>
                <w:color w:val="000000"/>
                <w:sz w:val="24"/>
                <w:szCs w:val="24"/>
              </w:rPr>
              <w:t>表</w:t>
            </w:r>
            <w:r>
              <w:rPr>
                <w:rFonts w:hint="eastAsia" w:ascii="Times New Roman"/>
                <w:color w:val="000000"/>
                <w:sz w:val="24"/>
                <w:szCs w:val="24"/>
              </w:rPr>
              <w:t>3-9</w:t>
            </w:r>
            <w:r>
              <w:rPr>
                <w:rFonts w:ascii="Times New Roman"/>
                <w:color w:val="000000"/>
                <w:sz w:val="24"/>
                <w:szCs w:val="24"/>
              </w:rPr>
              <w:t xml:space="preserve">  </w:t>
            </w:r>
            <w:r>
              <w:rPr>
                <w:rFonts w:hint="eastAsia" w:ascii="Times New Roman"/>
                <w:color w:val="000000"/>
                <w:sz w:val="24"/>
                <w:szCs w:val="24"/>
              </w:rPr>
              <w:t>本项目污水排放标准</w:t>
            </w:r>
          </w:p>
          <w:tbl>
            <w:tblPr>
              <w:tblStyle w:val="16"/>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932"/>
              <w:gridCol w:w="1511"/>
              <w:gridCol w:w="1559"/>
              <w:gridCol w:w="1559"/>
              <w:gridCol w:w="1475"/>
            </w:tblGrid>
            <w:tr w14:paraId="7B4BD1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34577148">
                  <w:pPr>
                    <w:pStyle w:val="26"/>
                    <w:spacing w:before="31"/>
                    <w:jc w:val="right"/>
                    <w:rPr>
                      <w:rFonts w:hint="eastAsia"/>
                      <w:b/>
                      <w:bCs/>
                      <w:color w:val="000000"/>
                    </w:rPr>
                  </w:pPr>
                  <w:r>
                    <w:rPr>
                      <w:rFonts w:hint="eastAsia"/>
                      <w:b/>
                      <w:bCs/>
                      <w:color w:val="000000"/>
                    </w:rPr>
                    <w:t>执行标准</w:t>
                  </w:r>
                </w:p>
                <w:p w14:paraId="70F9C06D">
                  <w:pPr>
                    <w:pStyle w:val="26"/>
                    <w:spacing w:before="31"/>
                    <w:jc w:val="left"/>
                    <w:rPr>
                      <w:rFonts w:hint="eastAsia"/>
                      <w:b/>
                      <w:bCs/>
                      <w:color w:val="000000"/>
                    </w:rPr>
                  </w:pPr>
                  <w:r>
                    <w:rPr>
                      <w:rFonts w:hint="eastAsia"/>
                      <w:b/>
                      <w:bCs/>
                      <w:color w:val="000000"/>
                    </w:rPr>
                    <w:t>污染物</w:t>
                  </w:r>
                </w:p>
              </w:tc>
              <w:tc>
                <w:tcPr>
                  <w:tcW w:w="940" w:type="pct"/>
                  <w:noWrap w:val="0"/>
                  <w:tcMar>
                    <w:top w:w="0" w:type="dxa"/>
                    <w:left w:w="57" w:type="dxa"/>
                    <w:bottom w:w="0" w:type="dxa"/>
                    <w:right w:w="57" w:type="dxa"/>
                  </w:tcMar>
                  <w:vAlign w:val="center"/>
                </w:tcPr>
                <w:p w14:paraId="5EAFB812">
                  <w:pPr>
                    <w:pStyle w:val="26"/>
                    <w:spacing w:before="31"/>
                    <w:rPr>
                      <w:b/>
                      <w:bCs/>
                      <w:color w:val="000000"/>
                    </w:rPr>
                  </w:pPr>
                  <w:r>
                    <w:rPr>
                      <w:b/>
                      <w:bCs/>
                      <w:color w:val="000000"/>
                    </w:rPr>
                    <w:t>GB8978-1996</w:t>
                  </w:r>
                </w:p>
                <w:p w14:paraId="76A6D231">
                  <w:pPr>
                    <w:pStyle w:val="26"/>
                    <w:spacing w:before="31"/>
                    <w:rPr>
                      <w:b/>
                      <w:bCs/>
                      <w:color w:val="000000"/>
                    </w:rPr>
                  </w:pPr>
                  <w:r>
                    <w:rPr>
                      <w:b/>
                      <w:bCs/>
                      <w:color w:val="000000"/>
                    </w:rPr>
                    <w:t>三级标准</w:t>
                  </w:r>
                </w:p>
              </w:tc>
              <w:tc>
                <w:tcPr>
                  <w:tcW w:w="970" w:type="pct"/>
                  <w:noWrap w:val="0"/>
                  <w:tcMar>
                    <w:top w:w="0" w:type="dxa"/>
                    <w:left w:w="57" w:type="dxa"/>
                    <w:bottom w:w="0" w:type="dxa"/>
                    <w:right w:w="57" w:type="dxa"/>
                  </w:tcMar>
                  <w:vAlign w:val="center"/>
                </w:tcPr>
                <w:p w14:paraId="2882527D">
                  <w:pPr>
                    <w:pStyle w:val="26"/>
                    <w:spacing w:before="31"/>
                    <w:rPr>
                      <w:b/>
                      <w:bCs/>
                      <w:color w:val="000000"/>
                    </w:rPr>
                  </w:pPr>
                  <w:r>
                    <w:rPr>
                      <w:b/>
                      <w:bCs/>
                      <w:color w:val="000000"/>
                    </w:rPr>
                    <w:t>GB8978-1996</w:t>
                  </w:r>
                </w:p>
                <w:p w14:paraId="4BC0BA39">
                  <w:pPr>
                    <w:pStyle w:val="26"/>
                    <w:spacing w:before="31"/>
                    <w:rPr>
                      <w:b/>
                      <w:bCs/>
                      <w:color w:val="000000"/>
                    </w:rPr>
                  </w:pPr>
                  <w:r>
                    <w:rPr>
                      <w:rFonts w:hint="eastAsia"/>
                      <w:b/>
                      <w:bCs/>
                      <w:color w:val="000000"/>
                    </w:rPr>
                    <w:t>一</w:t>
                  </w:r>
                  <w:r>
                    <w:rPr>
                      <w:b/>
                      <w:bCs/>
                      <w:color w:val="000000"/>
                    </w:rPr>
                    <w:t>级标准</w:t>
                  </w:r>
                </w:p>
              </w:tc>
              <w:tc>
                <w:tcPr>
                  <w:tcW w:w="970" w:type="pct"/>
                  <w:noWrap w:val="0"/>
                  <w:tcMar>
                    <w:top w:w="0" w:type="dxa"/>
                    <w:left w:w="57" w:type="dxa"/>
                    <w:bottom w:w="0" w:type="dxa"/>
                    <w:right w:w="57" w:type="dxa"/>
                  </w:tcMar>
                  <w:vAlign w:val="center"/>
                </w:tcPr>
                <w:p w14:paraId="57F79BFB">
                  <w:pPr>
                    <w:pStyle w:val="26"/>
                    <w:spacing w:before="31"/>
                    <w:rPr>
                      <w:b/>
                      <w:bCs/>
                      <w:color w:val="000000"/>
                    </w:rPr>
                  </w:pPr>
                  <w:r>
                    <w:rPr>
                      <w:b/>
                      <w:bCs/>
                      <w:color w:val="000000"/>
                    </w:rPr>
                    <w:t>GB18918-2002一级A标准</w:t>
                  </w:r>
                </w:p>
              </w:tc>
              <w:tc>
                <w:tcPr>
                  <w:tcW w:w="917" w:type="pct"/>
                  <w:noWrap w:val="0"/>
                  <w:tcMar>
                    <w:top w:w="0" w:type="dxa"/>
                    <w:left w:w="57" w:type="dxa"/>
                    <w:bottom w:w="0" w:type="dxa"/>
                    <w:right w:w="57" w:type="dxa"/>
                  </w:tcMar>
                  <w:vAlign w:val="center"/>
                </w:tcPr>
                <w:p w14:paraId="3598B040">
                  <w:pPr>
                    <w:pStyle w:val="26"/>
                    <w:spacing w:before="31"/>
                    <w:rPr>
                      <w:b/>
                      <w:bCs/>
                      <w:color w:val="000000"/>
                    </w:rPr>
                  </w:pPr>
                  <w:r>
                    <w:rPr>
                      <w:b/>
                      <w:bCs/>
                      <w:color w:val="000000"/>
                    </w:rPr>
                    <w:t>GB3838-2002</w:t>
                  </w:r>
                </w:p>
                <w:p w14:paraId="15F448DF">
                  <w:pPr>
                    <w:pStyle w:val="26"/>
                    <w:spacing w:before="31"/>
                    <w:rPr>
                      <w:b/>
                      <w:bCs/>
                      <w:color w:val="000000"/>
                    </w:rPr>
                  </w:pPr>
                  <w:r>
                    <w:rPr>
                      <w:rFonts w:hint="eastAsia"/>
                      <w:b/>
                      <w:bCs/>
                      <w:color w:val="000000"/>
                    </w:rPr>
                    <w:t>Ⅳ类</w:t>
                  </w:r>
                  <w:r>
                    <w:rPr>
                      <w:b/>
                      <w:bCs/>
                      <w:color w:val="000000"/>
                    </w:rPr>
                    <w:t>标准</w:t>
                  </w:r>
                </w:p>
              </w:tc>
            </w:tr>
            <w:tr w14:paraId="0BDAAF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2812522F">
                  <w:pPr>
                    <w:pStyle w:val="26"/>
                    <w:spacing w:before="31"/>
                    <w:rPr>
                      <w:rFonts w:hint="eastAsia"/>
                      <w:color w:val="000000"/>
                    </w:rPr>
                  </w:pPr>
                  <w:r>
                    <w:rPr>
                      <w:color w:val="000000"/>
                    </w:rPr>
                    <w:t>pH（无量纲）</w:t>
                  </w:r>
                </w:p>
              </w:tc>
              <w:tc>
                <w:tcPr>
                  <w:tcW w:w="940" w:type="pct"/>
                  <w:noWrap w:val="0"/>
                  <w:tcMar>
                    <w:top w:w="0" w:type="dxa"/>
                    <w:left w:w="57" w:type="dxa"/>
                    <w:bottom w:w="0" w:type="dxa"/>
                    <w:right w:w="57" w:type="dxa"/>
                  </w:tcMar>
                  <w:vAlign w:val="center"/>
                </w:tcPr>
                <w:p w14:paraId="1906EE51">
                  <w:pPr>
                    <w:pStyle w:val="26"/>
                    <w:spacing w:before="31"/>
                    <w:rPr>
                      <w:color w:val="000000"/>
                    </w:rPr>
                  </w:pPr>
                  <w:r>
                    <w:rPr>
                      <w:color w:val="000000"/>
                    </w:rPr>
                    <w:t>6~9</w:t>
                  </w:r>
                </w:p>
              </w:tc>
              <w:tc>
                <w:tcPr>
                  <w:tcW w:w="970" w:type="pct"/>
                  <w:noWrap w:val="0"/>
                  <w:tcMar>
                    <w:top w:w="0" w:type="dxa"/>
                    <w:left w:w="57" w:type="dxa"/>
                    <w:bottom w:w="0" w:type="dxa"/>
                    <w:right w:w="57" w:type="dxa"/>
                  </w:tcMar>
                  <w:vAlign w:val="center"/>
                </w:tcPr>
                <w:p w14:paraId="378B1377">
                  <w:pPr>
                    <w:pStyle w:val="26"/>
                    <w:spacing w:before="31"/>
                    <w:rPr>
                      <w:color w:val="000000"/>
                    </w:rPr>
                  </w:pPr>
                  <w:r>
                    <w:rPr>
                      <w:color w:val="000000"/>
                    </w:rPr>
                    <w:t>6~9</w:t>
                  </w:r>
                </w:p>
              </w:tc>
              <w:tc>
                <w:tcPr>
                  <w:tcW w:w="970" w:type="pct"/>
                  <w:noWrap w:val="0"/>
                  <w:tcMar>
                    <w:top w:w="0" w:type="dxa"/>
                    <w:left w:w="57" w:type="dxa"/>
                    <w:bottom w:w="0" w:type="dxa"/>
                    <w:right w:w="57" w:type="dxa"/>
                  </w:tcMar>
                  <w:vAlign w:val="center"/>
                </w:tcPr>
                <w:p w14:paraId="65C9B3C7">
                  <w:pPr>
                    <w:pStyle w:val="26"/>
                    <w:spacing w:before="31"/>
                    <w:rPr>
                      <w:color w:val="000000"/>
                    </w:rPr>
                  </w:pPr>
                  <w:r>
                    <w:rPr>
                      <w:color w:val="000000"/>
                    </w:rPr>
                    <w:t>6~9</w:t>
                  </w:r>
                </w:p>
              </w:tc>
              <w:tc>
                <w:tcPr>
                  <w:tcW w:w="917" w:type="pct"/>
                  <w:noWrap w:val="0"/>
                  <w:tcMar>
                    <w:top w:w="0" w:type="dxa"/>
                    <w:left w:w="57" w:type="dxa"/>
                    <w:bottom w:w="0" w:type="dxa"/>
                    <w:right w:w="57" w:type="dxa"/>
                  </w:tcMar>
                  <w:vAlign w:val="center"/>
                </w:tcPr>
                <w:p w14:paraId="6E30DAAE">
                  <w:pPr>
                    <w:pStyle w:val="26"/>
                    <w:spacing w:before="31"/>
                    <w:rPr>
                      <w:color w:val="000000"/>
                    </w:rPr>
                  </w:pPr>
                  <w:r>
                    <w:rPr>
                      <w:color w:val="000000"/>
                    </w:rPr>
                    <w:t>/</w:t>
                  </w:r>
                </w:p>
              </w:tc>
            </w:tr>
            <w:tr w14:paraId="0D92BA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153D9A48">
                  <w:pPr>
                    <w:pStyle w:val="26"/>
                    <w:spacing w:before="31"/>
                    <w:rPr>
                      <w:rFonts w:hint="eastAsia"/>
                      <w:color w:val="000000"/>
                    </w:rPr>
                  </w:pPr>
                  <w:r>
                    <w:rPr>
                      <w:color w:val="000000"/>
                    </w:rPr>
                    <w:t>COD</w:t>
                  </w:r>
                </w:p>
              </w:tc>
              <w:tc>
                <w:tcPr>
                  <w:tcW w:w="940" w:type="pct"/>
                  <w:noWrap w:val="0"/>
                  <w:tcMar>
                    <w:top w:w="0" w:type="dxa"/>
                    <w:left w:w="57" w:type="dxa"/>
                    <w:bottom w:w="0" w:type="dxa"/>
                    <w:right w:w="57" w:type="dxa"/>
                  </w:tcMar>
                  <w:vAlign w:val="center"/>
                </w:tcPr>
                <w:p w14:paraId="25EAACB2">
                  <w:pPr>
                    <w:pStyle w:val="26"/>
                    <w:spacing w:before="31"/>
                    <w:rPr>
                      <w:color w:val="000000"/>
                    </w:rPr>
                  </w:pPr>
                  <w:r>
                    <w:rPr>
                      <w:color w:val="000000"/>
                    </w:rPr>
                    <w:t>500</w:t>
                  </w:r>
                </w:p>
              </w:tc>
              <w:tc>
                <w:tcPr>
                  <w:tcW w:w="970" w:type="pct"/>
                  <w:noWrap w:val="0"/>
                  <w:tcMar>
                    <w:top w:w="0" w:type="dxa"/>
                    <w:left w:w="57" w:type="dxa"/>
                    <w:bottom w:w="0" w:type="dxa"/>
                    <w:right w:w="57" w:type="dxa"/>
                  </w:tcMar>
                  <w:vAlign w:val="center"/>
                </w:tcPr>
                <w:p w14:paraId="5F8F4EF6">
                  <w:pPr>
                    <w:pStyle w:val="26"/>
                    <w:spacing w:before="31"/>
                    <w:rPr>
                      <w:color w:val="000000"/>
                    </w:rPr>
                  </w:pPr>
                  <w:r>
                    <w:rPr>
                      <w:color w:val="000000"/>
                    </w:rPr>
                    <w:t>100</w:t>
                  </w:r>
                </w:p>
              </w:tc>
              <w:tc>
                <w:tcPr>
                  <w:tcW w:w="970" w:type="pct"/>
                  <w:noWrap w:val="0"/>
                  <w:tcMar>
                    <w:top w:w="0" w:type="dxa"/>
                    <w:left w:w="57" w:type="dxa"/>
                    <w:bottom w:w="0" w:type="dxa"/>
                    <w:right w:w="57" w:type="dxa"/>
                  </w:tcMar>
                  <w:vAlign w:val="center"/>
                </w:tcPr>
                <w:p w14:paraId="0D21B85D">
                  <w:pPr>
                    <w:pStyle w:val="26"/>
                    <w:spacing w:before="31"/>
                    <w:rPr>
                      <w:color w:val="000000"/>
                    </w:rPr>
                  </w:pPr>
                  <w:r>
                    <w:rPr>
                      <w:color w:val="000000"/>
                    </w:rPr>
                    <w:t>/</w:t>
                  </w:r>
                </w:p>
              </w:tc>
              <w:tc>
                <w:tcPr>
                  <w:tcW w:w="917" w:type="pct"/>
                  <w:noWrap w:val="0"/>
                  <w:tcMar>
                    <w:top w:w="0" w:type="dxa"/>
                    <w:left w:w="57" w:type="dxa"/>
                    <w:bottom w:w="0" w:type="dxa"/>
                    <w:right w:w="57" w:type="dxa"/>
                  </w:tcMar>
                  <w:vAlign w:val="center"/>
                </w:tcPr>
                <w:p w14:paraId="6E3FA694">
                  <w:pPr>
                    <w:pStyle w:val="26"/>
                    <w:spacing w:before="31"/>
                    <w:rPr>
                      <w:rFonts w:hint="eastAsia"/>
                      <w:color w:val="000000"/>
                    </w:rPr>
                  </w:pPr>
                  <w:r>
                    <w:rPr>
                      <w:color w:val="000000"/>
                    </w:rPr>
                    <w:t>30</w:t>
                  </w:r>
                </w:p>
              </w:tc>
            </w:tr>
            <w:tr w14:paraId="30D9AE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4967EC4B">
                  <w:pPr>
                    <w:pStyle w:val="26"/>
                    <w:spacing w:before="31"/>
                    <w:rPr>
                      <w:rFonts w:hint="eastAsia"/>
                      <w:color w:val="000000"/>
                    </w:rPr>
                  </w:pPr>
                  <w:r>
                    <w:rPr>
                      <w:color w:val="000000"/>
                    </w:rPr>
                    <w:t>BOD</w:t>
                  </w:r>
                  <w:r>
                    <w:rPr>
                      <w:color w:val="000000"/>
                      <w:vertAlign w:val="subscript"/>
                    </w:rPr>
                    <w:t>5</w:t>
                  </w:r>
                </w:p>
              </w:tc>
              <w:tc>
                <w:tcPr>
                  <w:tcW w:w="940" w:type="pct"/>
                  <w:noWrap w:val="0"/>
                  <w:tcMar>
                    <w:top w:w="0" w:type="dxa"/>
                    <w:left w:w="57" w:type="dxa"/>
                    <w:bottom w:w="0" w:type="dxa"/>
                    <w:right w:w="57" w:type="dxa"/>
                  </w:tcMar>
                  <w:vAlign w:val="center"/>
                </w:tcPr>
                <w:p w14:paraId="5C0EE55B">
                  <w:pPr>
                    <w:pStyle w:val="26"/>
                    <w:spacing w:before="31"/>
                    <w:rPr>
                      <w:color w:val="000000"/>
                    </w:rPr>
                  </w:pPr>
                  <w:r>
                    <w:rPr>
                      <w:color w:val="000000"/>
                    </w:rPr>
                    <w:t>300</w:t>
                  </w:r>
                </w:p>
              </w:tc>
              <w:tc>
                <w:tcPr>
                  <w:tcW w:w="970" w:type="pct"/>
                  <w:noWrap w:val="0"/>
                  <w:tcMar>
                    <w:top w:w="0" w:type="dxa"/>
                    <w:left w:w="57" w:type="dxa"/>
                    <w:bottom w:w="0" w:type="dxa"/>
                    <w:right w:w="57" w:type="dxa"/>
                  </w:tcMar>
                  <w:vAlign w:val="center"/>
                </w:tcPr>
                <w:p w14:paraId="7A827C0B">
                  <w:pPr>
                    <w:pStyle w:val="26"/>
                    <w:spacing w:before="31"/>
                    <w:rPr>
                      <w:color w:val="000000"/>
                    </w:rPr>
                  </w:pPr>
                  <w:r>
                    <w:rPr>
                      <w:color w:val="000000"/>
                    </w:rPr>
                    <w:t>20</w:t>
                  </w:r>
                </w:p>
              </w:tc>
              <w:tc>
                <w:tcPr>
                  <w:tcW w:w="970" w:type="pct"/>
                  <w:noWrap w:val="0"/>
                  <w:tcMar>
                    <w:top w:w="0" w:type="dxa"/>
                    <w:left w:w="57" w:type="dxa"/>
                    <w:bottom w:w="0" w:type="dxa"/>
                    <w:right w:w="57" w:type="dxa"/>
                  </w:tcMar>
                  <w:vAlign w:val="center"/>
                </w:tcPr>
                <w:p w14:paraId="7B5263FA">
                  <w:pPr>
                    <w:pStyle w:val="26"/>
                    <w:spacing w:before="31"/>
                    <w:rPr>
                      <w:color w:val="000000"/>
                    </w:rPr>
                  </w:pPr>
                  <w:r>
                    <w:rPr>
                      <w:color w:val="000000"/>
                    </w:rPr>
                    <w:t>10</w:t>
                  </w:r>
                </w:p>
              </w:tc>
              <w:tc>
                <w:tcPr>
                  <w:tcW w:w="917" w:type="pct"/>
                  <w:noWrap w:val="0"/>
                  <w:tcMar>
                    <w:top w:w="0" w:type="dxa"/>
                    <w:left w:w="57" w:type="dxa"/>
                    <w:bottom w:w="0" w:type="dxa"/>
                    <w:right w:w="57" w:type="dxa"/>
                  </w:tcMar>
                  <w:vAlign w:val="center"/>
                </w:tcPr>
                <w:p w14:paraId="3CE1C57A">
                  <w:pPr>
                    <w:pStyle w:val="26"/>
                    <w:spacing w:before="31"/>
                    <w:rPr>
                      <w:rFonts w:hint="eastAsia"/>
                      <w:color w:val="000000"/>
                    </w:rPr>
                  </w:pPr>
                  <w:r>
                    <w:rPr>
                      <w:color w:val="000000"/>
                    </w:rPr>
                    <w:t>/</w:t>
                  </w:r>
                </w:p>
              </w:tc>
            </w:tr>
            <w:tr w14:paraId="677C6A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4853E78B">
                  <w:pPr>
                    <w:pStyle w:val="26"/>
                    <w:spacing w:before="31"/>
                    <w:rPr>
                      <w:rFonts w:hint="eastAsia"/>
                      <w:color w:val="000000"/>
                    </w:rPr>
                  </w:pPr>
                  <w:r>
                    <w:rPr>
                      <w:color w:val="000000"/>
                    </w:rPr>
                    <w:t>SS</w:t>
                  </w:r>
                </w:p>
              </w:tc>
              <w:tc>
                <w:tcPr>
                  <w:tcW w:w="940" w:type="pct"/>
                  <w:noWrap w:val="0"/>
                  <w:tcMar>
                    <w:top w:w="0" w:type="dxa"/>
                    <w:left w:w="57" w:type="dxa"/>
                    <w:bottom w:w="0" w:type="dxa"/>
                    <w:right w:w="57" w:type="dxa"/>
                  </w:tcMar>
                  <w:vAlign w:val="center"/>
                </w:tcPr>
                <w:p w14:paraId="4D1F2212">
                  <w:pPr>
                    <w:pStyle w:val="26"/>
                    <w:spacing w:before="31"/>
                    <w:rPr>
                      <w:color w:val="000000"/>
                    </w:rPr>
                  </w:pPr>
                  <w:r>
                    <w:rPr>
                      <w:color w:val="000000"/>
                    </w:rPr>
                    <w:t>400</w:t>
                  </w:r>
                </w:p>
              </w:tc>
              <w:tc>
                <w:tcPr>
                  <w:tcW w:w="970" w:type="pct"/>
                  <w:noWrap w:val="0"/>
                  <w:tcMar>
                    <w:top w:w="0" w:type="dxa"/>
                    <w:left w:w="57" w:type="dxa"/>
                    <w:bottom w:w="0" w:type="dxa"/>
                    <w:right w:w="57" w:type="dxa"/>
                  </w:tcMar>
                  <w:vAlign w:val="center"/>
                </w:tcPr>
                <w:p w14:paraId="02D0BB04">
                  <w:pPr>
                    <w:pStyle w:val="26"/>
                    <w:spacing w:before="31"/>
                    <w:rPr>
                      <w:color w:val="000000"/>
                    </w:rPr>
                  </w:pPr>
                  <w:r>
                    <w:rPr>
                      <w:color w:val="000000"/>
                    </w:rPr>
                    <w:t>70</w:t>
                  </w:r>
                </w:p>
              </w:tc>
              <w:tc>
                <w:tcPr>
                  <w:tcW w:w="970" w:type="pct"/>
                  <w:noWrap w:val="0"/>
                  <w:tcMar>
                    <w:top w:w="0" w:type="dxa"/>
                    <w:left w:w="57" w:type="dxa"/>
                    <w:bottom w:w="0" w:type="dxa"/>
                    <w:right w:w="57" w:type="dxa"/>
                  </w:tcMar>
                  <w:vAlign w:val="center"/>
                </w:tcPr>
                <w:p w14:paraId="42240C78">
                  <w:pPr>
                    <w:pStyle w:val="26"/>
                    <w:spacing w:before="31"/>
                    <w:rPr>
                      <w:color w:val="000000"/>
                    </w:rPr>
                  </w:pPr>
                  <w:r>
                    <w:rPr>
                      <w:color w:val="000000"/>
                    </w:rPr>
                    <w:t>10</w:t>
                  </w:r>
                </w:p>
              </w:tc>
              <w:tc>
                <w:tcPr>
                  <w:tcW w:w="917" w:type="pct"/>
                  <w:noWrap w:val="0"/>
                  <w:tcMar>
                    <w:top w:w="0" w:type="dxa"/>
                    <w:left w:w="57" w:type="dxa"/>
                    <w:bottom w:w="0" w:type="dxa"/>
                    <w:right w:w="57" w:type="dxa"/>
                  </w:tcMar>
                  <w:vAlign w:val="center"/>
                </w:tcPr>
                <w:p w14:paraId="05190622">
                  <w:pPr>
                    <w:pStyle w:val="26"/>
                    <w:spacing w:before="31"/>
                    <w:rPr>
                      <w:rFonts w:hint="eastAsia"/>
                      <w:color w:val="000000"/>
                    </w:rPr>
                  </w:pPr>
                  <w:r>
                    <w:rPr>
                      <w:color w:val="000000"/>
                    </w:rPr>
                    <w:t>/</w:t>
                  </w:r>
                </w:p>
              </w:tc>
            </w:tr>
            <w:tr w14:paraId="4017B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08293B39">
                  <w:pPr>
                    <w:pStyle w:val="26"/>
                    <w:spacing w:before="31"/>
                    <w:rPr>
                      <w:rFonts w:hint="eastAsia"/>
                      <w:color w:val="000000"/>
                    </w:rPr>
                  </w:pPr>
                  <w:r>
                    <w:rPr>
                      <w:color w:val="000000"/>
                    </w:rPr>
                    <w:t>NH</w:t>
                  </w:r>
                  <w:r>
                    <w:rPr>
                      <w:color w:val="000000"/>
                      <w:vertAlign w:val="subscript"/>
                    </w:rPr>
                    <w:t>3</w:t>
                  </w:r>
                  <w:r>
                    <w:rPr>
                      <w:color w:val="000000"/>
                    </w:rPr>
                    <w:t>-N</w:t>
                  </w:r>
                </w:p>
              </w:tc>
              <w:tc>
                <w:tcPr>
                  <w:tcW w:w="940" w:type="pct"/>
                  <w:noWrap w:val="0"/>
                  <w:tcMar>
                    <w:top w:w="0" w:type="dxa"/>
                    <w:left w:w="57" w:type="dxa"/>
                    <w:bottom w:w="0" w:type="dxa"/>
                    <w:right w:w="57" w:type="dxa"/>
                  </w:tcMar>
                  <w:vAlign w:val="center"/>
                </w:tcPr>
                <w:p w14:paraId="7588213C">
                  <w:pPr>
                    <w:pStyle w:val="26"/>
                    <w:spacing w:before="31"/>
                    <w:rPr>
                      <w:color w:val="000000"/>
                    </w:rPr>
                  </w:pPr>
                  <w:r>
                    <w:rPr>
                      <w:color w:val="000000"/>
                    </w:rPr>
                    <w:t>45*</w:t>
                  </w:r>
                </w:p>
              </w:tc>
              <w:tc>
                <w:tcPr>
                  <w:tcW w:w="970" w:type="pct"/>
                  <w:noWrap w:val="0"/>
                  <w:tcMar>
                    <w:top w:w="0" w:type="dxa"/>
                    <w:left w:w="57" w:type="dxa"/>
                    <w:bottom w:w="0" w:type="dxa"/>
                    <w:right w:w="57" w:type="dxa"/>
                  </w:tcMar>
                  <w:vAlign w:val="center"/>
                </w:tcPr>
                <w:p w14:paraId="2E0EC3D0">
                  <w:pPr>
                    <w:pStyle w:val="26"/>
                    <w:spacing w:before="31"/>
                    <w:rPr>
                      <w:color w:val="000000"/>
                    </w:rPr>
                  </w:pPr>
                  <w:r>
                    <w:rPr>
                      <w:color w:val="000000"/>
                    </w:rPr>
                    <w:t>15</w:t>
                  </w:r>
                </w:p>
              </w:tc>
              <w:tc>
                <w:tcPr>
                  <w:tcW w:w="970" w:type="pct"/>
                  <w:noWrap w:val="0"/>
                  <w:tcMar>
                    <w:top w:w="0" w:type="dxa"/>
                    <w:left w:w="57" w:type="dxa"/>
                    <w:bottom w:w="0" w:type="dxa"/>
                    <w:right w:w="57" w:type="dxa"/>
                  </w:tcMar>
                  <w:vAlign w:val="center"/>
                </w:tcPr>
                <w:p w14:paraId="30C90A48">
                  <w:pPr>
                    <w:pStyle w:val="26"/>
                    <w:spacing w:before="31"/>
                    <w:rPr>
                      <w:color w:val="000000"/>
                    </w:rPr>
                  </w:pPr>
                  <w:r>
                    <w:rPr>
                      <w:color w:val="000000"/>
                    </w:rPr>
                    <w:t>/</w:t>
                  </w:r>
                </w:p>
              </w:tc>
              <w:tc>
                <w:tcPr>
                  <w:tcW w:w="917" w:type="pct"/>
                  <w:noWrap w:val="0"/>
                  <w:tcMar>
                    <w:top w:w="0" w:type="dxa"/>
                    <w:left w:w="57" w:type="dxa"/>
                    <w:bottom w:w="0" w:type="dxa"/>
                    <w:right w:w="57" w:type="dxa"/>
                  </w:tcMar>
                  <w:vAlign w:val="center"/>
                </w:tcPr>
                <w:p w14:paraId="6E9DC8B1">
                  <w:pPr>
                    <w:pStyle w:val="26"/>
                    <w:spacing w:before="31"/>
                    <w:rPr>
                      <w:rFonts w:hint="eastAsia"/>
                      <w:color w:val="000000"/>
                    </w:rPr>
                  </w:pPr>
                  <w:r>
                    <w:rPr>
                      <w:color w:val="000000"/>
                    </w:rPr>
                    <w:t>1.5</w:t>
                  </w:r>
                </w:p>
              </w:tc>
            </w:tr>
            <w:tr w14:paraId="30C3EA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2AF71D9B">
                  <w:pPr>
                    <w:pStyle w:val="26"/>
                    <w:spacing w:before="31"/>
                    <w:rPr>
                      <w:rFonts w:hint="eastAsia"/>
                      <w:color w:val="000000"/>
                    </w:rPr>
                  </w:pPr>
                  <w:r>
                    <w:rPr>
                      <w:color w:val="000000"/>
                    </w:rPr>
                    <w:t>石油类</w:t>
                  </w:r>
                </w:p>
              </w:tc>
              <w:tc>
                <w:tcPr>
                  <w:tcW w:w="940" w:type="pct"/>
                  <w:noWrap w:val="0"/>
                  <w:tcMar>
                    <w:top w:w="0" w:type="dxa"/>
                    <w:left w:w="57" w:type="dxa"/>
                    <w:bottom w:w="0" w:type="dxa"/>
                    <w:right w:w="57" w:type="dxa"/>
                  </w:tcMar>
                  <w:vAlign w:val="center"/>
                </w:tcPr>
                <w:p w14:paraId="18C6C5BB">
                  <w:pPr>
                    <w:pStyle w:val="26"/>
                    <w:spacing w:before="31"/>
                    <w:rPr>
                      <w:color w:val="000000"/>
                    </w:rPr>
                  </w:pPr>
                  <w:r>
                    <w:rPr>
                      <w:color w:val="000000"/>
                    </w:rPr>
                    <w:t>20</w:t>
                  </w:r>
                </w:p>
              </w:tc>
              <w:tc>
                <w:tcPr>
                  <w:tcW w:w="970" w:type="pct"/>
                  <w:noWrap w:val="0"/>
                  <w:tcMar>
                    <w:top w:w="0" w:type="dxa"/>
                    <w:left w:w="57" w:type="dxa"/>
                    <w:bottom w:w="0" w:type="dxa"/>
                    <w:right w:w="57" w:type="dxa"/>
                  </w:tcMar>
                  <w:vAlign w:val="center"/>
                </w:tcPr>
                <w:p w14:paraId="61CF2C48">
                  <w:pPr>
                    <w:pStyle w:val="26"/>
                    <w:spacing w:before="31"/>
                    <w:rPr>
                      <w:color w:val="000000"/>
                    </w:rPr>
                  </w:pPr>
                  <w:r>
                    <w:rPr>
                      <w:color w:val="000000"/>
                    </w:rPr>
                    <w:t>5</w:t>
                  </w:r>
                </w:p>
              </w:tc>
              <w:tc>
                <w:tcPr>
                  <w:tcW w:w="970" w:type="pct"/>
                  <w:noWrap w:val="0"/>
                  <w:tcMar>
                    <w:top w:w="0" w:type="dxa"/>
                    <w:left w:w="57" w:type="dxa"/>
                    <w:bottom w:w="0" w:type="dxa"/>
                    <w:right w:w="57" w:type="dxa"/>
                  </w:tcMar>
                  <w:vAlign w:val="center"/>
                </w:tcPr>
                <w:p w14:paraId="48837A6C">
                  <w:pPr>
                    <w:pStyle w:val="26"/>
                    <w:spacing w:before="31"/>
                    <w:rPr>
                      <w:color w:val="000000"/>
                    </w:rPr>
                  </w:pPr>
                  <w:r>
                    <w:rPr>
                      <w:color w:val="000000"/>
                    </w:rPr>
                    <w:t>1</w:t>
                  </w:r>
                </w:p>
              </w:tc>
              <w:tc>
                <w:tcPr>
                  <w:tcW w:w="917" w:type="pct"/>
                  <w:noWrap w:val="0"/>
                  <w:tcMar>
                    <w:top w:w="0" w:type="dxa"/>
                    <w:left w:w="57" w:type="dxa"/>
                    <w:bottom w:w="0" w:type="dxa"/>
                    <w:right w:w="57" w:type="dxa"/>
                  </w:tcMar>
                  <w:vAlign w:val="center"/>
                </w:tcPr>
                <w:p w14:paraId="7A7D4C00">
                  <w:pPr>
                    <w:pStyle w:val="26"/>
                    <w:spacing w:before="31"/>
                    <w:rPr>
                      <w:rFonts w:hint="eastAsia"/>
                      <w:color w:val="000000"/>
                    </w:rPr>
                  </w:pPr>
                  <w:r>
                    <w:rPr>
                      <w:color w:val="000000"/>
                    </w:rPr>
                    <w:t>/</w:t>
                  </w:r>
                </w:p>
              </w:tc>
            </w:tr>
            <w:tr w14:paraId="52125D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1202" w:type="pct"/>
                  <w:noWrap w:val="0"/>
                  <w:tcMar>
                    <w:top w:w="0" w:type="dxa"/>
                    <w:left w:w="57" w:type="dxa"/>
                    <w:bottom w:w="0" w:type="dxa"/>
                    <w:right w:w="57" w:type="dxa"/>
                  </w:tcMar>
                  <w:vAlign w:val="center"/>
                </w:tcPr>
                <w:p w14:paraId="58761E1F">
                  <w:pPr>
                    <w:pStyle w:val="26"/>
                    <w:spacing w:before="31"/>
                    <w:rPr>
                      <w:color w:val="000000"/>
                    </w:rPr>
                  </w:pPr>
                  <w:r>
                    <w:rPr>
                      <w:rFonts w:hint="eastAsia"/>
                      <w:color w:val="000000"/>
                    </w:rPr>
                    <w:t>TP</w:t>
                  </w:r>
                </w:p>
              </w:tc>
              <w:tc>
                <w:tcPr>
                  <w:tcW w:w="940" w:type="pct"/>
                  <w:noWrap w:val="0"/>
                  <w:tcMar>
                    <w:top w:w="0" w:type="dxa"/>
                    <w:left w:w="57" w:type="dxa"/>
                    <w:bottom w:w="0" w:type="dxa"/>
                    <w:right w:w="57" w:type="dxa"/>
                  </w:tcMar>
                  <w:vAlign w:val="center"/>
                </w:tcPr>
                <w:p w14:paraId="4330E4A6">
                  <w:pPr>
                    <w:pStyle w:val="26"/>
                    <w:spacing w:before="31"/>
                    <w:rPr>
                      <w:color w:val="000000"/>
                    </w:rPr>
                  </w:pPr>
                  <w:r>
                    <w:rPr>
                      <w:rFonts w:hint="eastAsia"/>
                      <w:bCs/>
                      <w:color w:val="000000"/>
                    </w:rPr>
                    <w:t>8</w:t>
                  </w:r>
                  <w:r>
                    <w:rPr>
                      <w:color w:val="000000"/>
                    </w:rPr>
                    <w:t>*</w:t>
                  </w:r>
                </w:p>
              </w:tc>
              <w:tc>
                <w:tcPr>
                  <w:tcW w:w="970" w:type="pct"/>
                  <w:noWrap w:val="0"/>
                  <w:tcMar>
                    <w:top w:w="0" w:type="dxa"/>
                    <w:left w:w="57" w:type="dxa"/>
                    <w:bottom w:w="0" w:type="dxa"/>
                    <w:right w:w="57" w:type="dxa"/>
                  </w:tcMar>
                  <w:vAlign w:val="center"/>
                </w:tcPr>
                <w:p w14:paraId="58B03376">
                  <w:pPr>
                    <w:pStyle w:val="26"/>
                    <w:spacing w:before="31"/>
                    <w:rPr>
                      <w:rFonts w:hint="eastAsia"/>
                      <w:color w:val="000000"/>
                    </w:rPr>
                  </w:pPr>
                  <w:r>
                    <w:rPr>
                      <w:color w:val="000000"/>
                    </w:rPr>
                    <w:t>0.5</w:t>
                  </w:r>
                </w:p>
              </w:tc>
              <w:tc>
                <w:tcPr>
                  <w:tcW w:w="970" w:type="pct"/>
                  <w:noWrap w:val="0"/>
                  <w:tcMar>
                    <w:top w:w="0" w:type="dxa"/>
                    <w:left w:w="57" w:type="dxa"/>
                    <w:bottom w:w="0" w:type="dxa"/>
                    <w:right w:w="57" w:type="dxa"/>
                  </w:tcMar>
                  <w:vAlign w:val="center"/>
                </w:tcPr>
                <w:p w14:paraId="5A7811E4">
                  <w:pPr>
                    <w:pStyle w:val="26"/>
                    <w:spacing w:before="31"/>
                    <w:rPr>
                      <w:color w:val="000000"/>
                    </w:rPr>
                  </w:pPr>
                  <w:r>
                    <w:rPr>
                      <w:rFonts w:hint="eastAsia"/>
                      <w:color w:val="000000"/>
                    </w:rPr>
                    <w:t>/</w:t>
                  </w:r>
                </w:p>
              </w:tc>
              <w:tc>
                <w:tcPr>
                  <w:tcW w:w="917" w:type="pct"/>
                  <w:noWrap w:val="0"/>
                  <w:tcMar>
                    <w:top w:w="0" w:type="dxa"/>
                    <w:left w:w="57" w:type="dxa"/>
                    <w:bottom w:w="0" w:type="dxa"/>
                    <w:right w:w="57" w:type="dxa"/>
                  </w:tcMar>
                  <w:vAlign w:val="center"/>
                </w:tcPr>
                <w:p w14:paraId="3DCC8137">
                  <w:pPr>
                    <w:pStyle w:val="26"/>
                    <w:spacing w:before="31"/>
                    <w:rPr>
                      <w:color w:val="000000"/>
                    </w:rPr>
                  </w:pPr>
                  <w:r>
                    <w:rPr>
                      <w:rFonts w:hint="eastAsia"/>
                      <w:color w:val="000000"/>
                    </w:rPr>
                    <w:t>0.3</w:t>
                  </w:r>
                </w:p>
              </w:tc>
            </w:tr>
            <w:tr w14:paraId="2B642D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5000" w:type="pct"/>
                  <w:gridSpan w:val="5"/>
                  <w:noWrap w:val="0"/>
                  <w:tcMar>
                    <w:top w:w="0" w:type="dxa"/>
                    <w:left w:w="57" w:type="dxa"/>
                    <w:bottom w:w="0" w:type="dxa"/>
                    <w:right w:w="57" w:type="dxa"/>
                  </w:tcMar>
                  <w:vAlign w:val="center"/>
                </w:tcPr>
                <w:p w14:paraId="00A51408">
                  <w:pPr>
                    <w:pStyle w:val="26"/>
                    <w:spacing w:before="31"/>
                    <w:jc w:val="both"/>
                    <w:rPr>
                      <w:rFonts w:hint="eastAsia"/>
                      <w:color w:val="000000"/>
                    </w:rPr>
                  </w:pPr>
                  <w:r>
                    <w:rPr>
                      <w:rFonts w:hint="eastAsia"/>
                      <w:color w:val="000000"/>
                    </w:rPr>
                    <w:t>注：*氨氮、TP参照执行《污水排入城镇下水道水质标准》（GB/T31962-2015）。</w:t>
                  </w:r>
                </w:p>
              </w:tc>
            </w:tr>
          </w:tbl>
          <w:p w14:paraId="4A1FD16B">
            <w:pPr>
              <w:keepNext/>
              <w:keepLines/>
              <w:spacing w:line="360" w:lineRule="auto"/>
              <w:ind w:firstLine="420" w:firstLineChars="200"/>
              <w:jc w:val="left"/>
              <w:outlineLvl w:val="1"/>
              <w:rPr>
                <w:b/>
                <w:bCs/>
                <w:color w:val="000000"/>
              </w:rPr>
            </w:pPr>
            <w:bookmarkStart w:id="18" w:name="_Toc95902505"/>
            <w:bookmarkStart w:id="19" w:name="_Toc99551052"/>
            <w:r>
              <w:rPr>
                <w:b/>
                <w:bCs/>
                <w:color w:val="000000"/>
              </w:rPr>
              <w:t>（3）噪声</w:t>
            </w:r>
            <w:bookmarkEnd w:id="18"/>
            <w:bookmarkEnd w:id="19"/>
          </w:p>
          <w:p w14:paraId="3634BE92">
            <w:pPr>
              <w:adjustRightInd w:val="0"/>
              <w:spacing w:line="360" w:lineRule="auto"/>
              <w:ind w:firstLine="420" w:firstLineChars="200"/>
              <w:contextualSpacing/>
              <w:rPr>
                <w:color w:val="000000"/>
              </w:rPr>
            </w:pPr>
            <w:r>
              <w:rPr>
                <w:color w:val="000000"/>
              </w:rPr>
              <w:t>施工期：施工过程中</w:t>
            </w:r>
            <w:r>
              <w:rPr>
                <w:rFonts w:hint="eastAsia"/>
                <w:color w:val="000000"/>
                <w:lang w:eastAsia="zh-CN"/>
              </w:rPr>
              <w:t>厂界</w:t>
            </w:r>
            <w:r>
              <w:rPr>
                <w:color w:val="000000"/>
              </w:rPr>
              <w:t>环境噪声执行《建筑施工噪声排放标准》（GB 12523-20</w:t>
            </w:r>
            <w:r>
              <w:rPr>
                <w:rFonts w:hint="eastAsia"/>
                <w:color w:val="000000"/>
              </w:rPr>
              <w:t>25</w:t>
            </w:r>
            <w:r>
              <w:rPr>
                <w:color w:val="000000"/>
              </w:rPr>
              <w:t>），即昼间≤70dB（A），夜间≤55dB（A）。</w:t>
            </w:r>
          </w:p>
          <w:p w14:paraId="6EA1E8B7">
            <w:pPr>
              <w:adjustRightInd w:val="0"/>
              <w:spacing w:line="360" w:lineRule="auto"/>
              <w:ind w:firstLine="420" w:firstLineChars="200"/>
              <w:contextualSpacing/>
              <w:rPr>
                <w:rFonts w:hint="eastAsia"/>
                <w:color w:val="000000"/>
              </w:rPr>
            </w:pPr>
            <w:r>
              <w:rPr>
                <w:color w:val="000000"/>
              </w:rPr>
              <w:t>营运期：</w:t>
            </w:r>
            <w:r>
              <w:rPr>
                <w:rFonts w:hint="eastAsia" w:eastAsia="Times New Roman"/>
                <w:color w:val="000000"/>
              </w:rPr>
              <w:t>项目东侧紧邻铝城大道，根据</w:t>
            </w:r>
            <w:r>
              <w:rPr>
                <w:rFonts w:eastAsia="Times New Roman"/>
                <w:color w:val="000000"/>
                <w:lang w:val="zh-CN"/>
              </w:rPr>
              <w:t>《重庆市中心城区声环境功能区划分方案（2023年）》（渝环〔2023〕61号）</w:t>
            </w:r>
            <w:r>
              <w:rPr>
                <w:rFonts w:hint="eastAsia" w:eastAsia="Times New Roman"/>
                <w:color w:val="000000"/>
                <w:lang w:val="zh-CN"/>
              </w:rPr>
              <w:t>，</w:t>
            </w:r>
            <w:r>
              <w:rPr>
                <w:rFonts w:hint="eastAsia" w:eastAsia="Times New Roman"/>
                <w:color w:val="000000"/>
              </w:rPr>
              <w:t>铝城大道两侧20m范围被划分为4a声功能区，</w:t>
            </w:r>
            <w:r>
              <w:rPr>
                <w:rFonts w:eastAsia="Times New Roman"/>
                <w:color w:val="000000"/>
                <w:lang w:val="zh-CN"/>
              </w:rPr>
              <w:t>执行《声环境质量标准》（GB3096-2008）中</w:t>
            </w:r>
            <w:r>
              <w:rPr>
                <w:rFonts w:hint="eastAsia" w:eastAsia="Times New Roman"/>
                <w:color w:val="000000"/>
              </w:rPr>
              <w:t>4a</w:t>
            </w:r>
            <w:r>
              <w:rPr>
                <w:rFonts w:eastAsia="Times New Roman"/>
                <w:color w:val="000000"/>
                <w:lang w:val="zh-CN"/>
              </w:rPr>
              <w:t>类标准</w:t>
            </w:r>
            <w:r>
              <w:rPr>
                <w:rFonts w:hint="eastAsia"/>
                <w:color w:val="000000"/>
              </w:rPr>
              <w:t>；</w:t>
            </w:r>
            <w:r>
              <w:rPr>
                <w:rFonts w:hint="eastAsia" w:eastAsia="Times New Roman"/>
                <w:color w:val="000000"/>
              </w:rPr>
              <w:t>其他区域位于3类声功能区内，</w:t>
            </w:r>
            <w:r>
              <w:rPr>
                <w:rFonts w:eastAsia="Times New Roman"/>
                <w:color w:val="000000"/>
                <w:lang w:val="zh-CN"/>
              </w:rPr>
              <w:t>执行《声环境质量标准》（GB3096-2008）中</w:t>
            </w:r>
            <w:r>
              <w:rPr>
                <w:rFonts w:hint="eastAsia" w:eastAsia="Times New Roman"/>
                <w:color w:val="000000"/>
              </w:rPr>
              <w:t>3</w:t>
            </w:r>
            <w:r>
              <w:rPr>
                <w:rFonts w:eastAsia="Times New Roman"/>
                <w:color w:val="000000"/>
                <w:lang w:val="zh-CN"/>
              </w:rPr>
              <w:t>类标准</w:t>
            </w:r>
            <w:r>
              <w:rPr>
                <w:rFonts w:hint="eastAsia" w:eastAsia="Times New Roman"/>
                <w:color w:val="000000"/>
                <w:lang w:val="zh-CN"/>
              </w:rPr>
              <w:t>。</w:t>
            </w:r>
          </w:p>
          <w:p w14:paraId="287FBF67">
            <w:pPr>
              <w:adjustRightInd w:val="0"/>
              <w:spacing w:line="360" w:lineRule="auto"/>
              <w:ind w:firstLine="420" w:firstLineChars="200"/>
              <w:contextualSpacing/>
              <w:rPr>
                <w:color w:val="000000"/>
                <w:kern w:val="0"/>
              </w:rPr>
            </w:pPr>
            <w:r>
              <w:rPr>
                <w:rFonts w:hint="eastAsia"/>
                <w:color w:val="000000"/>
              </w:rPr>
              <w:t>因此本项目东侧厂界执行《工业企业厂界环境噪声排放标准》（GB12348-2008）4类标准（昼间≤70dB(A)，夜间≤55dB(A)），其他侧厂界执行3类标准（昼间≤65dB(A)，夜间≤55dB(A)）</w:t>
            </w:r>
            <w:r>
              <w:rPr>
                <w:color w:val="000000"/>
                <w:kern w:val="0"/>
              </w:rPr>
              <w:t>。</w:t>
            </w:r>
          </w:p>
          <w:p w14:paraId="5E0379F1">
            <w:pPr>
              <w:keepNext/>
              <w:keepLines/>
              <w:spacing w:line="360" w:lineRule="auto"/>
              <w:ind w:firstLine="420" w:firstLineChars="200"/>
              <w:jc w:val="left"/>
              <w:outlineLvl w:val="1"/>
              <w:rPr>
                <w:b/>
                <w:bCs/>
                <w:color w:val="000000"/>
              </w:rPr>
            </w:pPr>
            <w:bookmarkStart w:id="20" w:name="_Toc99551053"/>
            <w:bookmarkStart w:id="21" w:name="_Toc95902506"/>
            <w:r>
              <w:rPr>
                <w:b/>
                <w:bCs/>
                <w:color w:val="000000"/>
              </w:rPr>
              <w:t>（4）固体废物</w:t>
            </w:r>
            <w:bookmarkEnd w:id="20"/>
            <w:bookmarkEnd w:id="21"/>
          </w:p>
          <w:p w14:paraId="50A915E5">
            <w:pPr>
              <w:adjustRightInd w:val="0"/>
              <w:spacing w:line="360" w:lineRule="auto"/>
              <w:ind w:firstLine="420" w:firstLineChars="200"/>
              <w:contextualSpacing/>
              <w:rPr>
                <w:snapToGrid w:val="0"/>
                <w:color w:val="000000"/>
                <w:kern w:val="0"/>
              </w:rPr>
            </w:pPr>
            <w:r>
              <w:rPr>
                <w:snapToGrid w:val="0"/>
                <w:color w:val="000000"/>
                <w:kern w:val="0"/>
              </w:rPr>
              <w:t>项目</w:t>
            </w:r>
            <w:r>
              <w:rPr>
                <w:color w:val="000000"/>
              </w:rPr>
              <w:t>一般工业固体废物按《一</w:t>
            </w:r>
            <w:r>
              <w:rPr>
                <w:rFonts w:hint="eastAsia" w:eastAsia="Times New Roman"/>
                <w:color w:val="000000"/>
              </w:rPr>
              <w:t>固体</w:t>
            </w:r>
            <w:r>
              <w:rPr>
                <w:rFonts w:hint="eastAsia"/>
                <w:color w:val="000000"/>
              </w:rPr>
              <w:t>废物分类与代码目录</w:t>
            </w:r>
            <w:r>
              <w:rPr>
                <w:color w:val="000000"/>
              </w:rPr>
              <w:t>》（</w:t>
            </w:r>
            <w:r>
              <w:rPr>
                <w:rFonts w:hint="eastAsia"/>
                <w:color w:val="000000"/>
              </w:rPr>
              <w:t>公告2024年 第4号</w:t>
            </w:r>
            <w:r>
              <w:rPr>
                <w:color w:val="000000"/>
              </w:rPr>
              <w:t>）进行分类，</w:t>
            </w:r>
            <w:r>
              <w:rPr>
                <w:rFonts w:eastAsia="Times New Roman"/>
                <w:color w:val="000000"/>
              </w:rPr>
              <w:t>一般固体废物的处理、</w:t>
            </w:r>
            <w:r>
              <w:rPr>
                <w:snapToGrid w:val="0"/>
                <w:color w:val="000000"/>
                <w:kern w:val="0"/>
              </w:rPr>
              <w:t>处置均应满足《中华人民共和国固体废物污染环境防治法》</w:t>
            </w:r>
            <w:r>
              <w:rPr>
                <w:rFonts w:hint="eastAsia"/>
                <w:snapToGrid w:val="0"/>
                <w:color w:val="000000"/>
                <w:kern w:val="0"/>
              </w:rPr>
              <w:t>、《一般工业固体废物贮存和填埋污染控制标准》（GB18599-2020）</w:t>
            </w:r>
            <w:r>
              <w:rPr>
                <w:snapToGrid w:val="0"/>
                <w:color w:val="000000"/>
                <w:kern w:val="0"/>
              </w:rPr>
              <w:t>中的有关规定要求。</w:t>
            </w:r>
          </w:p>
          <w:p w14:paraId="4E63FF9F">
            <w:pPr>
              <w:adjustRightInd w:val="0"/>
              <w:spacing w:line="360" w:lineRule="auto"/>
              <w:ind w:firstLine="420" w:firstLineChars="200"/>
              <w:contextualSpacing/>
              <w:rPr>
                <w:snapToGrid w:val="0"/>
                <w:color w:val="000000"/>
                <w:kern w:val="0"/>
              </w:rPr>
            </w:pPr>
            <w:r>
              <w:rPr>
                <w:rFonts w:hint="eastAsia"/>
                <w:snapToGrid w:val="0"/>
                <w:color w:val="000000"/>
                <w:kern w:val="0"/>
              </w:rPr>
              <w:t>项目产生的危险废物执行《</w:t>
            </w:r>
            <w:r>
              <w:rPr>
                <w:rFonts w:hint="eastAsia" w:eastAsia="Times New Roman"/>
                <w:color w:val="000000"/>
              </w:rPr>
              <w:t>国家</w:t>
            </w:r>
            <w:r>
              <w:rPr>
                <w:rFonts w:hint="eastAsia"/>
                <w:snapToGrid w:val="0"/>
                <w:color w:val="000000"/>
                <w:kern w:val="0"/>
              </w:rPr>
              <w:t>危险废物名录》（2025年版）、《危险废物贮存污染控制标准》（GB18597-2023）、《危险废物收集 贮存 运输技术规范》（HJ 2025-2012）要求。</w:t>
            </w:r>
          </w:p>
        </w:tc>
      </w:tr>
      <w:tr w14:paraId="423E8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noWrap w:val="0"/>
            <w:vAlign w:val="center"/>
          </w:tcPr>
          <w:p w14:paraId="27B054AB">
            <w:pPr>
              <w:adjustRightInd w:val="0"/>
              <w:snapToGrid w:val="0"/>
              <w:jc w:val="center"/>
              <w:rPr>
                <w:color w:val="000000"/>
                <w:kern w:val="0"/>
              </w:rPr>
            </w:pPr>
            <w:r>
              <w:rPr>
                <w:color w:val="000000"/>
                <w:kern w:val="0"/>
              </w:rPr>
              <w:t>总量</w:t>
            </w:r>
          </w:p>
          <w:p w14:paraId="3F81240E">
            <w:pPr>
              <w:adjustRightInd w:val="0"/>
              <w:snapToGrid w:val="0"/>
              <w:jc w:val="center"/>
              <w:rPr>
                <w:color w:val="000000"/>
                <w:kern w:val="0"/>
              </w:rPr>
            </w:pPr>
            <w:r>
              <w:rPr>
                <w:color w:val="000000"/>
                <w:kern w:val="0"/>
              </w:rPr>
              <w:t>控制</w:t>
            </w:r>
          </w:p>
          <w:p w14:paraId="462A5828">
            <w:pPr>
              <w:adjustRightInd w:val="0"/>
              <w:snapToGrid w:val="0"/>
              <w:jc w:val="center"/>
              <w:rPr>
                <w:color w:val="000000"/>
                <w:kern w:val="0"/>
                <w:highlight w:val="yellow"/>
              </w:rPr>
            </w:pPr>
            <w:r>
              <w:rPr>
                <w:color w:val="000000"/>
                <w:kern w:val="0"/>
              </w:rPr>
              <w:t>指标</w:t>
            </w:r>
          </w:p>
        </w:tc>
        <w:tc>
          <w:tcPr>
            <w:tcW w:w="4558" w:type="pct"/>
            <w:noWrap w:val="0"/>
            <w:vAlign w:val="center"/>
          </w:tcPr>
          <w:p w14:paraId="0E4AEE58">
            <w:pPr>
              <w:pStyle w:val="23"/>
              <w:snapToGrid/>
              <w:spacing w:before="0" w:after="0" w:line="240" w:lineRule="auto"/>
              <w:ind w:right="0"/>
              <w:rPr>
                <w:rFonts w:ascii="Times New Roman"/>
                <w:color w:val="000000"/>
                <w:sz w:val="24"/>
                <w:szCs w:val="24"/>
              </w:rPr>
            </w:pPr>
            <w:r>
              <w:rPr>
                <w:rFonts w:hint="eastAsia" w:ascii="Times New Roman"/>
                <w:color w:val="000000"/>
                <w:sz w:val="24"/>
                <w:szCs w:val="24"/>
              </w:rPr>
              <w:t>表3-10 总量指标</w:t>
            </w:r>
          </w:p>
          <w:tbl>
            <w:tblPr>
              <w:tblStyle w:val="16"/>
              <w:tblW w:w="803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5"/>
              <w:gridCol w:w="2010"/>
              <w:gridCol w:w="2010"/>
              <w:gridCol w:w="2011"/>
            </w:tblGrid>
            <w:tr w14:paraId="10958A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32AD9CAB">
                  <w:pPr>
                    <w:adjustRightInd w:val="0"/>
                    <w:snapToGrid w:val="0"/>
                    <w:jc w:val="center"/>
                    <w:rPr>
                      <w:rFonts w:hint="eastAsia"/>
                      <w:b/>
                      <w:bCs/>
                      <w:snapToGrid w:val="0"/>
                      <w:color w:val="000000"/>
                      <w:kern w:val="0"/>
                      <w:sz w:val="21"/>
                      <w:szCs w:val="21"/>
                    </w:rPr>
                  </w:pPr>
                  <w:r>
                    <w:rPr>
                      <w:rFonts w:hint="eastAsia"/>
                      <w:b/>
                      <w:bCs/>
                      <w:snapToGrid w:val="0"/>
                      <w:color w:val="000000"/>
                      <w:kern w:val="0"/>
                      <w:sz w:val="21"/>
                      <w:szCs w:val="21"/>
                    </w:rPr>
                    <w:t>废气</w:t>
                  </w:r>
                </w:p>
              </w:tc>
              <w:tc>
                <w:tcPr>
                  <w:tcW w:w="2010" w:type="dxa"/>
                  <w:noWrap w:val="0"/>
                  <w:vAlign w:val="center"/>
                </w:tcPr>
                <w:p w14:paraId="643F2E7F">
                  <w:pPr>
                    <w:adjustRightInd w:val="0"/>
                    <w:snapToGrid w:val="0"/>
                    <w:jc w:val="center"/>
                    <w:rPr>
                      <w:b/>
                      <w:bCs/>
                      <w:snapToGrid w:val="0"/>
                      <w:color w:val="000000"/>
                      <w:kern w:val="0"/>
                      <w:sz w:val="21"/>
                      <w:szCs w:val="21"/>
                    </w:rPr>
                  </w:pPr>
                  <w:r>
                    <w:rPr>
                      <w:rFonts w:hint="eastAsia"/>
                      <w:b/>
                      <w:bCs/>
                      <w:color w:val="000000"/>
                      <w:sz w:val="21"/>
                      <w:szCs w:val="21"/>
                    </w:rPr>
                    <w:t>有组织排放量t/a</w:t>
                  </w:r>
                </w:p>
              </w:tc>
              <w:tc>
                <w:tcPr>
                  <w:tcW w:w="2010" w:type="dxa"/>
                  <w:noWrap w:val="0"/>
                  <w:vAlign w:val="center"/>
                </w:tcPr>
                <w:p w14:paraId="1436A3C6">
                  <w:pPr>
                    <w:adjustRightInd w:val="0"/>
                    <w:snapToGrid w:val="0"/>
                    <w:jc w:val="center"/>
                    <w:rPr>
                      <w:rFonts w:hint="eastAsia"/>
                      <w:b/>
                      <w:bCs/>
                      <w:color w:val="000000"/>
                      <w:sz w:val="21"/>
                      <w:szCs w:val="21"/>
                    </w:rPr>
                  </w:pPr>
                  <w:r>
                    <w:rPr>
                      <w:rFonts w:hint="eastAsia"/>
                      <w:b/>
                      <w:bCs/>
                      <w:color w:val="000000"/>
                      <w:sz w:val="21"/>
                      <w:szCs w:val="21"/>
                    </w:rPr>
                    <w:t>无组织排放量t/a</w:t>
                  </w:r>
                </w:p>
              </w:tc>
              <w:tc>
                <w:tcPr>
                  <w:tcW w:w="2011" w:type="dxa"/>
                  <w:noWrap w:val="0"/>
                  <w:vAlign w:val="center"/>
                </w:tcPr>
                <w:p w14:paraId="6858058F">
                  <w:pPr>
                    <w:adjustRightInd w:val="0"/>
                    <w:snapToGrid w:val="0"/>
                    <w:jc w:val="center"/>
                    <w:rPr>
                      <w:b/>
                      <w:bCs/>
                      <w:color w:val="000000"/>
                      <w:sz w:val="21"/>
                      <w:szCs w:val="21"/>
                    </w:rPr>
                  </w:pPr>
                  <w:r>
                    <w:rPr>
                      <w:rFonts w:hint="eastAsia"/>
                      <w:b/>
                      <w:bCs/>
                      <w:color w:val="000000"/>
                      <w:sz w:val="21"/>
                      <w:szCs w:val="21"/>
                    </w:rPr>
                    <w:t>合计</w:t>
                  </w:r>
                </w:p>
              </w:tc>
            </w:tr>
            <w:tr w14:paraId="7573B2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05" w:type="dxa"/>
                  <w:noWrap w:val="0"/>
                  <w:vAlign w:val="center"/>
                </w:tcPr>
                <w:p w14:paraId="53FBFB35">
                  <w:pPr>
                    <w:widowControl/>
                    <w:jc w:val="center"/>
                    <w:textAlignment w:val="center"/>
                    <w:rPr>
                      <w:snapToGrid w:val="0"/>
                      <w:color w:val="000000"/>
                      <w:kern w:val="0"/>
                      <w:sz w:val="21"/>
                      <w:szCs w:val="21"/>
                    </w:rPr>
                  </w:pPr>
                  <w:r>
                    <w:rPr>
                      <w:rFonts w:hint="eastAsia" w:cs="宋体"/>
                      <w:color w:val="000000"/>
                      <w:kern w:val="0"/>
                      <w:sz w:val="21"/>
                      <w:szCs w:val="21"/>
                      <w:lang w:bidi="ar"/>
                    </w:rPr>
                    <w:t>颗粒物</w:t>
                  </w:r>
                </w:p>
              </w:tc>
              <w:tc>
                <w:tcPr>
                  <w:tcW w:w="2010" w:type="dxa"/>
                  <w:noWrap w:val="0"/>
                  <w:vAlign w:val="center"/>
                </w:tcPr>
                <w:p w14:paraId="706DE705">
                  <w:pPr>
                    <w:widowControl/>
                    <w:jc w:val="center"/>
                    <w:textAlignment w:val="center"/>
                    <w:rPr>
                      <w:color w:val="000000"/>
                      <w:kern w:val="0"/>
                      <w:sz w:val="21"/>
                      <w:szCs w:val="21"/>
                      <w:lang w:bidi="ar"/>
                    </w:rPr>
                  </w:pPr>
                  <w:r>
                    <w:rPr>
                      <w:rFonts w:hint="eastAsia"/>
                      <w:color w:val="000000"/>
                      <w:kern w:val="0"/>
                      <w:sz w:val="21"/>
                      <w:szCs w:val="21"/>
                      <w:lang w:bidi="ar"/>
                    </w:rPr>
                    <w:t xml:space="preserve">0.316 </w:t>
                  </w:r>
                </w:p>
              </w:tc>
              <w:tc>
                <w:tcPr>
                  <w:tcW w:w="2010" w:type="dxa"/>
                  <w:noWrap w:val="0"/>
                  <w:vAlign w:val="center"/>
                </w:tcPr>
                <w:p w14:paraId="503E0572">
                  <w:pPr>
                    <w:widowControl/>
                    <w:jc w:val="center"/>
                    <w:textAlignment w:val="center"/>
                    <w:rPr>
                      <w:color w:val="000000"/>
                      <w:kern w:val="0"/>
                      <w:sz w:val="21"/>
                      <w:szCs w:val="21"/>
                      <w:lang w:bidi="ar"/>
                    </w:rPr>
                  </w:pPr>
                  <w:r>
                    <w:rPr>
                      <w:rFonts w:hint="eastAsia"/>
                      <w:color w:val="000000"/>
                      <w:kern w:val="0"/>
                      <w:sz w:val="21"/>
                      <w:szCs w:val="21"/>
                      <w:lang w:bidi="ar"/>
                    </w:rPr>
                    <w:t xml:space="preserve">2.140 </w:t>
                  </w:r>
                </w:p>
              </w:tc>
              <w:tc>
                <w:tcPr>
                  <w:tcW w:w="2011" w:type="dxa"/>
                  <w:noWrap w:val="0"/>
                  <w:vAlign w:val="center"/>
                </w:tcPr>
                <w:p w14:paraId="4EBD115C">
                  <w:pPr>
                    <w:widowControl/>
                    <w:jc w:val="center"/>
                    <w:textAlignment w:val="center"/>
                    <w:rPr>
                      <w:color w:val="000000"/>
                      <w:kern w:val="0"/>
                      <w:sz w:val="21"/>
                      <w:szCs w:val="21"/>
                      <w:lang w:bidi="ar"/>
                    </w:rPr>
                  </w:pPr>
                  <w:r>
                    <w:rPr>
                      <w:rFonts w:hint="eastAsia"/>
                      <w:color w:val="000000"/>
                      <w:kern w:val="0"/>
                      <w:sz w:val="21"/>
                      <w:szCs w:val="21"/>
                      <w:lang w:bidi="ar"/>
                    </w:rPr>
                    <w:t xml:space="preserve">2.456 </w:t>
                  </w:r>
                </w:p>
              </w:tc>
            </w:tr>
            <w:tr w14:paraId="79FB34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3265074D">
                  <w:pPr>
                    <w:widowControl/>
                    <w:jc w:val="center"/>
                    <w:textAlignment w:val="center"/>
                    <w:rPr>
                      <w:color w:val="000000"/>
                      <w:kern w:val="0"/>
                      <w:sz w:val="21"/>
                      <w:szCs w:val="21"/>
                      <w:lang w:bidi="ar"/>
                    </w:rPr>
                  </w:pPr>
                  <w:r>
                    <w:rPr>
                      <w:rFonts w:hint="eastAsia" w:cs="宋体"/>
                      <w:color w:val="000000"/>
                      <w:kern w:val="0"/>
                      <w:sz w:val="21"/>
                      <w:szCs w:val="21"/>
                      <w:lang w:bidi="ar"/>
                    </w:rPr>
                    <w:t>非甲烷总烃</w:t>
                  </w:r>
                </w:p>
              </w:tc>
              <w:tc>
                <w:tcPr>
                  <w:tcW w:w="2010" w:type="dxa"/>
                  <w:noWrap w:val="0"/>
                  <w:vAlign w:val="center"/>
                </w:tcPr>
                <w:p w14:paraId="79837177">
                  <w:pPr>
                    <w:widowControl/>
                    <w:jc w:val="center"/>
                    <w:textAlignment w:val="center"/>
                    <w:rPr>
                      <w:color w:val="000000"/>
                      <w:kern w:val="0"/>
                      <w:sz w:val="21"/>
                      <w:szCs w:val="21"/>
                      <w:lang w:bidi="ar"/>
                    </w:rPr>
                  </w:pPr>
                  <w:r>
                    <w:rPr>
                      <w:rFonts w:hint="eastAsia"/>
                      <w:color w:val="000000"/>
                      <w:kern w:val="0"/>
                      <w:sz w:val="21"/>
                      <w:szCs w:val="21"/>
                      <w:lang w:bidi="ar"/>
                    </w:rPr>
                    <w:t xml:space="preserve">1.071 </w:t>
                  </w:r>
                </w:p>
              </w:tc>
              <w:tc>
                <w:tcPr>
                  <w:tcW w:w="2010" w:type="dxa"/>
                  <w:noWrap w:val="0"/>
                  <w:vAlign w:val="center"/>
                </w:tcPr>
                <w:p w14:paraId="7E6B9449">
                  <w:pPr>
                    <w:widowControl/>
                    <w:jc w:val="center"/>
                    <w:textAlignment w:val="center"/>
                    <w:rPr>
                      <w:color w:val="000000"/>
                      <w:kern w:val="0"/>
                      <w:sz w:val="21"/>
                      <w:szCs w:val="21"/>
                      <w:lang w:bidi="ar"/>
                    </w:rPr>
                  </w:pPr>
                  <w:r>
                    <w:rPr>
                      <w:rFonts w:hint="eastAsia"/>
                      <w:color w:val="000000"/>
                      <w:kern w:val="0"/>
                      <w:sz w:val="21"/>
                      <w:szCs w:val="21"/>
                      <w:lang w:bidi="ar"/>
                    </w:rPr>
                    <w:t xml:space="preserve">1.574 </w:t>
                  </w:r>
                </w:p>
              </w:tc>
              <w:tc>
                <w:tcPr>
                  <w:tcW w:w="2011" w:type="dxa"/>
                  <w:noWrap w:val="0"/>
                  <w:vAlign w:val="center"/>
                </w:tcPr>
                <w:p w14:paraId="56EF6A7C">
                  <w:pPr>
                    <w:widowControl/>
                    <w:jc w:val="center"/>
                    <w:textAlignment w:val="center"/>
                    <w:rPr>
                      <w:color w:val="000000"/>
                      <w:kern w:val="0"/>
                      <w:sz w:val="21"/>
                      <w:szCs w:val="21"/>
                      <w:lang w:bidi="ar"/>
                    </w:rPr>
                  </w:pPr>
                  <w:r>
                    <w:rPr>
                      <w:rFonts w:hint="eastAsia"/>
                      <w:color w:val="000000"/>
                      <w:kern w:val="0"/>
                      <w:sz w:val="21"/>
                      <w:szCs w:val="21"/>
                      <w:lang w:bidi="ar"/>
                    </w:rPr>
                    <w:t xml:space="preserve">2.646 </w:t>
                  </w:r>
                </w:p>
              </w:tc>
            </w:tr>
            <w:tr w14:paraId="6C19FB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2769BD9E">
                  <w:pPr>
                    <w:widowControl/>
                    <w:jc w:val="center"/>
                    <w:textAlignment w:val="center"/>
                    <w:rPr>
                      <w:rFonts w:hint="eastAsia"/>
                      <w:b/>
                      <w:bCs/>
                      <w:snapToGrid w:val="0"/>
                      <w:color w:val="000000"/>
                      <w:kern w:val="0"/>
                      <w:sz w:val="21"/>
                      <w:szCs w:val="21"/>
                    </w:rPr>
                  </w:pPr>
                  <w:r>
                    <w:rPr>
                      <w:rFonts w:hint="eastAsia"/>
                      <w:b/>
                      <w:bCs/>
                      <w:snapToGrid w:val="0"/>
                      <w:color w:val="000000"/>
                      <w:kern w:val="0"/>
                      <w:sz w:val="21"/>
                      <w:szCs w:val="21"/>
                    </w:rPr>
                    <w:t>废水</w:t>
                  </w:r>
                </w:p>
              </w:tc>
              <w:tc>
                <w:tcPr>
                  <w:tcW w:w="2010" w:type="dxa"/>
                  <w:noWrap w:val="0"/>
                  <w:vAlign w:val="center"/>
                </w:tcPr>
                <w:p w14:paraId="4F0709A4">
                  <w:pPr>
                    <w:adjustRightInd w:val="0"/>
                    <w:snapToGrid w:val="0"/>
                    <w:jc w:val="center"/>
                    <w:rPr>
                      <w:b/>
                      <w:bCs/>
                      <w:snapToGrid w:val="0"/>
                      <w:color w:val="000000"/>
                      <w:kern w:val="0"/>
                      <w:sz w:val="21"/>
                      <w:szCs w:val="21"/>
                    </w:rPr>
                  </w:pPr>
                  <w:r>
                    <w:rPr>
                      <w:rFonts w:hint="eastAsia"/>
                      <w:b/>
                      <w:bCs/>
                      <w:color w:val="000000"/>
                      <w:sz w:val="21"/>
                      <w:szCs w:val="21"/>
                    </w:rPr>
                    <w:t>进入市政管网t/a</w:t>
                  </w:r>
                </w:p>
              </w:tc>
              <w:tc>
                <w:tcPr>
                  <w:tcW w:w="2010" w:type="dxa"/>
                  <w:noWrap w:val="0"/>
                  <w:vAlign w:val="center"/>
                </w:tcPr>
                <w:p w14:paraId="7B6460DC">
                  <w:pPr>
                    <w:adjustRightInd w:val="0"/>
                    <w:snapToGrid w:val="0"/>
                    <w:jc w:val="center"/>
                    <w:rPr>
                      <w:b/>
                      <w:bCs/>
                      <w:snapToGrid w:val="0"/>
                      <w:color w:val="000000"/>
                      <w:kern w:val="0"/>
                      <w:sz w:val="21"/>
                      <w:szCs w:val="21"/>
                    </w:rPr>
                  </w:pPr>
                  <w:r>
                    <w:rPr>
                      <w:rFonts w:hint="eastAsia"/>
                      <w:b/>
                      <w:bCs/>
                      <w:snapToGrid w:val="0"/>
                      <w:color w:val="000000"/>
                      <w:kern w:val="0"/>
                      <w:sz w:val="21"/>
                      <w:szCs w:val="21"/>
                    </w:rPr>
                    <w:t>园区污水处理厂</w:t>
                  </w:r>
                  <w:r>
                    <w:rPr>
                      <w:rFonts w:hint="eastAsia"/>
                      <w:b/>
                      <w:bCs/>
                      <w:color w:val="000000"/>
                      <w:sz w:val="21"/>
                      <w:szCs w:val="21"/>
                    </w:rPr>
                    <w:t>排放量t/a</w:t>
                  </w:r>
                </w:p>
              </w:tc>
              <w:tc>
                <w:tcPr>
                  <w:tcW w:w="2011" w:type="dxa"/>
                  <w:noWrap w:val="0"/>
                  <w:vAlign w:val="center"/>
                </w:tcPr>
                <w:p w14:paraId="799D7948">
                  <w:pPr>
                    <w:adjustRightInd w:val="0"/>
                    <w:snapToGrid w:val="0"/>
                    <w:jc w:val="center"/>
                    <w:rPr>
                      <w:b/>
                      <w:bCs/>
                      <w:snapToGrid w:val="0"/>
                      <w:color w:val="000000"/>
                      <w:kern w:val="0"/>
                      <w:sz w:val="21"/>
                      <w:szCs w:val="21"/>
                      <w:highlight w:val="yellow"/>
                    </w:rPr>
                  </w:pPr>
                  <w:r>
                    <w:rPr>
                      <w:rFonts w:hint="eastAsia"/>
                      <w:b/>
                      <w:bCs/>
                      <w:snapToGrid w:val="0"/>
                      <w:color w:val="000000"/>
                      <w:kern w:val="0"/>
                      <w:sz w:val="21"/>
                      <w:szCs w:val="21"/>
                    </w:rPr>
                    <w:t>园区污水处理厂改造后排放量</w:t>
                  </w:r>
                  <w:r>
                    <w:rPr>
                      <w:rFonts w:hint="eastAsia"/>
                      <w:b/>
                      <w:bCs/>
                      <w:color w:val="000000"/>
                      <w:sz w:val="21"/>
                      <w:szCs w:val="21"/>
                    </w:rPr>
                    <w:t>t/a</w:t>
                  </w:r>
                </w:p>
              </w:tc>
            </w:tr>
            <w:tr w14:paraId="4ECA5D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61E8AB0F">
                  <w:pPr>
                    <w:widowControl/>
                    <w:jc w:val="center"/>
                    <w:textAlignment w:val="center"/>
                    <w:rPr>
                      <w:snapToGrid w:val="0"/>
                      <w:color w:val="000000"/>
                      <w:kern w:val="0"/>
                      <w:sz w:val="21"/>
                      <w:szCs w:val="21"/>
                    </w:rPr>
                  </w:pPr>
                  <w:r>
                    <w:rPr>
                      <w:iCs/>
                      <w:color w:val="000000"/>
                      <w:kern w:val="0"/>
                      <w:sz w:val="21"/>
                      <w:szCs w:val="21"/>
                      <w:lang w:bidi="ar"/>
                    </w:rPr>
                    <w:t>COD</w:t>
                  </w:r>
                </w:p>
              </w:tc>
              <w:tc>
                <w:tcPr>
                  <w:tcW w:w="2010" w:type="dxa"/>
                  <w:noWrap w:val="0"/>
                  <w:vAlign w:val="center"/>
                </w:tcPr>
                <w:p w14:paraId="12E417EE">
                  <w:pPr>
                    <w:widowControl/>
                    <w:jc w:val="center"/>
                    <w:textAlignment w:val="center"/>
                    <w:rPr>
                      <w:color w:val="000000"/>
                      <w:kern w:val="0"/>
                      <w:sz w:val="21"/>
                      <w:szCs w:val="21"/>
                      <w:lang w:bidi="ar"/>
                    </w:rPr>
                  </w:pPr>
                  <w:r>
                    <w:rPr>
                      <w:rFonts w:hint="eastAsia"/>
                      <w:color w:val="000000"/>
                      <w:kern w:val="0"/>
                      <w:sz w:val="21"/>
                      <w:szCs w:val="21"/>
                      <w:lang w:bidi="ar"/>
                    </w:rPr>
                    <w:t>0.444</w:t>
                  </w:r>
                </w:p>
              </w:tc>
              <w:tc>
                <w:tcPr>
                  <w:tcW w:w="2010" w:type="dxa"/>
                  <w:noWrap w:val="0"/>
                  <w:vAlign w:val="center"/>
                </w:tcPr>
                <w:p w14:paraId="01D10F0D">
                  <w:pPr>
                    <w:widowControl/>
                    <w:jc w:val="center"/>
                    <w:textAlignment w:val="center"/>
                    <w:rPr>
                      <w:color w:val="000000"/>
                      <w:kern w:val="0"/>
                      <w:sz w:val="21"/>
                      <w:szCs w:val="21"/>
                      <w:lang w:bidi="ar"/>
                    </w:rPr>
                  </w:pPr>
                  <w:r>
                    <w:rPr>
                      <w:rFonts w:hint="eastAsia"/>
                      <w:color w:val="000000"/>
                      <w:kern w:val="0"/>
                      <w:sz w:val="21"/>
                      <w:szCs w:val="21"/>
                      <w:lang w:bidi="ar"/>
                    </w:rPr>
                    <w:t>0.089</w:t>
                  </w:r>
                </w:p>
              </w:tc>
              <w:tc>
                <w:tcPr>
                  <w:tcW w:w="2011" w:type="dxa"/>
                  <w:noWrap w:val="0"/>
                  <w:vAlign w:val="center"/>
                </w:tcPr>
                <w:p w14:paraId="60439CE4">
                  <w:pPr>
                    <w:adjustRightInd w:val="0"/>
                    <w:snapToGrid w:val="0"/>
                    <w:jc w:val="center"/>
                    <w:rPr>
                      <w:snapToGrid w:val="0"/>
                      <w:color w:val="000000"/>
                      <w:kern w:val="0"/>
                      <w:sz w:val="21"/>
                      <w:szCs w:val="21"/>
                    </w:rPr>
                  </w:pPr>
                  <w:r>
                    <w:rPr>
                      <w:rFonts w:hint="eastAsia"/>
                      <w:snapToGrid w:val="0"/>
                      <w:color w:val="000000"/>
                      <w:kern w:val="0"/>
                      <w:sz w:val="21"/>
                      <w:szCs w:val="21"/>
                    </w:rPr>
                    <w:t>0.027</w:t>
                  </w:r>
                </w:p>
              </w:tc>
            </w:tr>
            <w:tr w14:paraId="7CD285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6891C1AC">
                  <w:pPr>
                    <w:widowControl/>
                    <w:jc w:val="center"/>
                    <w:textAlignment w:val="center"/>
                    <w:rPr>
                      <w:snapToGrid w:val="0"/>
                      <w:color w:val="000000"/>
                      <w:kern w:val="0"/>
                      <w:sz w:val="21"/>
                      <w:szCs w:val="21"/>
                    </w:rPr>
                  </w:pPr>
                  <w:r>
                    <w:rPr>
                      <w:iCs/>
                      <w:color w:val="000000"/>
                      <w:kern w:val="0"/>
                      <w:sz w:val="21"/>
                      <w:szCs w:val="21"/>
                      <w:lang w:bidi="ar"/>
                    </w:rPr>
                    <w:t>NH</w:t>
                  </w:r>
                  <w:r>
                    <w:rPr>
                      <w:iCs/>
                      <w:color w:val="000000"/>
                      <w:kern w:val="0"/>
                      <w:sz w:val="21"/>
                      <w:szCs w:val="21"/>
                      <w:vertAlign w:val="subscript"/>
                      <w:lang w:bidi="ar"/>
                    </w:rPr>
                    <w:t>3</w:t>
                  </w:r>
                  <w:r>
                    <w:rPr>
                      <w:iCs/>
                      <w:color w:val="000000"/>
                      <w:kern w:val="0"/>
                      <w:sz w:val="21"/>
                      <w:szCs w:val="21"/>
                      <w:lang w:bidi="ar"/>
                    </w:rPr>
                    <w:t>-N</w:t>
                  </w:r>
                </w:p>
              </w:tc>
              <w:tc>
                <w:tcPr>
                  <w:tcW w:w="2010" w:type="dxa"/>
                  <w:noWrap w:val="0"/>
                  <w:vAlign w:val="center"/>
                </w:tcPr>
                <w:p w14:paraId="085D42B6">
                  <w:pPr>
                    <w:widowControl/>
                    <w:jc w:val="center"/>
                    <w:textAlignment w:val="center"/>
                    <w:rPr>
                      <w:color w:val="000000"/>
                      <w:kern w:val="0"/>
                      <w:sz w:val="21"/>
                      <w:szCs w:val="21"/>
                      <w:lang w:bidi="ar"/>
                    </w:rPr>
                  </w:pPr>
                  <w:r>
                    <w:rPr>
                      <w:rFonts w:hint="eastAsia"/>
                      <w:color w:val="000000"/>
                      <w:kern w:val="0"/>
                      <w:sz w:val="21"/>
                      <w:szCs w:val="21"/>
                      <w:lang w:bidi="ar"/>
                    </w:rPr>
                    <w:t>0.027</w:t>
                  </w:r>
                </w:p>
              </w:tc>
              <w:tc>
                <w:tcPr>
                  <w:tcW w:w="2010" w:type="dxa"/>
                  <w:noWrap w:val="0"/>
                  <w:vAlign w:val="center"/>
                </w:tcPr>
                <w:p w14:paraId="01DA54ED">
                  <w:pPr>
                    <w:widowControl/>
                    <w:jc w:val="center"/>
                    <w:textAlignment w:val="center"/>
                    <w:rPr>
                      <w:color w:val="000000"/>
                      <w:kern w:val="0"/>
                      <w:sz w:val="21"/>
                      <w:szCs w:val="21"/>
                      <w:lang w:bidi="ar"/>
                    </w:rPr>
                  </w:pPr>
                  <w:r>
                    <w:rPr>
                      <w:rFonts w:hint="eastAsia"/>
                      <w:color w:val="000000"/>
                      <w:kern w:val="0"/>
                      <w:sz w:val="21"/>
                      <w:szCs w:val="21"/>
                      <w:lang w:bidi="ar"/>
                    </w:rPr>
                    <w:t>0.013</w:t>
                  </w:r>
                </w:p>
              </w:tc>
              <w:tc>
                <w:tcPr>
                  <w:tcW w:w="2011" w:type="dxa"/>
                  <w:noWrap w:val="0"/>
                  <w:vAlign w:val="center"/>
                </w:tcPr>
                <w:p w14:paraId="1DB5B3FD">
                  <w:pPr>
                    <w:adjustRightInd w:val="0"/>
                    <w:snapToGrid w:val="0"/>
                    <w:jc w:val="center"/>
                    <w:rPr>
                      <w:snapToGrid w:val="0"/>
                      <w:color w:val="000000"/>
                      <w:kern w:val="0"/>
                      <w:sz w:val="21"/>
                      <w:szCs w:val="21"/>
                    </w:rPr>
                  </w:pPr>
                  <w:r>
                    <w:rPr>
                      <w:rFonts w:hint="eastAsia"/>
                      <w:snapToGrid w:val="0"/>
                      <w:color w:val="000000"/>
                      <w:kern w:val="0"/>
                      <w:sz w:val="21"/>
                      <w:szCs w:val="21"/>
                    </w:rPr>
                    <w:t>0.001</w:t>
                  </w:r>
                </w:p>
              </w:tc>
            </w:tr>
            <w:tr w14:paraId="6A1010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5" w:type="dxa"/>
                  <w:noWrap w:val="0"/>
                  <w:vAlign w:val="center"/>
                </w:tcPr>
                <w:p w14:paraId="0F41C779">
                  <w:pPr>
                    <w:widowControl/>
                    <w:jc w:val="center"/>
                    <w:textAlignment w:val="center"/>
                    <w:rPr>
                      <w:rFonts w:cs="宋体"/>
                      <w:color w:val="000000"/>
                      <w:kern w:val="0"/>
                      <w:sz w:val="21"/>
                      <w:szCs w:val="21"/>
                      <w:lang w:bidi="ar"/>
                    </w:rPr>
                  </w:pPr>
                  <w:r>
                    <w:rPr>
                      <w:rFonts w:hint="eastAsia" w:cs="宋体"/>
                      <w:color w:val="000000"/>
                      <w:kern w:val="0"/>
                      <w:sz w:val="21"/>
                      <w:szCs w:val="21"/>
                      <w:lang w:bidi="ar"/>
                    </w:rPr>
                    <w:t>总磷</w:t>
                  </w:r>
                </w:p>
              </w:tc>
              <w:tc>
                <w:tcPr>
                  <w:tcW w:w="2010" w:type="dxa"/>
                  <w:noWrap w:val="0"/>
                  <w:vAlign w:val="center"/>
                </w:tcPr>
                <w:p w14:paraId="76E96123">
                  <w:pPr>
                    <w:widowControl/>
                    <w:jc w:val="center"/>
                    <w:textAlignment w:val="center"/>
                    <w:rPr>
                      <w:color w:val="000000"/>
                      <w:kern w:val="0"/>
                      <w:sz w:val="21"/>
                      <w:szCs w:val="21"/>
                      <w:lang w:bidi="ar"/>
                    </w:rPr>
                  </w:pPr>
                  <w:r>
                    <w:rPr>
                      <w:rFonts w:hint="eastAsia"/>
                      <w:color w:val="000000"/>
                      <w:kern w:val="0"/>
                      <w:sz w:val="21"/>
                      <w:szCs w:val="21"/>
                      <w:lang w:bidi="ar"/>
                    </w:rPr>
                    <w:t>0.007</w:t>
                  </w:r>
                </w:p>
              </w:tc>
              <w:tc>
                <w:tcPr>
                  <w:tcW w:w="2010" w:type="dxa"/>
                  <w:noWrap w:val="0"/>
                  <w:vAlign w:val="center"/>
                </w:tcPr>
                <w:p w14:paraId="5EFB742C">
                  <w:pPr>
                    <w:widowControl/>
                    <w:jc w:val="center"/>
                    <w:textAlignment w:val="center"/>
                    <w:rPr>
                      <w:color w:val="000000"/>
                      <w:kern w:val="0"/>
                      <w:sz w:val="21"/>
                      <w:szCs w:val="21"/>
                      <w:lang w:bidi="ar"/>
                    </w:rPr>
                  </w:pPr>
                  <w:r>
                    <w:rPr>
                      <w:rFonts w:hint="eastAsia"/>
                      <w:color w:val="000000"/>
                      <w:kern w:val="0"/>
                      <w:sz w:val="21"/>
                      <w:szCs w:val="21"/>
                      <w:lang w:bidi="ar"/>
                    </w:rPr>
                    <w:t>0.0004</w:t>
                  </w:r>
                </w:p>
              </w:tc>
              <w:tc>
                <w:tcPr>
                  <w:tcW w:w="2011" w:type="dxa"/>
                  <w:noWrap w:val="0"/>
                  <w:vAlign w:val="center"/>
                </w:tcPr>
                <w:p w14:paraId="4C1A91CD">
                  <w:pPr>
                    <w:adjustRightInd w:val="0"/>
                    <w:snapToGrid w:val="0"/>
                    <w:jc w:val="center"/>
                    <w:rPr>
                      <w:snapToGrid w:val="0"/>
                      <w:color w:val="000000"/>
                      <w:kern w:val="0"/>
                      <w:sz w:val="21"/>
                      <w:szCs w:val="21"/>
                    </w:rPr>
                  </w:pPr>
                  <w:r>
                    <w:rPr>
                      <w:rFonts w:hint="eastAsia"/>
                      <w:snapToGrid w:val="0"/>
                      <w:color w:val="000000"/>
                      <w:kern w:val="0"/>
                      <w:sz w:val="21"/>
                      <w:szCs w:val="21"/>
                    </w:rPr>
                    <w:t>0.0003</w:t>
                  </w:r>
                </w:p>
              </w:tc>
            </w:tr>
          </w:tbl>
          <w:p w14:paraId="152B3091">
            <w:pPr>
              <w:pStyle w:val="6"/>
              <w:spacing w:before="0" w:after="0" w:line="360" w:lineRule="auto"/>
              <w:ind w:firstLine="480" w:firstLineChars="200"/>
              <w:rPr>
                <w:color w:val="000000"/>
                <w:sz w:val="24"/>
                <w:szCs w:val="24"/>
                <w:highlight w:val="yellow"/>
              </w:rPr>
            </w:pPr>
          </w:p>
        </w:tc>
      </w:tr>
    </w:tbl>
    <w:p w14:paraId="7CAC9674">
      <w:pPr>
        <w:pStyle w:val="14"/>
        <w:spacing w:before="0" w:beforeAutospacing="0" w:after="0" w:afterAutospacing="0"/>
        <w:jc w:val="center"/>
        <w:outlineLvl w:val="0"/>
        <w:rPr>
          <w:rFonts w:ascii="Times New Roman" w:hAnsi="Times New Roman"/>
          <w:snapToGrid w:val="0"/>
          <w:color w:val="000000"/>
          <w:sz w:val="30"/>
          <w:szCs w:val="30"/>
        </w:rPr>
      </w:pPr>
      <w:r>
        <w:rPr>
          <w:rFonts w:ascii="Times New Roman" w:hAnsi="Times New Roman"/>
          <w:snapToGrid w:val="0"/>
          <w:color w:val="000000"/>
          <w:sz w:val="36"/>
          <w:szCs w:val="36"/>
        </w:rPr>
        <w:br w:type="page"/>
      </w:r>
      <w:bookmarkStart w:id="22" w:name="_Toc95902507"/>
      <w:bookmarkStart w:id="23" w:name="_Toc99551054"/>
      <w:r>
        <w:rPr>
          <w:rFonts w:ascii="Times New Roman" w:hAnsi="Times New Roman"/>
          <w:b/>
          <w:bCs/>
          <w:snapToGrid w:val="0"/>
          <w:color w:val="000000"/>
          <w:sz w:val="28"/>
          <w:szCs w:val="28"/>
        </w:rPr>
        <w:t>四、主要环境影响和保护措施</w:t>
      </w:r>
      <w:bookmarkEnd w:id="22"/>
      <w:bookmarkEnd w:id="23"/>
    </w:p>
    <w:tbl>
      <w:tblPr>
        <w:tblStyle w:val="16"/>
        <w:tblW w:w="50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0"/>
        <w:gridCol w:w="8609"/>
      </w:tblGrid>
      <w:tr w14:paraId="48F4BC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noWrap w:val="0"/>
            <w:tcMar>
              <w:left w:w="28" w:type="dxa"/>
              <w:right w:w="28" w:type="dxa"/>
            </w:tcMar>
            <w:vAlign w:val="center"/>
          </w:tcPr>
          <w:p w14:paraId="557537A1">
            <w:pPr>
              <w:pStyle w:val="14"/>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施工</w:t>
            </w:r>
          </w:p>
          <w:p w14:paraId="79B873B6">
            <w:pPr>
              <w:pStyle w:val="14"/>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期环</w:t>
            </w:r>
          </w:p>
          <w:p w14:paraId="4EEA0126">
            <w:pPr>
              <w:pStyle w:val="14"/>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境保</w:t>
            </w:r>
          </w:p>
          <w:p w14:paraId="16EF9497">
            <w:pPr>
              <w:pStyle w:val="14"/>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护措</w:t>
            </w:r>
          </w:p>
          <w:p w14:paraId="41D41EEB">
            <w:pPr>
              <w:pStyle w:val="14"/>
              <w:adjustRightInd w:val="0"/>
              <w:snapToGrid w:val="0"/>
              <w:spacing w:before="0" w:beforeAutospacing="0" w:after="0" w:afterAutospacing="0"/>
              <w:jc w:val="center"/>
              <w:rPr>
                <w:rFonts w:ascii="Times New Roman" w:hAnsi="Times New Roman"/>
                <w:bCs/>
                <w:color w:val="000000"/>
                <w:kern w:val="2"/>
                <w:sz w:val="21"/>
                <w:szCs w:val="21"/>
              </w:rPr>
            </w:pPr>
            <w:r>
              <w:rPr>
                <w:rFonts w:ascii="Times New Roman" w:hAnsi="Times New Roman"/>
                <w:color w:val="000000"/>
                <w:kern w:val="2"/>
                <w:szCs w:val="24"/>
              </w:rPr>
              <w:t>施</w:t>
            </w:r>
          </w:p>
        </w:tc>
        <w:tc>
          <w:tcPr>
            <w:tcW w:w="4709" w:type="pct"/>
            <w:noWrap w:val="0"/>
            <w:vAlign w:val="top"/>
          </w:tcPr>
          <w:p w14:paraId="61539880">
            <w:pPr>
              <w:adjustRightInd w:val="0"/>
              <w:snapToGrid w:val="0"/>
              <w:spacing w:line="300" w:lineRule="auto"/>
              <w:outlineLvl w:val="1"/>
              <w:rPr>
                <w:b/>
                <w:color w:val="000000"/>
                <w:spacing w:val="-10"/>
              </w:rPr>
            </w:pPr>
            <w:r>
              <w:rPr>
                <w:b/>
                <w:color w:val="000000"/>
                <w:spacing w:val="-10"/>
              </w:rPr>
              <w:t>4.</w:t>
            </w:r>
            <w:r>
              <w:rPr>
                <w:rFonts w:hint="eastAsia"/>
                <w:b/>
                <w:color w:val="000000"/>
                <w:spacing w:val="-10"/>
              </w:rPr>
              <w:t>1</w:t>
            </w:r>
            <w:r>
              <w:rPr>
                <w:b/>
                <w:color w:val="000000"/>
                <w:spacing w:val="-10"/>
              </w:rPr>
              <w:t>施工期环境影响和保护措施</w:t>
            </w:r>
          </w:p>
          <w:p w14:paraId="52CBAA0B">
            <w:pPr>
              <w:spacing w:line="360" w:lineRule="auto"/>
              <w:ind w:firstLine="420" w:firstLineChars="200"/>
              <w:rPr>
                <w:color w:val="000000"/>
              </w:rPr>
            </w:pPr>
            <w:r>
              <w:rPr>
                <w:rFonts w:hint="eastAsia"/>
                <w:color w:val="000000"/>
              </w:rPr>
              <w:t>项目施工期主要是厂房装修和设备安装，因此在施工过程中，主要环境问题是会产生少量固体废物和设备调试等产生噪声。</w:t>
            </w:r>
          </w:p>
          <w:p w14:paraId="3A0E8301">
            <w:pPr>
              <w:spacing w:line="360" w:lineRule="auto"/>
              <w:ind w:firstLine="420" w:firstLineChars="200"/>
              <w:rPr>
                <w:rFonts w:hint="eastAsia"/>
                <w:color w:val="000000"/>
              </w:rPr>
            </w:pPr>
            <w:r>
              <w:rPr>
                <w:rFonts w:hint="eastAsia"/>
                <w:color w:val="000000"/>
              </w:rPr>
              <w:t>固体废物：由于施工期人员较少，产生的生活垃圾分类收集后交环卫部门处置，主要为设备安装时产生的废包装袋以及建筑垃圾等固体废物，因此施工期固废产生量较少，可以收集后交由有关单位处理处置。施工期料仓开挖产生少量弃土，运至政府指定渣场处置。</w:t>
            </w:r>
          </w:p>
          <w:p w14:paraId="1DC393C3">
            <w:pPr>
              <w:spacing w:line="360" w:lineRule="auto"/>
              <w:ind w:firstLine="420" w:firstLineChars="200"/>
              <w:rPr>
                <w:color w:val="000000"/>
              </w:rPr>
            </w:pPr>
            <w:r>
              <w:rPr>
                <w:rFonts w:hint="eastAsia"/>
                <w:color w:val="000000"/>
              </w:rPr>
              <w:t>噪声：主要是各类施工机具工作时产生的噪声，仅发生在施工期间，影响是暂时的，并将随着施工结束而消失。施工单位在施工时必须采取降噪措施，积极推广使用先进的低噪声施工机具、设备和工艺；加强施工机械的维护和保养，合理安排作业时间等，使厂界满足</w:t>
            </w:r>
            <w:r>
              <w:rPr>
                <w:color w:val="000000"/>
              </w:rPr>
              <w:t>《</w:t>
            </w:r>
            <w:r>
              <w:rPr>
                <w:rFonts w:hint="eastAsia"/>
                <w:color w:val="000000"/>
              </w:rPr>
              <w:t>建筑施工噪声排放标准</w:t>
            </w:r>
            <w:r>
              <w:rPr>
                <w:color w:val="000000"/>
              </w:rPr>
              <w:t>》（GB12523-20</w:t>
            </w:r>
            <w:r>
              <w:rPr>
                <w:rFonts w:hint="eastAsia"/>
                <w:color w:val="000000"/>
              </w:rPr>
              <w:t>25</w:t>
            </w:r>
            <w:r>
              <w:rPr>
                <w:color w:val="000000"/>
              </w:rPr>
              <w:t>）</w:t>
            </w:r>
            <w:r>
              <w:rPr>
                <w:rFonts w:hint="eastAsia"/>
                <w:color w:val="000000"/>
              </w:rPr>
              <w:t>限值要求。</w:t>
            </w:r>
          </w:p>
          <w:p w14:paraId="24EBE15F">
            <w:pPr>
              <w:spacing w:line="360" w:lineRule="auto"/>
              <w:ind w:firstLine="420" w:firstLineChars="200"/>
              <w:rPr>
                <w:color w:val="000000"/>
              </w:rPr>
            </w:pPr>
            <w:r>
              <w:rPr>
                <w:rFonts w:hint="eastAsia"/>
                <w:color w:val="000000"/>
              </w:rPr>
              <w:t>生活污水：施工期人员较少，产生的生活污水依托厂区现有生化池处理后，经市政污水管网进入西彭工业园区污水处理厂进一步处理，经过桥头河排入长江。</w:t>
            </w:r>
          </w:p>
          <w:p w14:paraId="1D7834CE">
            <w:pPr>
              <w:spacing w:line="360" w:lineRule="auto"/>
              <w:ind w:firstLine="420" w:firstLineChars="200"/>
              <w:rPr>
                <w:rFonts w:hint="eastAsia"/>
                <w:color w:val="000000"/>
              </w:rPr>
            </w:pPr>
            <w:r>
              <w:rPr>
                <w:rFonts w:hint="eastAsia"/>
                <w:color w:val="000000"/>
              </w:rPr>
              <w:t>经采取以上措施后，施工期的污染物对环境影响较小，环境能够承受。</w:t>
            </w:r>
          </w:p>
        </w:tc>
      </w:tr>
      <w:tr w14:paraId="67211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290" w:type="pct"/>
            <w:noWrap w:val="0"/>
            <w:tcMar>
              <w:left w:w="28" w:type="dxa"/>
              <w:right w:w="28" w:type="dxa"/>
            </w:tcMar>
            <w:vAlign w:val="center"/>
          </w:tcPr>
          <w:p w14:paraId="3CFD789E">
            <w:pPr>
              <w:adjustRightInd w:val="0"/>
              <w:snapToGrid w:val="0"/>
              <w:jc w:val="center"/>
              <w:rPr>
                <w:bCs/>
                <w:color w:val="000000"/>
                <w:szCs w:val="21"/>
              </w:rPr>
            </w:pPr>
            <w:r>
              <w:rPr>
                <w:bCs/>
                <w:color w:val="000000"/>
                <w:szCs w:val="21"/>
              </w:rPr>
              <w:t>运</w:t>
            </w:r>
          </w:p>
          <w:p w14:paraId="05F0C9CD">
            <w:pPr>
              <w:adjustRightInd w:val="0"/>
              <w:snapToGrid w:val="0"/>
              <w:jc w:val="center"/>
              <w:rPr>
                <w:bCs/>
                <w:color w:val="000000"/>
                <w:szCs w:val="21"/>
              </w:rPr>
            </w:pPr>
            <w:r>
              <w:rPr>
                <w:bCs/>
                <w:color w:val="000000"/>
                <w:szCs w:val="21"/>
              </w:rPr>
              <w:t>营</w:t>
            </w:r>
          </w:p>
          <w:p w14:paraId="2D380850">
            <w:pPr>
              <w:adjustRightInd w:val="0"/>
              <w:snapToGrid w:val="0"/>
              <w:jc w:val="center"/>
              <w:rPr>
                <w:bCs/>
                <w:color w:val="000000"/>
                <w:szCs w:val="21"/>
              </w:rPr>
            </w:pPr>
            <w:r>
              <w:rPr>
                <w:bCs/>
                <w:color w:val="000000"/>
                <w:szCs w:val="21"/>
              </w:rPr>
              <w:t>期</w:t>
            </w:r>
          </w:p>
          <w:p w14:paraId="751B72D3">
            <w:pPr>
              <w:adjustRightInd w:val="0"/>
              <w:snapToGrid w:val="0"/>
              <w:jc w:val="center"/>
              <w:rPr>
                <w:bCs/>
                <w:color w:val="000000"/>
                <w:szCs w:val="21"/>
              </w:rPr>
            </w:pPr>
            <w:r>
              <w:rPr>
                <w:bCs/>
                <w:color w:val="000000"/>
                <w:szCs w:val="21"/>
              </w:rPr>
              <w:t>环</w:t>
            </w:r>
          </w:p>
          <w:p w14:paraId="49C00280">
            <w:pPr>
              <w:adjustRightInd w:val="0"/>
              <w:snapToGrid w:val="0"/>
              <w:jc w:val="center"/>
              <w:rPr>
                <w:bCs/>
                <w:color w:val="000000"/>
                <w:szCs w:val="21"/>
              </w:rPr>
            </w:pPr>
            <w:r>
              <w:rPr>
                <w:bCs/>
                <w:color w:val="000000"/>
                <w:szCs w:val="21"/>
              </w:rPr>
              <w:t>境</w:t>
            </w:r>
          </w:p>
          <w:p w14:paraId="63AC72AA">
            <w:pPr>
              <w:adjustRightInd w:val="0"/>
              <w:snapToGrid w:val="0"/>
              <w:jc w:val="center"/>
              <w:rPr>
                <w:bCs/>
                <w:color w:val="000000"/>
                <w:szCs w:val="21"/>
              </w:rPr>
            </w:pPr>
            <w:r>
              <w:rPr>
                <w:bCs/>
                <w:color w:val="000000"/>
                <w:szCs w:val="21"/>
              </w:rPr>
              <w:t>影</w:t>
            </w:r>
          </w:p>
          <w:p w14:paraId="4EA86B16">
            <w:pPr>
              <w:adjustRightInd w:val="0"/>
              <w:snapToGrid w:val="0"/>
              <w:jc w:val="center"/>
              <w:rPr>
                <w:bCs/>
                <w:color w:val="000000"/>
                <w:szCs w:val="21"/>
              </w:rPr>
            </w:pPr>
            <w:r>
              <w:rPr>
                <w:bCs/>
                <w:color w:val="000000"/>
                <w:szCs w:val="21"/>
              </w:rPr>
              <w:t>响</w:t>
            </w:r>
          </w:p>
          <w:p w14:paraId="3FA4059F">
            <w:pPr>
              <w:adjustRightInd w:val="0"/>
              <w:snapToGrid w:val="0"/>
              <w:jc w:val="center"/>
              <w:rPr>
                <w:bCs/>
                <w:color w:val="000000"/>
                <w:szCs w:val="21"/>
              </w:rPr>
            </w:pPr>
            <w:r>
              <w:rPr>
                <w:bCs/>
                <w:color w:val="000000"/>
                <w:szCs w:val="21"/>
              </w:rPr>
              <w:t>和</w:t>
            </w:r>
          </w:p>
          <w:p w14:paraId="737C342B">
            <w:pPr>
              <w:adjustRightInd w:val="0"/>
              <w:snapToGrid w:val="0"/>
              <w:jc w:val="center"/>
              <w:rPr>
                <w:bCs/>
                <w:color w:val="000000"/>
                <w:szCs w:val="21"/>
              </w:rPr>
            </w:pPr>
            <w:r>
              <w:rPr>
                <w:bCs/>
                <w:color w:val="000000"/>
                <w:szCs w:val="21"/>
              </w:rPr>
              <w:t>保</w:t>
            </w:r>
          </w:p>
          <w:p w14:paraId="7CD899E5">
            <w:pPr>
              <w:adjustRightInd w:val="0"/>
              <w:snapToGrid w:val="0"/>
              <w:jc w:val="center"/>
              <w:rPr>
                <w:bCs/>
                <w:color w:val="000000"/>
                <w:szCs w:val="21"/>
              </w:rPr>
            </w:pPr>
            <w:r>
              <w:rPr>
                <w:bCs/>
                <w:color w:val="000000"/>
                <w:szCs w:val="21"/>
              </w:rPr>
              <w:t>护</w:t>
            </w:r>
          </w:p>
          <w:p w14:paraId="4CD7355F">
            <w:pPr>
              <w:adjustRightInd w:val="0"/>
              <w:snapToGrid w:val="0"/>
              <w:jc w:val="center"/>
              <w:rPr>
                <w:bCs/>
                <w:color w:val="000000"/>
                <w:szCs w:val="21"/>
              </w:rPr>
            </w:pPr>
            <w:r>
              <w:rPr>
                <w:bCs/>
                <w:color w:val="000000"/>
                <w:szCs w:val="21"/>
              </w:rPr>
              <w:t>措</w:t>
            </w:r>
          </w:p>
          <w:p w14:paraId="387177BF">
            <w:pPr>
              <w:adjustRightInd w:val="0"/>
              <w:snapToGrid w:val="0"/>
              <w:jc w:val="center"/>
              <w:rPr>
                <w:snapToGrid w:val="0"/>
                <w:color w:val="000000"/>
                <w:sz w:val="30"/>
                <w:szCs w:val="30"/>
              </w:rPr>
            </w:pPr>
            <w:r>
              <w:rPr>
                <w:bCs/>
                <w:color w:val="000000"/>
                <w:szCs w:val="21"/>
              </w:rPr>
              <w:t>施</w:t>
            </w:r>
          </w:p>
        </w:tc>
        <w:tc>
          <w:tcPr>
            <w:tcW w:w="4709" w:type="pct"/>
            <w:noWrap w:val="0"/>
            <w:vAlign w:val="top"/>
          </w:tcPr>
          <w:p w14:paraId="6C6A3BB6">
            <w:pPr>
              <w:spacing w:line="360" w:lineRule="auto"/>
              <w:contextualSpacing/>
              <w:rPr>
                <w:b/>
                <w:color w:val="000000"/>
              </w:rPr>
            </w:pPr>
            <w:r>
              <w:rPr>
                <w:b/>
                <w:color w:val="000000"/>
              </w:rPr>
              <w:t>4.2运营期环境影响和保护措施</w:t>
            </w:r>
          </w:p>
          <w:p w14:paraId="69FAE4AA">
            <w:pPr>
              <w:spacing w:line="360" w:lineRule="auto"/>
              <w:contextualSpacing/>
              <w:rPr>
                <w:b/>
                <w:bCs/>
                <w:color w:val="000000"/>
              </w:rPr>
            </w:pPr>
            <w:bookmarkStart w:id="24" w:name="_Toc95902508"/>
            <w:bookmarkStart w:id="25" w:name="_Toc99551055"/>
            <w:r>
              <w:rPr>
                <w:b/>
                <w:color w:val="000000"/>
              </w:rPr>
              <w:t>4.2.1</w:t>
            </w:r>
            <w:r>
              <w:rPr>
                <w:b/>
                <w:bCs/>
                <w:color w:val="000000"/>
              </w:rPr>
              <w:t>废气</w:t>
            </w:r>
            <w:bookmarkEnd w:id="24"/>
            <w:bookmarkEnd w:id="25"/>
          </w:p>
          <w:p w14:paraId="710284B0">
            <w:pPr>
              <w:spacing w:line="360" w:lineRule="auto"/>
              <w:ind w:firstLine="465"/>
              <w:contextualSpacing/>
              <w:rPr>
                <w:b/>
                <w:bCs/>
                <w:color w:val="000000"/>
              </w:rPr>
            </w:pPr>
            <w:r>
              <w:rPr>
                <w:rFonts w:hint="eastAsia"/>
                <w:b/>
                <w:bCs/>
                <w:color w:val="000000"/>
              </w:rPr>
              <w:t>4.2.1.1废气污染物源强核算</w:t>
            </w:r>
          </w:p>
          <w:p w14:paraId="666648B1">
            <w:pPr>
              <w:spacing w:line="360" w:lineRule="auto"/>
              <w:ind w:firstLine="465"/>
              <w:contextualSpacing/>
              <w:rPr>
                <w:rFonts w:hint="eastAsia"/>
                <w:color w:val="000000"/>
              </w:rPr>
            </w:pPr>
            <w:r>
              <w:rPr>
                <w:rFonts w:hint="eastAsia"/>
                <w:color w:val="000000"/>
              </w:rPr>
              <w:t>根据工程分析，项目产生的废气主要是PVC电缆料液体原料在卸料、储存过程中产生大小呼吸废气G1、G2；PVC电缆料配料过程中产生的少量投料粉尘G3；混料过程中产生的有机废气G4；混炼挤出、切割、风冷产生的有机废气G5；低烟无卤电缆料配料过程中产生的少量配料粉尘G6，密炼过程中产生的有机废气G7；混炼挤出、切割、风冷过程中产生的有机废气G8。</w:t>
            </w:r>
          </w:p>
          <w:p w14:paraId="25291582">
            <w:pPr>
              <w:spacing w:line="360" w:lineRule="auto"/>
              <w:ind w:firstLine="465"/>
              <w:contextualSpacing/>
              <w:rPr>
                <w:color w:val="000000"/>
              </w:rPr>
            </w:pPr>
            <w:r>
              <w:rPr>
                <w:rFonts w:hint="eastAsia"/>
                <w:color w:val="000000"/>
              </w:rPr>
              <w:t>1.PVC电缆料生产过程产生废气源强类比分析</w:t>
            </w:r>
          </w:p>
          <w:p w14:paraId="263355AA">
            <w:pPr>
              <w:spacing w:line="360" w:lineRule="auto"/>
              <w:ind w:firstLine="465"/>
              <w:contextualSpacing/>
              <w:rPr>
                <w:color w:val="000000"/>
              </w:rPr>
            </w:pPr>
            <w:r>
              <w:rPr>
                <w:rFonts w:hint="eastAsia"/>
                <w:color w:val="000000"/>
              </w:rPr>
              <w:t>本项目各生产线产生的颗粒物、非甲烷总烃，通过类比其他项目验收监测报告计算出源强。类比《宜宾天亿新材料科技有限公司年产4.5万吨PVC电线电缆粒料建设项目(实际产能:年产3.5万吨PVC电线电缆粒)竣工环境保护验收监测报告表》（类比项目1，网址：https://www.eiacloud.com/gs/detail/2?id=41209a7vAr）、《芜湖大成电缆有限公司年产700吨环保型PVC电缆料项目阶段性竣工环境保护验收监测报告表》（类比项目2，网址：https://www.eiacloud.com/gs/detail/2?id=410193Xf51）及《晋州郁超电缆辅料有限公司年生产400吨PVC塑料颗粒生产线项目验收监测报告》（类比项目3，网址：https://www.eiacloud.com/gs/detail/2?id=512177nJP5）等3个项目，类比项目与本项目生产工艺基本一致，主要原料一致，辅料（增塑、稳定等功能）有所区别，3个类比项目辅料从多到少都有选择，具有可比性。详见表4-1及表4-2：</w:t>
            </w:r>
          </w:p>
          <w:p w14:paraId="4DB72949">
            <w:pPr>
              <w:adjustRightInd w:val="0"/>
              <w:snapToGrid w:val="0"/>
              <w:jc w:val="center"/>
              <w:rPr>
                <w:b/>
                <w:color w:val="000000"/>
              </w:rPr>
            </w:pPr>
            <w:r>
              <w:rPr>
                <w:rFonts w:hint="eastAsia"/>
                <w:b/>
                <w:color w:val="000000"/>
              </w:rPr>
              <w:t>表4-1 本项目PVC电缆料与类比项目的类比可行分析一览表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457"/>
              <w:gridCol w:w="1370"/>
              <w:gridCol w:w="1443"/>
              <w:gridCol w:w="1370"/>
              <w:gridCol w:w="1370"/>
            </w:tblGrid>
            <w:tr w14:paraId="3B5E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noWrap w:val="0"/>
                  <w:vAlign w:val="center"/>
                </w:tcPr>
                <w:p w14:paraId="4038CCF8">
                  <w:pPr>
                    <w:adjustRightInd w:val="0"/>
                    <w:snapToGrid w:val="0"/>
                    <w:contextualSpacing/>
                    <w:jc w:val="center"/>
                    <w:rPr>
                      <w:rFonts w:hint="eastAsia"/>
                      <w:b/>
                      <w:bCs/>
                      <w:color w:val="000000"/>
                      <w:sz w:val="21"/>
                      <w:szCs w:val="21"/>
                    </w:rPr>
                  </w:pPr>
                  <w:r>
                    <w:rPr>
                      <w:rFonts w:hint="eastAsia"/>
                      <w:b/>
                      <w:bCs/>
                      <w:color w:val="000000"/>
                      <w:sz w:val="21"/>
                      <w:szCs w:val="21"/>
                    </w:rPr>
                    <w:t>类比内容</w:t>
                  </w:r>
                </w:p>
              </w:tc>
              <w:tc>
                <w:tcPr>
                  <w:tcW w:w="1457" w:type="dxa"/>
                  <w:noWrap w:val="0"/>
                  <w:vAlign w:val="center"/>
                </w:tcPr>
                <w:p w14:paraId="46846D4C">
                  <w:pPr>
                    <w:adjustRightInd w:val="0"/>
                    <w:snapToGrid w:val="0"/>
                    <w:contextualSpacing/>
                    <w:jc w:val="center"/>
                    <w:rPr>
                      <w:b/>
                      <w:bCs/>
                      <w:color w:val="000000"/>
                      <w:sz w:val="21"/>
                      <w:szCs w:val="21"/>
                    </w:rPr>
                  </w:pPr>
                  <w:r>
                    <w:rPr>
                      <w:rFonts w:hint="eastAsia"/>
                      <w:b/>
                      <w:bCs/>
                      <w:color w:val="000000"/>
                      <w:sz w:val="21"/>
                      <w:szCs w:val="21"/>
                    </w:rPr>
                    <w:t>类比项目1</w:t>
                  </w:r>
                </w:p>
              </w:tc>
              <w:tc>
                <w:tcPr>
                  <w:tcW w:w="1370" w:type="dxa"/>
                  <w:noWrap w:val="0"/>
                  <w:vAlign w:val="center"/>
                </w:tcPr>
                <w:p w14:paraId="3BD77B2B">
                  <w:pPr>
                    <w:adjustRightInd w:val="0"/>
                    <w:snapToGrid w:val="0"/>
                    <w:contextualSpacing/>
                    <w:jc w:val="center"/>
                    <w:rPr>
                      <w:b/>
                      <w:bCs/>
                      <w:color w:val="000000"/>
                      <w:sz w:val="21"/>
                      <w:szCs w:val="21"/>
                    </w:rPr>
                  </w:pPr>
                  <w:r>
                    <w:rPr>
                      <w:rFonts w:hint="eastAsia"/>
                      <w:b/>
                      <w:bCs/>
                      <w:color w:val="000000"/>
                      <w:sz w:val="21"/>
                      <w:szCs w:val="21"/>
                    </w:rPr>
                    <w:t>类比项目2</w:t>
                  </w:r>
                </w:p>
              </w:tc>
              <w:tc>
                <w:tcPr>
                  <w:tcW w:w="1443" w:type="dxa"/>
                  <w:noWrap w:val="0"/>
                  <w:vAlign w:val="center"/>
                </w:tcPr>
                <w:p w14:paraId="25902FBB">
                  <w:pPr>
                    <w:adjustRightInd w:val="0"/>
                    <w:snapToGrid w:val="0"/>
                    <w:contextualSpacing/>
                    <w:jc w:val="center"/>
                    <w:rPr>
                      <w:b/>
                      <w:bCs/>
                      <w:color w:val="000000"/>
                      <w:sz w:val="21"/>
                      <w:szCs w:val="21"/>
                    </w:rPr>
                  </w:pPr>
                  <w:r>
                    <w:rPr>
                      <w:rFonts w:hint="eastAsia"/>
                      <w:b/>
                      <w:bCs/>
                      <w:color w:val="000000"/>
                      <w:sz w:val="21"/>
                      <w:szCs w:val="21"/>
                    </w:rPr>
                    <w:t>类比项目3</w:t>
                  </w:r>
                </w:p>
              </w:tc>
              <w:tc>
                <w:tcPr>
                  <w:tcW w:w="1370" w:type="dxa"/>
                  <w:noWrap w:val="0"/>
                  <w:vAlign w:val="center"/>
                </w:tcPr>
                <w:p w14:paraId="7FDE3AAB">
                  <w:pPr>
                    <w:adjustRightInd w:val="0"/>
                    <w:snapToGrid w:val="0"/>
                    <w:contextualSpacing/>
                    <w:jc w:val="center"/>
                    <w:rPr>
                      <w:rFonts w:hint="eastAsia"/>
                      <w:b/>
                      <w:bCs/>
                      <w:color w:val="000000"/>
                      <w:sz w:val="21"/>
                      <w:szCs w:val="21"/>
                    </w:rPr>
                  </w:pPr>
                  <w:r>
                    <w:rPr>
                      <w:rFonts w:hint="eastAsia"/>
                      <w:b/>
                      <w:bCs/>
                      <w:color w:val="000000"/>
                      <w:sz w:val="21"/>
                      <w:szCs w:val="21"/>
                    </w:rPr>
                    <w:t>本项目</w:t>
                  </w:r>
                </w:p>
              </w:tc>
              <w:tc>
                <w:tcPr>
                  <w:tcW w:w="1370" w:type="dxa"/>
                  <w:noWrap w:val="0"/>
                  <w:vAlign w:val="center"/>
                </w:tcPr>
                <w:p w14:paraId="12B74C5D">
                  <w:pPr>
                    <w:adjustRightInd w:val="0"/>
                    <w:snapToGrid w:val="0"/>
                    <w:contextualSpacing/>
                    <w:jc w:val="center"/>
                    <w:rPr>
                      <w:rFonts w:hint="eastAsia"/>
                      <w:b/>
                      <w:bCs/>
                      <w:color w:val="000000"/>
                      <w:sz w:val="21"/>
                      <w:szCs w:val="21"/>
                    </w:rPr>
                  </w:pPr>
                  <w:r>
                    <w:rPr>
                      <w:rFonts w:hint="eastAsia"/>
                      <w:b/>
                      <w:bCs/>
                      <w:color w:val="000000"/>
                      <w:sz w:val="21"/>
                      <w:szCs w:val="21"/>
                    </w:rPr>
                    <w:t>类比性</w:t>
                  </w:r>
                </w:p>
              </w:tc>
            </w:tr>
            <w:tr w14:paraId="6786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noWrap w:val="0"/>
                  <w:vAlign w:val="center"/>
                </w:tcPr>
                <w:p w14:paraId="372582A1">
                  <w:pPr>
                    <w:adjustRightInd w:val="0"/>
                    <w:snapToGrid w:val="0"/>
                    <w:contextualSpacing/>
                    <w:jc w:val="center"/>
                    <w:rPr>
                      <w:rFonts w:hint="eastAsia"/>
                      <w:color w:val="000000"/>
                      <w:sz w:val="21"/>
                      <w:szCs w:val="21"/>
                    </w:rPr>
                  </w:pPr>
                  <w:r>
                    <w:rPr>
                      <w:rFonts w:hint="eastAsia"/>
                      <w:color w:val="000000"/>
                      <w:sz w:val="21"/>
                      <w:szCs w:val="21"/>
                    </w:rPr>
                    <w:t>产品</w:t>
                  </w:r>
                </w:p>
              </w:tc>
              <w:tc>
                <w:tcPr>
                  <w:tcW w:w="1457" w:type="dxa"/>
                  <w:noWrap w:val="0"/>
                  <w:vAlign w:val="center"/>
                </w:tcPr>
                <w:p w14:paraId="2B421174">
                  <w:pPr>
                    <w:adjustRightInd w:val="0"/>
                    <w:snapToGrid w:val="0"/>
                    <w:contextualSpacing/>
                    <w:jc w:val="center"/>
                    <w:rPr>
                      <w:color w:val="000000"/>
                      <w:sz w:val="21"/>
                      <w:szCs w:val="21"/>
                    </w:rPr>
                  </w:pPr>
                  <w:r>
                    <w:rPr>
                      <w:rFonts w:hint="eastAsia"/>
                      <w:color w:val="000000"/>
                      <w:sz w:val="21"/>
                      <w:szCs w:val="21"/>
                    </w:rPr>
                    <w:t>PVC电缆料</w:t>
                  </w:r>
                </w:p>
              </w:tc>
              <w:tc>
                <w:tcPr>
                  <w:tcW w:w="1370" w:type="dxa"/>
                  <w:noWrap w:val="0"/>
                  <w:vAlign w:val="center"/>
                </w:tcPr>
                <w:p w14:paraId="7CBE034E">
                  <w:pPr>
                    <w:adjustRightInd w:val="0"/>
                    <w:snapToGrid w:val="0"/>
                    <w:contextualSpacing/>
                    <w:jc w:val="center"/>
                    <w:rPr>
                      <w:rFonts w:hint="eastAsia"/>
                      <w:color w:val="000000"/>
                      <w:sz w:val="21"/>
                      <w:szCs w:val="21"/>
                    </w:rPr>
                  </w:pPr>
                  <w:r>
                    <w:rPr>
                      <w:rFonts w:hint="eastAsia"/>
                      <w:color w:val="000000"/>
                      <w:sz w:val="21"/>
                      <w:szCs w:val="21"/>
                    </w:rPr>
                    <w:t>PVC电缆料</w:t>
                  </w:r>
                </w:p>
              </w:tc>
              <w:tc>
                <w:tcPr>
                  <w:tcW w:w="1443" w:type="dxa"/>
                  <w:noWrap w:val="0"/>
                  <w:vAlign w:val="center"/>
                </w:tcPr>
                <w:p w14:paraId="79199925">
                  <w:pPr>
                    <w:adjustRightInd w:val="0"/>
                    <w:snapToGrid w:val="0"/>
                    <w:contextualSpacing/>
                    <w:jc w:val="center"/>
                    <w:rPr>
                      <w:rFonts w:hint="eastAsia"/>
                      <w:color w:val="000000"/>
                      <w:sz w:val="21"/>
                      <w:szCs w:val="21"/>
                    </w:rPr>
                  </w:pPr>
                  <w:r>
                    <w:rPr>
                      <w:rFonts w:hint="eastAsia"/>
                      <w:color w:val="000000"/>
                      <w:sz w:val="21"/>
                      <w:szCs w:val="21"/>
                    </w:rPr>
                    <w:t>PVC电缆料</w:t>
                  </w:r>
                </w:p>
              </w:tc>
              <w:tc>
                <w:tcPr>
                  <w:tcW w:w="1370" w:type="dxa"/>
                  <w:noWrap w:val="0"/>
                  <w:vAlign w:val="center"/>
                </w:tcPr>
                <w:p w14:paraId="6315EAC0">
                  <w:pPr>
                    <w:adjustRightInd w:val="0"/>
                    <w:snapToGrid w:val="0"/>
                    <w:contextualSpacing/>
                    <w:jc w:val="center"/>
                    <w:rPr>
                      <w:rFonts w:hint="eastAsia"/>
                      <w:color w:val="000000"/>
                      <w:sz w:val="21"/>
                      <w:szCs w:val="21"/>
                    </w:rPr>
                  </w:pPr>
                  <w:r>
                    <w:rPr>
                      <w:rFonts w:hint="eastAsia"/>
                      <w:color w:val="000000"/>
                      <w:sz w:val="21"/>
                      <w:szCs w:val="21"/>
                    </w:rPr>
                    <w:t>PVC电缆料</w:t>
                  </w:r>
                </w:p>
              </w:tc>
              <w:tc>
                <w:tcPr>
                  <w:tcW w:w="1370" w:type="dxa"/>
                  <w:noWrap w:val="0"/>
                  <w:vAlign w:val="center"/>
                </w:tcPr>
                <w:p w14:paraId="0842C0A5">
                  <w:pPr>
                    <w:adjustRightInd w:val="0"/>
                    <w:snapToGrid w:val="0"/>
                    <w:contextualSpacing/>
                    <w:jc w:val="center"/>
                    <w:rPr>
                      <w:rFonts w:hint="eastAsia"/>
                      <w:color w:val="000000"/>
                      <w:sz w:val="21"/>
                      <w:szCs w:val="21"/>
                    </w:rPr>
                  </w:pPr>
                  <w:r>
                    <w:rPr>
                      <w:rFonts w:hint="eastAsia"/>
                      <w:color w:val="000000"/>
                      <w:sz w:val="21"/>
                      <w:szCs w:val="21"/>
                    </w:rPr>
                    <w:t>一致</w:t>
                  </w:r>
                </w:p>
              </w:tc>
            </w:tr>
            <w:tr w14:paraId="3EDB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noWrap w:val="0"/>
                  <w:vAlign w:val="center"/>
                </w:tcPr>
                <w:p w14:paraId="1E38701B">
                  <w:pPr>
                    <w:adjustRightInd w:val="0"/>
                    <w:snapToGrid w:val="0"/>
                    <w:contextualSpacing/>
                    <w:jc w:val="center"/>
                    <w:rPr>
                      <w:rFonts w:hint="eastAsia"/>
                      <w:color w:val="000000"/>
                      <w:sz w:val="21"/>
                      <w:szCs w:val="21"/>
                    </w:rPr>
                  </w:pPr>
                  <w:r>
                    <w:rPr>
                      <w:rFonts w:hint="eastAsia"/>
                      <w:color w:val="000000"/>
                      <w:sz w:val="21"/>
                      <w:szCs w:val="21"/>
                    </w:rPr>
                    <w:t>原料</w:t>
                  </w:r>
                </w:p>
              </w:tc>
              <w:tc>
                <w:tcPr>
                  <w:tcW w:w="1457" w:type="dxa"/>
                  <w:noWrap w:val="0"/>
                  <w:vAlign w:val="center"/>
                </w:tcPr>
                <w:p w14:paraId="75E10EDE">
                  <w:pPr>
                    <w:adjustRightInd w:val="0"/>
                    <w:snapToGrid w:val="0"/>
                    <w:contextualSpacing/>
                    <w:jc w:val="center"/>
                    <w:rPr>
                      <w:rFonts w:hint="eastAsia"/>
                      <w:color w:val="000000"/>
                      <w:sz w:val="21"/>
                      <w:szCs w:val="21"/>
                    </w:rPr>
                  </w:pPr>
                  <w:r>
                    <w:rPr>
                      <w:rFonts w:hint="eastAsia"/>
                      <w:color w:val="000000"/>
                      <w:sz w:val="21"/>
                      <w:szCs w:val="21"/>
                    </w:rPr>
                    <w:t>PVC树脂(SG-5)、PVC树脂(SG-3)、轻质碳酸钙、PVC用高电性煅烧高岭土、超细重质碳酸钙、增塑剂DOTP、增塑剂DOP、增塑剂DINP、增塑剂ESO、无尘复合稳定剂、聚乙烯蜡(T100)、双酚A、PVC色粉、稳定剂HT7893、HSt(硬脂酸)T100)、固体增塑剂B-02、色浆</w:t>
                  </w:r>
                </w:p>
              </w:tc>
              <w:tc>
                <w:tcPr>
                  <w:tcW w:w="1370" w:type="dxa"/>
                  <w:noWrap w:val="0"/>
                  <w:vAlign w:val="center"/>
                </w:tcPr>
                <w:p w14:paraId="5856A8A7">
                  <w:pPr>
                    <w:adjustRightInd w:val="0"/>
                    <w:snapToGrid w:val="0"/>
                    <w:contextualSpacing/>
                    <w:jc w:val="center"/>
                    <w:rPr>
                      <w:color w:val="000000"/>
                      <w:sz w:val="21"/>
                      <w:szCs w:val="21"/>
                    </w:rPr>
                  </w:pPr>
                  <w:r>
                    <w:rPr>
                      <w:rFonts w:hint="eastAsia" w:hAnsi="宋体"/>
                      <w:bCs/>
                      <w:color w:val="000000"/>
                      <w:sz w:val="21"/>
                      <w:szCs w:val="21"/>
                    </w:rPr>
                    <w:t>聚氯乙烯树脂（PVC树脂）、DOP（邻苯二甲酸二辛酯）、DOTP、碳酸钙、复合稳定剂、石蜡、陶土、阻燃剂（三氧化锑）、着色剂</w:t>
                  </w:r>
                </w:p>
              </w:tc>
              <w:tc>
                <w:tcPr>
                  <w:tcW w:w="1443" w:type="dxa"/>
                  <w:noWrap w:val="0"/>
                  <w:vAlign w:val="center"/>
                </w:tcPr>
                <w:p w14:paraId="21240CCE">
                  <w:pPr>
                    <w:adjustRightInd w:val="0"/>
                    <w:snapToGrid w:val="0"/>
                    <w:contextualSpacing/>
                    <w:jc w:val="center"/>
                    <w:rPr>
                      <w:rFonts w:hint="eastAsia"/>
                      <w:color w:val="000000"/>
                      <w:sz w:val="21"/>
                      <w:szCs w:val="21"/>
                    </w:rPr>
                  </w:pPr>
                  <w:r>
                    <w:rPr>
                      <w:rFonts w:hint="eastAsia"/>
                      <w:color w:val="000000"/>
                      <w:sz w:val="21"/>
                      <w:szCs w:val="21"/>
                    </w:rPr>
                    <w:t>PVC树脂、DOP增塑剂、润滑剂、碳酸钙</w:t>
                  </w:r>
                </w:p>
              </w:tc>
              <w:tc>
                <w:tcPr>
                  <w:tcW w:w="1370" w:type="dxa"/>
                  <w:noWrap w:val="0"/>
                  <w:vAlign w:val="center"/>
                </w:tcPr>
                <w:p w14:paraId="6CB40A78">
                  <w:pPr>
                    <w:adjustRightInd w:val="0"/>
                    <w:snapToGrid w:val="0"/>
                    <w:contextualSpacing/>
                    <w:jc w:val="center"/>
                    <w:rPr>
                      <w:rFonts w:hint="eastAsia"/>
                      <w:color w:val="000000"/>
                      <w:sz w:val="21"/>
                      <w:szCs w:val="21"/>
                    </w:rPr>
                  </w:pPr>
                  <w:r>
                    <w:rPr>
                      <w:rFonts w:hint="eastAsia"/>
                      <w:color w:val="000000"/>
                      <w:sz w:val="21"/>
                      <w:szCs w:val="21"/>
                    </w:rPr>
                    <w:t>PVC树脂粉、碳酸钙、高岭土、ESO环氧大豆油、氯化石蜡、TOTM、DOTP、</w:t>
                  </w:r>
                </w:p>
                <w:p w14:paraId="303F6E14">
                  <w:pPr>
                    <w:adjustRightInd w:val="0"/>
                    <w:snapToGrid w:val="0"/>
                    <w:contextualSpacing/>
                    <w:jc w:val="center"/>
                    <w:rPr>
                      <w:rFonts w:hint="eastAsia"/>
                      <w:color w:val="000000"/>
                      <w:sz w:val="21"/>
                      <w:szCs w:val="21"/>
                    </w:rPr>
                  </w:pPr>
                  <w:r>
                    <w:rPr>
                      <w:rFonts w:hint="eastAsia"/>
                      <w:color w:val="000000"/>
                      <w:sz w:val="21"/>
                      <w:szCs w:val="21"/>
                    </w:rPr>
                    <w:t>DOA、DOS、颜料、Sb</w:t>
                  </w:r>
                  <w:r>
                    <w:rPr>
                      <w:rFonts w:hint="eastAsia"/>
                      <w:color w:val="000000"/>
                      <w:sz w:val="21"/>
                      <w:szCs w:val="21"/>
                      <w:vertAlign w:val="subscript"/>
                    </w:rPr>
                    <w:t>2</w:t>
                  </w:r>
                  <w:r>
                    <w:rPr>
                      <w:rFonts w:hint="eastAsia"/>
                      <w:color w:val="000000"/>
                      <w:sz w:val="21"/>
                      <w:szCs w:val="21"/>
                    </w:rPr>
                    <w:t>O</w:t>
                  </w:r>
                  <w:r>
                    <w:rPr>
                      <w:rFonts w:hint="eastAsia"/>
                      <w:color w:val="000000"/>
                      <w:sz w:val="21"/>
                      <w:szCs w:val="21"/>
                      <w:vertAlign w:val="subscript"/>
                    </w:rPr>
                    <w:t>3</w:t>
                  </w:r>
                  <w:r>
                    <w:rPr>
                      <w:rFonts w:hint="eastAsia"/>
                      <w:color w:val="000000"/>
                      <w:sz w:val="21"/>
                      <w:szCs w:val="21"/>
                    </w:rPr>
                    <w:t>、硼酸锌、稳定剂</w:t>
                  </w:r>
                </w:p>
              </w:tc>
              <w:tc>
                <w:tcPr>
                  <w:tcW w:w="1370" w:type="dxa"/>
                  <w:noWrap w:val="0"/>
                  <w:vAlign w:val="center"/>
                </w:tcPr>
                <w:p w14:paraId="04316EE4">
                  <w:pPr>
                    <w:adjustRightInd w:val="0"/>
                    <w:snapToGrid w:val="0"/>
                    <w:contextualSpacing/>
                    <w:jc w:val="center"/>
                    <w:rPr>
                      <w:rFonts w:hint="eastAsia"/>
                      <w:color w:val="000000"/>
                      <w:sz w:val="21"/>
                      <w:szCs w:val="21"/>
                    </w:rPr>
                  </w:pPr>
                  <w:r>
                    <w:rPr>
                      <w:rFonts w:hint="eastAsia"/>
                      <w:color w:val="000000"/>
                      <w:sz w:val="21"/>
                      <w:szCs w:val="21"/>
                    </w:rPr>
                    <w:t>主要原辅料一致</w:t>
                  </w:r>
                </w:p>
              </w:tc>
            </w:tr>
            <w:tr w14:paraId="45A4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noWrap w:val="0"/>
                  <w:vAlign w:val="center"/>
                </w:tcPr>
                <w:p w14:paraId="6FB98DB4">
                  <w:pPr>
                    <w:adjustRightInd w:val="0"/>
                    <w:snapToGrid w:val="0"/>
                    <w:contextualSpacing/>
                    <w:jc w:val="center"/>
                    <w:rPr>
                      <w:color w:val="000000"/>
                      <w:sz w:val="21"/>
                      <w:szCs w:val="21"/>
                    </w:rPr>
                  </w:pPr>
                  <w:r>
                    <w:rPr>
                      <w:rFonts w:hint="eastAsia"/>
                      <w:color w:val="000000"/>
                      <w:sz w:val="21"/>
                      <w:szCs w:val="21"/>
                    </w:rPr>
                    <w:t>生产工艺</w:t>
                  </w:r>
                </w:p>
              </w:tc>
              <w:tc>
                <w:tcPr>
                  <w:tcW w:w="1457" w:type="dxa"/>
                  <w:noWrap w:val="0"/>
                  <w:vAlign w:val="center"/>
                </w:tcPr>
                <w:p w14:paraId="47E4DDFA">
                  <w:pPr>
                    <w:adjustRightInd w:val="0"/>
                    <w:snapToGrid w:val="0"/>
                    <w:contextualSpacing/>
                    <w:jc w:val="center"/>
                    <w:rPr>
                      <w:color w:val="000000"/>
                      <w:sz w:val="21"/>
                      <w:szCs w:val="21"/>
                    </w:rPr>
                  </w:pPr>
                  <w:r>
                    <w:rPr>
                      <w:rFonts w:hint="eastAsia"/>
                      <w:color w:val="000000"/>
                      <w:sz w:val="21"/>
                      <w:szCs w:val="21"/>
                    </w:rPr>
                    <w:t>配料混料-挤出、风冷切粒-多级风冷振动筛选-包装</w:t>
                  </w:r>
                </w:p>
              </w:tc>
              <w:tc>
                <w:tcPr>
                  <w:tcW w:w="1370" w:type="dxa"/>
                  <w:noWrap w:val="0"/>
                  <w:vAlign w:val="center"/>
                </w:tcPr>
                <w:p w14:paraId="5E29DE5C">
                  <w:pPr>
                    <w:adjustRightInd w:val="0"/>
                    <w:snapToGrid w:val="0"/>
                    <w:contextualSpacing/>
                    <w:jc w:val="center"/>
                    <w:rPr>
                      <w:color w:val="000000"/>
                      <w:sz w:val="21"/>
                      <w:szCs w:val="21"/>
                    </w:rPr>
                  </w:pPr>
                  <w:r>
                    <w:rPr>
                      <w:rFonts w:hint="eastAsia"/>
                      <w:color w:val="000000"/>
                      <w:sz w:val="21"/>
                      <w:szCs w:val="21"/>
                    </w:rPr>
                    <w:t>投料、搅拌-卸料-热熔、挤出、切粒-风冷-包装</w:t>
                  </w:r>
                </w:p>
              </w:tc>
              <w:tc>
                <w:tcPr>
                  <w:tcW w:w="1443" w:type="dxa"/>
                  <w:noWrap w:val="0"/>
                  <w:vAlign w:val="center"/>
                </w:tcPr>
                <w:p w14:paraId="626EC679">
                  <w:pPr>
                    <w:adjustRightInd w:val="0"/>
                    <w:snapToGrid w:val="0"/>
                    <w:contextualSpacing/>
                    <w:jc w:val="center"/>
                    <w:rPr>
                      <w:color w:val="000000"/>
                      <w:sz w:val="21"/>
                      <w:szCs w:val="21"/>
                    </w:rPr>
                  </w:pPr>
                  <w:r>
                    <w:rPr>
                      <w:rFonts w:hint="eastAsia"/>
                      <w:color w:val="000000"/>
                      <w:sz w:val="21"/>
                      <w:szCs w:val="21"/>
                    </w:rPr>
                    <w:t>混料-挤出-造料-风冷</w:t>
                  </w:r>
                </w:p>
              </w:tc>
              <w:tc>
                <w:tcPr>
                  <w:tcW w:w="1370" w:type="dxa"/>
                  <w:noWrap w:val="0"/>
                  <w:vAlign w:val="center"/>
                </w:tcPr>
                <w:p w14:paraId="62DD6E29">
                  <w:pPr>
                    <w:adjustRightInd w:val="0"/>
                    <w:snapToGrid w:val="0"/>
                    <w:contextualSpacing/>
                    <w:jc w:val="center"/>
                    <w:rPr>
                      <w:rFonts w:hint="eastAsia"/>
                      <w:color w:val="000000"/>
                      <w:sz w:val="21"/>
                      <w:szCs w:val="21"/>
                    </w:rPr>
                  </w:pPr>
                  <w:r>
                    <w:rPr>
                      <w:rFonts w:hint="eastAsia"/>
                      <w:color w:val="000000"/>
                      <w:sz w:val="21"/>
                      <w:szCs w:val="21"/>
                    </w:rPr>
                    <w:t>投料、配料-混料-混炼挤出-切割-风冷-筛选-计量-包装</w:t>
                  </w:r>
                </w:p>
              </w:tc>
              <w:tc>
                <w:tcPr>
                  <w:tcW w:w="1370" w:type="dxa"/>
                  <w:noWrap w:val="0"/>
                  <w:vAlign w:val="center"/>
                </w:tcPr>
                <w:p w14:paraId="7FD8B3FB">
                  <w:pPr>
                    <w:adjustRightInd w:val="0"/>
                    <w:snapToGrid w:val="0"/>
                    <w:contextualSpacing/>
                    <w:jc w:val="center"/>
                    <w:rPr>
                      <w:rFonts w:hint="eastAsia"/>
                      <w:color w:val="000000"/>
                      <w:sz w:val="21"/>
                      <w:szCs w:val="21"/>
                    </w:rPr>
                  </w:pPr>
                  <w:r>
                    <w:rPr>
                      <w:rFonts w:hint="eastAsia"/>
                      <w:color w:val="000000"/>
                      <w:sz w:val="21"/>
                      <w:szCs w:val="21"/>
                    </w:rPr>
                    <w:t>基本一致</w:t>
                  </w:r>
                </w:p>
              </w:tc>
            </w:tr>
            <w:tr w14:paraId="76B7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noWrap w:val="0"/>
                  <w:vAlign w:val="center"/>
                </w:tcPr>
                <w:p w14:paraId="63F2DDE5">
                  <w:pPr>
                    <w:adjustRightInd w:val="0"/>
                    <w:snapToGrid w:val="0"/>
                    <w:contextualSpacing/>
                    <w:jc w:val="center"/>
                    <w:rPr>
                      <w:rFonts w:hint="eastAsia"/>
                      <w:color w:val="000000"/>
                      <w:sz w:val="21"/>
                      <w:szCs w:val="21"/>
                    </w:rPr>
                  </w:pPr>
                  <w:r>
                    <w:rPr>
                      <w:rFonts w:hint="eastAsia"/>
                      <w:color w:val="000000"/>
                      <w:sz w:val="21"/>
                      <w:szCs w:val="21"/>
                    </w:rPr>
                    <w:t>工艺控制</w:t>
                  </w:r>
                </w:p>
              </w:tc>
              <w:tc>
                <w:tcPr>
                  <w:tcW w:w="1457" w:type="dxa"/>
                  <w:noWrap w:val="0"/>
                  <w:vAlign w:val="center"/>
                </w:tcPr>
                <w:p w14:paraId="0D4202CD">
                  <w:pPr>
                    <w:adjustRightInd w:val="0"/>
                    <w:snapToGrid w:val="0"/>
                    <w:contextualSpacing/>
                    <w:jc w:val="center"/>
                    <w:rPr>
                      <w:color w:val="000000"/>
                      <w:sz w:val="21"/>
                      <w:szCs w:val="21"/>
                    </w:rPr>
                  </w:pPr>
                  <w:r>
                    <w:rPr>
                      <w:rFonts w:hint="eastAsia"/>
                      <w:color w:val="000000"/>
                      <w:sz w:val="21"/>
                      <w:szCs w:val="21"/>
                    </w:rPr>
                    <w:t>挤出温度160-170℃</w:t>
                  </w:r>
                </w:p>
              </w:tc>
              <w:tc>
                <w:tcPr>
                  <w:tcW w:w="1370" w:type="dxa"/>
                  <w:noWrap w:val="0"/>
                  <w:vAlign w:val="center"/>
                </w:tcPr>
                <w:p w14:paraId="0B954FD4">
                  <w:pPr>
                    <w:adjustRightInd w:val="0"/>
                    <w:snapToGrid w:val="0"/>
                    <w:contextualSpacing/>
                    <w:jc w:val="center"/>
                    <w:rPr>
                      <w:rFonts w:hint="eastAsia"/>
                      <w:color w:val="000000"/>
                      <w:sz w:val="21"/>
                      <w:szCs w:val="21"/>
                    </w:rPr>
                  </w:pPr>
                  <w:r>
                    <w:rPr>
                      <w:rFonts w:hint="eastAsia"/>
                      <w:color w:val="000000"/>
                      <w:sz w:val="21"/>
                      <w:szCs w:val="21"/>
                    </w:rPr>
                    <w:t>挤出温度95-150℃</w:t>
                  </w:r>
                </w:p>
              </w:tc>
              <w:tc>
                <w:tcPr>
                  <w:tcW w:w="1443" w:type="dxa"/>
                  <w:noWrap w:val="0"/>
                  <w:vAlign w:val="center"/>
                </w:tcPr>
                <w:p w14:paraId="54EFB8C4">
                  <w:pPr>
                    <w:adjustRightInd w:val="0"/>
                    <w:snapToGrid w:val="0"/>
                    <w:contextualSpacing/>
                    <w:jc w:val="center"/>
                    <w:rPr>
                      <w:color w:val="000000"/>
                      <w:sz w:val="21"/>
                      <w:szCs w:val="21"/>
                    </w:rPr>
                  </w:pPr>
                  <w:r>
                    <w:rPr>
                      <w:rFonts w:hint="eastAsia"/>
                      <w:color w:val="000000"/>
                      <w:sz w:val="21"/>
                      <w:szCs w:val="21"/>
                    </w:rPr>
                    <w:t>挤出温度170℃左右</w:t>
                  </w:r>
                </w:p>
              </w:tc>
              <w:tc>
                <w:tcPr>
                  <w:tcW w:w="1370" w:type="dxa"/>
                  <w:noWrap w:val="0"/>
                  <w:vAlign w:val="center"/>
                </w:tcPr>
                <w:p w14:paraId="211EF4DE">
                  <w:pPr>
                    <w:adjustRightInd w:val="0"/>
                    <w:snapToGrid w:val="0"/>
                    <w:contextualSpacing/>
                    <w:jc w:val="center"/>
                    <w:rPr>
                      <w:rFonts w:hint="eastAsia"/>
                      <w:color w:val="000000"/>
                      <w:sz w:val="21"/>
                      <w:szCs w:val="21"/>
                    </w:rPr>
                  </w:pPr>
                  <w:r>
                    <w:rPr>
                      <w:rFonts w:hint="eastAsia"/>
                      <w:color w:val="000000"/>
                      <w:sz w:val="21"/>
                      <w:szCs w:val="21"/>
                    </w:rPr>
                    <w:t>挤出温度130~150℃</w:t>
                  </w:r>
                </w:p>
              </w:tc>
              <w:tc>
                <w:tcPr>
                  <w:tcW w:w="1370" w:type="dxa"/>
                  <w:noWrap w:val="0"/>
                  <w:vAlign w:val="center"/>
                </w:tcPr>
                <w:p w14:paraId="1ABF6BD1">
                  <w:pPr>
                    <w:adjustRightInd w:val="0"/>
                    <w:snapToGrid w:val="0"/>
                    <w:contextualSpacing/>
                    <w:jc w:val="center"/>
                    <w:rPr>
                      <w:rFonts w:hint="eastAsia"/>
                      <w:color w:val="000000"/>
                      <w:sz w:val="21"/>
                      <w:szCs w:val="21"/>
                    </w:rPr>
                  </w:pPr>
                  <w:r>
                    <w:rPr>
                      <w:rFonts w:hint="eastAsia"/>
                      <w:color w:val="000000"/>
                      <w:sz w:val="21"/>
                      <w:szCs w:val="21"/>
                    </w:rPr>
                    <w:t>基本一致</w:t>
                  </w:r>
                </w:p>
              </w:tc>
            </w:tr>
          </w:tbl>
          <w:p w14:paraId="405FA8FC">
            <w:pPr>
              <w:adjustRightInd w:val="0"/>
              <w:snapToGrid w:val="0"/>
              <w:jc w:val="center"/>
              <w:rPr>
                <w:b/>
                <w:color w:val="000000"/>
              </w:rPr>
            </w:pPr>
            <w:r>
              <w:rPr>
                <w:rFonts w:hint="eastAsia"/>
                <w:b/>
                <w:color w:val="000000"/>
              </w:rPr>
              <w:t>表4-2 类比项目产污系数核算分析一览表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2224"/>
              <w:gridCol w:w="2276"/>
              <w:gridCol w:w="2324"/>
            </w:tblGrid>
            <w:tr w14:paraId="618C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217CDFF6">
                  <w:pPr>
                    <w:adjustRightInd w:val="0"/>
                    <w:snapToGrid w:val="0"/>
                    <w:contextualSpacing/>
                    <w:jc w:val="center"/>
                    <w:rPr>
                      <w:b/>
                      <w:bCs/>
                      <w:color w:val="000000"/>
                      <w:sz w:val="21"/>
                      <w:szCs w:val="21"/>
                    </w:rPr>
                  </w:pPr>
                  <w:r>
                    <w:rPr>
                      <w:rFonts w:hint="eastAsia"/>
                      <w:b/>
                      <w:bCs/>
                      <w:color w:val="000000"/>
                      <w:sz w:val="21"/>
                      <w:szCs w:val="21"/>
                    </w:rPr>
                    <w:t>类别</w:t>
                  </w:r>
                </w:p>
              </w:tc>
              <w:tc>
                <w:tcPr>
                  <w:tcW w:w="2224" w:type="dxa"/>
                  <w:noWrap w:val="0"/>
                  <w:vAlign w:val="center"/>
                </w:tcPr>
                <w:p w14:paraId="5681D954">
                  <w:pPr>
                    <w:adjustRightInd w:val="0"/>
                    <w:snapToGrid w:val="0"/>
                    <w:contextualSpacing/>
                    <w:jc w:val="center"/>
                    <w:rPr>
                      <w:rFonts w:hint="eastAsia"/>
                      <w:b/>
                      <w:bCs/>
                      <w:color w:val="000000"/>
                      <w:sz w:val="21"/>
                      <w:szCs w:val="21"/>
                    </w:rPr>
                  </w:pPr>
                  <w:r>
                    <w:rPr>
                      <w:rFonts w:hint="eastAsia"/>
                      <w:b/>
                      <w:bCs/>
                      <w:color w:val="000000"/>
                      <w:sz w:val="21"/>
                      <w:szCs w:val="21"/>
                    </w:rPr>
                    <w:t>类比项目1</w:t>
                  </w:r>
                </w:p>
              </w:tc>
              <w:tc>
                <w:tcPr>
                  <w:tcW w:w="2276" w:type="dxa"/>
                  <w:noWrap w:val="0"/>
                  <w:vAlign w:val="center"/>
                </w:tcPr>
                <w:p w14:paraId="19E45DBB">
                  <w:pPr>
                    <w:adjustRightInd w:val="0"/>
                    <w:snapToGrid w:val="0"/>
                    <w:contextualSpacing/>
                    <w:jc w:val="center"/>
                    <w:rPr>
                      <w:rFonts w:hint="eastAsia"/>
                      <w:b/>
                      <w:bCs/>
                      <w:color w:val="000000"/>
                      <w:sz w:val="21"/>
                      <w:szCs w:val="21"/>
                    </w:rPr>
                  </w:pPr>
                  <w:r>
                    <w:rPr>
                      <w:rFonts w:hint="eastAsia"/>
                      <w:b/>
                      <w:bCs/>
                      <w:color w:val="000000"/>
                      <w:sz w:val="21"/>
                      <w:szCs w:val="21"/>
                    </w:rPr>
                    <w:t>类比项目2</w:t>
                  </w:r>
                </w:p>
              </w:tc>
              <w:tc>
                <w:tcPr>
                  <w:tcW w:w="2324" w:type="dxa"/>
                  <w:noWrap w:val="0"/>
                  <w:vAlign w:val="center"/>
                </w:tcPr>
                <w:p w14:paraId="28615FBF">
                  <w:pPr>
                    <w:adjustRightInd w:val="0"/>
                    <w:snapToGrid w:val="0"/>
                    <w:contextualSpacing/>
                    <w:jc w:val="center"/>
                    <w:rPr>
                      <w:b/>
                      <w:bCs/>
                      <w:color w:val="000000"/>
                      <w:sz w:val="21"/>
                      <w:szCs w:val="21"/>
                    </w:rPr>
                  </w:pPr>
                  <w:r>
                    <w:rPr>
                      <w:rFonts w:hint="eastAsia"/>
                      <w:b/>
                      <w:bCs/>
                      <w:color w:val="000000"/>
                      <w:sz w:val="21"/>
                      <w:szCs w:val="21"/>
                    </w:rPr>
                    <w:t>类比项目3</w:t>
                  </w:r>
                </w:p>
              </w:tc>
            </w:tr>
            <w:tr w14:paraId="05E7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67CD0336">
                  <w:pPr>
                    <w:adjustRightInd w:val="0"/>
                    <w:snapToGrid w:val="0"/>
                    <w:contextualSpacing/>
                    <w:jc w:val="center"/>
                    <w:rPr>
                      <w:color w:val="000000"/>
                      <w:sz w:val="21"/>
                      <w:szCs w:val="21"/>
                    </w:rPr>
                  </w:pPr>
                  <w:r>
                    <w:rPr>
                      <w:rFonts w:hint="eastAsia"/>
                      <w:color w:val="000000"/>
                      <w:sz w:val="21"/>
                      <w:szCs w:val="21"/>
                    </w:rPr>
                    <w:t>实际生产规模</w:t>
                  </w:r>
                </w:p>
              </w:tc>
              <w:tc>
                <w:tcPr>
                  <w:tcW w:w="2224" w:type="dxa"/>
                  <w:noWrap w:val="0"/>
                  <w:vAlign w:val="center"/>
                </w:tcPr>
                <w:p w14:paraId="492D6856">
                  <w:pPr>
                    <w:adjustRightInd w:val="0"/>
                    <w:snapToGrid w:val="0"/>
                    <w:contextualSpacing/>
                    <w:jc w:val="center"/>
                    <w:rPr>
                      <w:rFonts w:hint="eastAsia"/>
                      <w:color w:val="000000"/>
                      <w:sz w:val="21"/>
                      <w:szCs w:val="21"/>
                    </w:rPr>
                  </w:pPr>
                  <w:r>
                    <w:rPr>
                      <w:rFonts w:hint="eastAsia"/>
                      <w:color w:val="000000"/>
                      <w:sz w:val="21"/>
                      <w:szCs w:val="21"/>
                    </w:rPr>
                    <w:t>1.4t/h（工作时间8h/d）</w:t>
                  </w:r>
                </w:p>
              </w:tc>
              <w:tc>
                <w:tcPr>
                  <w:tcW w:w="2276" w:type="dxa"/>
                  <w:noWrap w:val="0"/>
                  <w:vAlign w:val="center"/>
                </w:tcPr>
                <w:p w14:paraId="5E826291">
                  <w:pPr>
                    <w:adjustRightInd w:val="0"/>
                    <w:snapToGrid w:val="0"/>
                    <w:contextualSpacing/>
                    <w:jc w:val="center"/>
                    <w:rPr>
                      <w:rFonts w:hint="eastAsia"/>
                      <w:color w:val="000000"/>
                      <w:sz w:val="21"/>
                      <w:szCs w:val="21"/>
                    </w:rPr>
                  </w:pPr>
                  <w:r>
                    <w:rPr>
                      <w:rFonts w:hint="eastAsia"/>
                      <w:color w:val="000000"/>
                      <w:sz w:val="21"/>
                      <w:szCs w:val="21"/>
                    </w:rPr>
                    <w:t>2.3t/h（工作时间24h/d）</w:t>
                  </w:r>
                </w:p>
              </w:tc>
              <w:tc>
                <w:tcPr>
                  <w:tcW w:w="2324" w:type="dxa"/>
                  <w:noWrap w:val="0"/>
                  <w:vAlign w:val="center"/>
                </w:tcPr>
                <w:p w14:paraId="745DA3C6">
                  <w:pPr>
                    <w:adjustRightInd w:val="0"/>
                    <w:snapToGrid w:val="0"/>
                    <w:contextualSpacing/>
                    <w:jc w:val="center"/>
                    <w:rPr>
                      <w:rFonts w:hint="eastAsia"/>
                      <w:color w:val="000000"/>
                      <w:sz w:val="21"/>
                      <w:szCs w:val="21"/>
                    </w:rPr>
                  </w:pPr>
                  <w:r>
                    <w:rPr>
                      <w:rFonts w:hint="eastAsia"/>
                      <w:color w:val="000000"/>
                      <w:sz w:val="21"/>
                      <w:szCs w:val="21"/>
                    </w:rPr>
                    <w:t>0.075t/h（工作时间16h/d）</w:t>
                  </w:r>
                </w:p>
              </w:tc>
            </w:tr>
            <w:tr w14:paraId="53D3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0397F7A5">
                  <w:pPr>
                    <w:adjustRightInd w:val="0"/>
                    <w:snapToGrid w:val="0"/>
                    <w:contextualSpacing/>
                    <w:jc w:val="center"/>
                    <w:rPr>
                      <w:rFonts w:hAnsi="宋体"/>
                      <w:bCs/>
                      <w:color w:val="000000"/>
                      <w:sz w:val="21"/>
                      <w:szCs w:val="21"/>
                    </w:rPr>
                  </w:pPr>
                  <w:r>
                    <w:rPr>
                      <w:rFonts w:hint="eastAsia" w:hAnsi="宋体"/>
                      <w:bCs/>
                      <w:color w:val="000000"/>
                      <w:sz w:val="21"/>
                      <w:szCs w:val="21"/>
                    </w:rPr>
                    <w:t>收集措施</w:t>
                  </w:r>
                </w:p>
              </w:tc>
              <w:tc>
                <w:tcPr>
                  <w:tcW w:w="2224" w:type="dxa"/>
                  <w:noWrap w:val="0"/>
                  <w:vAlign w:val="center"/>
                </w:tcPr>
                <w:p w14:paraId="2E781F62">
                  <w:pPr>
                    <w:adjustRightInd w:val="0"/>
                    <w:snapToGrid w:val="0"/>
                    <w:contextualSpacing/>
                    <w:jc w:val="center"/>
                    <w:rPr>
                      <w:color w:val="000000"/>
                      <w:sz w:val="21"/>
                      <w:szCs w:val="21"/>
                    </w:rPr>
                  </w:pPr>
                  <w:r>
                    <w:rPr>
                      <w:rFonts w:hint="eastAsia" w:hAnsi="宋体"/>
                      <w:color w:val="000000"/>
                      <w:sz w:val="21"/>
                      <w:szCs w:val="21"/>
                    </w:rPr>
                    <w:t>整体收集集气罩</w:t>
                  </w:r>
                </w:p>
              </w:tc>
              <w:tc>
                <w:tcPr>
                  <w:tcW w:w="2276" w:type="dxa"/>
                  <w:noWrap w:val="0"/>
                  <w:vAlign w:val="center"/>
                </w:tcPr>
                <w:p w14:paraId="10990FED">
                  <w:pPr>
                    <w:adjustRightInd w:val="0"/>
                    <w:snapToGrid w:val="0"/>
                    <w:contextualSpacing/>
                    <w:jc w:val="center"/>
                    <w:rPr>
                      <w:rFonts w:hint="eastAsia"/>
                      <w:color w:val="000000"/>
                      <w:sz w:val="21"/>
                      <w:szCs w:val="21"/>
                    </w:rPr>
                  </w:pPr>
                  <w:r>
                    <w:rPr>
                      <w:rFonts w:hint="eastAsia" w:hAnsi="宋体"/>
                      <w:color w:val="000000"/>
                      <w:sz w:val="21"/>
                      <w:szCs w:val="21"/>
                    </w:rPr>
                    <w:t>设置软帘+集气罩</w:t>
                  </w:r>
                </w:p>
              </w:tc>
              <w:tc>
                <w:tcPr>
                  <w:tcW w:w="2324" w:type="dxa"/>
                  <w:noWrap w:val="0"/>
                  <w:vAlign w:val="center"/>
                </w:tcPr>
                <w:p w14:paraId="3A2E660D">
                  <w:pPr>
                    <w:adjustRightInd w:val="0"/>
                    <w:snapToGrid w:val="0"/>
                    <w:contextualSpacing/>
                    <w:jc w:val="center"/>
                    <w:rPr>
                      <w:b/>
                      <w:bCs/>
                      <w:color w:val="000000"/>
                      <w:sz w:val="21"/>
                      <w:szCs w:val="21"/>
                    </w:rPr>
                  </w:pPr>
                  <w:r>
                    <w:rPr>
                      <w:rFonts w:hint="eastAsia"/>
                      <w:color w:val="000000"/>
                      <w:sz w:val="21"/>
                      <w:szCs w:val="21"/>
                    </w:rPr>
                    <w:t>集气罩</w:t>
                  </w:r>
                </w:p>
              </w:tc>
            </w:tr>
            <w:tr w14:paraId="0922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342F4145">
                  <w:pPr>
                    <w:adjustRightInd w:val="0"/>
                    <w:snapToGrid w:val="0"/>
                    <w:contextualSpacing/>
                    <w:jc w:val="center"/>
                    <w:rPr>
                      <w:rFonts w:hAnsi="宋体"/>
                      <w:bCs/>
                      <w:color w:val="000000"/>
                      <w:sz w:val="21"/>
                      <w:szCs w:val="21"/>
                    </w:rPr>
                  </w:pPr>
                  <w:r>
                    <w:rPr>
                      <w:rFonts w:hint="eastAsia" w:hAnsi="宋体"/>
                      <w:bCs/>
                      <w:color w:val="000000"/>
                      <w:sz w:val="21"/>
                      <w:szCs w:val="21"/>
                    </w:rPr>
                    <w:t>环保措施</w:t>
                  </w:r>
                </w:p>
              </w:tc>
              <w:tc>
                <w:tcPr>
                  <w:tcW w:w="2224" w:type="dxa"/>
                  <w:noWrap w:val="0"/>
                  <w:vAlign w:val="center"/>
                </w:tcPr>
                <w:p w14:paraId="76F491CE">
                  <w:pPr>
                    <w:adjustRightInd w:val="0"/>
                    <w:snapToGrid w:val="0"/>
                    <w:contextualSpacing/>
                    <w:jc w:val="center"/>
                    <w:rPr>
                      <w:rFonts w:hint="eastAsia" w:hAnsi="宋体"/>
                      <w:color w:val="000000"/>
                      <w:sz w:val="21"/>
                      <w:szCs w:val="21"/>
                    </w:rPr>
                  </w:pPr>
                  <w:r>
                    <w:rPr>
                      <w:rFonts w:hint="eastAsia" w:hAnsi="宋体"/>
                      <w:color w:val="000000"/>
                      <w:sz w:val="21"/>
                      <w:szCs w:val="21"/>
                    </w:rPr>
                    <w:t>布袋除尘器（颗粒物）；</w:t>
                  </w:r>
                </w:p>
                <w:p w14:paraId="5BB46723">
                  <w:pPr>
                    <w:adjustRightInd w:val="0"/>
                    <w:snapToGrid w:val="0"/>
                    <w:contextualSpacing/>
                    <w:jc w:val="center"/>
                    <w:rPr>
                      <w:rFonts w:hint="eastAsia"/>
                      <w:color w:val="000000"/>
                      <w:sz w:val="21"/>
                      <w:szCs w:val="21"/>
                    </w:rPr>
                  </w:pPr>
                  <w:r>
                    <w:rPr>
                      <w:rFonts w:hint="eastAsia"/>
                      <w:color w:val="000000"/>
                      <w:sz w:val="21"/>
                      <w:szCs w:val="21"/>
                    </w:rPr>
                    <w:t>干式过滤+低温等离子+UV光催化+两级活性炭</w:t>
                  </w:r>
                </w:p>
              </w:tc>
              <w:tc>
                <w:tcPr>
                  <w:tcW w:w="2276" w:type="dxa"/>
                  <w:noWrap w:val="0"/>
                  <w:vAlign w:val="center"/>
                </w:tcPr>
                <w:p w14:paraId="06DF21B2">
                  <w:pPr>
                    <w:adjustRightInd w:val="0"/>
                    <w:snapToGrid w:val="0"/>
                    <w:contextualSpacing/>
                    <w:jc w:val="center"/>
                    <w:rPr>
                      <w:rFonts w:hint="eastAsia" w:hAnsi="宋体"/>
                      <w:color w:val="000000"/>
                      <w:sz w:val="21"/>
                      <w:szCs w:val="21"/>
                    </w:rPr>
                  </w:pPr>
                  <w:r>
                    <w:rPr>
                      <w:rFonts w:hint="eastAsia" w:hAnsi="宋体"/>
                      <w:color w:val="000000"/>
                      <w:sz w:val="21"/>
                      <w:szCs w:val="21"/>
                    </w:rPr>
                    <w:t>布袋除尘器（颗粒物）；</w:t>
                  </w:r>
                </w:p>
                <w:p w14:paraId="42DCEA98">
                  <w:pPr>
                    <w:adjustRightInd w:val="0"/>
                    <w:snapToGrid w:val="0"/>
                    <w:contextualSpacing/>
                    <w:jc w:val="center"/>
                    <w:rPr>
                      <w:rFonts w:hint="eastAsia" w:hAnsi="宋体"/>
                      <w:color w:val="000000"/>
                      <w:sz w:val="21"/>
                      <w:szCs w:val="21"/>
                    </w:rPr>
                  </w:pPr>
                  <w:r>
                    <w:rPr>
                      <w:rFonts w:hint="eastAsia" w:hAnsi="宋体"/>
                      <w:color w:val="000000"/>
                      <w:sz w:val="21"/>
                      <w:szCs w:val="21"/>
                    </w:rPr>
                    <w:t>二级活性炭吸附</w:t>
                  </w:r>
                </w:p>
              </w:tc>
              <w:tc>
                <w:tcPr>
                  <w:tcW w:w="2324" w:type="dxa"/>
                  <w:noWrap w:val="0"/>
                  <w:vAlign w:val="center"/>
                </w:tcPr>
                <w:p w14:paraId="297BF07D">
                  <w:pPr>
                    <w:adjustRightInd w:val="0"/>
                    <w:snapToGrid w:val="0"/>
                    <w:contextualSpacing/>
                    <w:jc w:val="center"/>
                    <w:rPr>
                      <w:rFonts w:hint="eastAsia" w:hAnsi="宋体"/>
                      <w:color w:val="000000"/>
                      <w:sz w:val="21"/>
                      <w:szCs w:val="21"/>
                    </w:rPr>
                  </w:pPr>
                  <w:r>
                    <w:rPr>
                      <w:rFonts w:hint="eastAsia" w:hAnsi="宋体"/>
                      <w:color w:val="000000"/>
                      <w:sz w:val="21"/>
                      <w:szCs w:val="21"/>
                    </w:rPr>
                    <w:t>布袋除尘器（颗粒物）；</w:t>
                  </w:r>
                </w:p>
                <w:p w14:paraId="2F9C7804">
                  <w:pPr>
                    <w:adjustRightInd w:val="0"/>
                    <w:snapToGrid w:val="0"/>
                    <w:contextualSpacing/>
                    <w:jc w:val="center"/>
                    <w:rPr>
                      <w:rFonts w:hint="eastAsia"/>
                      <w:b/>
                      <w:bCs/>
                      <w:color w:val="000000"/>
                      <w:sz w:val="21"/>
                      <w:szCs w:val="21"/>
                    </w:rPr>
                  </w:pPr>
                  <w:r>
                    <w:rPr>
                      <w:rFonts w:hint="eastAsia" w:hAnsi="宋体"/>
                      <w:color w:val="000000"/>
                      <w:sz w:val="21"/>
                      <w:szCs w:val="21"/>
                    </w:rPr>
                    <w:t>二级活性炭吸附</w:t>
                  </w:r>
                </w:p>
              </w:tc>
            </w:tr>
            <w:tr w14:paraId="2D56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2351CA1C">
                  <w:pPr>
                    <w:adjustRightInd w:val="0"/>
                    <w:snapToGrid w:val="0"/>
                    <w:contextualSpacing/>
                    <w:jc w:val="center"/>
                    <w:rPr>
                      <w:color w:val="000000"/>
                      <w:sz w:val="21"/>
                      <w:szCs w:val="21"/>
                    </w:rPr>
                  </w:pPr>
                  <w:r>
                    <w:rPr>
                      <w:rFonts w:hint="eastAsia"/>
                      <w:color w:val="000000"/>
                      <w:sz w:val="21"/>
                      <w:szCs w:val="21"/>
                    </w:rPr>
                    <w:t>非甲烷总烃产污系数计算</w:t>
                  </w:r>
                </w:p>
              </w:tc>
              <w:tc>
                <w:tcPr>
                  <w:tcW w:w="2224" w:type="dxa"/>
                  <w:noWrap w:val="0"/>
                  <w:vAlign w:val="center"/>
                </w:tcPr>
                <w:p w14:paraId="4581986D">
                  <w:pPr>
                    <w:adjustRightInd w:val="0"/>
                    <w:snapToGrid w:val="0"/>
                    <w:contextualSpacing/>
                    <w:jc w:val="center"/>
                    <w:rPr>
                      <w:color w:val="000000"/>
                      <w:sz w:val="21"/>
                      <w:szCs w:val="21"/>
                    </w:rPr>
                  </w:pPr>
                  <w:r>
                    <w:rPr>
                      <w:rFonts w:hint="eastAsia"/>
                      <w:color w:val="000000"/>
                      <w:sz w:val="21"/>
                      <w:szCs w:val="21"/>
                    </w:rPr>
                    <w:t>最大进口速率1.58kg/h，收集率85%，产品产量1.4t/h，产生速率1.975kg/h，则产生系数为1.411kg/t-产品；</w:t>
                  </w:r>
                </w:p>
              </w:tc>
              <w:tc>
                <w:tcPr>
                  <w:tcW w:w="2276" w:type="dxa"/>
                  <w:noWrap w:val="0"/>
                  <w:vAlign w:val="center"/>
                </w:tcPr>
                <w:p w14:paraId="08FA7A69">
                  <w:pPr>
                    <w:adjustRightInd w:val="0"/>
                    <w:snapToGrid w:val="0"/>
                    <w:contextualSpacing/>
                    <w:jc w:val="center"/>
                    <w:rPr>
                      <w:color w:val="000000"/>
                    </w:rPr>
                  </w:pPr>
                  <w:r>
                    <w:rPr>
                      <w:rFonts w:hint="eastAsia"/>
                      <w:color w:val="000000"/>
                      <w:sz w:val="21"/>
                      <w:szCs w:val="21"/>
                    </w:rPr>
                    <w:t>最大出口速率0.005kg/h，处理效率为70%，收集率85%，产品产量2.3t/h，产生速率0.021kg/h，则产生系数为0.009kg/t-产品；</w:t>
                  </w:r>
                </w:p>
              </w:tc>
              <w:tc>
                <w:tcPr>
                  <w:tcW w:w="2324" w:type="dxa"/>
                  <w:noWrap w:val="0"/>
                  <w:vAlign w:val="center"/>
                </w:tcPr>
                <w:p w14:paraId="23DFF40A">
                  <w:pPr>
                    <w:adjustRightInd w:val="0"/>
                    <w:snapToGrid w:val="0"/>
                    <w:contextualSpacing/>
                    <w:jc w:val="center"/>
                    <w:rPr>
                      <w:color w:val="000000"/>
                      <w:sz w:val="21"/>
                      <w:szCs w:val="21"/>
                    </w:rPr>
                  </w:pPr>
                  <w:r>
                    <w:rPr>
                      <w:rFonts w:hint="eastAsia"/>
                      <w:color w:val="000000"/>
                      <w:sz w:val="21"/>
                      <w:szCs w:val="21"/>
                    </w:rPr>
                    <w:t>最大进口浓度15.5mg/m</w:t>
                  </w:r>
                  <w:r>
                    <w:rPr>
                      <w:rFonts w:hint="eastAsia"/>
                      <w:color w:val="000000"/>
                      <w:sz w:val="21"/>
                      <w:szCs w:val="21"/>
                      <w:vertAlign w:val="superscript"/>
                    </w:rPr>
                    <w:t>3</w:t>
                  </w:r>
                  <w:r>
                    <w:rPr>
                      <w:rFonts w:hint="eastAsia"/>
                      <w:color w:val="000000"/>
                      <w:sz w:val="21"/>
                      <w:szCs w:val="21"/>
                    </w:rPr>
                    <w:t>，收集率80%，最大风量6325m</w:t>
                  </w:r>
                  <w:r>
                    <w:rPr>
                      <w:rFonts w:hint="eastAsia"/>
                      <w:color w:val="000000"/>
                      <w:sz w:val="21"/>
                      <w:szCs w:val="21"/>
                      <w:vertAlign w:val="superscript"/>
                    </w:rPr>
                    <w:t>3</w:t>
                  </w:r>
                  <w:r>
                    <w:rPr>
                      <w:rFonts w:hint="eastAsia"/>
                      <w:color w:val="000000"/>
                      <w:sz w:val="21"/>
                      <w:szCs w:val="21"/>
                    </w:rPr>
                    <w:t>/h，产品产量0.075t/h，产生速率0.131kg/h，则产生系数为1.634kg/t-产品；</w:t>
                  </w:r>
                </w:p>
              </w:tc>
            </w:tr>
            <w:tr w14:paraId="4CB2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center"/>
                </w:tcPr>
                <w:p w14:paraId="2FA7DA36">
                  <w:pPr>
                    <w:adjustRightInd w:val="0"/>
                    <w:snapToGrid w:val="0"/>
                    <w:contextualSpacing/>
                    <w:jc w:val="center"/>
                    <w:rPr>
                      <w:rFonts w:hint="eastAsia"/>
                      <w:color w:val="000000"/>
                      <w:sz w:val="21"/>
                      <w:szCs w:val="21"/>
                    </w:rPr>
                  </w:pPr>
                  <w:r>
                    <w:rPr>
                      <w:rFonts w:hint="eastAsia"/>
                      <w:color w:val="000000"/>
                      <w:sz w:val="21"/>
                      <w:szCs w:val="21"/>
                    </w:rPr>
                    <w:t>颗粒物产污系数计算</w:t>
                  </w:r>
                </w:p>
              </w:tc>
              <w:tc>
                <w:tcPr>
                  <w:tcW w:w="2224" w:type="dxa"/>
                  <w:noWrap w:val="0"/>
                  <w:vAlign w:val="center"/>
                </w:tcPr>
                <w:p w14:paraId="25A7F408">
                  <w:pPr>
                    <w:adjustRightInd w:val="0"/>
                    <w:snapToGrid w:val="0"/>
                    <w:contextualSpacing/>
                    <w:jc w:val="center"/>
                    <w:rPr>
                      <w:rFonts w:hint="eastAsia"/>
                      <w:color w:val="000000"/>
                      <w:sz w:val="21"/>
                      <w:szCs w:val="21"/>
                    </w:rPr>
                  </w:pPr>
                  <w:r>
                    <w:rPr>
                      <w:rFonts w:hint="eastAsia"/>
                      <w:color w:val="000000"/>
                      <w:sz w:val="21"/>
                      <w:szCs w:val="21"/>
                    </w:rPr>
                    <w:t>最大出口速率0.0305kg/h，最大去除效率95%，收集率85%，产品产量1.4t/h，产生速率0.7625kg/h，颗粒产生环节每天工作时间为4h，则产生系数为0.272kg/t-产品。</w:t>
                  </w:r>
                </w:p>
              </w:tc>
              <w:tc>
                <w:tcPr>
                  <w:tcW w:w="2276" w:type="dxa"/>
                  <w:noWrap w:val="0"/>
                  <w:vAlign w:val="center"/>
                </w:tcPr>
                <w:p w14:paraId="5C265E4F">
                  <w:pPr>
                    <w:adjustRightInd w:val="0"/>
                    <w:snapToGrid w:val="0"/>
                    <w:contextualSpacing/>
                    <w:jc w:val="center"/>
                    <w:rPr>
                      <w:rFonts w:hint="eastAsia"/>
                      <w:color w:val="000000"/>
                      <w:sz w:val="21"/>
                      <w:szCs w:val="21"/>
                    </w:rPr>
                  </w:pPr>
                  <w:r>
                    <w:rPr>
                      <w:rFonts w:hint="eastAsia"/>
                      <w:color w:val="000000"/>
                      <w:sz w:val="21"/>
                      <w:szCs w:val="21"/>
                    </w:rPr>
                    <w:t>最大出口速率0.071kg/h，最大去除效率95%，收集率85%，产品产量1.27t/h，产生速率1.775kg/h，颗粒产生环节每天工作时间为7h，则产生系数为0.408kg/t-产品。</w:t>
                  </w:r>
                </w:p>
              </w:tc>
              <w:tc>
                <w:tcPr>
                  <w:tcW w:w="2324" w:type="dxa"/>
                  <w:noWrap w:val="0"/>
                  <w:vAlign w:val="center"/>
                </w:tcPr>
                <w:p w14:paraId="381D1AFF">
                  <w:pPr>
                    <w:adjustRightInd w:val="0"/>
                    <w:snapToGrid w:val="0"/>
                    <w:contextualSpacing/>
                    <w:jc w:val="center"/>
                    <w:rPr>
                      <w:rFonts w:hint="eastAsia"/>
                      <w:color w:val="000000"/>
                      <w:sz w:val="21"/>
                      <w:szCs w:val="21"/>
                    </w:rPr>
                  </w:pPr>
                  <w:r>
                    <w:rPr>
                      <w:rFonts w:hint="eastAsia"/>
                      <w:color w:val="000000"/>
                      <w:sz w:val="21"/>
                      <w:szCs w:val="21"/>
                    </w:rPr>
                    <w:t>最大进口浓度73mg/m</w:t>
                  </w:r>
                  <w:r>
                    <w:rPr>
                      <w:rFonts w:hint="eastAsia"/>
                      <w:color w:val="000000"/>
                      <w:sz w:val="21"/>
                      <w:szCs w:val="21"/>
                      <w:vertAlign w:val="superscript"/>
                    </w:rPr>
                    <w:t>3</w:t>
                  </w:r>
                  <w:r>
                    <w:rPr>
                      <w:rFonts w:hint="eastAsia"/>
                      <w:color w:val="000000"/>
                      <w:sz w:val="21"/>
                      <w:szCs w:val="21"/>
                    </w:rPr>
                    <w:t>，收集率80%，最大风量2304m</w:t>
                  </w:r>
                  <w:r>
                    <w:rPr>
                      <w:rFonts w:hint="eastAsia"/>
                      <w:color w:val="000000"/>
                      <w:sz w:val="21"/>
                      <w:szCs w:val="21"/>
                      <w:vertAlign w:val="superscript"/>
                    </w:rPr>
                    <w:t>3</w:t>
                  </w:r>
                  <w:r>
                    <w:rPr>
                      <w:rFonts w:hint="eastAsia"/>
                      <w:color w:val="000000"/>
                      <w:sz w:val="21"/>
                      <w:szCs w:val="21"/>
                    </w:rPr>
                    <w:t>/h，产品产量0.075t/h，产生速率0.224kg/h，颗粒产生环节每天工作时间为8h，则产生系数为1.402kg/t-产品。</w:t>
                  </w:r>
                </w:p>
              </w:tc>
            </w:tr>
          </w:tbl>
          <w:p w14:paraId="306EE908">
            <w:pPr>
              <w:spacing w:line="360" w:lineRule="auto"/>
              <w:ind w:firstLine="465"/>
              <w:contextualSpacing/>
              <w:rPr>
                <w:color w:val="000000"/>
              </w:rPr>
            </w:pPr>
            <w:r>
              <w:rPr>
                <w:rFonts w:hint="eastAsia"/>
                <w:color w:val="000000"/>
              </w:rPr>
              <w:t>2.低烟无卤电缆料生产过程产生废气源强类比分析</w:t>
            </w:r>
          </w:p>
          <w:p w14:paraId="0532B916">
            <w:pPr>
              <w:spacing w:line="360" w:lineRule="auto"/>
              <w:ind w:firstLine="465"/>
              <w:contextualSpacing/>
              <w:rPr>
                <w:color w:val="000000"/>
              </w:rPr>
            </w:pPr>
            <w:r>
              <w:rPr>
                <w:rFonts w:hint="eastAsia"/>
                <w:color w:val="000000"/>
              </w:rPr>
              <w:t>类比《欧宝聚合物江苏有限公司年产20000吨无卤阻燃电缆料技改项目竣工环境保护验收报告》（类比项目4，网址：https://www.eiacloud.com/gs/detail/2?id=30530yicpU）、《湖南科普森电缆材料有限公司年产2400吨硅烷交联聚乙烯电缆料、2400吨低烟无卤电缆料扩建项目竣工环保验收报告表》（类比项目5，网址：https://www.eiacloud.com/gs/detail/2?id=41209sXQcz），该项目与本项目主要原料、生产工艺基本一致，具有可比性。详见表4-3及表4-4：</w:t>
            </w:r>
          </w:p>
          <w:p w14:paraId="33DDA97A">
            <w:pPr>
              <w:adjustRightInd w:val="0"/>
              <w:snapToGrid w:val="0"/>
              <w:jc w:val="center"/>
              <w:rPr>
                <w:b/>
                <w:color w:val="000000"/>
              </w:rPr>
            </w:pPr>
            <w:r>
              <w:rPr>
                <w:rFonts w:hint="eastAsia"/>
                <w:b/>
                <w:color w:val="000000"/>
              </w:rPr>
              <w:t>表4-3 本项目低烟无卤电缆料与类比项目类比可行性分析一览表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992"/>
              <w:gridCol w:w="1805"/>
              <w:gridCol w:w="2103"/>
              <w:gridCol w:w="1135"/>
            </w:tblGrid>
            <w:tr w14:paraId="5201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6EBFC8AB">
                  <w:pPr>
                    <w:adjustRightInd w:val="0"/>
                    <w:snapToGrid w:val="0"/>
                    <w:contextualSpacing/>
                    <w:jc w:val="center"/>
                    <w:rPr>
                      <w:rFonts w:hint="eastAsia"/>
                      <w:b/>
                      <w:bCs/>
                      <w:color w:val="000000"/>
                      <w:sz w:val="21"/>
                      <w:szCs w:val="21"/>
                    </w:rPr>
                  </w:pPr>
                  <w:r>
                    <w:rPr>
                      <w:rFonts w:hint="eastAsia"/>
                      <w:b/>
                      <w:bCs/>
                      <w:color w:val="000000"/>
                      <w:sz w:val="21"/>
                      <w:szCs w:val="21"/>
                    </w:rPr>
                    <w:t>类比内容</w:t>
                  </w:r>
                </w:p>
              </w:tc>
              <w:tc>
                <w:tcPr>
                  <w:tcW w:w="1992" w:type="dxa"/>
                  <w:noWrap w:val="0"/>
                  <w:vAlign w:val="center"/>
                </w:tcPr>
                <w:p w14:paraId="51DBDAAA">
                  <w:pPr>
                    <w:adjustRightInd w:val="0"/>
                    <w:snapToGrid w:val="0"/>
                    <w:contextualSpacing/>
                    <w:jc w:val="center"/>
                    <w:rPr>
                      <w:b/>
                      <w:bCs/>
                      <w:color w:val="000000"/>
                      <w:sz w:val="21"/>
                      <w:szCs w:val="21"/>
                    </w:rPr>
                  </w:pPr>
                  <w:r>
                    <w:rPr>
                      <w:rFonts w:hint="eastAsia"/>
                      <w:b/>
                      <w:bCs/>
                      <w:color w:val="000000"/>
                      <w:sz w:val="21"/>
                      <w:szCs w:val="21"/>
                    </w:rPr>
                    <w:t>类比项目4</w:t>
                  </w:r>
                </w:p>
              </w:tc>
              <w:tc>
                <w:tcPr>
                  <w:tcW w:w="1805" w:type="dxa"/>
                  <w:noWrap w:val="0"/>
                  <w:vAlign w:val="center"/>
                </w:tcPr>
                <w:p w14:paraId="741B5E6E">
                  <w:pPr>
                    <w:adjustRightInd w:val="0"/>
                    <w:snapToGrid w:val="0"/>
                    <w:contextualSpacing/>
                    <w:jc w:val="center"/>
                    <w:rPr>
                      <w:b/>
                      <w:bCs/>
                      <w:color w:val="000000"/>
                      <w:sz w:val="21"/>
                      <w:szCs w:val="21"/>
                    </w:rPr>
                  </w:pPr>
                  <w:r>
                    <w:rPr>
                      <w:rFonts w:hint="eastAsia"/>
                      <w:b/>
                      <w:bCs/>
                      <w:color w:val="000000"/>
                      <w:sz w:val="21"/>
                      <w:szCs w:val="21"/>
                    </w:rPr>
                    <w:t>类比项目5</w:t>
                  </w:r>
                </w:p>
              </w:tc>
              <w:tc>
                <w:tcPr>
                  <w:tcW w:w="2103" w:type="dxa"/>
                  <w:noWrap w:val="0"/>
                  <w:vAlign w:val="center"/>
                </w:tcPr>
                <w:p w14:paraId="740B6D6A">
                  <w:pPr>
                    <w:adjustRightInd w:val="0"/>
                    <w:snapToGrid w:val="0"/>
                    <w:contextualSpacing/>
                    <w:jc w:val="center"/>
                    <w:rPr>
                      <w:rFonts w:hint="eastAsia"/>
                      <w:b/>
                      <w:bCs/>
                      <w:color w:val="000000"/>
                      <w:sz w:val="21"/>
                      <w:szCs w:val="21"/>
                    </w:rPr>
                  </w:pPr>
                  <w:r>
                    <w:rPr>
                      <w:rFonts w:hint="eastAsia"/>
                      <w:b/>
                      <w:bCs/>
                      <w:color w:val="000000"/>
                      <w:sz w:val="21"/>
                      <w:szCs w:val="21"/>
                    </w:rPr>
                    <w:t>本项目</w:t>
                  </w:r>
                </w:p>
              </w:tc>
              <w:tc>
                <w:tcPr>
                  <w:tcW w:w="1135" w:type="dxa"/>
                  <w:noWrap w:val="0"/>
                  <w:vAlign w:val="center"/>
                </w:tcPr>
                <w:p w14:paraId="4AE3266E">
                  <w:pPr>
                    <w:adjustRightInd w:val="0"/>
                    <w:snapToGrid w:val="0"/>
                    <w:contextualSpacing/>
                    <w:jc w:val="center"/>
                    <w:rPr>
                      <w:rFonts w:hint="eastAsia"/>
                      <w:b/>
                      <w:bCs/>
                      <w:color w:val="000000"/>
                      <w:sz w:val="21"/>
                      <w:szCs w:val="21"/>
                    </w:rPr>
                  </w:pPr>
                  <w:r>
                    <w:rPr>
                      <w:rFonts w:hint="eastAsia"/>
                      <w:b/>
                      <w:bCs/>
                      <w:color w:val="000000"/>
                      <w:sz w:val="21"/>
                      <w:szCs w:val="21"/>
                    </w:rPr>
                    <w:t>类比性</w:t>
                  </w:r>
                </w:p>
              </w:tc>
            </w:tr>
            <w:tr w14:paraId="5C59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565146D8">
                  <w:pPr>
                    <w:adjustRightInd w:val="0"/>
                    <w:snapToGrid w:val="0"/>
                    <w:contextualSpacing/>
                    <w:jc w:val="center"/>
                    <w:rPr>
                      <w:rFonts w:hint="eastAsia"/>
                      <w:color w:val="000000"/>
                      <w:sz w:val="21"/>
                      <w:szCs w:val="21"/>
                    </w:rPr>
                  </w:pPr>
                  <w:r>
                    <w:rPr>
                      <w:rFonts w:hint="eastAsia"/>
                      <w:color w:val="000000"/>
                      <w:sz w:val="21"/>
                      <w:szCs w:val="21"/>
                    </w:rPr>
                    <w:t>产品</w:t>
                  </w:r>
                </w:p>
              </w:tc>
              <w:tc>
                <w:tcPr>
                  <w:tcW w:w="1992" w:type="dxa"/>
                  <w:noWrap w:val="0"/>
                  <w:vAlign w:val="center"/>
                </w:tcPr>
                <w:p w14:paraId="3DA94793">
                  <w:pPr>
                    <w:adjustRightInd w:val="0"/>
                    <w:snapToGrid w:val="0"/>
                    <w:contextualSpacing/>
                    <w:jc w:val="center"/>
                    <w:rPr>
                      <w:color w:val="000000"/>
                      <w:sz w:val="21"/>
                      <w:szCs w:val="21"/>
                    </w:rPr>
                  </w:pPr>
                  <w:r>
                    <w:rPr>
                      <w:rFonts w:hint="eastAsia"/>
                      <w:color w:val="000000"/>
                      <w:sz w:val="21"/>
                      <w:szCs w:val="21"/>
                    </w:rPr>
                    <w:t>低烟无卤电缆料</w:t>
                  </w:r>
                </w:p>
              </w:tc>
              <w:tc>
                <w:tcPr>
                  <w:tcW w:w="1805" w:type="dxa"/>
                  <w:noWrap w:val="0"/>
                  <w:vAlign w:val="center"/>
                </w:tcPr>
                <w:p w14:paraId="6BAFE054">
                  <w:pPr>
                    <w:adjustRightInd w:val="0"/>
                    <w:snapToGrid w:val="0"/>
                    <w:contextualSpacing/>
                    <w:jc w:val="center"/>
                    <w:rPr>
                      <w:rFonts w:hint="eastAsia"/>
                      <w:color w:val="000000"/>
                      <w:sz w:val="21"/>
                      <w:szCs w:val="21"/>
                    </w:rPr>
                  </w:pPr>
                  <w:r>
                    <w:rPr>
                      <w:rFonts w:hint="eastAsia"/>
                      <w:color w:val="000000"/>
                      <w:sz w:val="21"/>
                      <w:szCs w:val="21"/>
                    </w:rPr>
                    <w:t>低烟无卤电缆料</w:t>
                  </w:r>
                </w:p>
              </w:tc>
              <w:tc>
                <w:tcPr>
                  <w:tcW w:w="2103" w:type="dxa"/>
                  <w:noWrap w:val="0"/>
                  <w:vAlign w:val="center"/>
                </w:tcPr>
                <w:p w14:paraId="622E7719">
                  <w:pPr>
                    <w:adjustRightInd w:val="0"/>
                    <w:snapToGrid w:val="0"/>
                    <w:contextualSpacing/>
                    <w:jc w:val="center"/>
                    <w:rPr>
                      <w:color w:val="000000"/>
                      <w:sz w:val="21"/>
                      <w:szCs w:val="21"/>
                    </w:rPr>
                  </w:pPr>
                  <w:r>
                    <w:rPr>
                      <w:rFonts w:hint="eastAsia"/>
                      <w:color w:val="000000"/>
                      <w:sz w:val="21"/>
                      <w:szCs w:val="21"/>
                    </w:rPr>
                    <w:t>低烟无卤电缆料</w:t>
                  </w:r>
                </w:p>
              </w:tc>
              <w:tc>
                <w:tcPr>
                  <w:tcW w:w="1135" w:type="dxa"/>
                  <w:noWrap w:val="0"/>
                  <w:vAlign w:val="center"/>
                </w:tcPr>
                <w:p w14:paraId="5A8F011A">
                  <w:pPr>
                    <w:adjustRightInd w:val="0"/>
                    <w:snapToGrid w:val="0"/>
                    <w:contextualSpacing/>
                    <w:jc w:val="center"/>
                    <w:rPr>
                      <w:rFonts w:hint="eastAsia"/>
                      <w:color w:val="000000"/>
                      <w:sz w:val="21"/>
                      <w:szCs w:val="21"/>
                    </w:rPr>
                  </w:pPr>
                  <w:r>
                    <w:rPr>
                      <w:rFonts w:hint="eastAsia"/>
                      <w:color w:val="000000"/>
                      <w:sz w:val="21"/>
                      <w:szCs w:val="21"/>
                    </w:rPr>
                    <w:t>一致</w:t>
                  </w:r>
                </w:p>
              </w:tc>
            </w:tr>
            <w:tr w14:paraId="5AEB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5A9ED0BE">
                  <w:pPr>
                    <w:adjustRightInd w:val="0"/>
                    <w:snapToGrid w:val="0"/>
                    <w:contextualSpacing/>
                    <w:jc w:val="center"/>
                    <w:rPr>
                      <w:rFonts w:hint="eastAsia"/>
                      <w:color w:val="000000"/>
                      <w:sz w:val="21"/>
                      <w:szCs w:val="21"/>
                    </w:rPr>
                  </w:pPr>
                  <w:r>
                    <w:rPr>
                      <w:rFonts w:hint="eastAsia"/>
                      <w:color w:val="000000"/>
                      <w:sz w:val="21"/>
                      <w:szCs w:val="21"/>
                    </w:rPr>
                    <w:t>原料</w:t>
                  </w:r>
                </w:p>
              </w:tc>
              <w:tc>
                <w:tcPr>
                  <w:tcW w:w="1992" w:type="dxa"/>
                  <w:noWrap w:val="0"/>
                  <w:vAlign w:val="center"/>
                </w:tcPr>
                <w:p w14:paraId="18F3E3D8">
                  <w:pPr>
                    <w:adjustRightInd w:val="0"/>
                    <w:snapToGrid w:val="0"/>
                    <w:contextualSpacing/>
                    <w:jc w:val="center"/>
                    <w:rPr>
                      <w:rFonts w:hint="eastAsia"/>
                      <w:color w:val="000000"/>
                      <w:sz w:val="21"/>
                      <w:szCs w:val="21"/>
                    </w:rPr>
                  </w:pPr>
                  <w:r>
                    <w:rPr>
                      <w:rFonts w:hint="eastAsia"/>
                      <w:color w:val="000000"/>
                      <w:sz w:val="21"/>
                      <w:szCs w:val="21"/>
                    </w:rPr>
                    <w:t>EVA、POE、PP、EPDM、PE、氢氧化铝、氢氧化镁、抗氧剂、碳酸钙、润滑剂、色粉、白油、硅胶、钛白粉、稳定剂等</w:t>
                  </w:r>
                </w:p>
              </w:tc>
              <w:tc>
                <w:tcPr>
                  <w:tcW w:w="1805" w:type="dxa"/>
                  <w:noWrap w:val="0"/>
                  <w:vAlign w:val="center"/>
                </w:tcPr>
                <w:p w14:paraId="5B6D1C40">
                  <w:pPr>
                    <w:adjustRightInd w:val="0"/>
                    <w:snapToGrid w:val="0"/>
                    <w:contextualSpacing/>
                    <w:jc w:val="center"/>
                    <w:rPr>
                      <w:color w:val="000000"/>
                      <w:sz w:val="21"/>
                      <w:szCs w:val="21"/>
                    </w:rPr>
                  </w:pPr>
                  <w:r>
                    <w:rPr>
                      <w:rFonts w:hint="eastAsia"/>
                      <w:color w:val="000000"/>
                      <w:sz w:val="21"/>
                      <w:szCs w:val="21"/>
                    </w:rPr>
                    <w:t>EVA、LLDPE、POE、氢氧化铝、碳酸钙、VOE-540S、硅酮母粒、陶瓷化硼酸锌、阻燃剂、环保阻燃协效剂、相容剂、氢氧化镁、偶联剂、色母粒、抗氧剂PE蜡、成碳剂</w:t>
                  </w:r>
                </w:p>
              </w:tc>
              <w:tc>
                <w:tcPr>
                  <w:tcW w:w="2103" w:type="dxa"/>
                  <w:noWrap w:val="0"/>
                  <w:vAlign w:val="center"/>
                </w:tcPr>
                <w:p w14:paraId="14AC23FC">
                  <w:pPr>
                    <w:adjustRightInd w:val="0"/>
                    <w:snapToGrid w:val="0"/>
                    <w:contextualSpacing/>
                    <w:jc w:val="center"/>
                    <w:rPr>
                      <w:rFonts w:hint="eastAsia"/>
                      <w:color w:val="000000"/>
                      <w:sz w:val="21"/>
                      <w:szCs w:val="21"/>
                    </w:rPr>
                  </w:pPr>
                  <w:r>
                    <w:rPr>
                      <w:rFonts w:hint="eastAsia"/>
                      <w:color w:val="000000"/>
                      <w:sz w:val="21"/>
                      <w:szCs w:val="21"/>
                    </w:rPr>
                    <w:t>EVA、LLDPE、POE、氢氧化铝、相容剂、润滑剂、抗氧剂、颜料、二苯甲酮、氢氧化镁、硫代二丙酸双十二醇酯</w:t>
                  </w:r>
                </w:p>
              </w:tc>
              <w:tc>
                <w:tcPr>
                  <w:tcW w:w="1135" w:type="dxa"/>
                  <w:noWrap w:val="0"/>
                  <w:vAlign w:val="center"/>
                </w:tcPr>
                <w:p w14:paraId="320B1398">
                  <w:pPr>
                    <w:adjustRightInd w:val="0"/>
                    <w:snapToGrid w:val="0"/>
                    <w:contextualSpacing/>
                    <w:jc w:val="center"/>
                    <w:rPr>
                      <w:rFonts w:hint="eastAsia"/>
                      <w:color w:val="000000"/>
                      <w:sz w:val="21"/>
                      <w:szCs w:val="21"/>
                    </w:rPr>
                  </w:pPr>
                  <w:r>
                    <w:rPr>
                      <w:rFonts w:hint="eastAsia"/>
                      <w:color w:val="000000"/>
                      <w:sz w:val="21"/>
                      <w:szCs w:val="21"/>
                    </w:rPr>
                    <w:t>主要原辅料一致</w:t>
                  </w:r>
                </w:p>
              </w:tc>
            </w:tr>
            <w:tr w14:paraId="0257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5D529633">
                  <w:pPr>
                    <w:adjustRightInd w:val="0"/>
                    <w:snapToGrid w:val="0"/>
                    <w:contextualSpacing/>
                    <w:jc w:val="center"/>
                    <w:rPr>
                      <w:rFonts w:hint="eastAsia"/>
                      <w:color w:val="000000"/>
                      <w:sz w:val="21"/>
                      <w:szCs w:val="21"/>
                    </w:rPr>
                  </w:pPr>
                  <w:r>
                    <w:rPr>
                      <w:rFonts w:hint="eastAsia"/>
                      <w:color w:val="000000"/>
                      <w:sz w:val="21"/>
                      <w:szCs w:val="21"/>
                    </w:rPr>
                    <w:t>生产工艺</w:t>
                  </w:r>
                </w:p>
              </w:tc>
              <w:tc>
                <w:tcPr>
                  <w:tcW w:w="1992" w:type="dxa"/>
                  <w:noWrap w:val="0"/>
                  <w:vAlign w:val="center"/>
                </w:tcPr>
                <w:p w14:paraId="573E1D80">
                  <w:pPr>
                    <w:adjustRightInd w:val="0"/>
                    <w:snapToGrid w:val="0"/>
                    <w:contextualSpacing/>
                    <w:jc w:val="center"/>
                    <w:rPr>
                      <w:color w:val="000000"/>
                      <w:sz w:val="21"/>
                      <w:szCs w:val="21"/>
                    </w:rPr>
                  </w:pPr>
                  <w:r>
                    <w:rPr>
                      <w:rFonts w:hint="eastAsia"/>
                      <w:color w:val="000000"/>
                      <w:sz w:val="21"/>
                      <w:szCs w:val="21"/>
                    </w:rPr>
                    <w:t>配料、混料-密炼-挤出造粒、拉条水冷-风冷干燥、切粒-过筛、烘干-检验</w:t>
                  </w:r>
                </w:p>
              </w:tc>
              <w:tc>
                <w:tcPr>
                  <w:tcW w:w="1805" w:type="dxa"/>
                  <w:noWrap w:val="0"/>
                  <w:vAlign w:val="center"/>
                </w:tcPr>
                <w:p w14:paraId="5C5C746C">
                  <w:pPr>
                    <w:adjustRightInd w:val="0"/>
                    <w:snapToGrid w:val="0"/>
                    <w:contextualSpacing/>
                    <w:jc w:val="center"/>
                    <w:rPr>
                      <w:color w:val="000000"/>
                      <w:sz w:val="21"/>
                      <w:szCs w:val="21"/>
                    </w:rPr>
                  </w:pPr>
                  <w:r>
                    <w:rPr>
                      <w:rFonts w:hint="eastAsia"/>
                      <w:color w:val="000000"/>
                      <w:sz w:val="21"/>
                      <w:szCs w:val="21"/>
                    </w:rPr>
                    <w:t>上料混合-密炼-挤出-切粒-风冷-筛分-称量打包</w:t>
                  </w:r>
                </w:p>
              </w:tc>
              <w:tc>
                <w:tcPr>
                  <w:tcW w:w="2103" w:type="dxa"/>
                  <w:noWrap w:val="0"/>
                  <w:vAlign w:val="center"/>
                </w:tcPr>
                <w:p w14:paraId="33C476FE">
                  <w:pPr>
                    <w:adjustRightInd w:val="0"/>
                    <w:snapToGrid w:val="0"/>
                    <w:contextualSpacing/>
                    <w:jc w:val="center"/>
                    <w:rPr>
                      <w:color w:val="000000"/>
                      <w:sz w:val="21"/>
                      <w:szCs w:val="21"/>
                    </w:rPr>
                  </w:pPr>
                  <w:r>
                    <w:rPr>
                      <w:rFonts w:hint="eastAsia"/>
                      <w:color w:val="000000"/>
                      <w:sz w:val="21"/>
                      <w:szCs w:val="21"/>
                    </w:rPr>
                    <w:t>投料、配料-密炼-塑化-切割-风冷-筛选-计量-包装</w:t>
                  </w:r>
                </w:p>
              </w:tc>
              <w:tc>
                <w:tcPr>
                  <w:tcW w:w="1135" w:type="dxa"/>
                  <w:noWrap w:val="0"/>
                  <w:vAlign w:val="center"/>
                </w:tcPr>
                <w:p w14:paraId="3C8BE1A2">
                  <w:pPr>
                    <w:adjustRightInd w:val="0"/>
                    <w:snapToGrid w:val="0"/>
                    <w:contextualSpacing/>
                    <w:jc w:val="center"/>
                    <w:rPr>
                      <w:rFonts w:hint="eastAsia"/>
                      <w:color w:val="000000"/>
                      <w:sz w:val="21"/>
                      <w:szCs w:val="21"/>
                    </w:rPr>
                  </w:pPr>
                  <w:r>
                    <w:rPr>
                      <w:rFonts w:hint="eastAsia"/>
                      <w:color w:val="000000"/>
                      <w:sz w:val="21"/>
                      <w:szCs w:val="21"/>
                    </w:rPr>
                    <w:t>基本一致</w:t>
                  </w:r>
                </w:p>
              </w:tc>
            </w:tr>
            <w:tr w14:paraId="0ECF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001998B7">
                  <w:pPr>
                    <w:adjustRightInd w:val="0"/>
                    <w:snapToGrid w:val="0"/>
                    <w:contextualSpacing/>
                    <w:jc w:val="center"/>
                    <w:rPr>
                      <w:rFonts w:hint="eastAsia"/>
                      <w:color w:val="000000"/>
                      <w:sz w:val="21"/>
                      <w:szCs w:val="21"/>
                    </w:rPr>
                  </w:pPr>
                  <w:r>
                    <w:rPr>
                      <w:rFonts w:hint="eastAsia"/>
                      <w:color w:val="000000"/>
                      <w:sz w:val="21"/>
                      <w:szCs w:val="21"/>
                    </w:rPr>
                    <w:t>工艺控制</w:t>
                  </w:r>
                </w:p>
              </w:tc>
              <w:tc>
                <w:tcPr>
                  <w:tcW w:w="1992" w:type="dxa"/>
                  <w:noWrap w:val="0"/>
                  <w:vAlign w:val="center"/>
                </w:tcPr>
                <w:p w14:paraId="75BE90D0">
                  <w:pPr>
                    <w:adjustRightInd w:val="0"/>
                    <w:snapToGrid w:val="0"/>
                    <w:contextualSpacing/>
                    <w:jc w:val="center"/>
                    <w:rPr>
                      <w:rFonts w:hint="eastAsia"/>
                      <w:color w:val="000000"/>
                      <w:sz w:val="21"/>
                      <w:szCs w:val="21"/>
                    </w:rPr>
                  </w:pPr>
                  <w:r>
                    <w:rPr>
                      <w:rFonts w:hint="eastAsia"/>
                      <w:color w:val="000000"/>
                      <w:sz w:val="21"/>
                      <w:szCs w:val="21"/>
                    </w:rPr>
                    <w:t>密炼温度160-180℃</w:t>
                  </w:r>
                </w:p>
                <w:p w14:paraId="1FD4B741">
                  <w:pPr>
                    <w:pStyle w:val="28"/>
                    <w:rPr>
                      <w:color w:val="000000"/>
                    </w:rPr>
                  </w:pPr>
                  <w:r>
                    <w:rPr>
                      <w:rFonts w:hint="eastAsia" w:ascii="Times New Roman" w:hAnsi="Times New Roman" w:eastAsia="宋体"/>
                      <w:color w:val="000000"/>
                      <w:sz w:val="21"/>
                      <w:szCs w:val="21"/>
                    </w:rPr>
                    <w:t>挤出温度140-240℃</w:t>
                  </w:r>
                </w:p>
              </w:tc>
              <w:tc>
                <w:tcPr>
                  <w:tcW w:w="1805" w:type="dxa"/>
                  <w:noWrap w:val="0"/>
                  <w:vAlign w:val="center"/>
                </w:tcPr>
                <w:p w14:paraId="20F7EEBF">
                  <w:pPr>
                    <w:adjustRightInd w:val="0"/>
                    <w:snapToGrid w:val="0"/>
                    <w:contextualSpacing/>
                    <w:jc w:val="center"/>
                    <w:rPr>
                      <w:rFonts w:hint="eastAsia"/>
                      <w:color w:val="000000"/>
                      <w:sz w:val="21"/>
                      <w:szCs w:val="21"/>
                    </w:rPr>
                  </w:pPr>
                  <w:r>
                    <w:rPr>
                      <w:rFonts w:hint="eastAsia"/>
                      <w:color w:val="000000"/>
                      <w:sz w:val="21"/>
                      <w:szCs w:val="21"/>
                    </w:rPr>
                    <w:t>密炼温度60-150℃</w:t>
                  </w:r>
                </w:p>
                <w:p w14:paraId="728F4BF9">
                  <w:pPr>
                    <w:adjustRightInd w:val="0"/>
                    <w:snapToGrid w:val="0"/>
                    <w:contextualSpacing/>
                    <w:jc w:val="center"/>
                    <w:rPr>
                      <w:color w:val="000000"/>
                      <w:sz w:val="21"/>
                      <w:szCs w:val="21"/>
                    </w:rPr>
                  </w:pPr>
                  <w:r>
                    <w:rPr>
                      <w:rFonts w:hint="eastAsia"/>
                      <w:color w:val="000000"/>
                      <w:sz w:val="21"/>
                      <w:szCs w:val="21"/>
                    </w:rPr>
                    <w:t>挤出温度170℃</w:t>
                  </w:r>
                </w:p>
              </w:tc>
              <w:tc>
                <w:tcPr>
                  <w:tcW w:w="2103" w:type="dxa"/>
                  <w:noWrap w:val="0"/>
                  <w:vAlign w:val="center"/>
                </w:tcPr>
                <w:p w14:paraId="1F42B59C">
                  <w:pPr>
                    <w:adjustRightInd w:val="0"/>
                    <w:snapToGrid w:val="0"/>
                    <w:contextualSpacing/>
                    <w:jc w:val="center"/>
                    <w:rPr>
                      <w:rFonts w:hint="eastAsia"/>
                      <w:color w:val="000000"/>
                      <w:sz w:val="21"/>
                      <w:szCs w:val="21"/>
                    </w:rPr>
                  </w:pPr>
                  <w:r>
                    <w:rPr>
                      <w:rFonts w:hint="eastAsia"/>
                      <w:color w:val="000000"/>
                      <w:sz w:val="21"/>
                      <w:szCs w:val="21"/>
                    </w:rPr>
                    <w:t>密炼温度130-150℃</w:t>
                  </w:r>
                </w:p>
                <w:p w14:paraId="31CE9821">
                  <w:pPr>
                    <w:pStyle w:val="28"/>
                    <w:rPr>
                      <w:color w:val="000000"/>
                    </w:rPr>
                  </w:pPr>
                  <w:r>
                    <w:rPr>
                      <w:rFonts w:hint="eastAsia" w:ascii="Times New Roman" w:hAnsi="Times New Roman" w:eastAsia="宋体"/>
                      <w:color w:val="000000"/>
                      <w:sz w:val="21"/>
                      <w:szCs w:val="21"/>
                    </w:rPr>
                    <w:t>挤出温度130-150℃</w:t>
                  </w:r>
                </w:p>
              </w:tc>
              <w:tc>
                <w:tcPr>
                  <w:tcW w:w="1135" w:type="dxa"/>
                  <w:noWrap w:val="0"/>
                  <w:vAlign w:val="center"/>
                </w:tcPr>
                <w:p w14:paraId="606AFA78">
                  <w:pPr>
                    <w:adjustRightInd w:val="0"/>
                    <w:snapToGrid w:val="0"/>
                    <w:contextualSpacing/>
                    <w:jc w:val="center"/>
                    <w:rPr>
                      <w:rFonts w:hint="eastAsia"/>
                      <w:color w:val="000000"/>
                      <w:sz w:val="21"/>
                      <w:szCs w:val="21"/>
                    </w:rPr>
                  </w:pPr>
                  <w:r>
                    <w:rPr>
                      <w:rFonts w:hint="eastAsia"/>
                      <w:color w:val="000000"/>
                      <w:sz w:val="21"/>
                      <w:szCs w:val="21"/>
                    </w:rPr>
                    <w:t>基本一致</w:t>
                  </w:r>
                </w:p>
              </w:tc>
            </w:tr>
          </w:tbl>
          <w:p w14:paraId="79176197">
            <w:pPr>
              <w:adjustRightInd w:val="0"/>
              <w:snapToGrid w:val="0"/>
              <w:jc w:val="center"/>
              <w:rPr>
                <w:rFonts w:hint="eastAsia"/>
                <w:b/>
                <w:color w:val="000000"/>
              </w:rPr>
            </w:pPr>
            <w:r>
              <w:rPr>
                <w:rFonts w:hint="eastAsia"/>
                <w:b/>
                <w:color w:val="000000"/>
              </w:rPr>
              <w:t>表4-4 类比项目产污系数核算分析一览表</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9"/>
              <w:gridCol w:w="2584"/>
              <w:gridCol w:w="2898"/>
            </w:tblGrid>
            <w:tr w14:paraId="00A4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pct"/>
                  <w:noWrap w:val="0"/>
                  <w:vAlign w:val="center"/>
                </w:tcPr>
                <w:p w14:paraId="787E88D7">
                  <w:pPr>
                    <w:adjustRightInd w:val="0"/>
                    <w:snapToGrid w:val="0"/>
                    <w:contextualSpacing/>
                    <w:jc w:val="center"/>
                    <w:rPr>
                      <w:b/>
                      <w:bCs/>
                      <w:color w:val="000000"/>
                      <w:sz w:val="21"/>
                      <w:szCs w:val="21"/>
                    </w:rPr>
                  </w:pPr>
                  <w:r>
                    <w:rPr>
                      <w:rFonts w:hint="eastAsia"/>
                      <w:b/>
                      <w:bCs/>
                      <w:color w:val="000000"/>
                      <w:sz w:val="21"/>
                      <w:szCs w:val="21"/>
                    </w:rPr>
                    <w:t>类别</w:t>
                  </w:r>
                </w:p>
              </w:tc>
              <w:tc>
                <w:tcPr>
                  <w:tcW w:w="1541" w:type="pct"/>
                  <w:noWrap w:val="0"/>
                  <w:vAlign w:val="center"/>
                </w:tcPr>
                <w:p w14:paraId="58135D12">
                  <w:pPr>
                    <w:adjustRightInd w:val="0"/>
                    <w:snapToGrid w:val="0"/>
                    <w:contextualSpacing/>
                    <w:jc w:val="center"/>
                    <w:rPr>
                      <w:b/>
                      <w:bCs/>
                      <w:color w:val="000000"/>
                      <w:sz w:val="21"/>
                      <w:szCs w:val="21"/>
                    </w:rPr>
                  </w:pPr>
                  <w:r>
                    <w:rPr>
                      <w:rFonts w:hint="eastAsia"/>
                      <w:b/>
                      <w:bCs/>
                      <w:color w:val="000000"/>
                      <w:sz w:val="21"/>
                      <w:szCs w:val="21"/>
                    </w:rPr>
                    <w:t>类比项目4</w:t>
                  </w:r>
                </w:p>
              </w:tc>
              <w:tc>
                <w:tcPr>
                  <w:tcW w:w="1729" w:type="pct"/>
                  <w:noWrap w:val="0"/>
                  <w:vAlign w:val="center"/>
                </w:tcPr>
                <w:p w14:paraId="31834D47">
                  <w:pPr>
                    <w:adjustRightInd w:val="0"/>
                    <w:snapToGrid w:val="0"/>
                    <w:contextualSpacing/>
                    <w:jc w:val="center"/>
                    <w:rPr>
                      <w:b/>
                      <w:bCs/>
                      <w:color w:val="000000"/>
                      <w:sz w:val="21"/>
                      <w:szCs w:val="21"/>
                    </w:rPr>
                  </w:pPr>
                  <w:r>
                    <w:rPr>
                      <w:rFonts w:hint="eastAsia"/>
                      <w:b/>
                      <w:bCs/>
                      <w:color w:val="000000"/>
                      <w:sz w:val="21"/>
                      <w:szCs w:val="21"/>
                    </w:rPr>
                    <w:t>类比项目5</w:t>
                  </w:r>
                </w:p>
              </w:tc>
            </w:tr>
            <w:tr w14:paraId="6CA0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pct"/>
                  <w:noWrap w:val="0"/>
                  <w:vAlign w:val="center"/>
                </w:tcPr>
                <w:p w14:paraId="3DBE35B1">
                  <w:pPr>
                    <w:adjustRightInd w:val="0"/>
                    <w:snapToGrid w:val="0"/>
                    <w:contextualSpacing/>
                    <w:jc w:val="center"/>
                    <w:rPr>
                      <w:color w:val="000000"/>
                      <w:sz w:val="21"/>
                      <w:szCs w:val="21"/>
                    </w:rPr>
                  </w:pPr>
                  <w:r>
                    <w:rPr>
                      <w:rFonts w:hint="eastAsia"/>
                      <w:color w:val="000000"/>
                      <w:sz w:val="21"/>
                      <w:szCs w:val="21"/>
                    </w:rPr>
                    <w:t>实际生产规模</w:t>
                  </w:r>
                </w:p>
              </w:tc>
              <w:tc>
                <w:tcPr>
                  <w:tcW w:w="1541" w:type="pct"/>
                  <w:noWrap w:val="0"/>
                  <w:vAlign w:val="center"/>
                </w:tcPr>
                <w:p w14:paraId="3646C0A8">
                  <w:pPr>
                    <w:adjustRightInd w:val="0"/>
                    <w:snapToGrid w:val="0"/>
                    <w:contextualSpacing/>
                    <w:jc w:val="center"/>
                    <w:rPr>
                      <w:color w:val="000000"/>
                      <w:sz w:val="21"/>
                      <w:szCs w:val="21"/>
                    </w:rPr>
                  </w:pPr>
                  <w:r>
                    <w:rPr>
                      <w:rFonts w:hint="eastAsia"/>
                      <w:color w:val="000000"/>
                      <w:sz w:val="21"/>
                      <w:szCs w:val="21"/>
                    </w:rPr>
                    <w:t>2.41t/h（工作时间24h/d）</w:t>
                  </w:r>
                </w:p>
              </w:tc>
              <w:tc>
                <w:tcPr>
                  <w:tcW w:w="1729" w:type="pct"/>
                  <w:noWrap w:val="0"/>
                  <w:vAlign w:val="center"/>
                </w:tcPr>
                <w:p w14:paraId="7DEB1D75">
                  <w:pPr>
                    <w:adjustRightInd w:val="0"/>
                    <w:snapToGrid w:val="0"/>
                    <w:contextualSpacing/>
                    <w:jc w:val="center"/>
                    <w:rPr>
                      <w:color w:val="000000"/>
                      <w:sz w:val="21"/>
                      <w:szCs w:val="21"/>
                    </w:rPr>
                  </w:pPr>
                  <w:r>
                    <w:rPr>
                      <w:rFonts w:hint="eastAsia"/>
                      <w:color w:val="000000"/>
                      <w:sz w:val="21"/>
                      <w:szCs w:val="21"/>
                    </w:rPr>
                    <w:t>0.5t/h（工作时间12h/d）</w:t>
                  </w:r>
                </w:p>
              </w:tc>
            </w:tr>
            <w:tr w14:paraId="0DB1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pct"/>
                  <w:noWrap w:val="0"/>
                  <w:vAlign w:val="center"/>
                </w:tcPr>
                <w:p w14:paraId="06F4CB4D">
                  <w:pPr>
                    <w:adjustRightInd w:val="0"/>
                    <w:snapToGrid w:val="0"/>
                    <w:contextualSpacing/>
                    <w:jc w:val="center"/>
                    <w:rPr>
                      <w:rFonts w:hAnsi="宋体"/>
                      <w:bCs/>
                      <w:color w:val="000000"/>
                      <w:sz w:val="21"/>
                      <w:szCs w:val="21"/>
                    </w:rPr>
                  </w:pPr>
                  <w:r>
                    <w:rPr>
                      <w:rFonts w:hint="eastAsia" w:hAnsi="宋体"/>
                      <w:bCs/>
                      <w:color w:val="000000"/>
                      <w:sz w:val="21"/>
                      <w:szCs w:val="21"/>
                    </w:rPr>
                    <w:t>收集措施</w:t>
                  </w:r>
                </w:p>
              </w:tc>
              <w:tc>
                <w:tcPr>
                  <w:tcW w:w="1541" w:type="pct"/>
                  <w:noWrap w:val="0"/>
                  <w:vAlign w:val="center"/>
                </w:tcPr>
                <w:p w14:paraId="4421E3CA">
                  <w:pPr>
                    <w:adjustRightInd w:val="0"/>
                    <w:snapToGrid w:val="0"/>
                    <w:contextualSpacing/>
                    <w:jc w:val="center"/>
                    <w:rPr>
                      <w:color w:val="000000"/>
                      <w:sz w:val="21"/>
                      <w:szCs w:val="21"/>
                    </w:rPr>
                  </w:pPr>
                  <w:r>
                    <w:rPr>
                      <w:rFonts w:hint="eastAsia"/>
                      <w:color w:val="000000"/>
                      <w:sz w:val="21"/>
                      <w:szCs w:val="21"/>
                    </w:rPr>
                    <w:t>集气罩+软帘</w:t>
                  </w:r>
                </w:p>
              </w:tc>
              <w:tc>
                <w:tcPr>
                  <w:tcW w:w="1729" w:type="pct"/>
                  <w:noWrap w:val="0"/>
                  <w:vAlign w:val="center"/>
                </w:tcPr>
                <w:p w14:paraId="4E451EBA">
                  <w:pPr>
                    <w:adjustRightInd w:val="0"/>
                    <w:snapToGrid w:val="0"/>
                    <w:contextualSpacing/>
                    <w:jc w:val="center"/>
                    <w:rPr>
                      <w:color w:val="000000"/>
                      <w:sz w:val="21"/>
                      <w:szCs w:val="21"/>
                    </w:rPr>
                  </w:pPr>
                  <w:r>
                    <w:rPr>
                      <w:rFonts w:hint="eastAsia"/>
                      <w:color w:val="000000"/>
                      <w:sz w:val="21"/>
                      <w:szCs w:val="21"/>
                    </w:rPr>
                    <w:t>集气罩+软帘</w:t>
                  </w:r>
                </w:p>
              </w:tc>
            </w:tr>
            <w:tr w14:paraId="78EB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pct"/>
                  <w:noWrap w:val="0"/>
                  <w:vAlign w:val="center"/>
                </w:tcPr>
                <w:p w14:paraId="693127EE">
                  <w:pPr>
                    <w:adjustRightInd w:val="0"/>
                    <w:snapToGrid w:val="0"/>
                    <w:contextualSpacing/>
                    <w:jc w:val="center"/>
                    <w:rPr>
                      <w:rFonts w:hAnsi="宋体"/>
                      <w:bCs/>
                      <w:color w:val="000000"/>
                      <w:sz w:val="21"/>
                      <w:szCs w:val="21"/>
                    </w:rPr>
                  </w:pPr>
                  <w:r>
                    <w:rPr>
                      <w:rFonts w:hint="eastAsia" w:hAnsi="宋体"/>
                      <w:bCs/>
                      <w:color w:val="000000"/>
                      <w:sz w:val="21"/>
                      <w:szCs w:val="21"/>
                    </w:rPr>
                    <w:t>环保措施</w:t>
                  </w:r>
                </w:p>
              </w:tc>
              <w:tc>
                <w:tcPr>
                  <w:tcW w:w="1541" w:type="pct"/>
                  <w:noWrap w:val="0"/>
                  <w:vAlign w:val="center"/>
                </w:tcPr>
                <w:p w14:paraId="1BA53273">
                  <w:pPr>
                    <w:adjustRightInd w:val="0"/>
                    <w:snapToGrid w:val="0"/>
                    <w:contextualSpacing/>
                    <w:jc w:val="center"/>
                    <w:rPr>
                      <w:rFonts w:hint="eastAsia" w:hAnsi="宋体"/>
                      <w:color w:val="000000"/>
                      <w:sz w:val="21"/>
                      <w:szCs w:val="21"/>
                    </w:rPr>
                  </w:pPr>
                  <w:r>
                    <w:rPr>
                      <w:rFonts w:hint="eastAsia" w:hAnsi="宋体"/>
                      <w:color w:val="000000"/>
                      <w:sz w:val="21"/>
                      <w:szCs w:val="21"/>
                    </w:rPr>
                    <w:t>布袋除尘器（颗粒物）；</w:t>
                  </w:r>
                </w:p>
                <w:p w14:paraId="457A5065">
                  <w:pPr>
                    <w:adjustRightInd w:val="0"/>
                    <w:snapToGrid w:val="0"/>
                    <w:contextualSpacing/>
                    <w:jc w:val="center"/>
                    <w:rPr>
                      <w:rFonts w:hint="eastAsia"/>
                      <w:color w:val="000000"/>
                      <w:sz w:val="21"/>
                      <w:szCs w:val="21"/>
                    </w:rPr>
                  </w:pPr>
                  <w:r>
                    <w:rPr>
                      <w:rFonts w:hint="eastAsia" w:hAnsi="宋体"/>
                      <w:color w:val="000000"/>
                      <w:sz w:val="21"/>
                      <w:szCs w:val="21"/>
                    </w:rPr>
                    <w:t>二级活性炭</w:t>
                  </w:r>
                </w:p>
              </w:tc>
              <w:tc>
                <w:tcPr>
                  <w:tcW w:w="1729" w:type="pct"/>
                  <w:noWrap w:val="0"/>
                  <w:vAlign w:val="center"/>
                </w:tcPr>
                <w:p w14:paraId="0B4E897D">
                  <w:pPr>
                    <w:adjustRightInd w:val="0"/>
                    <w:snapToGrid w:val="0"/>
                    <w:contextualSpacing/>
                    <w:jc w:val="center"/>
                    <w:rPr>
                      <w:rFonts w:hint="eastAsia" w:hAnsi="宋体"/>
                      <w:color w:val="000000"/>
                      <w:sz w:val="21"/>
                      <w:szCs w:val="21"/>
                    </w:rPr>
                  </w:pPr>
                  <w:r>
                    <w:rPr>
                      <w:rFonts w:hint="eastAsia" w:hAnsi="宋体"/>
                      <w:color w:val="000000"/>
                      <w:sz w:val="21"/>
                      <w:szCs w:val="21"/>
                    </w:rPr>
                    <w:t>布袋除尘器（颗粒物）；</w:t>
                  </w:r>
                </w:p>
                <w:p w14:paraId="67B11EE5">
                  <w:pPr>
                    <w:adjustRightInd w:val="0"/>
                    <w:snapToGrid w:val="0"/>
                    <w:contextualSpacing/>
                    <w:jc w:val="center"/>
                    <w:rPr>
                      <w:rFonts w:hAnsi="宋体"/>
                      <w:color w:val="000000"/>
                      <w:sz w:val="21"/>
                      <w:szCs w:val="21"/>
                    </w:rPr>
                  </w:pPr>
                  <w:r>
                    <w:rPr>
                      <w:rFonts w:hint="eastAsia" w:hAnsi="宋体"/>
                      <w:color w:val="000000"/>
                      <w:sz w:val="21"/>
                      <w:szCs w:val="21"/>
                    </w:rPr>
                    <w:t>二级活性炭</w:t>
                  </w:r>
                </w:p>
              </w:tc>
            </w:tr>
            <w:tr w14:paraId="50AA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pct"/>
                  <w:noWrap w:val="0"/>
                  <w:vAlign w:val="center"/>
                </w:tcPr>
                <w:p w14:paraId="689C6B60">
                  <w:pPr>
                    <w:adjustRightInd w:val="0"/>
                    <w:snapToGrid w:val="0"/>
                    <w:contextualSpacing/>
                    <w:jc w:val="center"/>
                    <w:rPr>
                      <w:color w:val="000000"/>
                      <w:sz w:val="21"/>
                      <w:szCs w:val="21"/>
                    </w:rPr>
                  </w:pPr>
                  <w:r>
                    <w:rPr>
                      <w:rFonts w:hint="eastAsia"/>
                      <w:color w:val="000000"/>
                      <w:sz w:val="21"/>
                      <w:szCs w:val="21"/>
                    </w:rPr>
                    <w:t>非甲烷总烃产污系数计算</w:t>
                  </w:r>
                </w:p>
              </w:tc>
              <w:tc>
                <w:tcPr>
                  <w:tcW w:w="1541" w:type="pct"/>
                  <w:noWrap w:val="0"/>
                  <w:vAlign w:val="center"/>
                </w:tcPr>
                <w:p w14:paraId="1B8F6270">
                  <w:pPr>
                    <w:adjustRightInd w:val="0"/>
                    <w:snapToGrid w:val="0"/>
                    <w:contextualSpacing/>
                    <w:jc w:val="center"/>
                    <w:rPr>
                      <w:color w:val="000000"/>
                      <w:sz w:val="21"/>
                      <w:szCs w:val="21"/>
                    </w:rPr>
                  </w:pPr>
                  <w:r>
                    <w:rPr>
                      <w:rFonts w:hint="eastAsia"/>
                      <w:color w:val="000000"/>
                      <w:sz w:val="21"/>
                      <w:szCs w:val="21"/>
                    </w:rPr>
                    <w:t>最大进口速率0.315kg/h，收集率85%，产品产量2.41t/h，产生速率0.3706kg/h，则产生系数为0.154kg/t-产品</w:t>
                  </w:r>
                </w:p>
              </w:tc>
              <w:tc>
                <w:tcPr>
                  <w:tcW w:w="2899" w:type="dxa"/>
                  <w:noWrap w:val="0"/>
                  <w:vAlign w:val="center"/>
                </w:tcPr>
                <w:p w14:paraId="178A531C">
                  <w:pPr>
                    <w:adjustRightInd w:val="0"/>
                    <w:snapToGrid w:val="0"/>
                    <w:contextualSpacing/>
                    <w:jc w:val="center"/>
                    <w:rPr>
                      <w:color w:val="000000"/>
                    </w:rPr>
                  </w:pPr>
                  <w:r>
                    <w:rPr>
                      <w:rFonts w:hint="eastAsia"/>
                      <w:color w:val="000000"/>
                      <w:sz w:val="21"/>
                      <w:szCs w:val="21"/>
                    </w:rPr>
                    <w:t>最大进口浓度32.6mg/m</w:t>
                  </w:r>
                  <w:r>
                    <w:rPr>
                      <w:rFonts w:hint="eastAsia"/>
                      <w:color w:val="000000"/>
                      <w:sz w:val="21"/>
                      <w:szCs w:val="21"/>
                      <w:vertAlign w:val="superscript"/>
                    </w:rPr>
                    <w:t>3</w:t>
                  </w:r>
                  <w:r>
                    <w:rPr>
                      <w:rFonts w:hint="eastAsia"/>
                      <w:color w:val="000000"/>
                      <w:sz w:val="21"/>
                      <w:szCs w:val="21"/>
                    </w:rPr>
                    <w:t>，最大风量12742m</w:t>
                  </w:r>
                  <w:r>
                    <w:rPr>
                      <w:rFonts w:hint="eastAsia"/>
                      <w:color w:val="000000"/>
                      <w:sz w:val="21"/>
                      <w:szCs w:val="21"/>
                      <w:vertAlign w:val="superscript"/>
                    </w:rPr>
                    <w:t>3</w:t>
                  </w:r>
                  <w:r>
                    <w:rPr>
                      <w:rFonts w:hint="eastAsia"/>
                      <w:color w:val="000000"/>
                      <w:sz w:val="21"/>
                      <w:szCs w:val="21"/>
                    </w:rPr>
                    <w:t>/h，收集率85%，产品产量0.5t/h，产生速率0.4887kg/h，则产生系数为0.977kg/t-产品</w:t>
                  </w:r>
                </w:p>
              </w:tc>
            </w:tr>
            <w:tr w14:paraId="4639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pct"/>
                  <w:noWrap w:val="0"/>
                  <w:vAlign w:val="center"/>
                </w:tcPr>
                <w:p w14:paraId="3EC9B78D">
                  <w:pPr>
                    <w:adjustRightInd w:val="0"/>
                    <w:snapToGrid w:val="0"/>
                    <w:contextualSpacing/>
                    <w:jc w:val="center"/>
                    <w:rPr>
                      <w:rFonts w:hint="eastAsia"/>
                      <w:color w:val="000000"/>
                      <w:sz w:val="21"/>
                      <w:szCs w:val="21"/>
                    </w:rPr>
                  </w:pPr>
                  <w:r>
                    <w:rPr>
                      <w:rFonts w:hint="eastAsia"/>
                      <w:color w:val="000000"/>
                      <w:sz w:val="21"/>
                      <w:szCs w:val="21"/>
                    </w:rPr>
                    <w:t>颗粒物产污系数计算</w:t>
                  </w:r>
                </w:p>
              </w:tc>
              <w:tc>
                <w:tcPr>
                  <w:tcW w:w="1541" w:type="pct"/>
                  <w:noWrap w:val="0"/>
                  <w:vAlign w:val="center"/>
                </w:tcPr>
                <w:p w14:paraId="729E091F">
                  <w:pPr>
                    <w:adjustRightInd w:val="0"/>
                    <w:snapToGrid w:val="0"/>
                    <w:contextualSpacing/>
                    <w:jc w:val="center"/>
                    <w:rPr>
                      <w:rFonts w:hint="eastAsia"/>
                      <w:color w:val="000000"/>
                      <w:sz w:val="21"/>
                      <w:szCs w:val="21"/>
                    </w:rPr>
                  </w:pPr>
                  <w:r>
                    <w:rPr>
                      <w:rFonts w:hint="eastAsia"/>
                      <w:color w:val="000000"/>
                      <w:sz w:val="21"/>
                      <w:szCs w:val="21"/>
                    </w:rPr>
                    <w:t>最大出口速率0.47kg/h，收集率85%，产品产量2.41t/h，产生速率0.5529kg/h，颗粒产生环节每天工作时间为12h，则产生系数为0.115kg/t-产品</w:t>
                  </w:r>
                </w:p>
              </w:tc>
              <w:tc>
                <w:tcPr>
                  <w:tcW w:w="2899" w:type="dxa"/>
                  <w:noWrap w:val="0"/>
                  <w:vAlign w:val="center"/>
                </w:tcPr>
                <w:p w14:paraId="327C2B7D">
                  <w:pPr>
                    <w:adjustRightInd w:val="0"/>
                    <w:snapToGrid w:val="0"/>
                    <w:contextualSpacing/>
                    <w:jc w:val="center"/>
                    <w:rPr>
                      <w:rFonts w:hint="eastAsia"/>
                      <w:color w:val="000000"/>
                      <w:sz w:val="21"/>
                      <w:szCs w:val="21"/>
                    </w:rPr>
                  </w:pPr>
                  <w:r>
                    <w:rPr>
                      <w:rFonts w:hint="eastAsia"/>
                      <w:color w:val="000000"/>
                      <w:sz w:val="21"/>
                      <w:szCs w:val="21"/>
                    </w:rPr>
                    <w:t>最大进口浓度94.2mg/m</w:t>
                  </w:r>
                  <w:r>
                    <w:rPr>
                      <w:rFonts w:hint="eastAsia"/>
                      <w:color w:val="000000"/>
                      <w:sz w:val="21"/>
                      <w:szCs w:val="21"/>
                      <w:vertAlign w:val="superscript"/>
                    </w:rPr>
                    <w:t>3</w:t>
                  </w:r>
                  <w:r>
                    <w:rPr>
                      <w:rFonts w:hint="eastAsia"/>
                      <w:color w:val="000000"/>
                      <w:sz w:val="21"/>
                      <w:szCs w:val="21"/>
                    </w:rPr>
                    <w:t>，最大风量12063m</w:t>
                  </w:r>
                  <w:r>
                    <w:rPr>
                      <w:rFonts w:hint="eastAsia"/>
                      <w:color w:val="000000"/>
                      <w:sz w:val="21"/>
                      <w:szCs w:val="21"/>
                      <w:vertAlign w:val="superscript"/>
                    </w:rPr>
                    <w:t>3</w:t>
                  </w:r>
                  <w:r>
                    <w:rPr>
                      <w:rFonts w:hint="eastAsia"/>
                      <w:color w:val="000000"/>
                      <w:sz w:val="21"/>
                      <w:szCs w:val="21"/>
                    </w:rPr>
                    <w:t>/h，收集率85%，产品产量0.5t/h，产生速率1.412kg/h，颗粒产生环节每天工作时间为6h，则产生系数为1.412kg/t-产品</w:t>
                  </w:r>
                </w:p>
              </w:tc>
            </w:tr>
          </w:tbl>
          <w:p w14:paraId="356C81DE">
            <w:pPr>
              <w:spacing w:line="360" w:lineRule="auto"/>
              <w:ind w:firstLine="465"/>
              <w:contextualSpacing/>
              <w:rPr>
                <w:rFonts w:hint="eastAsia"/>
                <w:color w:val="000000"/>
              </w:rPr>
            </w:pPr>
            <w:r>
              <w:rPr>
                <w:rFonts w:hint="eastAsia"/>
                <w:color w:val="000000"/>
              </w:rPr>
              <w:t>综上，本项目PVC电缆料非甲烷总烃、颗粒物的产污系数保守取类比项目中产污系数最大值为1.634kg/t-产品、1.402kg/t-产品；低烟无卤电缆料非甲烷总烃的产污系数保守取类比项目中最大值为0.977kg/t-产品、1.412kg/t-产品。</w:t>
            </w:r>
          </w:p>
          <w:p w14:paraId="0861668F">
            <w:pPr>
              <w:spacing w:line="360" w:lineRule="auto"/>
              <w:ind w:firstLine="465"/>
              <w:contextualSpacing/>
              <w:rPr>
                <w:rFonts w:hint="eastAsia"/>
                <w:color w:val="000000"/>
              </w:rPr>
            </w:pPr>
            <w:r>
              <w:rPr>
                <w:rFonts w:hint="eastAsia"/>
                <w:color w:val="000000"/>
              </w:rPr>
              <w:t>综上，本项目非甲烷总烃和颗粒物产污系数见下表：</w:t>
            </w:r>
          </w:p>
          <w:p w14:paraId="7E2DC2C8">
            <w:pPr>
              <w:pStyle w:val="23"/>
              <w:snapToGrid/>
              <w:spacing w:before="0" w:after="0" w:line="240" w:lineRule="auto"/>
              <w:ind w:right="0"/>
              <w:rPr>
                <w:rFonts w:ascii="Times New Roman"/>
                <w:color w:val="000000"/>
                <w:sz w:val="24"/>
                <w:szCs w:val="24"/>
              </w:rPr>
            </w:pPr>
            <w:r>
              <w:rPr>
                <w:rFonts w:hint="eastAsia" w:ascii="Times New Roman"/>
                <w:color w:val="000000"/>
                <w:sz w:val="24"/>
                <w:szCs w:val="24"/>
              </w:rPr>
              <w:t>表4-5 本项目类比非甲烷总烃和颗粒物产污系数取值结果</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3086"/>
              <w:gridCol w:w="3086"/>
            </w:tblGrid>
            <w:tr w14:paraId="7DFA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noWrap w:val="0"/>
                  <w:vAlign w:val="top"/>
                </w:tcPr>
                <w:p w14:paraId="69992FBE">
                  <w:pPr>
                    <w:spacing w:line="360" w:lineRule="auto"/>
                    <w:contextualSpacing/>
                    <w:jc w:val="center"/>
                    <w:rPr>
                      <w:color w:val="000000"/>
                      <w:sz w:val="21"/>
                      <w:szCs w:val="21"/>
                    </w:rPr>
                  </w:pPr>
                  <w:r>
                    <w:rPr>
                      <w:rFonts w:hint="eastAsia"/>
                      <w:color w:val="000000"/>
                      <w:sz w:val="21"/>
                      <w:szCs w:val="21"/>
                    </w:rPr>
                    <w:t>生产线</w:t>
                  </w:r>
                </w:p>
              </w:tc>
              <w:tc>
                <w:tcPr>
                  <w:tcW w:w="3086" w:type="dxa"/>
                  <w:noWrap w:val="0"/>
                  <w:vAlign w:val="top"/>
                </w:tcPr>
                <w:p w14:paraId="3AC9F9C3">
                  <w:pPr>
                    <w:spacing w:line="360" w:lineRule="auto"/>
                    <w:contextualSpacing/>
                    <w:jc w:val="center"/>
                    <w:rPr>
                      <w:color w:val="000000"/>
                      <w:sz w:val="21"/>
                      <w:szCs w:val="21"/>
                    </w:rPr>
                  </w:pPr>
                  <w:r>
                    <w:rPr>
                      <w:rFonts w:hint="eastAsia"/>
                      <w:color w:val="000000"/>
                      <w:sz w:val="21"/>
                      <w:szCs w:val="21"/>
                    </w:rPr>
                    <w:t>非甲烷总烃（kg/t-产品）</w:t>
                  </w:r>
                </w:p>
              </w:tc>
              <w:tc>
                <w:tcPr>
                  <w:tcW w:w="3086" w:type="dxa"/>
                  <w:noWrap w:val="0"/>
                  <w:vAlign w:val="top"/>
                </w:tcPr>
                <w:p w14:paraId="387AB8BD">
                  <w:pPr>
                    <w:spacing w:line="360" w:lineRule="auto"/>
                    <w:contextualSpacing/>
                    <w:jc w:val="center"/>
                    <w:rPr>
                      <w:color w:val="000000"/>
                      <w:sz w:val="21"/>
                      <w:szCs w:val="21"/>
                    </w:rPr>
                  </w:pPr>
                  <w:r>
                    <w:rPr>
                      <w:rFonts w:hint="eastAsia"/>
                      <w:color w:val="000000"/>
                      <w:sz w:val="21"/>
                      <w:szCs w:val="21"/>
                    </w:rPr>
                    <w:t>颗粒物（kg/t-产品）</w:t>
                  </w:r>
                </w:p>
              </w:tc>
            </w:tr>
            <w:tr w14:paraId="03DA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noWrap w:val="0"/>
                  <w:vAlign w:val="top"/>
                </w:tcPr>
                <w:p w14:paraId="6C4EA1D8">
                  <w:pPr>
                    <w:spacing w:line="360" w:lineRule="auto"/>
                    <w:contextualSpacing/>
                    <w:jc w:val="center"/>
                    <w:rPr>
                      <w:color w:val="000000"/>
                      <w:sz w:val="21"/>
                      <w:szCs w:val="21"/>
                    </w:rPr>
                  </w:pPr>
                  <w:r>
                    <w:rPr>
                      <w:rFonts w:hint="eastAsia"/>
                      <w:color w:val="000000"/>
                      <w:sz w:val="21"/>
                      <w:szCs w:val="21"/>
                    </w:rPr>
                    <w:t>PVC电缆料生产线</w:t>
                  </w:r>
                </w:p>
              </w:tc>
              <w:tc>
                <w:tcPr>
                  <w:tcW w:w="3086" w:type="dxa"/>
                  <w:noWrap w:val="0"/>
                  <w:vAlign w:val="top"/>
                </w:tcPr>
                <w:p w14:paraId="0A194A36">
                  <w:pPr>
                    <w:spacing w:line="360" w:lineRule="auto"/>
                    <w:contextualSpacing/>
                    <w:jc w:val="center"/>
                    <w:rPr>
                      <w:color w:val="000000"/>
                      <w:sz w:val="21"/>
                      <w:szCs w:val="21"/>
                    </w:rPr>
                  </w:pPr>
                  <w:r>
                    <w:rPr>
                      <w:color w:val="000000"/>
                      <w:sz w:val="21"/>
                      <w:szCs w:val="21"/>
                    </w:rPr>
                    <w:t>1.</w:t>
                  </w:r>
                  <w:r>
                    <w:rPr>
                      <w:rFonts w:hint="eastAsia"/>
                      <w:color w:val="000000"/>
                      <w:sz w:val="21"/>
                      <w:szCs w:val="21"/>
                    </w:rPr>
                    <w:t>634</w:t>
                  </w:r>
                </w:p>
              </w:tc>
              <w:tc>
                <w:tcPr>
                  <w:tcW w:w="3086" w:type="dxa"/>
                  <w:noWrap w:val="0"/>
                  <w:vAlign w:val="top"/>
                </w:tcPr>
                <w:p w14:paraId="594C4290">
                  <w:pPr>
                    <w:spacing w:line="360" w:lineRule="auto"/>
                    <w:contextualSpacing/>
                    <w:jc w:val="center"/>
                    <w:rPr>
                      <w:color w:val="000000"/>
                      <w:sz w:val="21"/>
                      <w:szCs w:val="21"/>
                    </w:rPr>
                  </w:pPr>
                  <w:r>
                    <w:rPr>
                      <w:rFonts w:hint="eastAsia"/>
                      <w:color w:val="000000"/>
                      <w:sz w:val="21"/>
                      <w:szCs w:val="21"/>
                    </w:rPr>
                    <w:t>1.402</w:t>
                  </w:r>
                </w:p>
              </w:tc>
            </w:tr>
            <w:tr w14:paraId="386B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noWrap w:val="0"/>
                  <w:vAlign w:val="top"/>
                </w:tcPr>
                <w:p w14:paraId="4FCF478C">
                  <w:pPr>
                    <w:spacing w:line="360" w:lineRule="auto"/>
                    <w:contextualSpacing/>
                    <w:jc w:val="center"/>
                    <w:rPr>
                      <w:color w:val="000000"/>
                      <w:sz w:val="21"/>
                      <w:szCs w:val="21"/>
                    </w:rPr>
                  </w:pPr>
                  <w:r>
                    <w:rPr>
                      <w:rFonts w:hint="eastAsia"/>
                      <w:color w:val="000000"/>
                      <w:sz w:val="21"/>
                      <w:szCs w:val="21"/>
                    </w:rPr>
                    <w:t>低烟无卤电缆料</w:t>
                  </w:r>
                </w:p>
              </w:tc>
              <w:tc>
                <w:tcPr>
                  <w:tcW w:w="3086" w:type="dxa"/>
                  <w:noWrap w:val="0"/>
                  <w:vAlign w:val="top"/>
                </w:tcPr>
                <w:p w14:paraId="770384E4">
                  <w:pPr>
                    <w:spacing w:line="360" w:lineRule="auto"/>
                    <w:contextualSpacing/>
                    <w:jc w:val="center"/>
                    <w:rPr>
                      <w:color w:val="000000"/>
                      <w:sz w:val="21"/>
                      <w:szCs w:val="21"/>
                    </w:rPr>
                  </w:pPr>
                  <w:r>
                    <w:rPr>
                      <w:color w:val="000000"/>
                      <w:sz w:val="21"/>
                      <w:szCs w:val="21"/>
                    </w:rPr>
                    <w:t>0.977</w:t>
                  </w:r>
                </w:p>
              </w:tc>
              <w:tc>
                <w:tcPr>
                  <w:tcW w:w="3086" w:type="dxa"/>
                  <w:noWrap w:val="0"/>
                  <w:vAlign w:val="top"/>
                </w:tcPr>
                <w:p w14:paraId="5B0297DA">
                  <w:pPr>
                    <w:spacing w:line="360" w:lineRule="auto"/>
                    <w:contextualSpacing/>
                    <w:jc w:val="center"/>
                    <w:rPr>
                      <w:color w:val="000000"/>
                      <w:sz w:val="21"/>
                      <w:szCs w:val="21"/>
                    </w:rPr>
                  </w:pPr>
                  <w:r>
                    <w:rPr>
                      <w:rFonts w:hint="eastAsia"/>
                      <w:color w:val="000000"/>
                      <w:sz w:val="21"/>
                      <w:szCs w:val="21"/>
                    </w:rPr>
                    <w:t>1.412</w:t>
                  </w:r>
                </w:p>
              </w:tc>
            </w:tr>
          </w:tbl>
          <w:p w14:paraId="006B6B95">
            <w:pPr>
              <w:spacing w:line="360" w:lineRule="auto"/>
              <w:ind w:firstLine="465"/>
              <w:contextualSpacing/>
              <w:rPr>
                <w:rFonts w:hint="eastAsia"/>
                <w:b/>
                <w:bCs/>
                <w:color w:val="000000"/>
              </w:rPr>
            </w:pPr>
            <w:r>
              <w:rPr>
                <w:rFonts w:hint="eastAsia"/>
                <w:b/>
                <w:bCs/>
                <w:color w:val="000000"/>
              </w:rPr>
              <w:t>（1）投配料粉尘（G3、G6）</w:t>
            </w:r>
          </w:p>
          <w:p w14:paraId="0C5D2233">
            <w:pPr>
              <w:spacing w:line="360" w:lineRule="auto"/>
              <w:ind w:firstLine="465"/>
              <w:contextualSpacing/>
              <w:rPr>
                <w:b/>
                <w:bCs/>
                <w:color w:val="000000"/>
              </w:rPr>
            </w:pPr>
            <w:r>
              <w:rPr>
                <w:rFonts w:hint="eastAsia"/>
                <w:b/>
                <w:bCs/>
                <w:color w:val="000000"/>
              </w:rPr>
              <w:t>1）风量核算：</w:t>
            </w:r>
          </w:p>
          <w:p w14:paraId="2E0184B4">
            <w:pPr>
              <w:spacing w:line="360" w:lineRule="auto"/>
              <w:ind w:firstLine="465"/>
              <w:contextualSpacing/>
              <w:rPr>
                <w:color w:val="000000"/>
              </w:rPr>
            </w:pPr>
            <w:r>
              <w:rPr>
                <w:rFonts w:hint="eastAsia"/>
                <w:color w:val="000000"/>
              </w:rPr>
              <w:t>本项目PVC电缆料2条生产线设置中央配料系统，共设12个地下料仓，料仓人工投料，投料口尺寸为30cm*30cm，本项目在抽料口旁设置管道对粉尘进行抽吸，抽吸风量2000m</w:t>
            </w:r>
            <w:r>
              <w:rPr>
                <w:rFonts w:hint="eastAsia"/>
                <w:color w:val="000000"/>
                <w:vertAlign w:val="superscript"/>
              </w:rPr>
              <w:t>3</w:t>
            </w:r>
            <w:r>
              <w:rPr>
                <w:rFonts w:hint="eastAsia"/>
                <w:color w:val="000000"/>
              </w:rPr>
              <w:t>/h，抽料口风速达6.2m/s，可保证料仓内落料产生的粉尘基本不外溢，粉尘收集率达85%。经业主核实，12个料仓轮流加料，最多出现两个料仓同时加料的情况，最大风量4000m</w:t>
            </w:r>
            <w:r>
              <w:rPr>
                <w:rFonts w:hint="eastAsia"/>
                <w:color w:val="000000"/>
                <w:vertAlign w:val="superscript"/>
              </w:rPr>
              <w:t>3</w:t>
            </w:r>
            <w:r>
              <w:rPr>
                <w:rFonts w:hint="eastAsia"/>
                <w:color w:val="000000"/>
              </w:rPr>
              <w:t>/h。</w:t>
            </w:r>
          </w:p>
          <w:p w14:paraId="1694AE30">
            <w:pPr>
              <w:spacing w:line="360" w:lineRule="auto"/>
              <w:ind w:firstLine="465"/>
              <w:contextualSpacing/>
              <w:rPr>
                <w:rFonts w:hint="eastAsia"/>
                <w:color w:val="000000"/>
              </w:rPr>
            </w:pPr>
            <w:r>
              <w:rPr>
                <w:rFonts w:hint="eastAsia"/>
                <w:color w:val="000000"/>
              </w:rPr>
              <w:t>本项目低烟无卤电缆料共设3条生产线，每条生产线密炼机需要人工投料，产生投料粉尘，投料口尺寸为0.6m*0.8m，本项目在抽料口顶设置集气罩+</w:t>
            </w:r>
            <w:r>
              <w:rPr>
                <w:rFonts w:cs="宋体"/>
                <w:color w:val="000000"/>
              </w:rPr>
              <w:t>磁吸软帘</w:t>
            </w:r>
            <w:r>
              <w:rPr>
                <w:rFonts w:hint="eastAsia"/>
                <w:color w:val="000000"/>
              </w:rPr>
              <w:t>进行抽吸，集气罩尺寸为0.8m*0.8m，控制点风速取0.3m/s，控制点距离为0.5m，参考《环境工程技术手册 废气处理工程技术手册》给出的集气罩风量计算公式计算：</w:t>
            </w:r>
          </w:p>
          <w:p w14:paraId="212A5111">
            <w:pPr>
              <w:spacing w:line="360" w:lineRule="auto"/>
              <w:ind w:firstLine="465"/>
              <w:contextualSpacing/>
              <w:jc w:val="center"/>
              <w:rPr>
                <w:rFonts w:hint="eastAsia"/>
                <w:color w:val="000000"/>
              </w:rPr>
            </w:pPr>
            <w:r>
              <w:rPr>
                <w:rFonts w:hint="eastAsia"/>
                <w:color w:val="000000"/>
              </w:rPr>
              <w:t>Q=1.4*P*H*V</w:t>
            </w:r>
            <w:r>
              <w:rPr>
                <w:rFonts w:hint="eastAsia"/>
                <w:color w:val="000000"/>
                <w:vertAlign w:val="subscript"/>
              </w:rPr>
              <w:t>X</w:t>
            </w:r>
          </w:p>
          <w:p w14:paraId="09E86D0A">
            <w:pPr>
              <w:spacing w:line="360" w:lineRule="auto"/>
              <w:ind w:firstLine="465"/>
              <w:contextualSpacing/>
              <w:rPr>
                <w:rFonts w:hint="eastAsia"/>
                <w:color w:val="000000"/>
              </w:rPr>
            </w:pPr>
            <w:r>
              <w:rPr>
                <w:rFonts w:hint="eastAsia"/>
                <w:color w:val="000000"/>
              </w:rPr>
              <w:t>式中：Q——排气量，m</w:t>
            </w:r>
            <w:r>
              <w:rPr>
                <w:rFonts w:hint="eastAsia"/>
                <w:color w:val="000000"/>
                <w:vertAlign w:val="superscript"/>
              </w:rPr>
              <w:t>3</w:t>
            </w:r>
            <w:r>
              <w:rPr>
                <w:rFonts w:hint="eastAsia"/>
                <w:color w:val="000000"/>
              </w:rPr>
              <w:t>/s；</w:t>
            </w:r>
          </w:p>
          <w:p w14:paraId="75801937">
            <w:pPr>
              <w:spacing w:line="360" w:lineRule="auto"/>
              <w:ind w:firstLine="1200"/>
              <w:contextualSpacing/>
              <w:rPr>
                <w:rFonts w:hint="eastAsia"/>
                <w:color w:val="000000"/>
              </w:rPr>
            </w:pPr>
            <w:r>
              <w:rPr>
                <w:rFonts w:hint="eastAsia"/>
                <w:color w:val="000000"/>
              </w:rPr>
              <w:t>P——罩口周长，m；</w:t>
            </w:r>
          </w:p>
          <w:p w14:paraId="4E4C8D44">
            <w:pPr>
              <w:spacing w:line="360" w:lineRule="auto"/>
              <w:ind w:firstLine="1200"/>
              <w:contextualSpacing/>
              <w:rPr>
                <w:rFonts w:hint="eastAsia"/>
                <w:color w:val="000000"/>
              </w:rPr>
            </w:pPr>
            <w:r>
              <w:rPr>
                <w:rFonts w:hint="eastAsia"/>
                <w:color w:val="000000"/>
              </w:rPr>
              <w:t>V</w:t>
            </w:r>
            <w:r>
              <w:rPr>
                <w:rFonts w:hint="eastAsia"/>
                <w:color w:val="000000"/>
                <w:vertAlign w:val="subscript"/>
              </w:rPr>
              <w:t>X</w:t>
            </w:r>
            <w:r>
              <w:rPr>
                <w:rFonts w:hint="eastAsia"/>
                <w:color w:val="000000"/>
              </w:rPr>
              <w:t>——控制风速，0.25～2.5m/s</w:t>
            </w:r>
          </w:p>
          <w:p w14:paraId="76961D87">
            <w:pPr>
              <w:spacing w:line="360" w:lineRule="auto"/>
              <w:ind w:firstLine="1200"/>
              <w:contextualSpacing/>
              <w:rPr>
                <w:rFonts w:hint="eastAsia"/>
                <w:color w:val="000000"/>
              </w:rPr>
            </w:pPr>
            <w:r>
              <w:rPr>
                <w:rFonts w:hint="eastAsia"/>
                <w:color w:val="000000"/>
              </w:rPr>
              <w:t>H——污染源距罩口距离，m；</w:t>
            </w:r>
          </w:p>
          <w:p w14:paraId="662F9C7F">
            <w:pPr>
              <w:spacing w:line="360" w:lineRule="auto"/>
              <w:ind w:firstLine="465"/>
              <w:contextualSpacing/>
              <w:rPr>
                <w:color w:val="000000"/>
              </w:rPr>
            </w:pPr>
            <w:r>
              <w:rPr>
                <w:rFonts w:hint="eastAsia"/>
                <w:color w:val="000000"/>
              </w:rPr>
              <w:t>根据以上公式，计算结果为2419m</w:t>
            </w:r>
            <w:r>
              <w:rPr>
                <w:rFonts w:hint="eastAsia"/>
                <w:color w:val="000000"/>
                <w:vertAlign w:val="superscript"/>
              </w:rPr>
              <w:t>3</w:t>
            </w:r>
            <w:r>
              <w:rPr>
                <w:rFonts w:hint="eastAsia"/>
                <w:color w:val="000000"/>
              </w:rPr>
              <w:t>/h，本项目取2500m</w:t>
            </w:r>
            <w:r>
              <w:rPr>
                <w:rFonts w:hint="eastAsia"/>
                <w:color w:val="000000"/>
                <w:vertAlign w:val="superscript"/>
              </w:rPr>
              <w:t>3</w:t>
            </w:r>
            <w:r>
              <w:rPr>
                <w:rFonts w:hint="eastAsia"/>
                <w:color w:val="000000"/>
              </w:rPr>
              <w:t>/h，3台合计最大风量为7500m</w:t>
            </w:r>
            <w:r>
              <w:rPr>
                <w:rFonts w:hint="eastAsia"/>
                <w:color w:val="000000"/>
                <w:vertAlign w:val="superscript"/>
              </w:rPr>
              <w:t>3</w:t>
            </w:r>
            <w:r>
              <w:rPr>
                <w:rFonts w:hint="eastAsia"/>
                <w:color w:val="000000"/>
              </w:rPr>
              <w:t>/h，可保证投料时产生的粉尘收集率达85%。</w:t>
            </w:r>
          </w:p>
          <w:p w14:paraId="0B84FE48">
            <w:pPr>
              <w:spacing w:line="360" w:lineRule="auto"/>
              <w:ind w:firstLine="465"/>
              <w:contextualSpacing/>
              <w:rPr>
                <w:b/>
                <w:bCs/>
                <w:color w:val="000000"/>
              </w:rPr>
            </w:pPr>
            <w:r>
              <w:rPr>
                <w:rFonts w:hint="eastAsia"/>
                <w:b/>
                <w:bCs/>
                <w:color w:val="000000"/>
              </w:rPr>
              <w:t>2）源强核算</w:t>
            </w:r>
          </w:p>
          <w:p w14:paraId="2589FAB8">
            <w:pPr>
              <w:spacing w:line="360" w:lineRule="auto"/>
              <w:ind w:firstLine="465"/>
              <w:contextualSpacing/>
              <w:rPr>
                <w:color w:val="000000"/>
              </w:rPr>
            </w:pPr>
            <w:r>
              <w:rPr>
                <w:rFonts w:hint="eastAsia"/>
                <w:color w:val="000000"/>
              </w:rPr>
              <w:t>本项目2个产品投料及配料过程的粉尘产生系数采用类比值（采用表4-5产污系数），</w:t>
            </w:r>
            <w:r>
              <w:rPr>
                <w:rFonts w:hint="eastAsia"/>
                <w:color w:val="000000"/>
                <w:szCs w:val="32"/>
              </w:rPr>
              <w:t>PVC电缆料年产量3840</w:t>
            </w:r>
            <w:r>
              <w:rPr>
                <w:rFonts w:hint="eastAsia"/>
                <w:color w:val="000000"/>
              </w:rPr>
              <w:t>t/a</w:t>
            </w:r>
            <w:r>
              <w:rPr>
                <w:rFonts w:hint="eastAsia"/>
                <w:color w:val="000000"/>
                <w:szCs w:val="32"/>
              </w:rPr>
              <w:t>、低烟无卤电缆料年产量4320</w:t>
            </w:r>
            <w:r>
              <w:rPr>
                <w:rFonts w:hint="eastAsia"/>
                <w:color w:val="000000"/>
              </w:rPr>
              <w:t>t/a</w:t>
            </w:r>
            <w:r>
              <w:rPr>
                <w:rFonts w:hint="eastAsia"/>
                <w:color w:val="000000"/>
                <w:szCs w:val="32"/>
              </w:rPr>
              <w:t>，</w:t>
            </w:r>
            <w:r>
              <w:rPr>
                <w:rFonts w:hint="eastAsia"/>
                <w:color w:val="000000"/>
              </w:rPr>
              <w:t>系数法计算出PVC电缆料生产线、低烟无卤电缆料生产线粉尘产生量分别为5.384t/a、6.1t/a。</w:t>
            </w:r>
          </w:p>
          <w:p w14:paraId="12FCDF63">
            <w:pPr>
              <w:spacing w:line="360" w:lineRule="auto"/>
              <w:ind w:firstLine="465"/>
              <w:contextualSpacing/>
              <w:rPr>
                <w:rFonts w:hint="eastAsia"/>
                <w:color w:val="000000"/>
              </w:rPr>
            </w:pPr>
            <w:r>
              <w:rPr>
                <w:rFonts w:hint="eastAsia"/>
                <w:color w:val="000000"/>
              </w:rPr>
              <w:t>PVC电缆料生产线每天约4小时在投料，每年投料1200小时，产生的粉尘经集气罩+</w:t>
            </w:r>
            <w:r>
              <w:rPr>
                <w:rFonts w:cs="宋体"/>
                <w:color w:val="000000"/>
              </w:rPr>
              <w:t>磁吸软帘</w:t>
            </w:r>
            <w:r>
              <w:rPr>
                <w:rFonts w:hint="eastAsia" w:cs="宋体"/>
                <w:color w:val="000000"/>
              </w:rPr>
              <w:t>收集，由</w:t>
            </w:r>
            <w:r>
              <w:rPr>
                <w:rFonts w:hint="eastAsia"/>
                <w:color w:val="000000"/>
              </w:rPr>
              <w:t>4000m</w:t>
            </w:r>
            <w:r>
              <w:rPr>
                <w:rFonts w:hint="eastAsia"/>
                <w:color w:val="000000"/>
                <w:vertAlign w:val="superscript"/>
              </w:rPr>
              <w:t>3</w:t>
            </w:r>
            <w:r>
              <w:rPr>
                <w:rFonts w:hint="eastAsia"/>
                <w:color w:val="000000"/>
              </w:rPr>
              <w:t>/h风量的风机抽吸，再经布袋除尘器处理达</w:t>
            </w:r>
            <w:r>
              <w:rPr>
                <w:color w:val="000000"/>
                <w:kern w:val="0"/>
                <w:szCs w:val="21"/>
              </w:rPr>
              <w:t>《大气污染物综合排放标准》（DB50/418-2016）</w:t>
            </w:r>
            <w:r>
              <w:rPr>
                <w:rFonts w:hint="eastAsia"/>
                <w:color w:val="000000"/>
                <w:kern w:val="0"/>
                <w:szCs w:val="21"/>
              </w:rPr>
              <w:t>中的颗粒物排放限值</w:t>
            </w:r>
            <w:r>
              <w:rPr>
                <w:rFonts w:hint="eastAsia"/>
                <w:color w:val="000000"/>
              </w:rPr>
              <w:t>后，由15m高的DA002排气筒排放。</w:t>
            </w:r>
          </w:p>
          <w:p w14:paraId="59416712">
            <w:pPr>
              <w:spacing w:line="360" w:lineRule="auto"/>
              <w:ind w:firstLine="465"/>
              <w:contextualSpacing/>
              <w:rPr>
                <w:color w:val="000000"/>
              </w:rPr>
            </w:pPr>
            <w:r>
              <w:rPr>
                <w:rFonts w:hint="eastAsia"/>
                <w:color w:val="000000"/>
              </w:rPr>
              <w:t>低烟无卤电缆料生产线每天约4小时在投料，每年投料1200小时，产生的粉尘经集气罩+</w:t>
            </w:r>
            <w:r>
              <w:rPr>
                <w:rFonts w:cs="宋体"/>
                <w:color w:val="000000"/>
              </w:rPr>
              <w:t>磁吸软帘</w:t>
            </w:r>
            <w:r>
              <w:rPr>
                <w:rFonts w:hint="eastAsia" w:cs="宋体"/>
                <w:color w:val="000000"/>
              </w:rPr>
              <w:t>收集，由</w:t>
            </w:r>
            <w:r>
              <w:rPr>
                <w:rFonts w:hint="eastAsia"/>
                <w:color w:val="000000"/>
              </w:rPr>
              <w:t>7500m</w:t>
            </w:r>
            <w:r>
              <w:rPr>
                <w:rFonts w:hint="eastAsia"/>
                <w:color w:val="000000"/>
                <w:vertAlign w:val="superscript"/>
              </w:rPr>
              <w:t>3</w:t>
            </w:r>
            <w:r>
              <w:rPr>
                <w:rFonts w:hint="eastAsia"/>
                <w:color w:val="000000"/>
              </w:rPr>
              <w:t>/h风量的风机送布袋除尘器处理达《合成树脂工业污染物排放标准》(GB31572-2015)中的特别排放限值，再由15m高的DA004排气筒排放。</w:t>
            </w:r>
          </w:p>
          <w:p w14:paraId="53F7B11F">
            <w:pPr>
              <w:spacing w:line="360" w:lineRule="auto"/>
              <w:ind w:firstLine="465"/>
              <w:contextualSpacing/>
              <w:rPr>
                <w:color w:val="000000"/>
              </w:rPr>
            </w:pPr>
            <w:r>
              <w:rPr>
                <w:rFonts w:hint="eastAsia"/>
                <w:color w:val="000000"/>
              </w:rPr>
              <w:t>布袋除尘器粉尘去除效率按97</w:t>
            </w:r>
            <w:r>
              <w:rPr>
                <w:color w:val="000000"/>
              </w:rPr>
              <w:t>%</w:t>
            </w:r>
            <w:r>
              <w:rPr>
                <w:rFonts w:hint="eastAsia"/>
                <w:color w:val="000000"/>
              </w:rPr>
              <w:t>计，则本项目粉尘产生排放情况见表</w:t>
            </w:r>
            <w:r>
              <w:rPr>
                <w:color w:val="000000"/>
              </w:rPr>
              <w:t>4-</w:t>
            </w:r>
            <w:r>
              <w:rPr>
                <w:rFonts w:hint="eastAsia"/>
                <w:color w:val="000000"/>
              </w:rPr>
              <w:t>6。本项目排气筒颗粒物达标情况见表4-7。</w:t>
            </w:r>
          </w:p>
          <w:p w14:paraId="2CECB16A">
            <w:pPr>
              <w:pStyle w:val="23"/>
              <w:snapToGrid/>
              <w:spacing w:before="0" w:after="0" w:line="240" w:lineRule="auto"/>
              <w:ind w:right="0"/>
              <w:rPr>
                <w:rFonts w:hint="eastAsia" w:ascii="Times New Roman"/>
                <w:color w:val="000000"/>
                <w:sz w:val="24"/>
                <w:szCs w:val="24"/>
              </w:rPr>
            </w:pPr>
            <w:r>
              <w:rPr>
                <w:rFonts w:hint="eastAsia" w:ascii="Times New Roman"/>
                <w:color w:val="000000"/>
                <w:sz w:val="24"/>
                <w:szCs w:val="24"/>
              </w:rPr>
              <w:t>表</w:t>
            </w:r>
            <w:r>
              <w:rPr>
                <w:rFonts w:ascii="Times New Roman"/>
                <w:color w:val="000000"/>
                <w:sz w:val="24"/>
                <w:szCs w:val="24"/>
              </w:rPr>
              <w:t>4-</w:t>
            </w:r>
            <w:r>
              <w:rPr>
                <w:rFonts w:hint="eastAsia" w:ascii="Times New Roman"/>
                <w:color w:val="000000"/>
                <w:sz w:val="24"/>
                <w:szCs w:val="24"/>
              </w:rPr>
              <w:t>6</w:t>
            </w:r>
            <w:r>
              <w:rPr>
                <w:rFonts w:ascii="Times New Roman"/>
                <w:color w:val="000000"/>
                <w:sz w:val="24"/>
                <w:szCs w:val="24"/>
              </w:rPr>
              <w:t xml:space="preserve"> </w:t>
            </w:r>
            <w:r>
              <w:rPr>
                <w:rFonts w:hint="eastAsia" w:ascii="Times New Roman"/>
                <w:color w:val="000000"/>
                <w:sz w:val="24"/>
                <w:szCs w:val="24"/>
              </w:rPr>
              <w:t>本项目投配料粉尘源强核算表</w:t>
            </w:r>
          </w:p>
          <w:tbl>
            <w:tblPr>
              <w:tblStyle w:val="16"/>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206"/>
              <w:gridCol w:w="600"/>
              <w:gridCol w:w="568"/>
              <w:gridCol w:w="666"/>
              <w:gridCol w:w="478"/>
              <w:gridCol w:w="670"/>
              <w:gridCol w:w="1036"/>
              <w:gridCol w:w="876"/>
              <w:gridCol w:w="702"/>
              <w:gridCol w:w="1591"/>
            </w:tblGrid>
            <w:tr w14:paraId="3EB6119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0" w:hRule="atLeast"/>
              </w:trPr>
              <w:tc>
                <w:tcPr>
                  <w:tcW w:w="717" w:type="pct"/>
                  <w:noWrap w:val="0"/>
                  <w:vAlign w:val="center"/>
                </w:tcPr>
                <w:p w14:paraId="2FEB65A8">
                  <w:pPr>
                    <w:widowControl/>
                    <w:adjustRightInd w:val="0"/>
                    <w:snapToGrid w:val="0"/>
                    <w:jc w:val="center"/>
                    <w:textAlignment w:val="center"/>
                    <w:rPr>
                      <w:color w:val="000000"/>
                      <w:sz w:val="18"/>
                      <w:szCs w:val="18"/>
                    </w:rPr>
                  </w:pPr>
                  <w:r>
                    <w:rPr>
                      <w:color w:val="000000"/>
                      <w:kern w:val="0"/>
                      <w:sz w:val="18"/>
                      <w:szCs w:val="18"/>
                      <w:lang w:bidi="ar"/>
                    </w:rPr>
                    <w:t>产污环节</w:t>
                  </w:r>
                </w:p>
              </w:tc>
              <w:tc>
                <w:tcPr>
                  <w:tcW w:w="357" w:type="pct"/>
                  <w:noWrap w:val="0"/>
                  <w:vAlign w:val="center"/>
                </w:tcPr>
                <w:p w14:paraId="5EB4396F">
                  <w:pPr>
                    <w:widowControl/>
                    <w:adjustRightInd w:val="0"/>
                    <w:snapToGrid w:val="0"/>
                    <w:jc w:val="center"/>
                    <w:textAlignment w:val="center"/>
                    <w:rPr>
                      <w:color w:val="000000"/>
                      <w:kern w:val="0"/>
                      <w:sz w:val="18"/>
                      <w:szCs w:val="18"/>
                      <w:lang w:bidi="ar"/>
                    </w:rPr>
                  </w:pPr>
                  <w:r>
                    <w:rPr>
                      <w:color w:val="000000"/>
                      <w:kern w:val="0"/>
                      <w:sz w:val="18"/>
                      <w:szCs w:val="18"/>
                      <w:lang w:bidi="ar"/>
                    </w:rPr>
                    <w:t>产生量</w:t>
                  </w:r>
                </w:p>
                <w:p w14:paraId="68D41AC3">
                  <w:pPr>
                    <w:widowControl/>
                    <w:adjustRightInd w:val="0"/>
                    <w:snapToGrid w:val="0"/>
                    <w:jc w:val="center"/>
                    <w:textAlignment w:val="center"/>
                    <w:rPr>
                      <w:color w:val="000000"/>
                      <w:sz w:val="18"/>
                      <w:szCs w:val="18"/>
                    </w:rPr>
                  </w:pPr>
                  <w:r>
                    <w:rPr>
                      <w:color w:val="000000"/>
                      <w:kern w:val="0"/>
                      <w:sz w:val="18"/>
                      <w:szCs w:val="18"/>
                      <w:lang w:bidi="ar"/>
                    </w:rPr>
                    <w:t>t/a</w:t>
                  </w:r>
                </w:p>
              </w:tc>
              <w:tc>
                <w:tcPr>
                  <w:tcW w:w="338" w:type="pct"/>
                  <w:noWrap w:val="0"/>
                  <w:vAlign w:val="center"/>
                </w:tcPr>
                <w:p w14:paraId="60B892CD">
                  <w:pPr>
                    <w:widowControl/>
                    <w:adjustRightInd w:val="0"/>
                    <w:snapToGrid w:val="0"/>
                    <w:jc w:val="center"/>
                    <w:textAlignment w:val="center"/>
                    <w:rPr>
                      <w:color w:val="000000"/>
                      <w:sz w:val="18"/>
                      <w:szCs w:val="18"/>
                    </w:rPr>
                  </w:pPr>
                  <w:r>
                    <w:rPr>
                      <w:color w:val="000000"/>
                      <w:kern w:val="0"/>
                      <w:sz w:val="18"/>
                      <w:szCs w:val="18"/>
                      <w:lang w:bidi="ar"/>
                    </w:rPr>
                    <w:t>收集率</w:t>
                  </w:r>
                </w:p>
              </w:tc>
              <w:tc>
                <w:tcPr>
                  <w:tcW w:w="397" w:type="pct"/>
                  <w:noWrap w:val="0"/>
                  <w:vAlign w:val="center"/>
                </w:tcPr>
                <w:p w14:paraId="101FF8F7">
                  <w:pPr>
                    <w:widowControl/>
                    <w:adjustRightInd w:val="0"/>
                    <w:snapToGrid w:val="0"/>
                    <w:jc w:val="center"/>
                    <w:textAlignment w:val="center"/>
                    <w:rPr>
                      <w:rFonts w:hint="eastAsia"/>
                      <w:color w:val="000000"/>
                      <w:kern w:val="0"/>
                      <w:sz w:val="18"/>
                      <w:szCs w:val="18"/>
                      <w:lang w:bidi="ar"/>
                    </w:rPr>
                  </w:pPr>
                  <w:r>
                    <w:rPr>
                      <w:rFonts w:hint="eastAsia"/>
                      <w:color w:val="000000"/>
                      <w:kern w:val="0"/>
                      <w:sz w:val="18"/>
                      <w:szCs w:val="18"/>
                      <w:lang w:bidi="ar"/>
                    </w:rPr>
                    <w:t>产生速率</w:t>
                  </w:r>
                </w:p>
                <w:p w14:paraId="1CF16163">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kg/h</w:t>
                  </w:r>
                </w:p>
              </w:tc>
              <w:tc>
                <w:tcPr>
                  <w:tcW w:w="285" w:type="pct"/>
                  <w:noWrap w:val="0"/>
                  <w:vAlign w:val="center"/>
                </w:tcPr>
                <w:p w14:paraId="5B45F66D">
                  <w:pPr>
                    <w:widowControl/>
                    <w:adjustRightInd w:val="0"/>
                    <w:snapToGrid w:val="0"/>
                    <w:jc w:val="center"/>
                    <w:textAlignment w:val="center"/>
                    <w:rPr>
                      <w:color w:val="000000"/>
                      <w:kern w:val="0"/>
                      <w:sz w:val="18"/>
                      <w:szCs w:val="18"/>
                      <w:lang w:bidi="ar"/>
                    </w:rPr>
                  </w:pPr>
                  <w:r>
                    <w:rPr>
                      <w:color w:val="000000"/>
                      <w:kern w:val="0"/>
                      <w:sz w:val="18"/>
                      <w:szCs w:val="18"/>
                      <w:lang w:bidi="ar"/>
                    </w:rPr>
                    <w:t>风量</w:t>
                  </w:r>
                </w:p>
                <w:p w14:paraId="4EC04611">
                  <w:pPr>
                    <w:widowControl/>
                    <w:adjustRightInd w:val="0"/>
                    <w:snapToGrid w:val="0"/>
                    <w:jc w:val="center"/>
                    <w:textAlignment w:val="center"/>
                    <w:rPr>
                      <w:color w:val="000000"/>
                      <w:sz w:val="18"/>
                      <w:szCs w:val="18"/>
                    </w:rPr>
                  </w:pPr>
                  <w:r>
                    <w:rPr>
                      <w:color w:val="000000"/>
                      <w:kern w:val="0"/>
                      <w:sz w:val="18"/>
                      <w:szCs w:val="18"/>
                      <w:lang w:bidi="ar"/>
                    </w:rPr>
                    <w:t>m</w:t>
                  </w:r>
                  <w:r>
                    <w:rPr>
                      <w:color w:val="000000"/>
                      <w:kern w:val="0"/>
                      <w:sz w:val="18"/>
                      <w:szCs w:val="18"/>
                      <w:vertAlign w:val="superscript"/>
                      <w:lang w:bidi="ar"/>
                    </w:rPr>
                    <w:t>3</w:t>
                  </w:r>
                  <w:r>
                    <w:rPr>
                      <w:color w:val="000000"/>
                      <w:kern w:val="0"/>
                      <w:sz w:val="18"/>
                      <w:szCs w:val="18"/>
                      <w:lang w:bidi="ar"/>
                    </w:rPr>
                    <w:t>/h</w:t>
                  </w:r>
                </w:p>
              </w:tc>
              <w:tc>
                <w:tcPr>
                  <w:tcW w:w="399" w:type="pct"/>
                  <w:noWrap w:val="0"/>
                  <w:vAlign w:val="center"/>
                </w:tcPr>
                <w:p w14:paraId="306848FF">
                  <w:pPr>
                    <w:widowControl/>
                    <w:adjustRightInd w:val="0"/>
                    <w:snapToGrid w:val="0"/>
                    <w:jc w:val="center"/>
                    <w:textAlignment w:val="center"/>
                    <w:rPr>
                      <w:color w:val="000000"/>
                      <w:sz w:val="18"/>
                      <w:szCs w:val="18"/>
                    </w:rPr>
                  </w:pPr>
                  <w:r>
                    <w:rPr>
                      <w:color w:val="000000"/>
                      <w:kern w:val="0"/>
                      <w:sz w:val="18"/>
                      <w:szCs w:val="18"/>
                      <w:lang w:bidi="ar"/>
                    </w:rPr>
                    <w:t>处理效率</w:t>
                  </w:r>
                </w:p>
              </w:tc>
              <w:tc>
                <w:tcPr>
                  <w:tcW w:w="616" w:type="pct"/>
                  <w:noWrap w:val="0"/>
                  <w:vAlign w:val="center"/>
                </w:tcPr>
                <w:p w14:paraId="5CF3F5FB">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521" w:type="pct"/>
                  <w:noWrap w:val="0"/>
                  <w:vAlign w:val="center"/>
                </w:tcPr>
                <w:p w14:paraId="4D656DA1">
                  <w:pPr>
                    <w:widowControl/>
                    <w:adjustRightInd w:val="0"/>
                    <w:snapToGrid w:val="0"/>
                    <w:jc w:val="center"/>
                    <w:textAlignment w:val="center"/>
                    <w:rPr>
                      <w:color w:val="000000"/>
                      <w:sz w:val="18"/>
                      <w:szCs w:val="18"/>
                    </w:rPr>
                  </w:pPr>
                  <w:r>
                    <w:rPr>
                      <w:color w:val="000000"/>
                      <w:kern w:val="0"/>
                      <w:sz w:val="18"/>
                      <w:szCs w:val="18"/>
                      <w:lang w:bidi="ar"/>
                    </w:rPr>
                    <w:t>排放速率</w:t>
                  </w:r>
                  <w:r>
                    <w:rPr>
                      <w:rFonts w:hint="eastAsia"/>
                      <w:color w:val="000000"/>
                      <w:kern w:val="0"/>
                      <w:sz w:val="18"/>
                      <w:szCs w:val="18"/>
                      <w:lang w:bidi="ar"/>
                    </w:rPr>
                    <w:t>kg/h</w:t>
                  </w:r>
                </w:p>
              </w:tc>
              <w:tc>
                <w:tcPr>
                  <w:tcW w:w="417" w:type="pct"/>
                  <w:noWrap w:val="0"/>
                  <w:vAlign w:val="center"/>
                </w:tcPr>
                <w:p w14:paraId="55B3D437">
                  <w:pPr>
                    <w:widowControl/>
                    <w:tabs>
                      <w:tab w:val="left" w:pos="960"/>
                    </w:tabs>
                    <w:adjustRightInd w:val="0"/>
                    <w:snapToGrid w:val="0"/>
                    <w:ind w:right="-44" w:rightChars="-21"/>
                    <w:jc w:val="center"/>
                    <w:textAlignment w:val="center"/>
                    <w:rPr>
                      <w:color w:val="000000"/>
                      <w:sz w:val="18"/>
                      <w:szCs w:val="18"/>
                    </w:rPr>
                  </w:pPr>
                  <w:r>
                    <w:rPr>
                      <w:color w:val="000000"/>
                      <w:kern w:val="0"/>
                      <w:sz w:val="18"/>
                      <w:szCs w:val="18"/>
                      <w:lang w:bidi="ar"/>
                    </w:rPr>
                    <w:t>排放量</w:t>
                  </w:r>
                  <w:r>
                    <w:rPr>
                      <w:rFonts w:hint="eastAsia"/>
                      <w:color w:val="000000"/>
                      <w:kern w:val="0"/>
                      <w:sz w:val="18"/>
                      <w:szCs w:val="18"/>
                      <w:lang w:bidi="ar"/>
                    </w:rPr>
                    <w:t>t/a</w:t>
                  </w:r>
                </w:p>
              </w:tc>
              <w:tc>
                <w:tcPr>
                  <w:tcW w:w="947" w:type="pct"/>
                  <w:noWrap w:val="0"/>
                  <w:vAlign w:val="center"/>
                </w:tcPr>
                <w:p w14:paraId="51F25CCE">
                  <w:pPr>
                    <w:widowControl/>
                    <w:adjustRightInd w:val="0"/>
                    <w:snapToGrid w:val="0"/>
                    <w:jc w:val="center"/>
                    <w:textAlignment w:val="center"/>
                    <w:rPr>
                      <w:color w:val="000000"/>
                      <w:sz w:val="18"/>
                      <w:szCs w:val="18"/>
                    </w:rPr>
                  </w:pPr>
                  <w:r>
                    <w:rPr>
                      <w:color w:val="000000"/>
                      <w:kern w:val="0"/>
                      <w:sz w:val="18"/>
                      <w:szCs w:val="18"/>
                      <w:lang w:bidi="ar"/>
                    </w:rPr>
                    <w:t>去向</w:t>
                  </w:r>
                </w:p>
              </w:tc>
            </w:tr>
            <w:tr w14:paraId="5A23BC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0" w:hRule="atLeast"/>
              </w:trPr>
              <w:tc>
                <w:tcPr>
                  <w:tcW w:w="717" w:type="pct"/>
                  <w:vMerge w:val="restart"/>
                  <w:noWrap w:val="0"/>
                  <w:vAlign w:val="center"/>
                </w:tcPr>
                <w:p w14:paraId="773519BF">
                  <w:pPr>
                    <w:widowControl/>
                    <w:adjustRightInd w:val="0"/>
                    <w:snapToGrid w:val="0"/>
                    <w:jc w:val="center"/>
                    <w:textAlignment w:val="center"/>
                    <w:rPr>
                      <w:color w:val="000000"/>
                      <w:kern w:val="0"/>
                      <w:sz w:val="18"/>
                      <w:szCs w:val="18"/>
                      <w:lang w:bidi="ar"/>
                    </w:rPr>
                  </w:pPr>
                  <w:r>
                    <w:rPr>
                      <w:color w:val="000000"/>
                      <w:kern w:val="0"/>
                      <w:sz w:val="18"/>
                      <w:szCs w:val="18"/>
                      <w:lang w:bidi="ar"/>
                    </w:rPr>
                    <w:t>PVC电缆料</w:t>
                  </w:r>
                </w:p>
                <w:p w14:paraId="1A611B1A">
                  <w:pPr>
                    <w:widowControl/>
                    <w:adjustRightInd w:val="0"/>
                    <w:snapToGrid w:val="0"/>
                    <w:jc w:val="center"/>
                    <w:textAlignment w:val="center"/>
                    <w:rPr>
                      <w:color w:val="000000"/>
                      <w:sz w:val="18"/>
                      <w:szCs w:val="18"/>
                    </w:rPr>
                  </w:pPr>
                  <w:r>
                    <w:rPr>
                      <w:color w:val="000000"/>
                      <w:kern w:val="0"/>
                      <w:sz w:val="18"/>
                      <w:szCs w:val="18"/>
                      <w:lang w:bidi="ar"/>
                    </w:rPr>
                    <w:t>生产线</w:t>
                  </w:r>
                </w:p>
              </w:tc>
              <w:tc>
                <w:tcPr>
                  <w:tcW w:w="357" w:type="pct"/>
                  <w:vMerge w:val="restart"/>
                  <w:noWrap w:val="0"/>
                  <w:vAlign w:val="center"/>
                </w:tcPr>
                <w:p w14:paraId="69C29AE8">
                  <w:pPr>
                    <w:widowControl/>
                    <w:adjustRightInd w:val="0"/>
                    <w:snapToGrid w:val="0"/>
                    <w:jc w:val="center"/>
                    <w:textAlignment w:val="center"/>
                    <w:rPr>
                      <w:color w:val="000000"/>
                      <w:sz w:val="18"/>
                      <w:szCs w:val="18"/>
                    </w:rPr>
                  </w:pPr>
                  <w:r>
                    <w:rPr>
                      <w:rFonts w:hint="eastAsia"/>
                      <w:color w:val="000000"/>
                      <w:sz w:val="18"/>
                      <w:szCs w:val="18"/>
                    </w:rPr>
                    <w:t>5.384</w:t>
                  </w:r>
                </w:p>
              </w:tc>
              <w:tc>
                <w:tcPr>
                  <w:tcW w:w="338" w:type="pct"/>
                  <w:noWrap w:val="0"/>
                  <w:vAlign w:val="center"/>
                </w:tcPr>
                <w:p w14:paraId="288817AF">
                  <w:pPr>
                    <w:widowControl/>
                    <w:adjustRightInd w:val="0"/>
                    <w:snapToGrid w:val="0"/>
                    <w:jc w:val="center"/>
                    <w:textAlignment w:val="center"/>
                    <w:rPr>
                      <w:color w:val="000000"/>
                      <w:sz w:val="18"/>
                      <w:szCs w:val="18"/>
                    </w:rPr>
                  </w:pPr>
                  <w:r>
                    <w:rPr>
                      <w:rFonts w:hint="eastAsia"/>
                      <w:color w:val="000000"/>
                      <w:kern w:val="0"/>
                      <w:sz w:val="18"/>
                      <w:szCs w:val="18"/>
                      <w:lang w:bidi="ar"/>
                    </w:rPr>
                    <w:t>85</w:t>
                  </w:r>
                  <w:r>
                    <w:rPr>
                      <w:color w:val="000000"/>
                      <w:kern w:val="0"/>
                      <w:sz w:val="18"/>
                      <w:szCs w:val="18"/>
                      <w:lang w:bidi="ar"/>
                    </w:rPr>
                    <w:t>%</w:t>
                  </w:r>
                </w:p>
              </w:tc>
              <w:tc>
                <w:tcPr>
                  <w:tcW w:w="397" w:type="pct"/>
                  <w:noWrap w:val="0"/>
                  <w:vAlign w:val="center"/>
                </w:tcPr>
                <w:p w14:paraId="37651170">
                  <w:pPr>
                    <w:widowControl/>
                    <w:adjustRightInd w:val="0"/>
                    <w:snapToGrid w:val="0"/>
                    <w:jc w:val="center"/>
                    <w:textAlignment w:val="center"/>
                    <w:rPr>
                      <w:color w:val="000000"/>
                      <w:sz w:val="18"/>
                      <w:szCs w:val="18"/>
                    </w:rPr>
                  </w:pPr>
                  <w:r>
                    <w:rPr>
                      <w:rFonts w:hint="eastAsia"/>
                      <w:color w:val="000000"/>
                      <w:sz w:val="18"/>
                      <w:szCs w:val="18"/>
                    </w:rPr>
                    <w:t>4.49</w:t>
                  </w:r>
                </w:p>
              </w:tc>
              <w:tc>
                <w:tcPr>
                  <w:tcW w:w="285" w:type="pct"/>
                  <w:noWrap w:val="0"/>
                  <w:vAlign w:val="center"/>
                </w:tcPr>
                <w:p w14:paraId="30A21260">
                  <w:pPr>
                    <w:widowControl/>
                    <w:adjustRightInd w:val="0"/>
                    <w:snapToGrid w:val="0"/>
                    <w:jc w:val="center"/>
                    <w:textAlignment w:val="center"/>
                    <w:rPr>
                      <w:color w:val="000000"/>
                      <w:sz w:val="18"/>
                      <w:szCs w:val="18"/>
                    </w:rPr>
                  </w:pPr>
                  <w:r>
                    <w:rPr>
                      <w:rFonts w:hint="eastAsia"/>
                      <w:color w:val="000000"/>
                      <w:kern w:val="0"/>
                      <w:sz w:val="18"/>
                      <w:szCs w:val="18"/>
                      <w:lang w:bidi="ar"/>
                    </w:rPr>
                    <w:t>4000</w:t>
                  </w:r>
                </w:p>
              </w:tc>
              <w:tc>
                <w:tcPr>
                  <w:tcW w:w="399" w:type="pct"/>
                  <w:noWrap w:val="0"/>
                  <w:vAlign w:val="center"/>
                </w:tcPr>
                <w:p w14:paraId="27825277">
                  <w:pPr>
                    <w:widowControl/>
                    <w:adjustRightInd w:val="0"/>
                    <w:snapToGrid w:val="0"/>
                    <w:jc w:val="center"/>
                    <w:textAlignment w:val="center"/>
                    <w:rPr>
                      <w:color w:val="000000"/>
                      <w:sz w:val="18"/>
                      <w:szCs w:val="18"/>
                    </w:rPr>
                  </w:pPr>
                  <w:r>
                    <w:rPr>
                      <w:color w:val="000000"/>
                      <w:kern w:val="0"/>
                      <w:sz w:val="18"/>
                      <w:szCs w:val="18"/>
                      <w:lang w:bidi="ar"/>
                    </w:rPr>
                    <w:t>9</w:t>
                  </w:r>
                  <w:r>
                    <w:rPr>
                      <w:rFonts w:hint="eastAsia"/>
                      <w:color w:val="000000"/>
                      <w:kern w:val="0"/>
                      <w:sz w:val="18"/>
                      <w:szCs w:val="18"/>
                      <w:lang w:bidi="ar"/>
                    </w:rPr>
                    <w:t>7</w:t>
                  </w:r>
                  <w:r>
                    <w:rPr>
                      <w:color w:val="000000"/>
                      <w:kern w:val="0"/>
                      <w:sz w:val="18"/>
                      <w:szCs w:val="18"/>
                      <w:lang w:bidi="ar"/>
                    </w:rPr>
                    <w:t>%</w:t>
                  </w:r>
                </w:p>
              </w:tc>
              <w:tc>
                <w:tcPr>
                  <w:tcW w:w="616" w:type="pct"/>
                  <w:noWrap w:val="0"/>
                  <w:vAlign w:val="center"/>
                </w:tcPr>
                <w:p w14:paraId="757C92A3">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28.6</w:t>
                  </w:r>
                </w:p>
              </w:tc>
              <w:tc>
                <w:tcPr>
                  <w:tcW w:w="876" w:type="dxa"/>
                  <w:noWrap w:val="0"/>
                  <w:vAlign w:val="center"/>
                </w:tcPr>
                <w:p w14:paraId="5FA78572">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0.11 </w:t>
                  </w:r>
                </w:p>
              </w:tc>
              <w:tc>
                <w:tcPr>
                  <w:tcW w:w="701" w:type="dxa"/>
                  <w:noWrap w:val="0"/>
                  <w:vAlign w:val="center"/>
                </w:tcPr>
                <w:p w14:paraId="047E6B8C">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0.137 </w:t>
                  </w:r>
                </w:p>
              </w:tc>
              <w:tc>
                <w:tcPr>
                  <w:tcW w:w="947" w:type="pct"/>
                  <w:noWrap w:val="0"/>
                  <w:vAlign w:val="center"/>
                </w:tcPr>
                <w:p w14:paraId="6D5C8426">
                  <w:pPr>
                    <w:widowControl/>
                    <w:adjustRightInd w:val="0"/>
                    <w:snapToGrid w:val="0"/>
                    <w:jc w:val="center"/>
                    <w:textAlignment w:val="center"/>
                    <w:rPr>
                      <w:color w:val="000000"/>
                      <w:sz w:val="18"/>
                      <w:szCs w:val="18"/>
                    </w:rPr>
                  </w:pPr>
                  <w:r>
                    <w:rPr>
                      <w:rFonts w:hint="eastAsia"/>
                      <w:color w:val="000000"/>
                      <w:kern w:val="0"/>
                      <w:sz w:val="18"/>
                      <w:szCs w:val="18"/>
                      <w:lang w:bidi="ar"/>
                    </w:rPr>
                    <w:t>2#废气处理设施</w:t>
                  </w:r>
                  <w:r>
                    <w:rPr>
                      <w:color w:val="000000"/>
                      <w:kern w:val="0"/>
                      <w:sz w:val="18"/>
                      <w:szCs w:val="18"/>
                      <w:lang w:bidi="ar"/>
                    </w:rPr>
                    <w:t>+DA00</w:t>
                  </w:r>
                  <w:r>
                    <w:rPr>
                      <w:rFonts w:hint="eastAsia"/>
                      <w:color w:val="000000"/>
                      <w:kern w:val="0"/>
                      <w:sz w:val="18"/>
                      <w:szCs w:val="18"/>
                      <w:lang w:bidi="ar"/>
                    </w:rPr>
                    <w:t>2</w:t>
                  </w:r>
                </w:p>
              </w:tc>
            </w:tr>
            <w:tr w14:paraId="7723BE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717" w:type="pct"/>
                  <w:vMerge w:val="continue"/>
                  <w:noWrap w:val="0"/>
                  <w:vAlign w:val="center"/>
                </w:tcPr>
                <w:p w14:paraId="06A5EB91">
                  <w:pPr>
                    <w:widowControl/>
                    <w:adjustRightInd w:val="0"/>
                    <w:snapToGrid w:val="0"/>
                    <w:jc w:val="center"/>
                    <w:rPr>
                      <w:color w:val="000000"/>
                      <w:sz w:val="18"/>
                      <w:szCs w:val="18"/>
                    </w:rPr>
                  </w:pPr>
                </w:p>
              </w:tc>
              <w:tc>
                <w:tcPr>
                  <w:tcW w:w="357" w:type="pct"/>
                  <w:vMerge w:val="continue"/>
                  <w:noWrap w:val="0"/>
                  <w:vAlign w:val="center"/>
                </w:tcPr>
                <w:p w14:paraId="05FAE28B">
                  <w:pPr>
                    <w:widowControl/>
                    <w:adjustRightInd w:val="0"/>
                    <w:snapToGrid w:val="0"/>
                    <w:jc w:val="center"/>
                    <w:rPr>
                      <w:color w:val="000000"/>
                      <w:sz w:val="18"/>
                      <w:szCs w:val="18"/>
                    </w:rPr>
                  </w:pPr>
                </w:p>
              </w:tc>
              <w:tc>
                <w:tcPr>
                  <w:tcW w:w="338" w:type="pct"/>
                  <w:noWrap/>
                  <w:vAlign w:val="center"/>
                </w:tcPr>
                <w:p w14:paraId="3B7F6787">
                  <w:pPr>
                    <w:widowControl/>
                    <w:adjustRightInd w:val="0"/>
                    <w:snapToGrid w:val="0"/>
                    <w:jc w:val="center"/>
                    <w:textAlignment w:val="center"/>
                    <w:rPr>
                      <w:color w:val="000000"/>
                      <w:sz w:val="18"/>
                      <w:szCs w:val="18"/>
                    </w:rPr>
                  </w:pPr>
                  <w:r>
                    <w:rPr>
                      <w:rFonts w:hint="eastAsia"/>
                      <w:color w:val="000000"/>
                      <w:kern w:val="0"/>
                      <w:sz w:val="18"/>
                      <w:szCs w:val="18"/>
                      <w:lang w:bidi="ar"/>
                    </w:rPr>
                    <w:t>15</w:t>
                  </w:r>
                  <w:r>
                    <w:rPr>
                      <w:color w:val="000000"/>
                      <w:kern w:val="0"/>
                      <w:sz w:val="18"/>
                      <w:szCs w:val="18"/>
                      <w:lang w:bidi="ar"/>
                    </w:rPr>
                    <w:t>%</w:t>
                  </w:r>
                </w:p>
              </w:tc>
              <w:tc>
                <w:tcPr>
                  <w:tcW w:w="397" w:type="pct"/>
                  <w:noWrap/>
                  <w:vAlign w:val="center"/>
                </w:tcPr>
                <w:p w14:paraId="61959139">
                  <w:pPr>
                    <w:widowControl/>
                    <w:adjustRightInd w:val="0"/>
                    <w:snapToGrid w:val="0"/>
                    <w:jc w:val="center"/>
                    <w:textAlignment w:val="center"/>
                    <w:rPr>
                      <w:rFonts w:hint="eastAsia"/>
                      <w:color w:val="000000"/>
                      <w:sz w:val="18"/>
                      <w:szCs w:val="18"/>
                    </w:rPr>
                  </w:pPr>
                  <w:r>
                    <w:rPr>
                      <w:rFonts w:hint="eastAsia"/>
                      <w:color w:val="000000"/>
                      <w:sz w:val="18"/>
                      <w:szCs w:val="18"/>
                    </w:rPr>
                    <w:t>/</w:t>
                  </w:r>
                </w:p>
              </w:tc>
              <w:tc>
                <w:tcPr>
                  <w:tcW w:w="285" w:type="pct"/>
                  <w:noWrap/>
                  <w:vAlign w:val="center"/>
                </w:tcPr>
                <w:p w14:paraId="6D53A0E7">
                  <w:pPr>
                    <w:widowControl/>
                    <w:adjustRightInd w:val="0"/>
                    <w:snapToGrid w:val="0"/>
                    <w:jc w:val="center"/>
                    <w:textAlignment w:val="center"/>
                    <w:rPr>
                      <w:color w:val="000000"/>
                      <w:sz w:val="18"/>
                      <w:szCs w:val="18"/>
                    </w:rPr>
                  </w:pPr>
                  <w:r>
                    <w:rPr>
                      <w:color w:val="000000"/>
                      <w:kern w:val="0"/>
                      <w:sz w:val="18"/>
                      <w:szCs w:val="18"/>
                      <w:lang w:bidi="ar"/>
                    </w:rPr>
                    <w:t>/</w:t>
                  </w:r>
                </w:p>
              </w:tc>
              <w:tc>
                <w:tcPr>
                  <w:tcW w:w="399" w:type="pct"/>
                  <w:noWrap/>
                  <w:vAlign w:val="center"/>
                </w:tcPr>
                <w:p w14:paraId="1F717F53">
                  <w:pPr>
                    <w:widowControl/>
                    <w:adjustRightInd w:val="0"/>
                    <w:snapToGrid w:val="0"/>
                    <w:jc w:val="center"/>
                    <w:textAlignment w:val="center"/>
                    <w:rPr>
                      <w:color w:val="000000"/>
                      <w:sz w:val="18"/>
                      <w:szCs w:val="18"/>
                    </w:rPr>
                  </w:pPr>
                  <w:r>
                    <w:rPr>
                      <w:color w:val="000000"/>
                      <w:kern w:val="0"/>
                      <w:sz w:val="18"/>
                      <w:szCs w:val="18"/>
                      <w:lang w:bidi="ar"/>
                    </w:rPr>
                    <w:t>/</w:t>
                  </w:r>
                </w:p>
              </w:tc>
              <w:tc>
                <w:tcPr>
                  <w:tcW w:w="616" w:type="pct"/>
                  <w:noWrap/>
                  <w:vAlign w:val="center"/>
                </w:tcPr>
                <w:p w14:paraId="5D0EA95C">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w:t>
                  </w:r>
                </w:p>
              </w:tc>
              <w:tc>
                <w:tcPr>
                  <w:tcW w:w="876" w:type="dxa"/>
                  <w:noWrap/>
                  <w:vAlign w:val="center"/>
                </w:tcPr>
                <w:p w14:paraId="4C6ECC2C">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0.67 </w:t>
                  </w:r>
                </w:p>
              </w:tc>
              <w:tc>
                <w:tcPr>
                  <w:tcW w:w="701" w:type="dxa"/>
                  <w:noWrap/>
                  <w:vAlign w:val="center"/>
                </w:tcPr>
                <w:p w14:paraId="07F42932">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0.808 </w:t>
                  </w:r>
                </w:p>
              </w:tc>
              <w:tc>
                <w:tcPr>
                  <w:tcW w:w="947" w:type="pct"/>
                  <w:noWrap/>
                  <w:vAlign w:val="center"/>
                </w:tcPr>
                <w:p w14:paraId="39BD9B1E">
                  <w:pPr>
                    <w:widowControl/>
                    <w:adjustRightInd w:val="0"/>
                    <w:snapToGrid w:val="0"/>
                    <w:jc w:val="center"/>
                    <w:textAlignment w:val="center"/>
                    <w:rPr>
                      <w:color w:val="000000"/>
                      <w:sz w:val="18"/>
                      <w:szCs w:val="18"/>
                    </w:rPr>
                  </w:pPr>
                  <w:r>
                    <w:rPr>
                      <w:color w:val="000000"/>
                      <w:kern w:val="0"/>
                      <w:sz w:val="18"/>
                      <w:szCs w:val="18"/>
                      <w:lang w:bidi="ar"/>
                    </w:rPr>
                    <w:t>无组织排放</w:t>
                  </w:r>
                </w:p>
              </w:tc>
            </w:tr>
            <w:tr w14:paraId="5CCE7EA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0" w:hRule="atLeast"/>
              </w:trPr>
              <w:tc>
                <w:tcPr>
                  <w:tcW w:w="717" w:type="pct"/>
                  <w:vMerge w:val="restart"/>
                  <w:noWrap/>
                  <w:vAlign w:val="center"/>
                </w:tcPr>
                <w:p w14:paraId="1BBDB801">
                  <w:pPr>
                    <w:widowControl/>
                    <w:adjustRightInd w:val="0"/>
                    <w:snapToGrid w:val="0"/>
                    <w:jc w:val="center"/>
                    <w:textAlignment w:val="center"/>
                    <w:rPr>
                      <w:color w:val="000000"/>
                      <w:kern w:val="0"/>
                      <w:sz w:val="18"/>
                      <w:szCs w:val="18"/>
                      <w:lang w:bidi="ar"/>
                    </w:rPr>
                  </w:pPr>
                  <w:r>
                    <w:rPr>
                      <w:color w:val="000000"/>
                      <w:kern w:val="0"/>
                      <w:sz w:val="18"/>
                      <w:szCs w:val="18"/>
                      <w:lang w:bidi="ar"/>
                    </w:rPr>
                    <w:t>低烟无卤阻燃</w:t>
                  </w:r>
                </w:p>
                <w:p w14:paraId="093526B1">
                  <w:pPr>
                    <w:widowControl/>
                    <w:adjustRightInd w:val="0"/>
                    <w:snapToGrid w:val="0"/>
                    <w:jc w:val="center"/>
                    <w:textAlignment w:val="center"/>
                    <w:rPr>
                      <w:color w:val="000000"/>
                      <w:kern w:val="0"/>
                      <w:sz w:val="18"/>
                      <w:szCs w:val="18"/>
                      <w:lang w:bidi="ar"/>
                    </w:rPr>
                  </w:pPr>
                  <w:r>
                    <w:rPr>
                      <w:color w:val="000000"/>
                      <w:kern w:val="0"/>
                      <w:sz w:val="18"/>
                      <w:szCs w:val="18"/>
                      <w:lang w:bidi="ar"/>
                    </w:rPr>
                    <w:t>聚烯烃电缆料</w:t>
                  </w:r>
                </w:p>
                <w:p w14:paraId="10FE1AB2">
                  <w:pPr>
                    <w:widowControl/>
                    <w:adjustRightInd w:val="0"/>
                    <w:snapToGrid w:val="0"/>
                    <w:jc w:val="center"/>
                    <w:textAlignment w:val="center"/>
                    <w:rPr>
                      <w:color w:val="000000"/>
                      <w:sz w:val="18"/>
                      <w:szCs w:val="18"/>
                    </w:rPr>
                  </w:pPr>
                  <w:r>
                    <w:rPr>
                      <w:color w:val="000000"/>
                      <w:kern w:val="0"/>
                      <w:sz w:val="18"/>
                      <w:szCs w:val="18"/>
                      <w:lang w:bidi="ar"/>
                    </w:rPr>
                    <w:t>生产线</w:t>
                  </w:r>
                </w:p>
              </w:tc>
              <w:tc>
                <w:tcPr>
                  <w:tcW w:w="357" w:type="pct"/>
                  <w:vMerge w:val="restart"/>
                  <w:noWrap/>
                  <w:vAlign w:val="center"/>
                </w:tcPr>
                <w:p w14:paraId="539F16C3">
                  <w:pPr>
                    <w:widowControl/>
                    <w:adjustRightInd w:val="0"/>
                    <w:snapToGrid w:val="0"/>
                    <w:jc w:val="center"/>
                    <w:textAlignment w:val="center"/>
                    <w:rPr>
                      <w:color w:val="000000"/>
                      <w:sz w:val="18"/>
                      <w:szCs w:val="18"/>
                    </w:rPr>
                  </w:pPr>
                  <w:r>
                    <w:rPr>
                      <w:rFonts w:hint="eastAsia"/>
                      <w:color w:val="000000"/>
                      <w:sz w:val="18"/>
                      <w:szCs w:val="18"/>
                    </w:rPr>
                    <w:t>6.1</w:t>
                  </w:r>
                </w:p>
              </w:tc>
              <w:tc>
                <w:tcPr>
                  <w:tcW w:w="338" w:type="pct"/>
                  <w:noWrap/>
                  <w:vAlign w:val="center"/>
                </w:tcPr>
                <w:p w14:paraId="626F32A5">
                  <w:pPr>
                    <w:widowControl/>
                    <w:adjustRightInd w:val="0"/>
                    <w:snapToGrid w:val="0"/>
                    <w:jc w:val="center"/>
                    <w:textAlignment w:val="center"/>
                    <w:rPr>
                      <w:color w:val="000000"/>
                      <w:sz w:val="18"/>
                      <w:szCs w:val="18"/>
                    </w:rPr>
                  </w:pPr>
                  <w:r>
                    <w:rPr>
                      <w:color w:val="000000"/>
                      <w:kern w:val="0"/>
                      <w:sz w:val="18"/>
                      <w:szCs w:val="18"/>
                      <w:lang w:bidi="ar"/>
                    </w:rPr>
                    <w:t>85%</w:t>
                  </w:r>
                </w:p>
              </w:tc>
              <w:tc>
                <w:tcPr>
                  <w:tcW w:w="397" w:type="pct"/>
                  <w:noWrap w:val="0"/>
                  <w:vAlign w:val="center"/>
                </w:tcPr>
                <w:p w14:paraId="0E1CA20A">
                  <w:pPr>
                    <w:widowControl/>
                    <w:adjustRightInd w:val="0"/>
                    <w:snapToGrid w:val="0"/>
                    <w:jc w:val="center"/>
                    <w:textAlignment w:val="center"/>
                    <w:rPr>
                      <w:color w:val="000000"/>
                      <w:sz w:val="18"/>
                      <w:szCs w:val="18"/>
                    </w:rPr>
                  </w:pPr>
                  <w:r>
                    <w:rPr>
                      <w:rFonts w:hint="eastAsia"/>
                      <w:color w:val="000000"/>
                      <w:sz w:val="18"/>
                      <w:szCs w:val="18"/>
                    </w:rPr>
                    <w:t>5.08</w:t>
                  </w:r>
                </w:p>
              </w:tc>
              <w:tc>
                <w:tcPr>
                  <w:tcW w:w="285" w:type="pct"/>
                  <w:noWrap/>
                  <w:vAlign w:val="center"/>
                </w:tcPr>
                <w:p w14:paraId="51F3A0D6">
                  <w:pPr>
                    <w:widowControl/>
                    <w:adjustRightInd w:val="0"/>
                    <w:snapToGrid w:val="0"/>
                    <w:jc w:val="center"/>
                    <w:textAlignment w:val="center"/>
                    <w:rPr>
                      <w:color w:val="000000"/>
                      <w:sz w:val="18"/>
                      <w:szCs w:val="18"/>
                    </w:rPr>
                  </w:pPr>
                  <w:r>
                    <w:rPr>
                      <w:rFonts w:hint="eastAsia"/>
                      <w:color w:val="000000"/>
                      <w:kern w:val="0"/>
                      <w:sz w:val="18"/>
                      <w:szCs w:val="18"/>
                      <w:lang w:bidi="ar"/>
                    </w:rPr>
                    <w:t>7500</w:t>
                  </w:r>
                </w:p>
              </w:tc>
              <w:tc>
                <w:tcPr>
                  <w:tcW w:w="399" w:type="pct"/>
                  <w:noWrap/>
                  <w:vAlign w:val="center"/>
                </w:tcPr>
                <w:p w14:paraId="6E24B34B">
                  <w:pPr>
                    <w:widowControl/>
                    <w:adjustRightInd w:val="0"/>
                    <w:snapToGrid w:val="0"/>
                    <w:jc w:val="center"/>
                    <w:textAlignment w:val="center"/>
                    <w:rPr>
                      <w:color w:val="000000"/>
                      <w:sz w:val="18"/>
                      <w:szCs w:val="18"/>
                    </w:rPr>
                  </w:pPr>
                  <w:r>
                    <w:rPr>
                      <w:color w:val="000000"/>
                      <w:kern w:val="0"/>
                      <w:sz w:val="18"/>
                      <w:szCs w:val="18"/>
                      <w:lang w:bidi="ar"/>
                    </w:rPr>
                    <w:t>9</w:t>
                  </w:r>
                  <w:r>
                    <w:rPr>
                      <w:rFonts w:hint="eastAsia"/>
                      <w:color w:val="000000"/>
                      <w:kern w:val="0"/>
                      <w:sz w:val="18"/>
                      <w:szCs w:val="18"/>
                      <w:lang w:bidi="ar"/>
                    </w:rPr>
                    <w:t>7</w:t>
                  </w:r>
                  <w:r>
                    <w:rPr>
                      <w:color w:val="000000"/>
                      <w:kern w:val="0"/>
                      <w:sz w:val="18"/>
                      <w:szCs w:val="18"/>
                      <w:lang w:bidi="ar"/>
                    </w:rPr>
                    <w:t>%</w:t>
                  </w:r>
                </w:p>
              </w:tc>
              <w:tc>
                <w:tcPr>
                  <w:tcW w:w="616" w:type="pct"/>
                  <w:noWrap w:val="0"/>
                  <w:vAlign w:val="center"/>
                </w:tcPr>
                <w:p w14:paraId="1A18A45A">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17.28</w:t>
                  </w:r>
                </w:p>
              </w:tc>
              <w:tc>
                <w:tcPr>
                  <w:tcW w:w="876" w:type="dxa"/>
                  <w:noWrap w:val="0"/>
                  <w:vAlign w:val="center"/>
                </w:tcPr>
                <w:p w14:paraId="43C276E3">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0.13 </w:t>
                  </w:r>
                </w:p>
              </w:tc>
              <w:tc>
                <w:tcPr>
                  <w:tcW w:w="701" w:type="dxa"/>
                  <w:noWrap w:val="0"/>
                  <w:vAlign w:val="center"/>
                </w:tcPr>
                <w:p w14:paraId="4F50B7CA">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0.156 </w:t>
                  </w:r>
                </w:p>
              </w:tc>
              <w:tc>
                <w:tcPr>
                  <w:tcW w:w="947" w:type="pct"/>
                  <w:noWrap w:val="0"/>
                  <w:vAlign w:val="center"/>
                </w:tcPr>
                <w:p w14:paraId="4C0DD6C9">
                  <w:pPr>
                    <w:widowControl/>
                    <w:adjustRightInd w:val="0"/>
                    <w:snapToGrid w:val="0"/>
                    <w:jc w:val="center"/>
                    <w:textAlignment w:val="center"/>
                    <w:rPr>
                      <w:color w:val="000000"/>
                      <w:sz w:val="18"/>
                      <w:szCs w:val="18"/>
                    </w:rPr>
                  </w:pPr>
                  <w:r>
                    <w:rPr>
                      <w:rFonts w:hint="eastAsia"/>
                      <w:color w:val="000000"/>
                      <w:kern w:val="0"/>
                      <w:sz w:val="18"/>
                      <w:szCs w:val="18"/>
                      <w:lang w:bidi="ar"/>
                    </w:rPr>
                    <w:t>4#废气处理设施</w:t>
                  </w:r>
                  <w:r>
                    <w:rPr>
                      <w:color w:val="000000"/>
                      <w:kern w:val="0"/>
                      <w:sz w:val="18"/>
                      <w:szCs w:val="18"/>
                      <w:lang w:bidi="ar"/>
                    </w:rPr>
                    <w:t>+DA00</w:t>
                  </w:r>
                  <w:r>
                    <w:rPr>
                      <w:rFonts w:hint="eastAsia"/>
                      <w:color w:val="000000"/>
                      <w:kern w:val="0"/>
                      <w:sz w:val="18"/>
                      <w:szCs w:val="18"/>
                      <w:lang w:bidi="ar"/>
                    </w:rPr>
                    <w:t>4</w:t>
                  </w:r>
                </w:p>
              </w:tc>
            </w:tr>
            <w:tr w14:paraId="4BF97B3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717" w:type="pct"/>
                  <w:vMerge w:val="continue"/>
                  <w:noWrap/>
                  <w:vAlign w:val="center"/>
                </w:tcPr>
                <w:p w14:paraId="2BB8BC89">
                  <w:pPr>
                    <w:widowControl/>
                    <w:adjustRightInd w:val="0"/>
                    <w:snapToGrid w:val="0"/>
                    <w:jc w:val="center"/>
                    <w:rPr>
                      <w:color w:val="000000"/>
                      <w:sz w:val="18"/>
                      <w:szCs w:val="18"/>
                    </w:rPr>
                  </w:pPr>
                </w:p>
              </w:tc>
              <w:tc>
                <w:tcPr>
                  <w:tcW w:w="357" w:type="pct"/>
                  <w:vMerge w:val="continue"/>
                  <w:noWrap/>
                  <w:vAlign w:val="center"/>
                </w:tcPr>
                <w:p w14:paraId="54D6A856">
                  <w:pPr>
                    <w:widowControl/>
                    <w:adjustRightInd w:val="0"/>
                    <w:snapToGrid w:val="0"/>
                    <w:jc w:val="center"/>
                    <w:rPr>
                      <w:color w:val="000000"/>
                      <w:sz w:val="18"/>
                      <w:szCs w:val="18"/>
                    </w:rPr>
                  </w:pPr>
                </w:p>
              </w:tc>
              <w:tc>
                <w:tcPr>
                  <w:tcW w:w="338" w:type="pct"/>
                  <w:noWrap/>
                  <w:vAlign w:val="center"/>
                </w:tcPr>
                <w:p w14:paraId="2B4EAD2F">
                  <w:pPr>
                    <w:widowControl/>
                    <w:adjustRightInd w:val="0"/>
                    <w:snapToGrid w:val="0"/>
                    <w:jc w:val="center"/>
                    <w:textAlignment w:val="center"/>
                    <w:rPr>
                      <w:color w:val="000000"/>
                      <w:sz w:val="18"/>
                      <w:szCs w:val="18"/>
                    </w:rPr>
                  </w:pPr>
                  <w:r>
                    <w:rPr>
                      <w:color w:val="000000"/>
                      <w:kern w:val="0"/>
                      <w:sz w:val="18"/>
                      <w:szCs w:val="18"/>
                      <w:lang w:bidi="ar"/>
                    </w:rPr>
                    <w:t>15%</w:t>
                  </w:r>
                </w:p>
              </w:tc>
              <w:tc>
                <w:tcPr>
                  <w:tcW w:w="397" w:type="pct"/>
                  <w:noWrap/>
                  <w:vAlign w:val="center"/>
                </w:tcPr>
                <w:p w14:paraId="6FFC50AF">
                  <w:pPr>
                    <w:widowControl/>
                    <w:adjustRightInd w:val="0"/>
                    <w:snapToGrid w:val="0"/>
                    <w:jc w:val="center"/>
                    <w:textAlignment w:val="center"/>
                    <w:rPr>
                      <w:rFonts w:hint="eastAsia"/>
                      <w:color w:val="000000"/>
                      <w:sz w:val="18"/>
                      <w:szCs w:val="18"/>
                    </w:rPr>
                  </w:pPr>
                  <w:r>
                    <w:rPr>
                      <w:rFonts w:hint="eastAsia"/>
                      <w:color w:val="000000"/>
                      <w:sz w:val="18"/>
                      <w:szCs w:val="18"/>
                    </w:rPr>
                    <w:t>/</w:t>
                  </w:r>
                </w:p>
              </w:tc>
              <w:tc>
                <w:tcPr>
                  <w:tcW w:w="285" w:type="pct"/>
                  <w:noWrap/>
                  <w:vAlign w:val="center"/>
                </w:tcPr>
                <w:p w14:paraId="4AAF2904">
                  <w:pPr>
                    <w:widowControl/>
                    <w:adjustRightInd w:val="0"/>
                    <w:snapToGrid w:val="0"/>
                    <w:jc w:val="center"/>
                    <w:textAlignment w:val="center"/>
                    <w:rPr>
                      <w:color w:val="000000"/>
                      <w:sz w:val="18"/>
                      <w:szCs w:val="18"/>
                    </w:rPr>
                  </w:pPr>
                  <w:r>
                    <w:rPr>
                      <w:color w:val="000000"/>
                      <w:kern w:val="0"/>
                      <w:sz w:val="18"/>
                      <w:szCs w:val="18"/>
                      <w:lang w:bidi="ar"/>
                    </w:rPr>
                    <w:t>/</w:t>
                  </w:r>
                </w:p>
              </w:tc>
              <w:tc>
                <w:tcPr>
                  <w:tcW w:w="399" w:type="pct"/>
                  <w:noWrap/>
                  <w:vAlign w:val="center"/>
                </w:tcPr>
                <w:p w14:paraId="236BAFEB">
                  <w:pPr>
                    <w:widowControl/>
                    <w:adjustRightInd w:val="0"/>
                    <w:snapToGrid w:val="0"/>
                    <w:jc w:val="center"/>
                    <w:textAlignment w:val="center"/>
                    <w:rPr>
                      <w:color w:val="000000"/>
                      <w:sz w:val="18"/>
                      <w:szCs w:val="18"/>
                    </w:rPr>
                  </w:pPr>
                  <w:r>
                    <w:rPr>
                      <w:color w:val="000000"/>
                      <w:kern w:val="0"/>
                      <w:sz w:val="18"/>
                      <w:szCs w:val="18"/>
                      <w:lang w:bidi="ar"/>
                    </w:rPr>
                    <w:t>/</w:t>
                  </w:r>
                </w:p>
              </w:tc>
              <w:tc>
                <w:tcPr>
                  <w:tcW w:w="616" w:type="pct"/>
                  <w:noWrap/>
                  <w:vAlign w:val="center"/>
                </w:tcPr>
                <w:p w14:paraId="051283CC">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w:t>
                  </w:r>
                </w:p>
              </w:tc>
              <w:tc>
                <w:tcPr>
                  <w:tcW w:w="876" w:type="dxa"/>
                  <w:noWrap/>
                  <w:vAlign w:val="center"/>
                </w:tcPr>
                <w:p w14:paraId="289AA1B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0.76 </w:t>
                  </w:r>
                </w:p>
              </w:tc>
              <w:tc>
                <w:tcPr>
                  <w:tcW w:w="701" w:type="dxa"/>
                  <w:noWrap/>
                  <w:vAlign w:val="center"/>
                </w:tcPr>
                <w:p w14:paraId="7C325B34">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0.915 </w:t>
                  </w:r>
                </w:p>
              </w:tc>
              <w:tc>
                <w:tcPr>
                  <w:tcW w:w="947" w:type="pct"/>
                  <w:noWrap/>
                  <w:vAlign w:val="center"/>
                </w:tcPr>
                <w:p w14:paraId="7EEBE88C">
                  <w:pPr>
                    <w:widowControl/>
                    <w:adjustRightInd w:val="0"/>
                    <w:snapToGrid w:val="0"/>
                    <w:jc w:val="center"/>
                    <w:textAlignment w:val="center"/>
                    <w:rPr>
                      <w:color w:val="000000"/>
                      <w:sz w:val="18"/>
                      <w:szCs w:val="18"/>
                    </w:rPr>
                  </w:pPr>
                  <w:r>
                    <w:rPr>
                      <w:color w:val="000000"/>
                      <w:kern w:val="0"/>
                      <w:sz w:val="18"/>
                      <w:szCs w:val="18"/>
                      <w:lang w:bidi="ar"/>
                    </w:rPr>
                    <w:t>无组织排放</w:t>
                  </w:r>
                </w:p>
              </w:tc>
            </w:tr>
          </w:tbl>
          <w:p w14:paraId="7A3C6B08">
            <w:pPr>
              <w:pStyle w:val="23"/>
              <w:snapToGrid/>
              <w:spacing w:before="156" w:beforeLines="50" w:after="0" w:line="240" w:lineRule="auto"/>
              <w:ind w:right="0"/>
              <w:rPr>
                <w:rFonts w:hint="eastAsia" w:ascii="Times New Roman"/>
                <w:color w:val="000000"/>
                <w:sz w:val="24"/>
                <w:szCs w:val="24"/>
              </w:rPr>
            </w:pPr>
            <w:r>
              <w:rPr>
                <w:rFonts w:hint="eastAsia" w:ascii="Times New Roman"/>
                <w:color w:val="000000"/>
                <w:sz w:val="24"/>
                <w:szCs w:val="24"/>
              </w:rPr>
              <w:t>表</w:t>
            </w:r>
            <w:r>
              <w:rPr>
                <w:rFonts w:ascii="Times New Roman"/>
                <w:color w:val="000000"/>
                <w:sz w:val="24"/>
                <w:szCs w:val="24"/>
              </w:rPr>
              <w:t>4-</w:t>
            </w:r>
            <w:r>
              <w:rPr>
                <w:rFonts w:hint="eastAsia" w:ascii="Times New Roman"/>
                <w:color w:val="000000"/>
                <w:sz w:val="24"/>
                <w:szCs w:val="24"/>
              </w:rPr>
              <w:t>7</w:t>
            </w:r>
            <w:r>
              <w:rPr>
                <w:rFonts w:ascii="Times New Roman"/>
                <w:color w:val="000000"/>
                <w:sz w:val="24"/>
                <w:szCs w:val="24"/>
              </w:rPr>
              <w:t xml:space="preserve"> </w:t>
            </w:r>
            <w:r>
              <w:rPr>
                <w:rFonts w:hint="eastAsia" w:ascii="Times New Roman"/>
                <w:color w:val="000000"/>
                <w:sz w:val="24"/>
                <w:szCs w:val="24"/>
              </w:rPr>
              <w:t>本项目排气筒投配料粉尘达标情况表</w:t>
            </w:r>
          </w:p>
          <w:tbl>
            <w:tblPr>
              <w:tblStyle w:val="16"/>
              <w:tblW w:w="845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41"/>
              <w:gridCol w:w="1708"/>
              <w:gridCol w:w="1224"/>
              <w:gridCol w:w="1085"/>
              <w:gridCol w:w="2067"/>
              <w:gridCol w:w="1327"/>
            </w:tblGrid>
            <w:tr w14:paraId="75B1C0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0" w:hRule="atLeast"/>
              </w:trPr>
              <w:tc>
                <w:tcPr>
                  <w:tcW w:w="615" w:type="pct"/>
                  <w:noWrap/>
                  <w:vAlign w:val="center"/>
                </w:tcPr>
                <w:p w14:paraId="05EF0128">
                  <w:pPr>
                    <w:widowControl/>
                    <w:adjustRightInd w:val="0"/>
                    <w:snapToGrid w:val="0"/>
                    <w:jc w:val="center"/>
                    <w:textAlignment w:val="center"/>
                    <w:rPr>
                      <w:color w:val="000000"/>
                      <w:sz w:val="18"/>
                      <w:szCs w:val="18"/>
                    </w:rPr>
                  </w:pPr>
                  <w:r>
                    <w:rPr>
                      <w:color w:val="000000"/>
                      <w:kern w:val="0"/>
                      <w:sz w:val="18"/>
                      <w:szCs w:val="18"/>
                      <w:lang w:bidi="ar"/>
                    </w:rPr>
                    <w:t>排气筒</w:t>
                  </w:r>
                </w:p>
              </w:tc>
              <w:tc>
                <w:tcPr>
                  <w:tcW w:w="1009" w:type="pct"/>
                  <w:noWrap/>
                  <w:vAlign w:val="center"/>
                </w:tcPr>
                <w:p w14:paraId="4A317A80">
                  <w:pPr>
                    <w:widowControl/>
                    <w:adjustRightInd w:val="0"/>
                    <w:snapToGrid w:val="0"/>
                    <w:jc w:val="center"/>
                    <w:textAlignment w:val="center"/>
                    <w:rPr>
                      <w:rFonts w:hint="eastAsia"/>
                      <w:color w:val="000000"/>
                      <w:sz w:val="18"/>
                      <w:szCs w:val="18"/>
                    </w:rPr>
                  </w:pPr>
                  <w:r>
                    <w:rPr>
                      <w:rFonts w:hint="eastAsia"/>
                      <w:color w:val="000000"/>
                      <w:sz w:val="18"/>
                      <w:szCs w:val="18"/>
                    </w:rPr>
                    <w:t>项目</w:t>
                  </w:r>
                </w:p>
              </w:tc>
              <w:tc>
                <w:tcPr>
                  <w:tcW w:w="724" w:type="pct"/>
                  <w:noWrap/>
                  <w:vAlign w:val="center"/>
                </w:tcPr>
                <w:p w14:paraId="2AE89400">
                  <w:pPr>
                    <w:widowControl/>
                    <w:adjustRightInd w:val="0"/>
                    <w:snapToGrid w:val="0"/>
                    <w:jc w:val="center"/>
                    <w:textAlignment w:val="center"/>
                    <w:rPr>
                      <w:color w:val="000000"/>
                      <w:sz w:val="18"/>
                      <w:szCs w:val="18"/>
                    </w:rPr>
                  </w:pPr>
                  <w:r>
                    <w:rPr>
                      <w:rFonts w:hint="eastAsia"/>
                      <w:color w:val="000000"/>
                      <w:kern w:val="0"/>
                      <w:sz w:val="18"/>
                      <w:szCs w:val="18"/>
                      <w:lang w:bidi="ar"/>
                    </w:rPr>
                    <w:t>排放情况</w:t>
                  </w:r>
                </w:p>
              </w:tc>
              <w:tc>
                <w:tcPr>
                  <w:tcW w:w="642" w:type="pct"/>
                  <w:noWrap/>
                  <w:vAlign w:val="center"/>
                </w:tcPr>
                <w:p w14:paraId="713C245E">
                  <w:pPr>
                    <w:widowControl/>
                    <w:adjustRightInd w:val="0"/>
                    <w:snapToGrid w:val="0"/>
                    <w:jc w:val="center"/>
                    <w:textAlignment w:val="center"/>
                    <w:rPr>
                      <w:color w:val="000000"/>
                      <w:sz w:val="18"/>
                      <w:szCs w:val="18"/>
                    </w:rPr>
                  </w:pPr>
                  <w:r>
                    <w:rPr>
                      <w:color w:val="000000"/>
                      <w:kern w:val="0"/>
                      <w:sz w:val="18"/>
                      <w:szCs w:val="18"/>
                      <w:lang w:bidi="ar"/>
                    </w:rPr>
                    <w:t>标准限值</w:t>
                  </w:r>
                </w:p>
              </w:tc>
              <w:tc>
                <w:tcPr>
                  <w:tcW w:w="1222" w:type="pct"/>
                  <w:noWrap/>
                  <w:vAlign w:val="center"/>
                </w:tcPr>
                <w:p w14:paraId="02B193D9">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标准名称</w:t>
                  </w:r>
                </w:p>
              </w:tc>
              <w:tc>
                <w:tcPr>
                  <w:tcW w:w="785" w:type="pct"/>
                  <w:noWrap/>
                  <w:vAlign w:val="center"/>
                </w:tcPr>
                <w:p w14:paraId="186F9DF5">
                  <w:pPr>
                    <w:widowControl/>
                    <w:adjustRightInd w:val="0"/>
                    <w:snapToGrid w:val="0"/>
                    <w:jc w:val="center"/>
                    <w:textAlignment w:val="center"/>
                    <w:rPr>
                      <w:color w:val="000000"/>
                      <w:sz w:val="18"/>
                      <w:szCs w:val="18"/>
                    </w:rPr>
                  </w:pPr>
                  <w:r>
                    <w:rPr>
                      <w:color w:val="000000"/>
                      <w:kern w:val="0"/>
                      <w:sz w:val="18"/>
                      <w:szCs w:val="18"/>
                      <w:lang w:bidi="ar"/>
                    </w:rPr>
                    <w:t>达标情况</w:t>
                  </w:r>
                </w:p>
              </w:tc>
            </w:tr>
            <w:tr w14:paraId="142091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restart"/>
                  <w:noWrap/>
                  <w:vAlign w:val="center"/>
                </w:tcPr>
                <w:p w14:paraId="517ECE7F">
                  <w:pPr>
                    <w:widowControl/>
                    <w:adjustRightInd w:val="0"/>
                    <w:snapToGrid w:val="0"/>
                    <w:jc w:val="center"/>
                    <w:textAlignment w:val="center"/>
                    <w:rPr>
                      <w:color w:val="000000"/>
                      <w:sz w:val="18"/>
                      <w:szCs w:val="18"/>
                    </w:rPr>
                  </w:pPr>
                  <w:r>
                    <w:rPr>
                      <w:color w:val="000000"/>
                      <w:kern w:val="0"/>
                      <w:sz w:val="18"/>
                      <w:szCs w:val="18"/>
                      <w:lang w:bidi="ar"/>
                    </w:rPr>
                    <w:t>DA00</w:t>
                  </w:r>
                  <w:r>
                    <w:rPr>
                      <w:rFonts w:hint="eastAsia"/>
                      <w:color w:val="000000"/>
                      <w:kern w:val="0"/>
                      <w:sz w:val="18"/>
                      <w:szCs w:val="18"/>
                      <w:lang w:bidi="ar"/>
                    </w:rPr>
                    <w:t>2</w:t>
                  </w:r>
                </w:p>
              </w:tc>
              <w:tc>
                <w:tcPr>
                  <w:tcW w:w="1009" w:type="pct"/>
                  <w:noWrap/>
                  <w:vAlign w:val="center"/>
                </w:tcPr>
                <w:p w14:paraId="2E8E8FD1">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724" w:type="pct"/>
                  <w:noWrap/>
                  <w:vAlign w:val="center"/>
                </w:tcPr>
                <w:p w14:paraId="4CC0136B">
                  <w:pPr>
                    <w:widowControl/>
                    <w:adjustRightInd w:val="0"/>
                    <w:snapToGrid w:val="0"/>
                    <w:jc w:val="center"/>
                    <w:textAlignment w:val="center"/>
                    <w:rPr>
                      <w:color w:val="000000"/>
                      <w:sz w:val="18"/>
                      <w:szCs w:val="18"/>
                    </w:rPr>
                  </w:pPr>
                  <w:r>
                    <w:rPr>
                      <w:rFonts w:hint="eastAsia"/>
                      <w:color w:val="000000"/>
                      <w:sz w:val="18"/>
                      <w:szCs w:val="18"/>
                    </w:rPr>
                    <w:t>28.6</w:t>
                  </w:r>
                </w:p>
              </w:tc>
              <w:tc>
                <w:tcPr>
                  <w:tcW w:w="642" w:type="pct"/>
                  <w:noWrap/>
                  <w:vAlign w:val="center"/>
                </w:tcPr>
                <w:p w14:paraId="73C9315E">
                  <w:pPr>
                    <w:widowControl/>
                    <w:adjustRightInd w:val="0"/>
                    <w:snapToGrid w:val="0"/>
                    <w:jc w:val="center"/>
                    <w:textAlignment w:val="center"/>
                    <w:rPr>
                      <w:color w:val="000000"/>
                      <w:sz w:val="18"/>
                      <w:szCs w:val="18"/>
                    </w:rPr>
                  </w:pPr>
                  <w:r>
                    <w:rPr>
                      <w:rFonts w:hint="eastAsia"/>
                      <w:color w:val="000000"/>
                      <w:kern w:val="0"/>
                      <w:sz w:val="18"/>
                      <w:szCs w:val="18"/>
                      <w:lang w:bidi="ar"/>
                    </w:rPr>
                    <w:t>50</w:t>
                  </w:r>
                </w:p>
              </w:tc>
              <w:tc>
                <w:tcPr>
                  <w:tcW w:w="1222" w:type="pct"/>
                  <w:vMerge w:val="restart"/>
                  <w:noWrap/>
                  <w:vAlign w:val="center"/>
                </w:tcPr>
                <w:p w14:paraId="6D70E998">
                  <w:pPr>
                    <w:widowControl/>
                    <w:adjustRightInd w:val="0"/>
                    <w:snapToGrid w:val="0"/>
                    <w:jc w:val="center"/>
                    <w:rPr>
                      <w:rFonts w:hint="eastAsia"/>
                      <w:color w:val="000000"/>
                      <w:sz w:val="18"/>
                      <w:szCs w:val="18"/>
                    </w:rPr>
                  </w:pPr>
                  <w:r>
                    <w:rPr>
                      <w:rFonts w:hint="eastAsia"/>
                      <w:color w:val="000000"/>
                      <w:sz w:val="18"/>
                      <w:szCs w:val="18"/>
                    </w:rPr>
                    <w:t>《大气污染物综合排放标准》（DB50/418-2016）</w:t>
                  </w:r>
                </w:p>
              </w:tc>
              <w:tc>
                <w:tcPr>
                  <w:tcW w:w="785" w:type="pct"/>
                  <w:noWrap/>
                  <w:vAlign w:val="center"/>
                </w:tcPr>
                <w:p w14:paraId="0D360C13">
                  <w:pPr>
                    <w:widowControl/>
                    <w:adjustRightInd w:val="0"/>
                    <w:snapToGrid w:val="0"/>
                    <w:jc w:val="center"/>
                    <w:rPr>
                      <w:color w:val="000000"/>
                      <w:sz w:val="18"/>
                      <w:szCs w:val="18"/>
                    </w:rPr>
                  </w:pPr>
                  <w:r>
                    <w:rPr>
                      <w:rFonts w:hint="eastAsia"/>
                      <w:color w:val="000000"/>
                      <w:sz w:val="18"/>
                      <w:szCs w:val="18"/>
                    </w:rPr>
                    <w:t>达标</w:t>
                  </w:r>
                </w:p>
              </w:tc>
            </w:tr>
            <w:tr w14:paraId="18B50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continue"/>
                  <w:noWrap/>
                  <w:vAlign w:val="center"/>
                </w:tcPr>
                <w:p w14:paraId="2B787415">
                  <w:pPr>
                    <w:widowControl/>
                    <w:adjustRightInd w:val="0"/>
                    <w:snapToGrid w:val="0"/>
                    <w:jc w:val="center"/>
                    <w:rPr>
                      <w:color w:val="000000"/>
                      <w:sz w:val="18"/>
                      <w:szCs w:val="18"/>
                    </w:rPr>
                  </w:pPr>
                </w:p>
              </w:tc>
              <w:tc>
                <w:tcPr>
                  <w:tcW w:w="1009" w:type="pct"/>
                  <w:noWrap/>
                  <w:vAlign w:val="center"/>
                </w:tcPr>
                <w:p w14:paraId="34B6795D">
                  <w:pPr>
                    <w:widowControl/>
                    <w:adjustRightInd w:val="0"/>
                    <w:snapToGrid w:val="0"/>
                    <w:jc w:val="center"/>
                    <w:textAlignment w:val="center"/>
                    <w:rPr>
                      <w:color w:val="000000"/>
                      <w:sz w:val="18"/>
                      <w:szCs w:val="18"/>
                    </w:rPr>
                  </w:pPr>
                  <w:r>
                    <w:rPr>
                      <w:color w:val="000000"/>
                      <w:kern w:val="0"/>
                      <w:sz w:val="18"/>
                      <w:szCs w:val="18"/>
                      <w:lang w:bidi="ar"/>
                    </w:rPr>
                    <w:t>排放速率</w:t>
                  </w:r>
                  <w:r>
                    <w:rPr>
                      <w:rFonts w:hint="eastAsia"/>
                      <w:color w:val="000000"/>
                      <w:kern w:val="0"/>
                      <w:sz w:val="18"/>
                      <w:szCs w:val="18"/>
                      <w:lang w:bidi="ar"/>
                    </w:rPr>
                    <w:t>kg/h</w:t>
                  </w:r>
                </w:p>
              </w:tc>
              <w:tc>
                <w:tcPr>
                  <w:tcW w:w="724" w:type="pct"/>
                  <w:noWrap/>
                  <w:vAlign w:val="center"/>
                </w:tcPr>
                <w:p w14:paraId="207D98DF">
                  <w:pPr>
                    <w:widowControl/>
                    <w:adjustRightInd w:val="0"/>
                    <w:snapToGrid w:val="0"/>
                    <w:jc w:val="center"/>
                    <w:textAlignment w:val="center"/>
                    <w:rPr>
                      <w:color w:val="000000"/>
                      <w:sz w:val="18"/>
                      <w:szCs w:val="18"/>
                    </w:rPr>
                  </w:pPr>
                  <w:r>
                    <w:rPr>
                      <w:rFonts w:hint="eastAsia"/>
                      <w:color w:val="000000"/>
                      <w:sz w:val="18"/>
                      <w:szCs w:val="18"/>
                    </w:rPr>
                    <w:t>0.11</w:t>
                  </w:r>
                </w:p>
              </w:tc>
              <w:tc>
                <w:tcPr>
                  <w:tcW w:w="642" w:type="pct"/>
                  <w:noWrap/>
                  <w:vAlign w:val="center"/>
                </w:tcPr>
                <w:p w14:paraId="3B637EDA">
                  <w:pPr>
                    <w:widowControl/>
                    <w:adjustRightInd w:val="0"/>
                    <w:snapToGrid w:val="0"/>
                    <w:jc w:val="center"/>
                    <w:textAlignment w:val="center"/>
                    <w:rPr>
                      <w:color w:val="000000"/>
                      <w:sz w:val="18"/>
                      <w:szCs w:val="18"/>
                    </w:rPr>
                  </w:pPr>
                  <w:r>
                    <w:rPr>
                      <w:rFonts w:hint="eastAsia"/>
                      <w:color w:val="000000"/>
                      <w:kern w:val="0"/>
                      <w:sz w:val="18"/>
                      <w:szCs w:val="18"/>
                      <w:lang w:bidi="ar"/>
                    </w:rPr>
                    <w:t>0.4</w:t>
                  </w:r>
                </w:p>
              </w:tc>
              <w:tc>
                <w:tcPr>
                  <w:tcW w:w="1222" w:type="pct"/>
                  <w:vMerge w:val="continue"/>
                  <w:noWrap/>
                  <w:vAlign w:val="center"/>
                </w:tcPr>
                <w:p w14:paraId="3C0BEAA2">
                  <w:pPr>
                    <w:widowControl/>
                    <w:adjustRightInd w:val="0"/>
                    <w:snapToGrid w:val="0"/>
                    <w:jc w:val="center"/>
                    <w:rPr>
                      <w:rFonts w:hint="eastAsia"/>
                      <w:color w:val="000000"/>
                      <w:sz w:val="18"/>
                      <w:szCs w:val="18"/>
                    </w:rPr>
                  </w:pPr>
                </w:p>
              </w:tc>
              <w:tc>
                <w:tcPr>
                  <w:tcW w:w="785" w:type="pct"/>
                  <w:noWrap/>
                  <w:vAlign w:val="center"/>
                </w:tcPr>
                <w:p w14:paraId="5F546147">
                  <w:pPr>
                    <w:widowControl/>
                    <w:adjustRightInd w:val="0"/>
                    <w:snapToGrid w:val="0"/>
                    <w:jc w:val="center"/>
                    <w:rPr>
                      <w:color w:val="000000"/>
                      <w:sz w:val="18"/>
                      <w:szCs w:val="18"/>
                    </w:rPr>
                  </w:pPr>
                  <w:r>
                    <w:rPr>
                      <w:rFonts w:hint="eastAsia"/>
                      <w:color w:val="000000"/>
                      <w:sz w:val="18"/>
                      <w:szCs w:val="18"/>
                    </w:rPr>
                    <w:t>达标</w:t>
                  </w:r>
                </w:p>
              </w:tc>
            </w:tr>
            <w:tr w14:paraId="0BF750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continue"/>
                  <w:noWrap/>
                  <w:vAlign w:val="center"/>
                </w:tcPr>
                <w:p w14:paraId="6B56B198">
                  <w:pPr>
                    <w:widowControl/>
                    <w:adjustRightInd w:val="0"/>
                    <w:snapToGrid w:val="0"/>
                    <w:jc w:val="center"/>
                    <w:rPr>
                      <w:color w:val="000000"/>
                      <w:sz w:val="18"/>
                      <w:szCs w:val="18"/>
                    </w:rPr>
                  </w:pPr>
                </w:p>
              </w:tc>
              <w:tc>
                <w:tcPr>
                  <w:tcW w:w="1009" w:type="pct"/>
                  <w:noWrap/>
                  <w:vAlign w:val="center"/>
                </w:tcPr>
                <w:p w14:paraId="48DF35B4">
                  <w:pPr>
                    <w:widowControl/>
                    <w:adjustRightInd w:val="0"/>
                    <w:snapToGrid w:val="0"/>
                    <w:jc w:val="center"/>
                    <w:textAlignment w:val="center"/>
                    <w:rPr>
                      <w:color w:val="000000"/>
                      <w:sz w:val="18"/>
                      <w:szCs w:val="18"/>
                    </w:rPr>
                  </w:pPr>
                  <w:r>
                    <w:rPr>
                      <w:color w:val="000000"/>
                      <w:kern w:val="0"/>
                      <w:sz w:val="18"/>
                      <w:szCs w:val="18"/>
                      <w:lang w:bidi="ar"/>
                    </w:rPr>
                    <w:t>排放量</w:t>
                  </w:r>
                  <w:r>
                    <w:rPr>
                      <w:rFonts w:hint="eastAsia"/>
                      <w:color w:val="000000"/>
                      <w:kern w:val="0"/>
                      <w:sz w:val="18"/>
                      <w:szCs w:val="18"/>
                      <w:lang w:bidi="ar"/>
                    </w:rPr>
                    <w:t>t/a</w:t>
                  </w:r>
                </w:p>
              </w:tc>
              <w:tc>
                <w:tcPr>
                  <w:tcW w:w="724" w:type="pct"/>
                  <w:noWrap/>
                  <w:vAlign w:val="center"/>
                </w:tcPr>
                <w:p w14:paraId="08D3A9E0">
                  <w:pPr>
                    <w:widowControl/>
                    <w:adjustRightInd w:val="0"/>
                    <w:snapToGrid w:val="0"/>
                    <w:jc w:val="center"/>
                    <w:textAlignment w:val="center"/>
                    <w:rPr>
                      <w:color w:val="000000"/>
                      <w:sz w:val="18"/>
                      <w:szCs w:val="18"/>
                    </w:rPr>
                  </w:pPr>
                  <w:r>
                    <w:rPr>
                      <w:rFonts w:hint="eastAsia"/>
                      <w:color w:val="000000"/>
                      <w:sz w:val="18"/>
                      <w:szCs w:val="18"/>
                    </w:rPr>
                    <w:t>0.137</w:t>
                  </w:r>
                </w:p>
              </w:tc>
              <w:tc>
                <w:tcPr>
                  <w:tcW w:w="642" w:type="pct"/>
                  <w:noWrap/>
                  <w:vAlign w:val="center"/>
                </w:tcPr>
                <w:p w14:paraId="34881CA7">
                  <w:pPr>
                    <w:widowControl/>
                    <w:adjustRightInd w:val="0"/>
                    <w:snapToGrid w:val="0"/>
                    <w:jc w:val="center"/>
                    <w:textAlignment w:val="center"/>
                    <w:rPr>
                      <w:color w:val="000000"/>
                      <w:sz w:val="18"/>
                      <w:szCs w:val="18"/>
                    </w:rPr>
                  </w:pPr>
                  <w:r>
                    <w:rPr>
                      <w:color w:val="000000"/>
                      <w:kern w:val="0"/>
                      <w:sz w:val="18"/>
                      <w:szCs w:val="18"/>
                      <w:lang w:bidi="ar"/>
                    </w:rPr>
                    <w:t>/</w:t>
                  </w:r>
                </w:p>
              </w:tc>
              <w:tc>
                <w:tcPr>
                  <w:tcW w:w="1222" w:type="pct"/>
                  <w:vMerge w:val="continue"/>
                  <w:noWrap/>
                  <w:vAlign w:val="center"/>
                </w:tcPr>
                <w:p w14:paraId="45E8656F">
                  <w:pPr>
                    <w:widowControl/>
                    <w:adjustRightInd w:val="0"/>
                    <w:snapToGrid w:val="0"/>
                    <w:jc w:val="center"/>
                    <w:rPr>
                      <w:rFonts w:hint="eastAsia"/>
                      <w:color w:val="000000"/>
                      <w:sz w:val="18"/>
                      <w:szCs w:val="18"/>
                    </w:rPr>
                  </w:pPr>
                </w:p>
              </w:tc>
              <w:tc>
                <w:tcPr>
                  <w:tcW w:w="785" w:type="pct"/>
                  <w:noWrap/>
                  <w:vAlign w:val="center"/>
                </w:tcPr>
                <w:p w14:paraId="50D29113">
                  <w:pPr>
                    <w:widowControl/>
                    <w:adjustRightInd w:val="0"/>
                    <w:snapToGrid w:val="0"/>
                    <w:jc w:val="center"/>
                    <w:rPr>
                      <w:rFonts w:hint="eastAsia"/>
                      <w:color w:val="000000"/>
                      <w:sz w:val="18"/>
                      <w:szCs w:val="18"/>
                    </w:rPr>
                  </w:pPr>
                  <w:r>
                    <w:rPr>
                      <w:rFonts w:hint="eastAsia"/>
                      <w:color w:val="000000"/>
                      <w:sz w:val="18"/>
                      <w:szCs w:val="18"/>
                    </w:rPr>
                    <w:t>/</w:t>
                  </w:r>
                </w:p>
              </w:tc>
            </w:tr>
            <w:tr w14:paraId="15DA21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restart"/>
                  <w:noWrap/>
                  <w:vAlign w:val="center"/>
                </w:tcPr>
                <w:p w14:paraId="3267503D">
                  <w:pPr>
                    <w:widowControl/>
                    <w:adjustRightInd w:val="0"/>
                    <w:snapToGrid w:val="0"/>
                    <w:jc w:val="center"/>
                    <w:textAlignment w:val="center"/>
                    <w:rPr>
                      <w:color w:val="000000"/>
                      <w:sz w:val="18"/>
                      <w:szCs w:val="18"/>
                    </w:rPr>
                  </w:pPr>
                  <w:r>
                    <w:rPr>
                      <w:color w:val="000000"/>
                      <w:kern w:val="0"/>
                      <w:sz w:val="18"/>
                      <w:szCs w:val="18"/>
                      <w:lang w:bidi="ar"/>
                    </w:rPr>
                    <w:t>DA00</w:t>
                  </w:r>
                  <w:r>
                    <w:rPr>
                      <w:rFonts w:hint="eastAsia"/>
                      <w:color w:val="000000"/>
                      <w:kern w:val="0"/>
                      <w:sz w:val="18"/>
                      <w:szCs w:val="18"/>
                      <w:lang w:bidi="ar"/>
                    </w:rPr>
                    <w:t>4</w:t>
                  </w:r>
                </w:p>
              </w:tc>
              <w:tc>
                <w:tcPr>
                  <w:tcW w:w="1009" w:type="pct"/>
                  <w:noWrap/>
                  <w:vAlign w:val="center"/>
                </w:tcPr>
                <w:p w14:paraId="4B32D675">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724" w:type="pct"/>
                  <w:noWrap/>
                  <w:vAlign w:val="center"/>
                </w:tcPr>
                <w:p w14:paraId="0049D6F8">
                  <w:pPr>
                    <w:widowControl/>
                    <w:adjustRightInd w:val="0"/>
                    <w:snapToGrid w:val="0"/>
                    <w:jc w:val="center"/>
                    <w:rPr>
                      <w:color w:val="000000"/>
                      <w:sz w:val="18"/>
                      <w:szCs w:val="18"/>
                    </w:rPr>
                  </w:pPr>
                  <w:r>
                    <w:rPr>
                      <w:rFonts w:hint="eastAsia"/>
                      <w:color w:val="000000"/>
                      <w:sz w:val="18"/>
                      <w:szCs w:val="18"/>
                    </w:rPr>
                    <w:t>17.28</w:t>
                  </w:r>
                </w:p>
              </w:tc>
              <w:tc>
                <w:tcPr>
                  <w:tcW w:w="642" w:type="pct"/>
                  <w:noWrap/>
                  <w:vAlign w:val="center"/>
                </w:tcPr>
                <w:p w14:paraId="62C99FC2">
                  <w:pPr>
                    <w:widowControl/>
                    <w:adjustRightInd w:val="0"/>
                    <w:snapToGrid w:val="0"/>
                    <w:jc w:val="center"/>
                    <w:textAlignment w:val="center"/>
                    <w:rPr>
                      <w:color w:val="000000"/>
                      <w:sz w:val="18"/>
                      <w:szCs w:val="18"/>
                    </w:rPr>
                  </w:pPr>
                  <w:r>
                    <w:rPr>
                      <w:color w:val="000000"/>
                      <w:kern w:val="0"/>
                      <w:sz w:val="18"/>
                      <w:szCs w:val="18"/>
                      <w:lang w:bidi="ar"/>
                    </w:rPr>
                    <w:t>20</w:t>
                  </w:r>
                </w:p>
              </w:tc>
              <w:tc>
                <w:tcPr>
                  <w:tcW w:w="1222" w:type="pct"/>
                  <w:vMerge w:val="restart"/>
                  <w:noWrap/>
                  <w:vAlign w:val="center"/>
                </w:tcPr>
                <w:p w14:paraId="5EFA5B0E">
                  <w:pPr>
                    <w:widowControl/>
                    <w:adjustRightInd w:val="0"/>
                    <w:snapToGrid w:val="0"/>
                    <w:jc w:val="center"/>
                    <w:rPr>
                      <w:rFonts w:hint="eastAsia"/>
                      <w:color w:val="000000"/>
                      <w:sz w:val="18"/>
                      <w:szCs w:val="18"/>
                    </w:rPr>
                  </w:pPr>
                  <w:r>
                    <w:rPr>
                      <w:rFonts w:hint="eastAsia"/>
                      <w:color w:val="000000"/>
                      <w:sz w:val="18"/>
                      <w:szCs w:val="18"/>
                    </w:rPr>
                    <w:t>《合成树脂工业污染物排放标准》（GB31572-2015）</w:t>
                  </w:r>
                </w:p>
              </w:tc>
              <w:tc>
                <w:tcPr>
                  <w:tcW w:w="785" w:type="pct"/>
                  <w:noWrap/>
                  <w:vAlign w:val="center"/>
                </w:tcPr>
                <w:p w14:paraId="7ACA1363">
                  <w:pPr>
                    <w:widowControl/>
                    <w:adjustRightInd w:val="0"/>
                    <w:snapToGrid w:val="0"/>
                    <w:jc w:val="center"/>
                    <w:rPr>
                      <w:color w:val="000000"/>
                      <w:sz w:val="18"/>
                      <w:szCs w:val="18"/>
                    </w:rPr>
                  </w:pPr>
                  <w:r>
                    <w:rPr>
                      <w:rFonts w:hint="eastAsia"/>
                      <w:color w:val="000000"/>
                      <w:sz w:val="18"/>
                      <w:szCs w:val="18"/>
                    </w:rPr>
                    <w:t>达标</w:t>
                  </w:r>
                </w:p>
              </w:tc>
            </w:tr>
            <w:tr w14:paraId="52104F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continue"/>
                  <w:noWrap/>
                  <w:vAlign w:val="center"/>
                </w:tcPr>
                <w:p w14:paraId="0814021C">
                  <w:pPr>
                    <w:widowControl/>
                    <w:adjustRightInd w:val="0"/>
                    <w:snapToGrid w:val="0"/>
                    <w:jc w:val="center"/>
                    <w:rPr>
                      <w:color w:val="000000"/>
                      <w:sz w:val="18"/>
                      <w:szCs w:val="18"/>
                    </w:rPr>
                  </w:pPr>
                </w:p>
              </w:tc>
              <w:tc>
                <w:tcPr>
                  <w:tcW w:w="1009" w:type="pct"/>
                  <w:noWrap/>
                  <w:vAlign w:val="center"/>
                </w:tcPr>
                <w:p w14:paraId="63C7C3C0">
                  <w:pPr>
                    <w:widowControl/>
                    <w:adjustRightInd w:val="0"/>
                    <w:snapToGrid w:val="0"/>
                    <w:jc w:val="center"/>
                    <w:textAlignment w:val="center"/>
                    <w:rPr>
                      <w:color w:val="000000"/>
                      <w:sz w:val="18"/>
                      <w:szCs w:val="18"/>
                    </w:rPr>
                  </w:pPr>
                  <w:r>
                    <w:rPr>
                      <w:color w:val="000000"/>
                      <w:kern w:val="0"/>
                      <w:sz w:val="18"/>
                      <w:szCs w:val="18"/>
                      <w:lang w:bidi="ar"/>
                    </w:rPr>
                    <w:t>排放速率</w:t>
                  </w:r>
                  <w:r>
                    <w:rPr>
                      <w:rFonts w:hint="eastAsia"/>
                      <w:color w:val="000000"/>
                      <w:kern w:val="0"/>
                      <w:sz w:val="18"/>
                      <w:szCs w:val="18"/>
                      <w:lang w:bidi="ar"/>
                    </w:rPr>
                    <w:t>kg/h</w:t>
                  </w:r>
                </w:p>
              </w:tc>
              <w:tc>
                <w:tcPr>
                  <w:tcW w:w="724" w:type="pct"/>
                  <w:noWrap/>
                  <w:vAlign w:val="center"/>
                </w:tcPr>
                <w:p w14:paraId="37A5459D">
                  <w:pPr>
                    <w:widowControl/>
                    <w:adjustRightInd w:val="0"/>
                    <w:snapToGrid w:val="0"/>
                    <w:jc w:val="center"/>
                    <w:rPr>
                      <w:color w:val="000000"/>
                      <w:sz w:val="18"/>
                      <w:szCs w:val="18"/>
                    </w:rPr>
                  </w:pPr>
                  <w:r>
                    <w:rPr>
                      <w:rFonts w:hint="eastAsia"/>
                      <w:color w:val="000000"/>
                      <w:sz w:val="18"/>
                      <w:szCs w:val="18"/>
                    </w:rPr>
                    <w:t>0.13</w:t>
                  </w:r>
                </w:p>
              </w:tc>
              <w:tc>
                <w:tcPr>
                  <w:tcW w:w="642" w:type="pct"/>
                  <w:noWrap/>
                  <w:vAlign w:val="center"/>
                </w:tcPr>
                <w:p w14:paraId="6BD48B2F">
                  <w:pPr>
                    <w:widowControl/>
                    <w:adjustRightInd w:val="0"/>
                    <w:snapToGrid w:val="0"/>
                    <w:jc w:val="center"/>
                    <w:textAlignment w:val="center"/>
                    <w:rPr>
                      <w:color w:val="000000"/>
                      <w:sz w:val="18"/>
                      <w:szCs w:val="18"/>
                    </w:rPr>
                  </w:pPr>
                  <w:r>
                    <w:rPr>
                      <w:color w:val="000000"/>
                      <w:kern w:val="0"/>
                      <w:sz w:val="18"/>
                      <w:szCs w:val="18"/>
                      <w:lang w:bidi="ar"/>
                    </w:rPr>
                    <w:t>/</w:t>
                  </w:r>
                </w:p>
              </w:tc>
              <w:tc>
                <w:tcPr>
                  <w:tcW w:w="1222" w:type="pct"/>
                  <w:vMerge w:val="continue"/>
                  <w:noWrap/>
                  <w:vAlign w:val="center"/>
                </w:tcPr>
                <w:p w14:paraId="2D0F216A">
                  <w:pPr>
                    <w:widowControl/>
                    <w:adjustRightInd w:val="0"/>
                    <w:snapToGrid w:val="0"/>
                    <w:jc w:val="center"/>
                    <w:rPr>
                      <w:rFonts w:hint="eastAsia"/>
                      <w:color w:val="000000"/>
                      <w:sz w:val="18"/>
                      <w:szCs w:val="18"/>
                    </w:rPr>
                  </w:pPr>
                </w:p>
              </w:tc>
              <w:tc>
                <w:tcPr>
                  <w:tcW w:w="785" w:type="pct"/>
                  <w:noWrap/>
                  <w:vAlign w:val="center"/>
                </w:tcPr>
                <w:p w14:paraId="544F1200">
                  <w:pPr>
                    <w:widowControl/>
                    <w:adjustRightInd w:val="0"/>
                    <w:snapToGrid w:val="0"/>
                    <w:jc w:val="center"/>
                    <w:rPr>
                      <w:rFonts w:hint="eastAsia"/>
                      <w:color w:val="000000"/>
                      <w:sz w:val="18"/>
                      <w:szCs w:val="18"/>
                    </w:rPr>
                  </w:pPr>
                  <w:r>
                    <w:rPr>
                      <w:rFonts w:hint="eastAsia"/>
                      <w:color w:val="000000"/>
                      <w:sz w:val="18"/>
                      <w:szCs w:val="18"/>
                    </w:rPr>
                    <w:t>/</w:t>
                  </w:r>
                </w:p>
              </w:tc>
            </w:tr>
            <w:tr w14:paraId="009197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615" w:type="pct"/>
                  <w:vMerge w:val="continue"/>
                  <w:noWrap/>
                  <w:vAlign w:val="center"/>
                </w:tcPr>
                <w:p w14:paraId="6C2B9069">
                  <w:pPr>
                    <w:widowControl/>
                    <w:adjustRightInd w:val="0"/>
                    <w:snapToGrid w:val="0"/>
                    <w:jc w:val="center"/>
                    <w:rPr>
                      <w:color w:val="000000"/>
                      <w:sz w:val="18"/>
                      <w:szCs w:val="18"/>
                    </w:rPr>
                  </w:pPr>
                </w:p>
              </w:tc>
              <w:tc>
                <w:tcPr>
                  <w:tcW w:w="1009" w:type="pct"/>
                  <w:noWrap/>
                  <w:vAlign w:val="center"/>
                </w:tcPr>
                <w:p w14:paraId="78F525E0">
                  <w:pPr>
                    <w:widowControl/>
                    <w:adjustRightInd w:val="0"/>
                    <w:snapToGrid w:val="0"/>
                    <w:jc w:val="center"/>
                    <w:textAlignment w:val="center"/>
                    <w:rPr>
                      <w:color w:val="000000"/>
                      <w:sz w:val="18"/>
                      <w:szCs w:val="18"/>
                    </w:rPr>
                  </w:pPr>
                  <w:r>
                    <w:rPr>
                      <w:color w:val="000000"/>
                      <w:kern w:val="0"/>
                      <w:sz w:val="18"/>
                      <w:szCs w:val="18"/>
                      <w:lang w:bidi="ar"/>
                    </w:rPr>
                    <w:t>排放量</w:t>
                  </w:r>
                  <w:r>
                    <w:rPr>
                      <w:rFonts w:hint="eastAsia"/>
                      <w:color w:val="000000"/>
                      <w:kern w:val="0"/>
                      <w:sz w:val="18"/>
                      <w:szCs w:val="18"/>
                      <w:lang w:bidi="ar"/>
                    </w:rPr>
                    <w:t>t/a</w:t>
                  </w:r>
                </w:p>
              </w:tc>
              <w:tc>
                <w:tcPr>
                  <w:tcW w:w="724" w:type="pct"/>
                  <w:noWrap/>
                  <w:vAlign w:val="center"/>
                </w:tcPr>
                <w:p w14:paraId="7F2AAC2D">
                  <w:pPr>
                    <w:widowControl/>
                    <w:adjustRightInd w:val="0"/>
                    <w:snapToGrid w:val="0"/>
                    <w:jc w:val="center"/>
                    <w:rPr>
                      <w:color w:val="000000"/>
                      <w:sz w:val="18"/>
                      <w:szCs w:val="18"/>
                    </w:rPr>
                  </w:pPr>
                  <w:r>
                    <w:rPr>
                      <w:rFonts w:hint="eastAsia"/>
                      <w:color w:val="000000"/>
                      <w:sz w:val="18"/>
                      <w:szCs w:val="18"/>
                    </w:rPr>
                    <w:t>0.156</w:t>
                  </w:r>
                </w:p>
              </w:tc>
              <w:tc>
                <w:tcPr>
                  <w:tcW w:w="642" w:type="pct"/>
                  <w:noWrap/>
                  <w:vAlign w:val="center"/>
                </w:tcPr>
                <w:p w14:paraId="2E5D2D03">
                  <w:pPr>
                    <w:widowControl/>
                    <w:adjustRightInd w:val="0"/>
                    <w:snapToGrid w:val="0"/>
                    <w:jc w:val="center"/>
                    <w:textAlignment w:val="center"/>
                    <w:rPr>
                      <w:color w:val="000000"/>
                      <w:sz w:val="18"/>
                      <w:szCs w:val="18"/>
                    </w:rPr>
                  </w:pPr>
                  <w:r>
                    <w:rPr>
                      <w:color w:val="000000"/>
                      <w:kern w:val="0"/>
                      <w:sz w:val="18"/>
                      <w:szCs w:val="18"/>
                      <w:lang w:bidi="ar"/>
                    </w:rPr>
                    <w:t>/</w:t>
                  </w:r>
                </w:p>
              </w:tc>
              <w:tc>
                <w:tcPr>
                  <w:tcW w:w="1222" w:type="pct"/>
                  <w:vMerge w:val="continue"/>
                  <w:noWrap/>
                  <w:vAlign w:val="center"/>
                </w:tcPr>
                <w:p w14:paraId="76599CFA">
                  <w:pPr>
                    <w:widowControl/>
                    <w:adjustRightInd w:val="0"/>
                    <w:snapToGrid w:val="0"/>
                    <w:jc w:val="center"/>
                    <w:rPr>
                      <w:rFonts w:hint="eastAsia"/>
                      <w:color w:val="000000"/>
                      <w:sz w:val="18"/>
                      <w:szCs w:val="18"/>
                    </w:rPr>
                  </w:pPr>
                </w:p>
              </w:tc>
              <w:tc>
                <w:tcPr>
                  <w:tcW w:w="785" w:type="pct"/>
                  <w:noWrap/>
                  <w:vAlign w:val="center"/>
                </w:tcPr>
                <w:p w14:paraId="78ACBA39">
                  <w:pPr>
                    <w:widowControl/>
                    <w:adjustRightInd w:val="0"/>
                    <w:snapToGrid w:val="0"/>
                    <w:jc w:val="center"/>
                    <w:rPr>
                      <w:rFonts w:hint="eastAsia"/>
                      <w:color w:val="000000"/>
                      <w:sz w:val="18"/>
                      <w:szCs w:val="18"/>
                    </w:rPr>
                  </w:pPr>
                  <w:r>
                    <w:rPr>
                      <w:rFonts w:hint="eastAsia"/>
                      <w:color w:val="000000"/>
                      <w:sz w:val="18"/>
                      <w:szCs w:val="18"/>
                    </w:rPr>
                    <w:t>/</w:t>
                  </w:r>
                </w:p>
              </w:tc>
            </w:tr>
          </w:tbl>
          <w:p w14:paraId="01F9D430">
            <w:pPr>
              <w:spacing w:line="360" w:lineRule="auto"/>
              <w:ind w:firstLine="465"/>
              <w:contextualSpacing/>
              <w:rPr>
                <w:rFonts w:hint="eastAsia"/>
                <w:color w:val="000000"/>
              </w:rPr>
            </w:pPr>
            <w:r>
              <w:rPr>
                <w:rFonts w:hint="eastAsia"/>
                <w:color w:val="000000"/>
              </w:rPr>
              <w:t>根据上表可知，PVC电缆料生产线产生的粉尘排放浓度满足《大气污染物综合排放标准》（DB50/418-2016）颗粒物的限值要求；本项目低烟无卤电缆料生产线产生的粉尘排放浓度满足《合成树脂工业污染物排放标准》（</w:t>
            </w:r>
            <w:r>
              <w:rPr>
                <w:color w:val="000000"/>
              </w:rPr>
              <w:t>GB31572-2015</w:t>
            </w:r>
            <w:r>
              <w:rPr>
                <w:rFonts w:hint="eastAsia"/>
                <w:color w:val="000000"/>
              </w:rPr>
              <w:t>）中表</w:t>
            </w:r>
            <w:r>
              <w:rPr>
                <w:color w:val="000000"/>
              </w:rPr>
              <w:t>5</w:t>
            </w:r>
            <w:r>
              <w:rPr>
                <w:rFonts w:hint="eastAsia"/>
                <w:color w:val="000000"/>
              </w:rPr>
              <w:t>“大气污染物特别排放限值”要求。</w:t>
            </w:r>
          </w:p>
          <w:p w14:paraId="0F963419">
            <w:pPr>
              <w:spacing w:line="360" w:lineRule="auto"/>
              <w:ind w:firstLine="465"/>
              <w:contextualSpacing/>
              <w:rPr>
                <w:b/>
                <w:bCs/>
                <w:color w:val="000000"/>
              </w:rPr>
            </w:pPr>
            <w:r>
              <w:rPr>
                <w:b/>
                <w:bCs/>
                <w:color w:val="000000"/>
              </w:rPr>
              <w:t>（</w:t>
            </w:r>
            <w:r>
              <w:rPr>
                <w:rFonts w:hint="eastAsia"/>
                <w:b/>
                <w:bCs/>
                <w:color w:val="000000"/>
              </w:rPr>
              <w:t>2</w:t>
            </w:r>
            <w:r>
              <w:rPr>
                <w:b/>
                <w:bCs/>
                <w:color w:val="000000"/>
              </w:rPr>
              <w:t>）</w:t>
            </w:r>
            <w:r>
              <w:rPr>
                <w:rFonts w:hint="eastAsia"/>
                <w:b/>
                <w:bCs/>
                <w:color w:val="000000"/>
              </w:rPr>
              <w:t>混料废气、混炼废气、密炼废气、风冷废气（G4、G5、G7、G8）</w:t>
            </w:r>
          </w:p>
          <w:p w14:paraId="60B48BFF">
            <w:pPr>
              <w:spacing w:line="360" w:lineRule="auto"/>
              <w:ind w:firstLine="465"/>
              <w:contextualSpacing/>
              <w:rPr>
                <w:b/>
                <w:bCs/>
                <w:color w:val="000000"/>
              </w:rPr>
            </w:pPr>
            <w:r>
              <w:rPr>
                <w:rFonts w:hint="eastAsia"/>
                <w:b/>
                <w:bCs/>
                <w:color w:val="000000"/>
              </w:rPr>
              <w:t>1）风量核算：</w:t>
            </w:r>
          </w:p>
          <w:p w14:paraId="24A5BCA5">
            <w:pPr>
              <w:spacing w:line="360" w:lineRule="auto"/>
              <w:ind w:firstLine="465"/>
              <w:contextualSpacing/>
              <w:rPr>
                <w:color w:val="000000"/>
              </w:rPr>
            </w:pPr>
            <w:r>
              <w:rPr>
                <w:rFonts w:hint="eastAsia"/>
                <w:color w:val="000000"/>
              </w:rPr>
              <w:t>本项目PVC电缆料共设2条生产线，经前文分析生产线的混料废气、混炼挤出、切割、风冷工段产生废气，产生废气的设备涉及高速混料机、双阶混炼挤出机组、切割机、前两级旋风机。混料废气由高速混料机产生，本项目将其出口全封闭，产生的废气经密闭收集后由500m</w:t>
            </w:r>
            <w:r>
              <w:rPr>
                <w:rFonts w:hint="eastAsia"/>
                <w:color w:val="000000"/>
                <w:vertAlign w:val="superscript"/>
              </w:rPr>
              <w:t>3</w:t>
            </w:r>
            <w:r>
              <w:rPr>
                <w:rFonts w:hint="eastAsia"/>
                <w:color w:val="000000"/>
              </w:rPr>
              <w:t>/h的风量抽吸，可保证废气的有效收集。</w:t>
            </w:r>
          </w:p>
          <w:p w14:paraId="04EA2E58">
            <w:pPr>
              <w:spacing w:line="360" w:lineRule="auto"/>
              <w:ind w:firstLine="465"/>
              <w:contextualSpacing/>
              <w:rPr>
                <w:rFonts w:hint="eastAsia"/>
                <w:color w:val="000000"/>
              </w:rPr>
            </w:pPr>
            <w:r>
              <w:rPr>
                <w:rFonts w:hint="eastAsia"/>
                <w:color w:val="000000"/>
              </w:rPr>
              <w:t>双阶混炼挤出机组产生废气出口尺寸为25cm*25cm，本项目在废气出口顶设置集气罩+</w:t>
            </w:r>
            <w:r>
              <w:rPr>
                <w:rFonts w:cs="宋体"/>
                <w:color w:val="000000"/>
              </w:rPr>
              <w:t>磁吸软帘</w:t>
            </w:r>
            <w:r>
              <w:rPr>
                <w:rFonts w:hint="eastAsia"/>
                <w:color w:val="000000"/>
              </w:rPr>
              <w:t>进行抽吸，集气罩尺寸为0.3m*0.3m，控制点风速取0.3m/s，控制点距离为0.3m，参考《环境工程技术手册 废气处理工程技术手册》给出的集气罩风量计算公式，计算结果为544m</w:t>
            </w:r>
            <w:r>
              <w:rPr>
                <w:rFonts w:hint="eastAsia"/>
                <w:color w:val="000000"/>
                <w:vertAlign w:val="superscript"/>
              </w:rPr>
              <w:t>3</w:t>
            </w:r>
            <w:r>
              <w:rPr>
                <w:rFonts w:hint="eastAsia"/>
                <w:color w:val="000000"/>
              </w:rPr>
              <w:t>/h，本项目取600m</w:t>
            </w:r>
            <w:r>
              <w:rPr>
                <w:rFonts w:hint="eastAsia"/>
                <w:color w:val="000000"/>
                <w:vertAlign w:val="superscript"/>
              </w:rPr>
              <w:t>3</w:t>
            </w:r>
            <w:r>
              <w:rPr>
                <w:rFonts w:hint="eastAsia"/>
                <w:color w:val="000000"/>
              </w:rPr>
              <w:t>/h，可保证投料时产生的废气收集率达85%。</w:t>
            </w:r>
          </w:p>
          <w:p w14:paraId="4DE07296">
            <w:pPr>
              <w:spacing w:line="360" w:lineRule="auto"/>
              <w:ind w:firstLine="465"/>
              <w:contextualSpacing/>
              <w:rPr>
                <w:rFonts w:hint="eastAsia"/>
                <w:color w:val="000000"/>
              </w:rPr>
            </w:pPr>
            <w:r>
              <w:rPr>
                <w:rFonts w:hint="eastAsia"/>
                <w:color w:val="000000"/>
              </w:rPr>
              <w:t>PVC电缆料生产线切割机产生废气出口尺寸为20cm*20cm，本项目在废气出口顶设置集气罩+</w:t>
            </w:r>
            <w:r>
              <w:rPr>
                <w:rFonts w:cs="宋体"/>
                <w:color w:val="000000"/>
              </w:rPr>
              <w:t>磁吸软帘</w:t>
            </w:r>
            <w:r>
              <w:rPr>
                <w:rFonts w:hint="eastAsia"/>
                <w:color w:val="000000"/>
              </w:rPr>
              <w:t>进行抽吸，集气罩尺寸为0.3m*0.3m，控制点风速取0.3m/s，控制点距离为0.3m，参考《环境工程技术手册 废气处理工程技术手册》给出的集气罩风量计算公式，计算结果为544m</w:t>
            </w:r>
            <w:r>
              <w:rPr>
                <w:rFonts w:hint="eastAsia"/>
                <w:color w:val="000000"/>
                <w:vertAlign w:val="superscript"/>
              </w:rPr>
              <w:t>3</w:t>
            </w:r>
            <w:r>
              <w:rPr>
                <w:rFonts w:hint="eastAsia"/>
                <w:color w:val="000000"/>
              </w:rPr>
              <w:t>/h，考虑切割时自身约有400m</w:t>
            </w:r>
            <w:r>
              <w:rPr>
                <w:rFonts w:hint="eastAsia"/>
                <w:color w:val="000000"/>
                <w:vertAlign w:val="superscript"/>
              </w:rPr>
              <w:t>3</w:t>
            </w:r>
            <w:r>
              <w:rPr>
                <w:rFonts w:hint="eastAsia"/>
                <w:color w:val="000000"/>
              </w:rPr>
              <w:t>/h的风量，本项目取600m</w:t>
            </w:r>
            <w:r>
              <w:rPr>
                <w:rFonts w:hint="eastAsia"/>
                <w:color w:val="000000"/>
                <w:vertAlign w:val="superscript"/>
              </w:rPr>
              <w:t>3</w:t>
            </w:r>
            <w:r>
              <w:rPr>
                <w:rFonts w:hint="eastAsia"/>
                <w:color w:val="000000"/>
              </w:rPr>
              <w:t>/h。</w:t>
            </w:r>
          </w:p>
          <w:p w14:paraId="03D87EC0">
            <w:pPr>
              <w:spacing w:line="360" w:lineRule="auto"/>
              <w:ind w:firstLine="465"/>
              <w:contextualSpacing/>
              <w:rPr>
                <w:rFonts w:hint="eastAsia"/>
                <w:color w:val="000000"/>
              </w:rPr>
            </w:pPr>
            <w:r>
              <w:rPr>
                <w:rFonts w:hint="eastAsia"/>
                <w:color w:val="000000"/>
              </w:rPr>
              <w:t>PVC电缆料生产线前两级旋风机产生废气，旋风机的型号相同，风量均为2000m</w:t>
            </w:r>
            <w:r>
              <w:rPr>
                <w:rFonts w:hint="eastAsia"/>
                <w:color w:val="000000"/>
                <w:vertAlign w:val="superscript"/>
              </w:rPr>
              <w:t>3</w:t>
            </w:r>
            <w:r>
              <w:rPr>
                <w:rFonts w:hint="eastAsia"/>
                <w:color w:val="000000"/>
              </w:rPr>
              <w:t>/h，本项目在废气出口进行全密闭抽吸处理，每台旋风机风量为2000m</w:t>
            </w:r>
            <w:r>
              <w:rPr>
                <w:rFonts w:hint="eastAsia"/>
                <w:color w:val="000000"/>
                <w:vertAlign w:val="superscript"/>
              </w:rPr>
              <w:t>3</w:t>
            </w:r>
            <w:r>
              <w:rPr>
                <w:rFonts w:hint="eastAsia"/>
                <w:color w:val="000000"/>
              </w:rPr>
              <w:t>/h。</w:t>
            </w:r>
          </w:p>
          <w:p w14:paraId="2112987E">
            <w:pPr>
              <w:spacing w:line="360" w:lineRule="auto"/>
              <w:ind w:firstLine="465"/>
              <w:contextualSpacing/>
              <w:rPr>
                <w:color w:val="000000"/>
              </w:rPr>
            </w:pPr>
            <w:r>
              <w:rPr>
                <w:rFonts w:hint="eastAsia"/>
                <w:color w:val="000000"/>
              </w:rPr>
              <w:t>本项目低烟无卤电缆料共设3条生产线，经前文分析生产线的密炼、混炼挤出、切割、风冷工段产生废气，产生废气的设备涉及密炼机、双阶混炼挤出机组、切割机、前两级旋风机。</w:t>
            </w:r>
            <w:r>
              <w:rPr>
                <w:rFonts w:hint="eastAsia"/>
                <w:color w:val="000000"/>
                <w:kern w:val="0"/>
              </w:rPr>
              <w:t>密炼废气主要在密炼机出料</w:t>
            </w:r>
            <w:r>
              <w:rPr>
                <w:rFonts w:hint="eastAsia"/>
                <w:color w:val="000000"/>
              </w:rPr>
              <w:t>出口处产生，其尺寸为1.35m*1m，本项目设置集气罩+</w:t>
            </w:r>
            <w:r>
              <w:rPr>
                <w:rFonts w:cs="宋体"/>
                <w:color w:val="000000"/>
              </w:rPr>
              <w:t>磁吸软帘</w:t>
            </w:r>
            <w:r>
              <w:rPr>
                <w:rFonts w:hint="eastAsia" w:cs="宋体"/>
                <w:color w:val="000000"/>
              </w:rPr>
              <w:t>（整体封闭）</w:t>
            </w:r>
            <w:r>
              <w:rPr>
                <w:rFonts w:hint="eastAsia"/>
                <w:color w:val="000000"/>
              </w:rPr>
              <w:t>进行抽吸，整体封闭后形成负压，封闭区域内无人员操作，考虑磁吸软帘与地面距离取2cm，风量取2000m</w:t>
            </w:r>
            <w:r>
              <w:rPr>
                <w:rFonts w:hint="eastAsia"/>
                <w:color w:val="000000"/>
                <w:vertAlign w:val="superscript"/>
              </w:rPr>
              <w:t>3</w:t>
            </w:r>
            <w:r>
              <w:rPr>
                <w:rFonts w:hint="eastAsia"/>
                <w:color w:val="000000"/>
              </w:rPr>
              <w:t>/h，负压风速为5.6m/s，可保证废气的有效收集。双阶混炼挤出机组、切割机、前两级旋风机风量与PVC电缆料生产线一致。采取以上收集措施后，废气综合收集效率可达85%。</w:t>
            </w:r>
          </w:p>
          <w:p w14:paraId="78F4E8BF">
            <w:pPr>
              <w:spacing w:line="360" w:lineRule="auto"/>
              <w:contextualSpacing/>
              <w:jc w:val="center"/>
              <w:rPr>
                <w:color w:val="000000"/>
              </w:rPr>
            </w:pPr>
            <w:r>
              <w:rPr>
                <w:rFonts w:hint="eastAsia"/>
                <w:b/>
                <w:bCs/>
                <w:color w:val="000000"/>
              </w:rPr>
              <w:t>表</w:t>
            </w:r>
            <w:r>
              <w:rPr>
                <w:b/>
                <w:bCs/>
                <w:color w:val="000000"/>
              </w:rPr>
              <w:t>4-</w:t>
            </w:r>
            <w:r>
              <w:rPr>
                <w:rFonts w:hint="eastAsia"/>
                <w:b/>
                <w:bCs/>
                <w:color w:val="000000"/>
              </w:rPr>
              <w:t>8</w:t>
            </w:r>
            <w:r>
              <w:rPr>
                <w:b/>
                <w:bCs/>
                <w:color w:val="000000"/>
              </w:rPr>
              <w:t xml:space="preserve"> </w:t>
            </w:r>
            <w:r>
              <w:rPr>
                <w:rFonts w:hint="eastAsia"/>
                <w:b/>
                <w:bCs/>
                <w:color w:val="000000"/>
              </w:rPr>
              <w:t xml:space="preserve"> 本项目各产品单条生产线收集风量情况表  单位：m</w:t>
            </w:r>
            <w:r>
              <w:rPr>
                <w:rFonts w:hint="eastAsia"/>
                <w:b/>
                <w:bCs/>
                <w:color w:val="000000"/>
                <w:vertAlign w:val="superscript"/>
              </w:rPr>
              <w:t>3</w:t>
            </w:r>
            <w:r>
              <w:rPr>
                <w:rFonts w:hint="eastAsia"/>
                <w:b/>
                <w:bCs/>
                <w:color w:val="000000"/>
              </w:rPr>
              <w:t>/h</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033"/>
              <w:gridCol w:w="1055"/>
              <w:gridCol w:w="1033"/>
              <w:gridCol w:w="1033"/>
              <w:gridCol w:w="1057"/>
              <w:gridCol w:w="1057"/>
              <w:gridCol w:w="1057"/>
            </w:tblGrid>
            <w:tr w14:paraId="26E9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noWrap w:val="0"/>
                  <w:vAlign w:val="center"/>
                </w:tcPr>
                <w:p w14:paraId="531ED774">
                  <w:pPr>
                    <w:adjustRightInd w:val="0"/>
                    <w:snapToGrid w:val="0"/>
                    <w:contextualSpacing/>
                    <w:jc w:val="center"/>
                    <w:rPr>
                      <w:color w:val="000000"/>
                      <w:sz w:val="21"/>
                      <w:szCs w:val="21"/>
                    </w:rPr>
                  </w:pPr>
                  <w:r>
                    <w:rPr>
                      <w:rFonts w:hint="eastAsia"/>
                      <w:color w:val="000000"/>
                      <w:sz w:val="21"/>
                      <w:szCs w:val="21"/>
                    </w:rPr>
                    <w:t>工段</w:t>
                  </w:r>
                </w:p>
              </w:tc>
              <w:tc>
                <w:tcPr>
                  <w:tcW w:w="616" w:type="pct"/>
                  <w:noWrap w:val="0"/>
                  <w:vAlign w:val="center"/>
                </w:tcPr>
                <w:p w14:paraId="505736E9">
                  <w:pPr>
                    <w:adjustRightInd w:val="0"/>
                    <w:snapToGrid w:val="0"/>
                    <w:contextualSpacing/>
                    <w:jc w:val="center"/>
                    <w:rPr>
                      <w:color w:val="000000"/>
                      <w:sz w:val="21"/>
                      <w:szCs w:val="21"/>
                    </w:rPr>
                  </w:pPr>
                  <w:r>
                    <w:rPr>
                      <w:rFonts w:hint="eastAsia"/>
                      <w:color w:val="000000"/>
                      <w:sz w:val="21"/>
                      <w:szCs w:val="21"/>
                    </w:rPr>
                    <w:t>混料</w:t>
                  </w:r>
                </w:p>
              </w:tc>
              <w:tc>
                <w:tcPr>
                  <w:tcW w:w="629" w:type="pct"/>
                  <w:noWrap w:val="0"/>
                  <w:vAlign w:val="center"/>
                </w:tcPr>
                <w:p w14:paraId="008A93EE">
                  <w:pPr>
                    <w:adjustRightInd w:val="0"/>
                    <w:snapToGrid w:val="0"/>
                    <w:contextualSpacing/>
                    <w:jc w:val="center"/>
                    <w:rPr>
                      <w:color w:val="000000"/>
                      <w:sz w:val="21"/>
                      <w:szCs w:val="21"/>
                    </w:rPr>
                  </w:pPr>
                  <w:r>
                    <w:rPr>
                      <w:rFonts w:hint="eastAsia"/>
                      <w:color w:val="000000"/>
                      <w:sz w:val="21"/>
                      <w:szCs w:val="21"/>
                    </w:rPr>
                    <w:t>密炼</w:t>
                  </w:r>
                </w:p>
              </w:tc>
              <w:tc>
                <w:tcPr>
                  <w:tcW w:w="616" w:type="pct"/>
                  <w:noWrap w:val="0"/>
                  <w:vAlign w:val="center"/>
                </w:tcPr>
                <w:p w14:paraId="3F3C5D3B">
                  <w:pPr>
                    <w:adjustRightInd w:val="0"/>
                    <w:snapToGrid w:val="0"/>
                    <w:contextualSpacing/>
                    <w:jc w:val="center"/>
                    <w:rPr>
                      <w:color w:val="000000"/>
                      <w:sz w:val="21"/>
                      <w:szCs w:val="21"/>
                    </w:rPr>
                  </w:pPr>
                  <w:r>
                    <w:rPr>
                      <w:rFonts w:hint="eastAsia"/>
                      <w:color w:val="000000"/>
                      <w:sz w:val="21"/>
                      <w:szCs w:val="21"/>
                    </w:rPr>
                    <w:t>混炼挤出</w:t>
                  </w:r>
                </w:p>
              </w:tc>
              <w:tc>
                <w:tcPr>
                  <w:tcW w:w="616" w:type="pct"/>
                  <w:noWrap w:val="0"/>
                  <w:vAlign w:val="center"/>
                </w:tcPr>
                <w:p w14:paraId="7154FB69">
                  <w:pPr>
                    <w:adjustRightInd w:val="0"/>
                    <w:snapToGrid w:val="0"/>
                    <w:contextualSpacing/>
                    <w:jc w:val="center"/>
                    <w:rPr>
                      <w:color w:val="000000"/>
                      <w:sz w:val="21"/>
                      <w:szCs w:val="21"/>
                    </w:rPr>
                  </w:pPr>
                  <w:r>
                    <w:rPr>
                      <w:rFonts w:hint="eastAsia"/>
                      <w:color w:val="000000"/>
                      <w:sz w:val="21"/>
                      <w:szCs w:val="21"/>
                    </w:rPr>
                    <w:t>切割</w:t>
                  </w:r>
                </w:p>
              </w:tc>
              <w:tc>
                <w:tcPr>
                  <w:tcW w:w="630" w:type="pct"/>
                  <w:noWrap w:val="0"/>
                  <w:vAlign w:val="center"/>
                </w:tcPr>
                <w:p w14:paraId="380DDA09">
                  <w:pPr>
                    <w:adjustRightInd w:val="0"/>
                    <w:snapToGrid w:val="0"/>
                    <w:contextualSpacing/>
                    <w:jc w:val="center"/>
                    <w:rPr>
                      <w:color w:val="000000"/>
                      <w:sz w:val="21"/>
                      <w:szCs w:val="21"/>
                    </w:rPr>
                  </w:pPr>
                  <w:r>
                    <w:rPr>
                      <w:rFonts w:hint="eastAsia"/>
                      <w:color w:val="000000"/>
                      <w:sz w:val="21"/>
                      <w:szCs w:val="21"/>
                    </w:rPr>
                    <w:t>一级风冷</w:t>
                  </w:r>
                </w:p>
              </w:tc>
              <w:tc>
                <w:tcPr>
                  <w:tcW w:w="630" w:type="pct"/>
                  <w:noWrap w:val="0"/>
                  <w:vAlign w:val="center"/>
                </w:tcPr>
                <w:p w14:paraId="7810FE33">
                  <w:pPr>
                    <w:adjustRightInd w:val="0"/>
                    <w:snapToGrid w:val="0"/>
                    <w:contextualSpacing/>
                    <w:jc w:val="center"/>
                    <w:rPr>
                      <w:color w:val="000000"/>
                      <w:sz w:val="21"/>
                      <w:szCs w:val="21"/>
                    </w:rPr>
                  </w:pPr>
                  <w:r>
                    <w:rPr>
                      <w:rFonts w:hint="eastAsia"/>
                      <w:color w:val="000000"/>
                      <w:sz w:val="21"/>
                      <w:szCs w:val="21"/>
                    </w:rPr>
                    <w:t>二级风冷</w:t>
                  </w:r>
                </w:p>
              </w:tc>
              <w:tc>
                <w:tcPr>
                  <w:tcW w:w="630" w:type="pct"/>
                  <w:noWrap w:val="0"/>
                  <w:vAlign w:val="center"/>
                </w:tcPr>
                <w:p w14:paraId="62EFDA53">
                  <w:pPr>
                    <w:adjustRightInd w:val="0"/>
                    <w:snapToGrid w:val="0"/>
                    <w:contextualSpacing/>
                    <w:jc w:val="center"/>
                    <w:rPr>
                      <w:color w:val="000000"/>
                      <w:sz w:val="21"/>
                      <w:szCs w:val="21"/>
                    </w:rPr>
                  </w:pPr>
                  <w:r>
                    <w:rPr>
                      <w:rFonts w:hint="eastAsia"/>
                      <w:color w:val="000000"/>
                      <w:sz w:val="21"/>
                      <w:szCs w:val="21"/>
                    </w:rPr>
                    <w:t>总风量</w:t>
                  </w:r>
                </w:p>
              </w:tc>
            </w:tr>
            <w:tr w14:paraId="002A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noWrap w:val="0"/>
                  <w:vAlign w:val="center"/>
                </w:tcPr>
                <w:p w14:paraId="15B4A730">
                  <w:pPr>
                    <w:adjustRightInd w:val="0"/>
                    <w:snapToGrid w:val="0"/>
                    <w:contextualSpacing/>
                    <w:jc w:val="center"/>
                    <w:rPr>
                      <w:color w:val="000000"/>
                      <w:sz w:val="21"/>
                      <w:szCs w:val="21"/>
                    </w:rPr>
                  </w:pPr>
                  <w:r>
                    <w:rPr>
                      <w:rFonts w:hint="eastAsia"/>
                      <w:color w:val="000000"/>
                      <w:sz w:val="21"/>
                      <w:szCs w:val="21"/>
                    </w:rPr>
                    <w:t>涉及的设备</w:t>
                  </w:r>
                </w:p>
              </w:tc>
              <w:tc>
                <w:tcPr>
                  <w:tcW w:w="616" w:type="pct"/>
                  <w:noWrap w:val="0"/>
                  <w:vAlign w:val="center"/>
                </w:tcPr>
                <w:p w14:paraId="63FA7C42">
                  <w:pPr>
                    <w:adjustRightInd w:val="0"/>
                    <w:snapToGrid w:val="0"/>
                    <w:contextualSpacing/>
                    <w:jc w:val="center"/>
                    <w:rPr>
                      <w:color w:val="000000"/>
                      <w:sz w:val="21"/>
                      <w:szCs w:val="21"/>
                    </w:rPr>
                  </w:pPr>
                  <w:r>
                    <w:rPr>
                      <w:rFonts w:hint="eastAsia"/>
                      <w:color w:val="000000"/>
                      <w:sz w:val="21"/>
                      <w:szCs w:val="21"/>
                    </w:rPr>
                    <w:t>高速混料机</w:t>
                  </w:r>
                </w:p>
              </w:tc>
              <w:tc>
                <w:tcPr>
                  <w:tcW w:w="629" w:type="pct"/>
                  <w:noWrap w:val="0"/>
                  <w:vAlign w:val="center"/>
                </w:tcPr>
                <w:p w14:paraId="070C41A6">
                  <w:pPr>
                    <w:adjustRightInd w:val="0"/>
                    <w:snapToGrid w:val="0"/>
                    <w:contextualSpacing/>
                    <w:jc w:val="center"/>
                    <w:rPr>
                      <w:color w:val="000000"/>
                      <w:sz w:val="21"/>
                      <w:szCs w:val="21"/>
                    </w:rPr>
                  </w:pPr>
                  <w:r>
                    <w:rPr>
                      <w:rFonts w:hint="eastAsia"/>
                      <w:color w:val="000000"/>
                      <w:sz w:val="21"/>
                      <w:szCs w:val="21"/>
                    </w:rPr>
                    <w:t>密炼机</w:t>
                  </w:r>
                </w:p>
              </w:tc>
              <w:tc>
                <w:tcPr>
                  <w:tcW w:w="616" w:type="pct"/>
                  <w:noWrap w:val="0"/>
                  <w:vAlign w:val="center"/>
                </w:tcPr>
                <w:p w14:paraId="001B2BBF">
                  <w:pPr>
                    <w:adjustRightInd w:val="0"/>
                    <w:snapToGrid w:val="0"/>
                    <w:contextualSpacing/>
                    <w:jc w:val="center"/>
                    <w:rPr>
                      <w:rFonts w:hint="eastAsia"/>
                      <w:color w:val="000000"/>
                      <w:sz w:val="21"/>
                      <w:szCs w:val="21"/>
                    </w:rPr>
                  </w:pPr>
                  <w:r>
                    <w:rPr>
                      <w:rFonts w:hint="eastAsia"/>
                      <w:color w:val="000000"/>
                      <w:sz w:val="21"/>
                      <w:szCs w:val="21"/>
                    </w:rPr>
                    <w:t>双阶混炼挤出机组</w:t>
                  </w:r>
                </w:p>
              </w:tc>
              <w:tc>
                <w:tcPr>
                  <w:tcW w:w="616" w:type="pct"/>
                  <w:noWrap w:val="0"/>
                  <w:vAlign w:val="center"/>
                </w:tcPr>
                <w:p w14:paraId="09B0218C">
                  <w:pPr>
                    <w:adjustRightInd w:val="0"/>
                    <w:snapToGrid w:val="0"/>
                    <w:contextualSpacing/>
                    <w:jc w:val="center"/>
                    <w:rPr>
                      <w:color w:val="000000"/>
                      <w:sz w:val="21"/>
                      <w:szCs w:val="21"/>
                    </w:rPr>
                  </w:pPr>
                  <w:r>
                    <w:rPr>
                      <w:rFonts w:hint="eastAsia"/>
                      <w:color w:val="000000"/>
                      <w:sz w:val="21"/>
                      <w:szCs w:val="21"/>
                    </w:rPr>
                    <w:t>切割机</w:t>
                  </w:r>
                </w:p>
              </w:tc>
              <w:tc>
                <w:tcPr>
                  <w:tcW w:w="630" w:type="pct"/>
                  <w:noWrap w:val="0"/>
                  <w:vAlign w:val="center"/>
                </w:tcPr>
                <w:p w14:paraId="4C0996C0">
                  <w:pPr>
                    <w:adjustRightInd w:val="0"/>
                    <w:snapToGrid w:val="0"/>
                    <w:contextualSpacing/>
                    <w:jc w:val="center"/>
                    <w:rPr>
                      <w:color w:val="000000"/>
                      <w:sz w:val="21"/>
                      <w:szCs w:val="21"/>
                    </w:rPr>
                  </w:pPr>
                  <w:r>
                    <w:rPr>
                      <w:rFonts w:hint="eastAsia"/>
                      <w:color w:val="000000"/>
                      <w:sz w:val="21"/>
                      <w:szCs w:val="21"/>
                    </w:rPr>
                    <w:t>一级旋风机</w:t>
                  </w:r>
                </w:p>
              </w:tc>
              <w:tc>
                <w:tcPr>
                  <w:tcW w:w="630" w:type="pct"/>
                  <w:noWrap w:val="0"/>
                  <w:vAlign w:val="center"/>
                </w:tcPr>
                <w:p w14:paraId="2D3511DF">
                  <w:pPr>
                    <w:adjustRightInd w:val="0"/>
                    <w:snapToGrid w:val="0"/>
                    <w:contextualSpacing/>
                    <w:jc w:val="center"/>
                    <w:rPr>
                      <w:rFonts w:hint="eastAsia"/>
                      <w:color w:val="000000"/>
                      <w:sz w:val="21"/>
                      <w:szCs w:val="21"/>
                    </w:rPr>
                  </w:pPr>
                  <w:r>
                    <w:rPr>
                      <w:rFonts w:hint="eastAsia"/>
                      <w:color w:val="000000"/>
                      <w:sz w:val="21"/>
                      <w:szCs w:val="21"/>
                    </w:rPr>
                    <w:t>二级旋风机</w:t>
                  </w:r>
                </w:p>
              </w:tc>
              <w:tc>
                <w:tcPr>
                  <w:tcW w:w="630" w:type="pct"/>
                  <w:noWrap w:val="0"/>
                  <w:vAlign w:val="center"/>
                </w:tcPr>
                <w:p w14:paraId="266E9F4A">
                  <w:pPr>
                    <w:adjustRightInd w:val="0"/>
                    <w:snapToGrid w:val="0"/>
                    <w:contextualSpacing/>
                    <w:jc w:val="center"/>
                    <w:rPr>
                      <w:color w:val="000000"/>
                      <w:sz w:val="21"/>
                      <w:szCs w:val="21"/>
                    </w:rPr>
                  </w:pPr>
                  <w:r>
                    <w:rPr>
                      <w:rFonts w:hint="eastAsia"/>
                      <w:color w:val="000000"/>
                      <w:sz w:val="21"/>
                      <w:szCs w:val="21"/>
                    </w:rPr>
                    <w:t>/</w:t>
                  </w:r>
                </w:p>
              </w:tc>
            </w:tr>
            <w:tr w14:paraId="6DC4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noWrap w:val="0"/>
                  <w:vAlign w:val="center"/>
                </w:tcPr>
                <w:p w14:paraId="6388D613">
                  <w:pPr>
                    <w:adjustRightInd w:val="0"/>
                    <w:snapToGrid w:val="0"/>
                    <w:contextualSpacing/>
                    <w:jc w:val="center"/>
                    <w:rPr>
                      <w:rFonts w:hint="eastAsia"/>
                      <w:color w:val="000000"/>
                      <w:sz w:val="21"/>
                      <w:szCs w:val="21"/>
                    </w:rPr>
                  </w:pPr>
                  <w:r>
                    <w:rPr>
                      <w:rFonts w:hint="eastAsia"/>
                      <w:color w:val="000000"/>
                      <w:sz w:val="21"/>
                      <w:szCs w:val="21"/>
                    </w:rPr>
                    <w:t>PVC电缆料生产线</w:t>
                  </w:r>
                </w:p>
              </w:tc>
              <w:tc>
                <w:tcPr>
                  <w:tcW w:w="616" w:type="pct"/>
                  <w:noWrap w:val="0"/>
                  <w:vAlign w:val="center"/>
                </w:tcPr>
                <w:p w14:paraId="3C803099">
                  <w:pPr>
                    <w:adjustRightInd w:val="0"/>
                    <w:snapToGrid w:val="0"/>
                    <w:contextualSpacing/>
                    <w:jc w:val="center"/>
                    <w:rPr>
                      <w:color w:val="000000"/>
                      <w:sz w:val="21"/>
                      <w:szCs w:val="21"/>
                    </w:rPr>
                  </w:pPr>
                  <w:r>
                    <w:rPr>
                      <w:rFonts w:hint="eastAsia"/>
                      <w:color w:val="000000"/>
                      <w:sz w:val="21"/>
                      <w:szCs w:val="21"/>
                    </w:rPr>
                    <w:t>500</w:t>
                  </w:r>
                </w:p>
              </w:tc>
              <w:tc>
                <w:tcPr>
                  <w:tcW w:w="629" w:type="pct"/>
                  <w:noWrap w:val="0"/>
                  <w:vAlign w:val="center"/>
                </w:tcPr>
                <w:p w14:paraId="75661F5F">
                  <w:pPr>
                    <w:adjustRightInd w:val="0"/>
                    <w:snapToGrid w:val="0"/>
                    <w:contextualSpacing/>
                    <w:jc w:val="center"/>
                    <w:rPr>
                      <w:color w:val="000000"/>
                      <w:sz w:val="21"/>
                      <w:szCs w:val="21"/>
                    </w:rPr>
                  </w:pPr>
                  <w:r>
                    <w:rPr>
                      <w:rFonts w:hint="eastAsia"/>
                      <w:color w:val="000000"/>
                      <w:sz w:val="21"/>
                      <w:szCs w:val="21"/>
                    </w:rPr>
                    <w:t>/</w:t>
                  </w:r>
                </w:p>
              </w:tc>
              <w:tc>
                <w:tcPr>
                  <w:tcW w:w="616" w:type="pct"/>
                  <w:noWrap w:val="0"/>
                  <w:vAlign w:val="center"/>
                </w:tcPr>
                <w:p w14:paraId="7185CEAA">
                  <w:pPr>
                    <w:adjustRightInd w:val="0"/>
                    <w:snapToGrid w:val="0"/>
                    <w:contextualSpacing/>
                    <w:jc w:val="center"/>
                    <w:rPr>
                      <w:color w:val="000000"/>
                      <w:sz w:val="21"/>
                      <w:szCs w:val="21"/>
                    </w:rPr>
                  </w:pPr>
                  <w:r>
                    <w:rPr>
                      <w:rFonts w:hint="eastAsia"/>
                      <w:color w:val="000000"/>
                      <w:sz w:val="21"/>
                      <w:szCs w:val="21"/>
                    </w:rPr>
                    <w:t>600</w:t>
                  </w:r>
                </w:p>
              </w:tc>
              <w:tc>
                <w:tcPr>
                  <w:tcW w:w="616" w:type="pct"/>
                  <w:noWrap w:val="0"/>
                  <w:vAlign w:val="center"/>
                </w:tcPr>
                <w:p w14:paraId="16A0ACAF">
                  <w:pPr>
                    <w:adjustRightInd w:val="0"/>
                    <w:snapToGrid w:val="0"/>
                    <w:contextualSpacing/>
                    <w:jc w:val="center"/>
                    <w:rPr>
                      <w:color w:val="000000"/>
                      <w:sz w:val="21"/>
                      <w:szCs w:val="21"/>
                    </w:rPr>
                  </w:pPr>
                  <w:r>
                    <w:rPr>
                      <w:rFonts w:hint="eastAsia"/>
                      <w:color w:val="000000"/>
                      <w:sz w:val="21"/>
                      <w:szCs w:val="21"/>
                    </w:rPr>
                    <w:t>600</w:t>
                  </w:r>
                </w:p>
              </w:tc>
              <w:tc>
                <w:tcPr>
                  <w:tcW w:w="630" w:type="pct"/>
                  <w:noWrap w:val="0"/>
                  <w:vAlign w:val="center"/>
                </w:tcPr>
                <w:p w14:paraId="548EB0F5">
                  <w:pPr>
                    <w:adjustRightInd w:val="0"/>
                    <w:snapToGrid w:val="0"/>
                    <w:contextualSpacing/>
                    <w:jc w:val="center"/>
                    <w:rPr>
                      <w:color w:val="000000"/>
                      <w:sz w:val="21"/>
                      <w:szCs w:val="21"/>
                    </w:rPr>
                  </w:pPr>
                  <w:r>
                    <w:rPr>
                      <w:rFonts w:hint="eastAsia"/>
                      <w:color w:val="000000"/>
                      <w:sz w:val="21"/>
                      <w:szCs w:val="21"/>
                    </w:rPr>
                    <w:t>2000</w:t>
                  </w:r>
                </w:p>
              </w:tc>
              <w:tc>
                <w:tcPr>
                  <w:tcW w:w="630" w:type="pct"/>
                  <w:noWrap w:val="0"/>
                  <w:vAlign w:val="center"/>
                </w:tcPr>
                <w:p w14:paraId="7162DD36">
                  <w:pPr>
                    <w:adjustRightInd w:val="0"/>
                    <w:snapToGrid w:val="0"/>
                    <w:contextualSpacing/>
                    <w:jc w:val="center"/>
                    <w:rPr>
                      <w:color w:val="000000"/>
                      <w:sz w:val="21"/>
                      <w:szCs w:val="21"/>
                    </w:rPr>
                  </w:pPr>
                  <w:r>
                    <w:rPr>
                      <w:rFonts w:hint="eastAsia"/>
                      <w:color w:val="000000"/>
                      <w:sz w:val="21"/>
                      <w:szCs w:val="21"/>
                    </w:rPr>
                    <w:t>2000</w:t>
                  </w:r>
                </w:p>
              </w:tc>
              <w:tc>
                <w:tcPr>
                  <w:tcW w:w="630" w:type="pct"/>
                  <w:noWrap w:val="0"/>
                  <w:vAlign w:val="center"/>
                </w:tcPr>
                <w:p w14:paraId="3A3F7F10">
                  <w:pPr>
                    <w:adjustRightInd w:val="0"/>
                    <w:snapToGrid w:val="0"/>
                    <w:contextualSpacing/>
                    <w:jc w:val="center"/>
                    <w:rPr>
                      <w:color w:val="000000"/>
                      <w:sz w:val="21"/>
                      <w:szCs w:val="21"/>
                    </w:rPr>
                  </w:pPr>
                  <w:r>
                    <w:rPr>
                      <w:rFonts w:hint="eastAsia"/>
                      <w:color w:val="000000"/>
                      <w:sz w:val="21"/>
                      <w:szCs w:val="21"/>
                    </w:rPr>
                    <w:t>5700</w:t>
                  </w:r>
                </w:p>
              </w:tc>
            </w:tr>
            <w:tr w14:paraId="4F3F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noWrap w:val="0"/>
                  <w:vAlign w:val="center"/>
                </w:tcPr>
                <w:p w14:paraId="7AFEF605">
                  <w:pPr>
                    <w:adjustRightInd w:val="0"/>
                    <w:snapToGrid w:val="0"/>
                    <w:contextualSpacing/>
                    <w:jc w:val="center"/>
                    <w:rPr>
                      <w:color w:val="000000"/>
                      <w:sz w:val="21"/>
                      <w:szCs w:val="21"/>
                    </w:rPr>
                  </w:pPr>
                  <w:r>
                    <w:rPr>
                      <w:rFonts w:hint="eastAsia"/>
                      <w:color w:val="000000"/>
                      <w:sz w:val="21"/>
                      <w:szCs w:val="21"/>
                    </w:rPr>
                    <w:t>低烟无卤电缆料生产线</w:t>
                  </w:r>
                </w:p>
              </w:tc>
              <w:tc>
                <w:tcPr>
                  <w:tcW w:w="616" w:type="pct"/>
                  <w:noWrap w:val="0"/>
                  <w:vAlign w:val="center"/>
                </w:tcPr>
                <w:p w14:paraId="7AEE71FF">
                  <w:pPr>
                    <w:adjustRightInd w:val="0"/>
                    <w:snapToGrid w:val="0"/>
                    <w:contextualSpacing/>
                    <w:jc w:val="center"/>
                    <w:rPr>
                      <w:color w:val="000000"/>
                      <w:sz w:val="21"/>
                      <w:szCs w:val="21"/>
                    </w:rPr>
                  </w:pPr>
                  <w:r>
                    <w:rPr>
                      <w:rFonts w:hint="eastAsia"/>
                      <w:color w:val="000000"/>
                      <w:sz w:val="21"/>
                      <w:szCs w:val="21"/>
                    </w:rPr>
                    <w:t>/</w:t>
                  </w:r>
                </w:p>
              </w:tc>
              <w:tc>
                <w:tcPr>
                  <w:tcW w:w="629" w:type="pct"/>
                  <w:noWrap w:val="0"/>
                  <w:vAlign w:val="center"/>
                </w:tcPr>
                <w:p w14:paraId="3AEA972B">
                  <w:pPr>
                    <w:adjustRightInd w:val="0"/>
                    <w:snapToGrid w:val="0"/>
                    <w:contextualSpacing/>
                    <w:jc w:val="center"/>
                    <w:rPr>
                      <w:color w:val="000000"/>
                      <w:sz w:val="21"/>
                      <w:szCs w:val="21"/>
                    </w:rPr>
                  </w:pPr>
                  <w:r>
                    <w:rPr>
                      <w:rFonts w:hint="eastAsia"/>
                      <w:color w:val="000000"/>
                      <w:sz w:val="21"/>
                      <w:szCs w:val="21"/>
                    </w:rPr>
                    <w:t>2000</w:t>
                  </w:r>
                </w:p>
              </w:tc>
              <w:tc>
                <w:tcPr>
                  <w:tcW w:w="616" w:type="pct"/>
                  <w:noWrap w:val="0"/>
                  <w:vAlign w:val="center"/>
                </w:tcPr>
                <w:p w14:paraId="1A0F6C19">
                  <w:pPr>
                    <w:adjustRightInd w:val="0"/>
                    <w:snapToGrid w:val="0"/>
                    <w:contextualSpacing/>
                    <w:jc w:val="center"/>
                    <w:rPr>
                      <w:color w:val="000000"/>
                      <w:sz w:val="21"/>
                      <w:szCs w:val="21"/>
                    </w:rPr>
                  </w:pPr>
                  <w:r>
                    <w:rPr>
                      <w:rFonts w:hint="eastAsia"/>
                      <w:color w:val="000000"/>
                      <w:sz w:val="21"/>
                      <w:szCs w:val="21"/>
                    </w:rPr>
                    <w:t>600</w:t>
                  </w:r>
                </w:p>
              </w:tc>
              <w:tc>
                <w:tcPr>
                  <w:tcW w:w="616" w:type="pct"/>
                  <w:noWrap w:val="0"/>
                  <w:vAlign w:val="center"/>
                </w:tcPr>
                <w:p w14:paraId="68B0FCEF">
                  <w:pPr>
                    <w:adjustRightInd w:val="0"/>
                    <w:snapToGrid w:val="0"/>
                    <w:contextualSpacing/>
                    <w:jc w:val="center"/>
                    <w:rPr>
                      <w:rFonts w:hint="eastAsia"/>
                      <w:color w:val="000000"/>
                      <w:sz w:val="21"/>
                      <w:szCs w:val="21"/>
                    </w:rPr>
                  </w:pPr>
                  <w:r>
                    <w:rPr>
                      <w:rFonts w:hint="eastAsia"/>
                      <w:color w:val="000000"/>
                      <w:sz w:val="21"/>
                      <w:szCs w:val="21"/>
                    </w:rPr>
                    <w:t>600</w:t>
                  </w:r>
                </w:p>
              </w:tc>
              <w:tc>
                <w:tcPr>
                  <w:tcW w:w="630" w:type="pct"/>
                  <w:noWrap w:val="0"/>
                  <w:vAlign w:val="center"/>
                </w:tcPr>
                <w:p w14:paraId="05EDDAE3">
                  <w:pPr>
                    <w:adjustRightInd w:val="0"/>
                    <w:snapToGrid w:val="0"/>
                    <w:contextualSpacing/>
                    <w:jc w:val="center"/>
                    <w:rPr>
                      <w:rFonts w:hint="eastAsia"/>
                      <w:color w:val="000000"/>
                      <w:sz w:val="21"/>
                      <w:szCs w:val="21"/>
                    </w:rPr>
                  </w:pPr>
                  <w:r>
                    <w:rPr>
                      <w:rFonts w:hint="eastAsia"/>
                      <w:color w:val="000000"/>
                      <w:sz w:val="21"/>
                      <w:szCs w:val="21"/>
                    </w:rPr>
                    <w:t>2000</w:t>
                  </w:r>
                </w:p>
              </w:tc>
              <w:tc>
                <w:tcPr>
                  <w:tcW w:w="630" w:type="pct"/>
                  <w:noWrap w:val="0"/>
                  <w:vAlign w:val="center"/>
                </w:tcPr>
                <w:p w14:paraId="5F9EFBF5">
                  <w:pPr>
                    <w:adjustRightInd w:val="0"/>
                    <w:snapToGrid w:val="0"/>
                    <w:contextualSpacing/>
                    <w:jc w:val="center"/>
                    <w:rPr>
                      <w:rFonts w:hint="eastAsia"/>
                      <w:color w:val="000000"/>
                      <w:sz w:val="21"/>
                      <w:szCs w:val="21"/>
                    </w:rPr>
                  </w:pPr>
                  <w:r>
                    <w:rPr>
                      <w:rFonts w:hint="eastAsia"/>
                      <w:color w:val="000000"/>
                      <w:sz w:val="21"/>
                      <w:szCs w:val="21"/>
                    </w:rPr>
                    <w:t>2000</w:t>
                  </w:r>
                </w:p>
              </w:tc>
              <w:tc>
                <w:tcPr>
                  <w:tcW w:w="630" w:type="pct"/>
                  <w:noWrap w:val="0"/>
                  <w:vAlign w:val="center"/>
                </w:tcPr>
                <w:p w14:paraId="22B62750">
                  <w:pPr>
                    <w:adjustRightInd w:val="0"/>
                    <w:snapToGrid w:val="0"/>
                    <w:contextualSpacing/>
                    <w:jc w:val="center"/>
                    <w:rPr>
                      <w:color w:val="000000"/>
                      <w:sz w:val="21"/>
                      <w:szCs w:val="21"/>
                    </w:rPr>
                  </w:pPr>
                  <w:r>
                    <w:rPr>
                      <w:rFonts w:hint="eastAsia"/>
                      <w:color w:val="000000"/>
                      <w:sz w:val="21"/>
                      <w:szCs w:val="21"/>
                    </w:rPr>
                    <w:t>7200</w:t>
                  </w:r>
                </w:p>
              </w:tc>
            </w:tr>
          </w:tbl>
          <w:p w14:paraId="35A8AAD5">
            <w:pPr>
              <w:spacing w:line="360" w:lineRule="auto"/>
              <w:ind w:firstLine="465"/>
              <w:contextualSpacing/>
              <w:rPr>
                <w:color w:val="000000"/>
              </w:rPr>
            </w:pPr>
            <w:r>
              <w:rPr>
                <w:rFonts w:hint="eastAsia"/>
                <w:color w:val="000000"/>
              </w:rPr>
              <w:t>上表统计出各产品单条生产线风量情况，PVC电缆料生产线共2条生产线，总风量为11400m</w:t>
            </w:r>
            <w:r>
              <w:rPr>
                <w:rFonts w:hint="eastAsia"/>
                <w:color w:val="000000"/>
                <w:vertAlign w:val="superscript"/>
              </w:rPr>
              <w:t>3</w:t>
            </w:r>
            <w:r>
              <w:rPr>
                <w:rFonts w:hint="eastAsia"/>
                <w:color w:val="000000"/>
              </w:rPr>
              <w:t>/h；低烟无卤电缆料生产线共3条生产线，总风量为21600m</w:t>
            </w:r>
            <w:r>
              <w:rPr>
                <w:rFonts w:hint="eastAsia"/>
                <w:color w:val="000000"/>
                <w:vertAlign w:val="superscript"/>
              </w:rPr>
              <w:t>3</w:t>
            </w:r>
            <w:r>
              <w:rPr>
                <w:rFonts w:hint="eastAsia"/>
                <w:color w:val="000000"/>
              </w:rPr>
              <w:t>/h。</w:t>
            </w:r>
          </w:p>
          <w:p w14:paraId="565F51C3">
            <w:pPr>
              <w:spacing w:line="360" w:lineRule="auto"/>
              <w:ind w:firstLine="465"/>
              <w:contextualSpacing/>
              <w:rPr>
                <w:b/>
                <w:bCs/>
                <w:color w:val="000000"/>
              </w:rPr>
            </w:pPr>
            <w:r>
              <w:rPr>
                <w:rFonts w:hint="eastAsia"/>
                <w:b/>
                <w:bCs/>
                <w:color w:val="000000"/>
              </w:rPr>
              <w:t>2）源强核算</w:t>
            </w:r>
          </w:p>
          <w:p w14:paraId="7B44C235">
            <w:pPr>
              <w:spacing w:line="360" w:lineRule="auto"/>
              <w:ind w:firstLine="465"/>
              <w:contextualSpacing/>
              <w:rPr>
                <w:color w:val="000000"/>
              </w:rPr>
            </w:pPr>
            <w:r>
              <w:rPr>
                <w:rFonts w:hint="eastAsia"/>
                <w:b/>
                <w:bCs/>
                <w:color w:val="000000"/>
              </w:rPr>
              <w:t>非甲烷总烃</w:t>
            </w:r>
            <w:r>
              <w:rPr>
                <w:rFonts w:hint="eastAsia"/>
                <w:color w:val="000000"/>
              </w:rPr>
              <w:t>：本项目PVC电缆料生产线、低烟无卤电缆料2个产品生产过程产生的非甲烷总烃产生系数根据前文类比现有同类项目验收数据核算产排污，PVC电缆料产污系数保守取1.5kg/t-产品，低烟无卤电缆料的产污系数保守取0.2kg/t-产品。系数法计算出PVC电缆料生产线、低烟无卤电缆料生产线非甲烷总烃产生量分别为5.76t、0.864。产生的非甲烷总烃处理工艺主要为三级活性炭吸附。</w:t>
            </w:r>
          </w:p>
          <w:p w14:paraId="5448413D">
            <w:pPr>
              <w:spacing w:line="360" w:lineRule="auto"/>
              <w:ind w:firstLine="465"/>
              <w:contextualSpacing/>
              <w:rPr>
                <w:rFonts w:hint="eastAsia"/>
                <w:color w:val="000000"/>
              </w:rPr>
            </w:pPr>
            <w:r>
              <w:rPr>
                <w:rFonts w:hint="eastAsia"/>
                <w:b/>
                <w:bCs/>
                <w:color w:val="000000"/>
              </w:rPr>
              <w:t>氯化氢、氯乙烯</w:t>
            </w:r>
            <w:r>
              <w:rPr>
                <w:rFonts w:hint="eastAsia"/>
                <w:color w:val="000000"/>
              </w:rPr>
              <w:t>：由于</w:t>
            </w:r>
            <w:r>
              <w:rPr>
                <w:color w:val="000000"/>
              </w:rPr>
              <w:t>PVC</w:t>
            </w:r>
            <w:r>
              <w:rPr>
                <w:rFonts w:hint="eastAsia"/>
                <w:color w:val="000000"/>
              </w:rPr>
              <w:t>加热熔化过程会挥发出极少量的</w:t>
            </w:r>
            <w:r>
              <w:rPr>
                <w:color w:val="000000"/>
              </w:rPr>
              <w:t>HCl</w:t>
            </w:r>
            <w:r>
              <w:rPr>
                <w:rFonts w:hint="eastAsia"/>
                <w:color w:val="000000"/>
              </w:rPr>
              <w:t>和氯乙烯，根据美国</w:t>
            </w:r>
            <w:r>
              <w:rPr>
                <w:color w:val="000000"/>
              </w:rPr>
              <w:t>EPA</w:t>
            </w:r>
            <w:r>
              <w:rPr>
                <w:rFonts w:hint="eastAsia"/>
                <w:color w:val="000000"/>
              </w:rPr>
              <w:t>对</w:t>
            </w:r>
            <w:r>
              <w:rPr>
                <w:color w:val="000000"/>
              </w:rPr>
              <w:t>PVC</w:t>
            </w:r>
            <w:r>
              <w:rPr>
                <w:rFonts w:hint="eastAsia"/>
                <w:color w:val="000000"/>
              </w:rPr>
              <w:t>塑料生产工序的研究，同时参考同类型项目的类比调查，</w:t>
            </w:r>
            <w:r>
              <w:rPr>
                <w:color w:val="000000"/>
              </w:rPr>
              <w:t>PVC</w:t>
            </w:r>
            <w:r>
              <w:rPr>
                <w:rFonts w:hint="eastAsia"/>
                <w:color w:val="000000"/>
              </w:rPr>
              <w:t>树脂挤出切粒工序产污系数约为：氯化氢</w:t>
            </w:r>
            <w:r>
              <w:rPr>
                <w:color w:val="000000"/>
              </w:rPr>
              <w:t>0.015kg/tPVC</w:t>
            </w:r>
            <w:r>
              <w:rPr>
                <w:rFonts w:hint="eastAsia"/>
                <w:color w:val="000000"/>
              </w:rPr>
              <w:t>、氯乙烯</w:t>
            </w:r>
            <w:r>
              <w:rPr>
                <w:color w:val="000000"/>
              </w:rPr>
              <w:t>0.027kg/tPVC</w:t>
            </w:r>
            <w:r>
              <w:rPr>
                <w:rFonts w:hint="eastAsia"/>
                <w:color w:val="000000"/>
              </w:rPr>
              <w:t>。本项目</w:t>
            </w:r>
            <w:r>
              <w:rPr>
                <w:color w:val="000000"/>
              </w:rPr>
              <w:t>PVC</w:t>
            </w:r>
            <w:r>
              <w:rPr>
                <w:rFonts w:hint="eastAsia"/>
                <w:color w:val="000000"/>
              </w:rPr>
              <w:t>电缆料年产量为3840</w:t>
            </w:r>
            <w:r>
              <w:rPr>
                <w:color w:val="000000"/>
              </w:rPr>
              <w:t>t/a</w:t>
            </w:r>
            <w:r>
              <w:rPr>
                <w:rFonts w:hint="eastAsia"/>
                <w:color w:val="000000"/>
              </w:rPr>
              <w:t>，则</w:t>
            </w:r>
            <w:r>
              <w:rPr>
                <w:color w:val="000000"/>
              </w:rPr>
              <w:t>HCl</w:t>
            </w:r>
            <w:r>
              <w:rPr>
                <w:rFonts w:hint="eastAsia"/>
                <w:color w:val="000000"/>
              </w:rPr>
              <w:t>产生量为0.0576</w:t>
            </w:r>
            <w:r>
              <w:rPr>
                <w:color w:val="000000"/>
              </w:rPr>
              <w:t>t/a</w:t>
            </w:r>
            <w:r>
              <w:rPr>
                <w:rFonts w:hint="eastAsia"/>
                <w:color w:val="000000"/>
              </w:rPr>
              <w:t>，氯乙烯产生量为</w:t>
            </w:r>
            <w:r>
              <w:rPr>
                <w:color w:val="000000"/>
              </w:rPr>
              <w:t>0.103</w:t>
            </w:r>
            <w:r>
              <w:rPr>
                <w:rFonts w:hint="eastAsia"/>
                <w:color w:val="000000"/>
              </w:rPr>
              <w:t>7</w:t>
            </w:r>
            <w:r>
              <w:rPr>
                <w:color w:val="000000"/>
              </w:rPr>
              <w:t>t/a</w:t>
            </w:r>
            <w:r>
              <w:rPr>
                <w:rFonts w:hint="eastAsia"/>
                <w:color w:val="000000"/>
              </w:rPr>
              <w:t>。产生的氯化氢处理工艺主要为酸雾洗涤塔，产生的氯乙烯处理工艺主要为三级活性炭吸附。</w:t>
            </w:r>
          </w:p>
          <w:p w14:paraId="26C76DD2">
            <w:pPr>
              <w:spacing w:line="360" w:lineRule="auto"/>
              <w:ind w:firstLine="465"/>
              <w:contextualSpacing/>
              <w:rPr>
                <w:rFonts w:hint="eastAsia"/>
                <w:b/>
                <w:bCs/>
                <w:color w:val="000000"/>
              </w:rPr>
            </w:pPr>
            <w:r>
              <w:rPr>
                <w:rFonts w:hint="eastAsia"/>
                <w:b/>
                <w:bCs/>
                <w:color w:val="000000"/>
              </w:rPr>
              <w:t>颗粒物：</w:t>
            </w:r>
            <w:r>
              <w:rPr>
                <w:rFonts w:hint="eastAsia"/>
                <w:color w:val="000000"/>
              </w:rPr>
              <w:t>气溶胶(表征为颗粒物)仅在挤塑机组内部局部受热不均情况下产生，根据《合成树脂行业废气的环境影响评价方法分析》（[3]王海玥，李厦-合成树脂行业废气的环境影响评价方法分析[J].环境与发展，2020,32(12):14-15.），合成树脂行业颗粒物主要源于破碎等工艺，本次评价不针对挤塑过程中产生的气溶胶(表征为颗粒物)做定量计算，仅提出相应管理要求及达标排放要求。运营期设备定期保养操作过程若发现局部过热情况立即停止生产进行设备检修。</w:t>
            </w:r>
          </w:p>
          <w:p w14:paraId="009F297F">
            <w:pPr>
              <w:spacing w:line="360" w:lineRule="auto"/>
              <w:ind w:firstLine="465"/>
              <w:contextualSpacing/>
              <w:rPr>
                <w:rFonts w:hint="eastAsia"/>
                <w:color w:val="000000"/>
              </w:rPr>
            </w:pPr>
            <w:r>
              <w:rPr>
                <w:rFonts w:hint="eastAsia"/>
                <w:color w:val="000000"/>
              </w:rPr>
              <w:t>PVC电缆料生产线用到6种液体原料，在高温下会产生少量油雾，污染因子为颗粒物。参考《增塑剂在PVC电缆料中的挥发性研究》（塑料工业，2020 年第48卷第5期）、《PVC挤出过程中增塑剂油雾释放规律研究》（中国塑料，2021年第35卷第8期）、《氯化石蜡在PVC电缆料中的热稳定性与挥发特性》（高分子材料科学与工程，2020年第36卷第11期）、《环保增塑剂在电线电缆中的应用进展》（合成材料老化与应用，2021年第50卷第3期）以及类比同类型项目，DOA和DOS油雾产率在0.6%-1.5%（本项目取1%），TOTM和ESO油雾产率在0.03%-0.2%（本项目取0.1%），DOTP和氯化石蜡油雾产率在0.1-0.5%（本项目取0.3%），本项目PVC电缆料生产过程油雾的挥发系数按0.1%计算。根据本项目TOTM、DOTP、DOA、DOS、ESO、氯化石蜡使用量计算出油雾量约为2.78t/a，经集气罩收集后通过静电除油器+酸雾洗涤塔+除湿器+UV光氧催化+三级活性炭吸附装置+15m高排气筒排放(DA001)，收集效率85%，综合处理效率99%，则废气油雾有组织产生量为2.78t/a，有组织排放量为0.024t/a，无组织排放量为0.4</w:t>
            </w:r>
            <w:r>
              <w:rPr>
                <w:rFonts w:hint="eastAsia"/>
                <w:color w:val="000000"/>
                <w:lang w:val="en-US" w:eastAsia="zh-CN"/>
              </w:rPr>
              <w:t>17</w:t>
            </w:r>
            <w:r>
              <w:rPr>
                <w:rFonts w:hint="eastAsia"/>
                <w:color w:val="000000"/>
              </w:rPr>
              <w:t>t/a。产生的油雾（颗粒物）处理工艺主要为静电除油器。</w:t>
            </w:r>
          </w:p>
          <w:p w14:paraId="5A18E5DB">
            <w:pPr>
              <w:spacing w:line="360" w:lineRule="auto"/>
              <w:ind w:firstLine="465"/>
              <w:contextualSpacing/>
              <w:rPr>
                <w:rFonts w:hint="eastAsia"/>
                <w:color w:val="000000"/>
              </w:rPr>
            </w:pPr>
            <w:r>
              <w:rPr>
                <w:rFonts w:hint="eastAsia"/>
                <w:b/>
                <w:bCs/>
                <w:color w:val="000000"/>
              </w:rPr>
              <w:t>臭气：</w:t>
            </w:r>
            <w:r>
              <w:rPr>
                <w:rFonts w:hint="eastAsia"/>
                <w:color w:val="000000"/>
              </w:rPr>
              <w:t>本项目PVC电缆料及低烟无卤电缆料生产过程中会产生一定的异味（以臭气浓度计），该异味对外环境的影响带有较强的主观性，将此异味以臭气浓度评价。本项目PVC电缆料及低烟无卤电缆料生产过程产生的臭气浓度大部分经集气罩收集，进入废气处理设施（处理臭气的工艺：UV光氧催化+活性炭）进行处理，处理后排放量较少；少部分未收集到的臭气浓度以无组织的形式排放，随着距离的增加，气味浓度会迅速下降，本项目周围最近保护目标距离为90m，不会对周围环境产生不利影响。</w:t>
            </w:r>
          </w:p>
          <w:p w14:paraId="1D7D1810">
            <w:pPr>
              <w:spacing w:line="360" w:lineRule="auto"/>
              <w:ind w:firstLine="465"/>
              <w:contextualSpacing/>
              <w:rPr>
                <w:rFonts w:hint="eastAsia"/>
                <w:color w:val="000000"/>
              </w:rPr>
            </w:pPr>
            <w:r>
              <w:rPr>
                <w:rFonts w:hint="eastAsia"/>
                <w:color w:val="000000"/>
              </w:rPr>
              <w:t>综上，PVC电缆料生产线每天约8小时生产，每年生产2400小时，产生的废气（污染因子有油雾、非甲烷总烃、氯化氢、氯乙烯、臭气）经11400m</w:t>
            </w:r>
            <w:r>
              <w:rPr>
                <w:rFonts w:hint="eastAsia"/>
                <w:color w:val="000000"/>
                <w:vertAlign w:val="superscript"/>
              </w:rPr>
              <w:t>3</w:t>
            </w:r>
            <w:r>
              <w:rPr>
                <w:rFonts w:hint="eastAsia"/>
                <w:color w:val="000000"/>
              </w:rPr>
              <w:t>/h风量的风机抽吸，再经1#废气处理设施（处理工艺：静电除油器+酸雾洗涤塔+除湿器+UV光氧催化+三级活性炭）处理达</w:t>
            </w:r>
            <w:r>
              <w:rPr>
                <w:color w:val="000000"/>
                <w:kern w:val="0"/>
                <w:szCs w:val="21"/>
              </w:rPr>
              <w:t>《大气污染物综合排放标准》（DB50/418-2016）</w:t>
            </w:r>
            <w:r>
              <w:rPr>
                <w:rFonts w:hint="eastAsia"/>
                <w:color w:val="000000"/>
                <w:kern w:val="0"/>
                <w:szCs w:val="21"/>
              </w:rPr>
              <w:t>中的排放限值</w:t>
            </w:r>
            <w:r>
              <w:rPr>
                <w:rFonts w:hint="eastAsia"/>
                <w:color w:val="000000"/>
              </w:rPr>
              <w:t>后，由15m高的DA002排气筒排放。</w:t>
            </w:r>
          </w:p>
          <w:p w14:paraId="1E76FDDC">
            <w:pPr>
              <w:spacing w:line="360" w:lineRule="auto"/>
              <w:ind w:firstLine="465"/>
              <w:contextualSpacing/>
              <w:rPr>
                <w:rFonts w:hint="eastAsia"/>
                <w:color w:val="000000"/>
              </w:rPr>
            </w:pPr>
            <w:r>
              <w:rPr>
                <w:rFonts w:hint="eastAsia"/>
                <w:color w:val="000000"/>
              </w:rPr>
              <w:t>低烟无卤电缆料生产线每天运行8小时，每年生产2400小时，产生的废气（污染因子有非甲烷总烃、臭气）经</w:t>
            </w:r>
            <w:r>
              <w:rPr>
                <w:rFonts w:hint="eastAsia" w:cs="宋体"/>
                <w:color w:val="000000"/>
              </w:rPr>
              <w:t>收集后，由</w:t>
            </w:r>
            <w:r>
              <w:rPr>
                <w:color w:val="000000"/>
              </w:rPr>
              <w:t>2</w:t>
            </w:r>
            <w:r>
              <w:rPr>
                <w:rFonts w:hint="eastAsia"/>
                <w:color w:val="000000"/>
              </w:rPr>
              <w:t>1600m</w:t>
            </w:r>
            <w:r>
              <w:rPr>
                <w:rFonts w:hint="eastAsia"/>
                <w:color w:val="000000"/>
                <w:vertAlign w:val="superscript"/>
              </w:rPr>
              <w:t>3</w:t>
            </w:r>
            <w:r>
              <w:rPr>
                <w:rFonts w:hint="eastAsia"/>
                <w:color w:val="000000"/>
              </w:rPr>
              <w:t>/h风量的风机送3#废气处理设施（处理工艺：UV光氧催化+两级活性炭）处理达《合成树脂工业污染物排放标准》(GB31572-2015)中的特别排放限值，再由15m高的DA004排气筒排放。</w:t>
            </w:r>
          </w:p>
          <w:p w14:paraId="18C7DF3E">
            <w:pPr>
              <w:spacing w:line="360" w:lineRule="auto"/>
              <w:ind w:firstLine="465"/>
              <w:contextualSpacing/>
              <w:rPr>
                <w:color w:val="000000"/>
              </w:rPr>
            </w:pPr>
            <w:r>
              <w:rPr>
                <w:rFonts w:hint="eastAsia"/>
                <w:color w:val="000000"/>
              </w:rPr>
              <w:t>根据相关规范及同类型项目，酸雾洗涤塔处理氯化氢气体处理效率按50</w:t>
            </w:r>
            <w:r>
              <w:rPr>
                <w:color w:val="000000"/>
              </w:rPr>
              <w:t>%</w:t>
            </w:r>
            <w:r>
              <w:rPr>
                <w:rFonts w:hint="eastAsia"/>
                <w:color w:val="000000"/>
              </w:rPr>
              <w:t>计，单级活性炭对挥发机有机物的处理效率取50%，两级活性炭的处理效率为70%，三级活性炭的处理效率为80%，则本项目有机废气产生排放情况见表</w:t>
            </w:r>
            <w:r>
              <w:rPr>
                <w:color w:val="000000"/>
              </w:rPr>
              <w:t>4-</w:t>
            </w:r>
            <w:r>
              <w:rPr>
                <w:rFonts w:hint="eastAsia"/>
                <w:color w:val="000000"/>
              </w:rPr>
              <w:t>9。本项目有机废气达标情况见表4-10。</w:t>
            </w:r>
          </w:p>
          <w:p w14:paraId="66F4E521">
            <w:pPr>
              <w:contextualSpacing/>
              <w:jc w:val="center"/>
              <w:rPr>
                <w:rFonts w:hint="eastAsia"/>
                <w:color w:val="000000"/>
              </w:rPr>
            </w:pPr>
            <w:r>
              <w:rPr>
                <w:rFonts w:hint="eastAsia"/>
                <w:b/>
                <w:bCs/>
                <w:color w:val="000000"/>
              </w:rPr>
              <w:t>表</w:t>
            </w:r>
            <w:r>
              <w:rPr>
                <w:b/>
                <w:bCs/>
                <w:color w:val="000000"/>
              </w:rPr>
              <w:t>4-</w:t>
            </w:r>
            <w:r>
              <w:rPr>
                <w:rFonts w:hint="eastAsia"/>
                <w:b/>
                <w:bCs/>
                <w:color w:val="000000"/>
              </w:rPr>
              <w:t>9</w:t>
            </w:r>
            <w:r>
              <w:rPr>
                <w:b/>
                <w:bCs/>
                <w:color w:val="000000"/>
              </w:rPr>
              <w:t xml:space="preserve"> </w:t>
            </w:r>
            <w:r>
              <w:rPr>
                <w:rFonts w:hint="eastAsia"/>
                <w:b/>
                <w:bCs/>
                <w:color w:val="000000"/>
              </w:rPr>
              <w:t xml:space="preserve"> 本项目有机废气源强核算表</w:t>
            </w:r>
          </w:p>
          <w:tbl>
            <w:tblPr>
              <w:tblStyle w:val="16"/>
              <w:tblW w:w="8315" w:type="dxa"/>
              <w:tblInd w:w="-47"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55"/>
              <w:gridCol w:w="1006"/>
              <w:gridCol w:w="722"/>
              <w:gridCol w:w="682"/>
              <w:gridCol w:w="586"/>
              <w:gridCol w:w="1105"/>
              <w:gridCol w:w="681"/>
              <w:gridCol w:w="559"/>
              <w:gridCol w:w="641"/>
              <w:gridCol w:w="628"/>
              <w:gridCol w:w="750"/>
            </w:tblGrid>
            <w:tr w14:paraId="6AE44D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955" w:type="dxa"/>
                  <w:noWrap w:val="0"/>
                  <w:vAlign w:val="center"/>
                </w:tcPr>
                <w:p w14:paraId="077C34F6">
                  <w:pPr>
                    <w:widowControl/>
                    <w:adjustRightInd w:val="0"/>
                    <w:snapToGrid w:val="0"/>
                    <w:jc w:val="center"/>
                    <w:textAlignment w:val="center"/>
                    <w:rPr>
                      <w:color w:val="000000"/>
                      <w:sz w:val="18"/>
                      <w:szCs w:val="18"/>
                    </w:rPr>
                  </w:pPr>
                  <w:r>
                    <w:rPr>
                      <w:color w:val="000000"/>
                      <w:kern w:val="0"/>
                      <w:sz w:val="18"/>
                      <w:szCs w:val="18"/>
                      <w:lang w:bidi="ar"/>
                    </w:rPr>
                    <w:t>产污环节</w:t>
                  </w:r>
                </w:p>
              </w:tc>
              <w:tc>
                <w:tcPr>
                  <w:tcW w:w="1006" w:type="dxa"/>
                  <w:noWrap w:val="0"/>
                  <w:vAlign w:val="center"/>
                </w:tcPr>
                <w:p w14:paraId="317026F8">
                  <w:pPr>
                    <w:widowControl/>
                    <w:adjustRightInd w:val="0"/>
                    <w:snapToGrid w:val="0"/>
                    <w:jc w:val="center"/>
                    <w:textAlignment w:val="center"/>
                    <w:rPr>
                      <w:color w:val="000000"/>
                      <w:sz w:val="18"/>
                      <w:szCs w:val="18"/>
                    </w:rPr>
                  </w:pPr>
                  <w:r>
                    <w:rPr>
                      <w:color w:val="000000"/>
                      <w:kern w:val="0"/>
                      <w:sz w:val="18"/>
                      <w:szCs w:val="18"/>
                      <w:lang w:bidi="ar"/>
                    </w:rPr>
                    <w:t>污染因子</w:t>
                  </w:r>
                </w:p>
              </w:tc>
              <w:tc>
                <w:tcPr>
                  <w:tcW w:w="722" w:type="dxa"/>
                  <w:noWrap w:val="0"/>
                  <w:vAlign w:val="center"/>
                </w:tcPr>
                <w:p w14:paraId="0178509F">
                  <w:pPr>
                    <w:widowControl/>
                    <w:adjustRightInd w:val="0"/>
                    <w:snapToGrid w:val="0"/>
                    <w:jc w:val="center"/>
                    <w:textAlignment w:val="center"/>
                    <w:rPr>
                      <w:color w:val="000000"/>
                      <w:kern w:val="0"/>
                      <w:sz w:val="18"/>
                      <w:szCs w:val="18"/>
                      <w:lang w:bidi="ar"/>
                    </w:rPr>
                  </w:pPr>
                  <w:r>
                    <w:rPr>
                      <w:color w:val="000000"/>
                      <w:kern w:val="0"/>
                      <w:sz w:val="18"/>
                      <w:szCs w:val="18"/>
                      <w:lang w:bidi="ar"/>
                    </w:rPr>
                    <w:t>产生量</w:t>
                  </w:r>
                </w:p>
                <w:p w14:paraId="2C713374">
                  <w:pPr>
                    <w:widowControl/>
                    <w:adjustRightInd w:val="0"/>
                    <w:snapToGrid w:val="0"/>
                    <w:jc w:val="center"/>
                    <w:textAlignment w:val="center"/>
                    <w:rPr>
                      <w:color w:val="000000"/>
                      <w:sz w:val="18"/>
                      <w:szCs w:val="18"/>
                    </w:rPr>
                  </w:pPr>
                  <w:r>
                    <w:rPr>
                      <w:color w:val="000000"/>
                      <w:kern w:val="0"/>
                      <w:sz w:val="18"/>
                      <w:szCs w:val="18"/>
                      <w:lang w:bidi="ar"/>
                    </w:rPr>
                    <w:t>t/a</w:t>
                  </w:r>
                </w:p>
              </w:tc>
              <w:tc>
                <w:tcPr>
                  <w:tcW w:w="682" w:type="dxa"/>
                  <w:noWrap w:val="0"/>
                  <w:vAlign w:val="center"/>
                </w:tcPr>
                <w:p w14:paraId="3CFDA5B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产生速率kg/h</w:t>
                  </w:r>
                </w:p>
              </w:tc>
              <w:tc>
                <w:tcPr>
                  <w:tcW w:w="586" w:type="dxa"/>
                  <w:noWrap w:val="0"/>
                  <w:vAlign w:val="center"/>
                </w:tcPr>
                <w:p w14:paraId="38FF738E">
                  <w:pPr>
                    <w:widowControl/>
                    <w:adjustRightInd w:val="0"/>
                    <w:snapToGrid w:val="0"/>
                    <w:jc w:val="center"/>
                    <w:textAlignment w:val="center"/>
                    <w:rPr>
                      <w:color w:val="000000"/>
                      <w:sz w:val="18"/>
                      <w:szCs w:val="18"/>
                    </w:rPr>
                  </w:pPr>
                  <w:r>
                    <w:rPr>
                      <w:color w:val="000000"/>
                      <w:kern w:val="0"/>
                      <w:sz w:val="18"/>
                      <w:szCs w:val="18"/>
                      <w:lang w:bidi="ar"/>
                    </w:rPr>
                    <w:t>收集率</w:t>
                  </w:r>
                </w:p>
              </w:tc>
              <w:tc>
                <w:tcPr>
                  <w:tcW w:w="1105" w:type="dxa"/>
                  <w:noWrap w:val="0"/>
                  <w:vAlign w:val="center"/>
                </w:tcPr>
                <w:p w14:paraId="6C044042">
                  <w:pPr>
                    <w:widowControl/>
                    <w:adjustRightInd w:val="0"/>
                    <w:snapToGrid w:val="0"/>
                    <w:jc w:val="center"/>
                    <w:textAlignment w:val="center"/>
                    <w:rPr>
                      <w:color w:val="000000"/>
                      <w:sz w:val="18"/>
                      <w:szCs w:val="18"/>
                    </w:rPr>
                  </w:pPr>
                  <w:r>
                    <w:rPr>
                      <w:color w:val="000000"/>
                      <w:kern w:val="0"/>
                      <w:sz w:val="18"/>
                      <w:szCs w:val="18"/>
                      <w:lang w:bidi="ar"/>
                    </w:rPr>
                    <w:t>采取的措施</w:t>
                  </w:r>
                </w:p>
              </w:tc>
              <w:tc>
                <w:tcPr>
                  <w:tcW w:w="681" w:type="dxa"/>
                  <w:noWrap w:val="0"/>
                  <w:vAlign w:val="center"/>
                </w:tcPr>
                <w:p w14:paraId="0A6D225A">
                  <w:pPr>
                    <w:widowControl/>
                    <w:adjustRightInd w:val="0"/>
                    <w:snapToGrid w:val="0"/>
                    <w:jc w:val="center"/>
                    <w:textAlignment w:val="center"/>
                    <w:rPr>
                      <w:color w:val="000000"/>
                      <w:kern w:val="0"/>
                      <w:sz w:val="18"/>
                      <w:szCs w:val="18"/>
                      <w:lang w:bidi="ar"/>
                    </w:rPr>
                  </w:pPr>
                  <w:r>
                    <w:rPr>
                      <w:color w:val="000000"/>
                      <w:kern w:val="0"/>
                      <w:sz w:val="18"/>
                      <w:szCs w:val="18"/>
                      <w:lang w:bidi="ar"/>
                    </w:rPr>
                    <w:t>风量</w:t>
                  </w:r>
                </w:p>
                <w:p w14:paraId="4C9E2143">
                  <w:pPr>
                    <w:widowControl/>
                    <w:adjustRightInd w:val="0"/>
                    <w:snapToGrid w:val="0"/>
                    <w:jc w:val="center"/>
                    <w:textAlignment w:val="center"/>
                    <w:rPr>
                      <w:color w:val="000000"/>
                      <w:sz w:val="18"/>
                      <w:szCs w:val="18"/>
                    </w:rPr>
                  </w:pPr>
                  <w:r>
                    <w:rPr>
                      <w:color w:val="000000"/>
                      <w:kern w:val="0"/>
                      <w:sz w:val="18"/>
                      <w:szCs w:val="18"/>
                      <w:lang w:bidi="ar"/>
                    </w:rPr>
                    <w:t>m</w:t>
                  </w:r>
                  <w:r>
                    <w:rPr>
                      <w:color w:val="000000"/>
                      <w:kern w:val="0"/>
                      <w:sz w:val="18"/>
                      <w:szCs w:val="18"/>
                      <w:vertAlign w:val="superscript"/>
                      <w:lang w:bidi="ar"/>
                    </w:rPr>
                    <w:t>3</w:t>
                  </w:r>
                  <w:r>
                    <w:rPr>
                      <w:color w:val="000000"/>
                      <w:kern w:val="0"/>
                      <w:sz w:val="18"/>
                      <w:szCs w:val="18"/>
                      <w:lang w:bidi="ar"/>
                    </w:rPr>
                    <w:t>/h</w:t>
                  </w:r>
                </w:p>
              </w:tc>
              <w:tc>
                <w:tcPr>
                  <w:tcW w:w="559" w:type="dxa"/>
                  <w:noWrap w:val="0"/>
                  <w:vAlign w:val="center"/>
                </w:tcPr>
                <w:p w14:paraId="0D40FEB6">
                  <w:pPr>
                    <w:widowControl/>
                    <w:adjustRightInd w:val="0"/>
                    <w:snapToGrid w:val="0"/>
                    <w:jc w:val="center"/>
                    <w:textAlignment w:val="center"/>
                    <w:rPr>
                      <w:color w:val="000000"/>
                      <w:sz w:val="18"/>
                      <w:szCs w:val="18"/>
                    </w:rPr>
                  </w:pPr>
                  <w:r>
                    <w:rPr>
                      <w:color w:val="000000"/>
                      <w:kern w:val="0"/>
                      <w:sz w:val="18"/>
                      <w:szCs w:val="18"/>
                      <w:lang w:bidi="ar"/>
                    </w:rPr>
                    <w:t>处理效率</w:t>
                  </w:r>
                </w:p>
              </w:tc>
              <w:tc>
                <w:tcPr>
                  <w:tcW w:w="641" w:type="dxa"/>
                  <w:noWrap w:val="0"/>
                  <w:vAlign w:val="center"/>
                </w:tcPr>
                <w:p w14:paraId="45C4DEEA">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628" w:type="dxa"/>
                  <w:noWrap w:val="0"/>
                  <w:vAlign w:val="center"/>
                </w:tcPr>
                <w:p w14:paraId="4C1D198A">
                  <w:pPr>
                    <w:widowControl/>
                    <w:adjustRightInd w:val="0"/>
                    <w:snapToGrid w:val="0"/>
                    <w:jc w:val="center"/>
                    <w:textAlignment w:val="center"/>
                    <w:rPr>
                      <w:color w:val="000000"/>
                      <w:sz w:val="18"/>
                      <w:szCs w:val="18"/>
                    </w:rPr>
                  </w:pPr>
                  <w:r>
                    <w:rPr>
                      <w:color w:val="000000"/>
                      <w:kern w:val="0"/>
                      <w:sz w:val="18"/>
                      <w:szCs w:val="18"/>
                      <w:lang w:bidi="ar"/>
                    </w:rPr>
                    <w:t>排放速率</w:t>
                  </w:r>
                  <w:r>
                    <w:rPr>
                      <w:rFonts w:hint="eastAsia"/>
                      <w:color w:val="000000"/>
                      <w:kern w:val="0"/>
                      <w:sz w:val="18"/>
                      <w:szCs w:val="18"/>
                      <w:lang w:bidi="ar"/>
                    </w:rPr>
                    <w:t>kg/h</w:t>
                  </w:r>
                </w:p>
              </w:tc>
              <w:tc>
                <w:tcPr>
                  <w:tcW w:w="750" w:type="dxa"/>
                  <w:noWrap w:val="0"/>
                  <w:vAlign w:val="center"/>
                </w:tcPr>
                <w:p w14:paraId="1FCDC714">
                  <w:pPr>
                    <w:widowControl/>
                    <w:tabs>
                      <w:tab w:val="left" w:pos="960"/>
                    </w:tabs>
                    <w:adjustRightInd w:val="0"/>
                    <w:snapToGrid w:val="0"/>
                    <w:ind w:right="-44" w:rightChars="-21"/>
                    <w:jc w:val="center"/>
                    <w:textAlignment w:val="center"/>
                    <w:rPr>
                      <w:color w:val="000000"/>
                      <w:kern w:val="0"/>
                      <w:sz w:val="18"/>
                      <w:szCs w:val="18"/>
                      <w:lang w:bidi="ar"/>
                    </w:rPr>
                  </w:pPr>
                  <w:r>
                    <w:rPr>
                      <w:color w:val="000000"/>
                      <w:kern w:val="0"/>
                      <w:sz w:val="18"/>
                      <w:szCs w:val="18"/>
                      <w:lang w:bidi="ar"/>
                    </w:rPr>
                    <w:t>排放量</w:t>
                  </w:r>
                </w:p>
                <w:p w14:paraId="4084F40F">
                  <w:pPr>
                    <w:widowControl/>
                    <w:tabs>
                      <w:tab w:val="left" w:pos="960"/>
                    </w:tabs>
                    <w:adjustRightInd w:val="0"/>
                    <w:snapToGrid w:val="0"/>
                    <w:ind w:right="-44" w:rightChars="-21"/>
                    <w:jc w:val="center"/>
                    <w:textAlignment w:val="center"/>
                    <w:rPr>
                      <w:color w:val="000000"/>
                      <w:sz w:val="18"/>
                      <w:szCs w:val="18"/>
                    </w:rPr>
                  </w:pPr>
                  <w:r>
                    <w:rPr>
                      <w:rFonts w:hint="eastAsia"/>
                      <w:color w:val="000000"/>
                      <w:kern w:val="0"/>
                      <w:sz w:val="18"/>
                      <w:szCs w:val="18"/>
                      <w:lang w:bidi="ar"/>
                    </w:rPr>
                    <w:t>t/a</w:t>
                  </w:r>
                </w:p>
              </w:tc>
            </w:tr>
            <w:tr w14:paraId="2C660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955" w:type="dxa"/>
                  <w:vMerge w:val="restart"/>
                  <w:noWrap w:val="0"/>
                  <w:vAlign w:val="center"/>
                </w:tcPr>
                <w:p w14:paraId="1028B4F6">
                  <w:pPr>
                    <w:widowControl/>
                    <w:adjustRightInd w:val="0"/>
                    <w:snapToGrid w:val="0"/>
                    <w:jc w:val="center"/>
                    <w:textAlignment w:val="center"/>
                    <w:rPr>
                      <w:color w:val="000000"/>
                      <w:sz w:val="18"/>
                      <w:szCs w:val="18"/>
                    </w:rPr>
                  </w:pPr>
                  <w:r>
                    <w:rPr>
                      <w:color w:val="000000"/>
                      <w:kern w:val="0"/>
                      <w:sz w:val="18"/>
                      <w:szCs w:val="18"/>
                      <w:lang w:bidi="ar"/>
                    </w:rPr>
                    <w:t>PVC电缆料生产线</w:t>
                  </w:r>
                </w:p>
              </w:tc>
              <w:tc>
                <w:tcPr>
                  <w:tcW w:w="1006" w:type="dxa"/>
                  <w:noWrap w:val="0"/>
                  <w:vAlign w:val="center"/>
                </w:tcPr>
                <w:p w14:paraId="02E00ADA">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颗粒物</w:t>
                  </w:r>
                </w:p>
              </w:tc>
              <w:tc>
                <w:tcPr>
                  <w:tcW w:w="722" w:type="dxa"/>
                  <w:noWrap w:val="0"/>
                  <w:vAlign w:val="center"/>
                </w:tcPr>
                <w:p w14:paraId="6789B351">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2.78</w:t>
                  </w:r>
                </w:p>
              </w:tc>
              <w:tc>
                <w:tcPr>
                  <w:tcW w:w="682" w:type="dxa"/>
                  <w:noWrap w:val="0"/>
                  <w:vAlign w:val="center"/>
                </w:tcPr>
                <w:p w14:paraId="0D397D5D">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1.158</w:t>
                  </w:r>
                </w:p>
              </w:tc>
              <w:tc>
                <w:tcPr>
                  <w:tcW w:w="586" w:type="dxa"/>
                  <w:vMerge w:val="restart"/>
                  <w:noWrap w:val="0"/>
                  <w:vAlign w:val="center"/>
                </w:tcPr>
                <w:p w14:paraId="19B66FFF">
                  <w:pPr>
                    <w:widowControl/>
                    <w:adjustRightInd w:val="0"/>
                    <w:snapToGrid w:val="0"/>
                    <w:jc w:val="center"/>
                    <w:textAlignment w:val="center"/>
                    <w:rPr>
                      <w:color w:val="000000"/>
                      <w:sz w:val="18"/>
                      <w:szCs w:val="18"/>
                    </w:rPr>
                  </w:pPr>
                  <w:r>
                    <w:rPr>
                      <w:color w:val="000000"/>
                      <w:kern w:val="0"/>
                      <w:sz w:val="18"/>
                      <w:szCs w:val="18"/>
                      <w:lang w:bidi="ar"/>
                    </w:rPr>
                    <w:t>85%</w:t>
                  </w:r>
                </w:p>
              </w:tc>
              <w:tc>
                <w:tcPr>
                  <w:tcW w:w="1105" w:type="dxa"/>
                  <w:vMerge w:val="restart"/>
                  <w:noWrap w:val="0"/>
                  <w:vAlign w:val="center"/>
                </w:tcPr>
                <w:p w14:paraId="1004360E">
                  <w:pPr>
                    <w:widowControl/>
                    <w:adjustRightInd w:val="0"/>
                    <w:snapToGrid w:val="0"/>
                    <w:jc w:val="center"/>
                    <w:textAlignment w:val="center"/>
                    <w:rPr>
                      <w:color w:val="000000"/>
                      <w:sz w:val="18"/>
                      <w:szCs w:val="18"/>
                    </w:rPr>
                  </w:pPr>
                  <w:r>
                    <w:rPr>
                      <w:color w:val="000000"/>
                      <w:sz w:val="18"/>
                      <w:szCs w:val="18"/>
                    </w:rPr>
                    <w:t>静电除油器+酸雾洗涤塔+除湿器+</w:t>
                  </w:r>
                  <w:r>
                    <w:rPr>
                      <w:rFonts w:hint="eastAsia"/>
                      <w:color w:val="000000"/>
                      <w:sz w:val="18"/>
                      <w:szCs w:val="18"/>
                    </w:rPr>
                    <w:t>UV光氧催化</w:t>
                  </w:r>
                  <w:r>
                    <w:rPr>
                      <w:color w:val="000000"/>
                      <w:sz w:val="18"/>
                      <w:szCs w:val="18"/>
                    </w:rPr>
                    <w:t>+</w:t>
                  </w:r>
                  <w:r>
                    <w:rPr>
                      <w:rFonts w:hint="eastAsia"/>
                      <w:color w:val="000000"/>
                      <w:sz w:val="18"/>
                      <w:szCs w:val="18"/>
                    </w:rPr>
                    <w:t>三级活性炭+DA001</w:t>
                  </w:r>
                </w:p>
              </w:tc>
              <w:tc>
                <w:tcPr>
                  <w:tcW w:w="681" w:type="dxa"/>
                  <w:vMerge w:val="restart"/>
                  <w:noWrap w:val="0"/>
                  <w:vAlign w:val="center"/>
                </w:tcPr>
                <w:p w14:paraId="70C41F4E">
                  <w:pPr>
                    <w:widowControl/>
                    <w:adjustRightInd w:val="0"/>
                    <w:snapToGrid w:val="0"/>
                    <w:jc w:val="center"/>
                    <w:textAlignment w:val="center"/>
                    <w:rPr>
                      <w:color w:val="000000"/>
                      <w:sz w:val="18"/>
                      <w:szCs w:val="18"/>
                    </w:rPr>
                  </w:pPr>
                  <w:r>
                    <w:rPr>
                      <w:rFonts w:hint="eastAsia"/>
                      <w:color w:val="000000"/>
                      <w:sz w:val="18"/>
                      <w:szCs w:val="18"/>
                    </w:rPr>
                    <w:t>11400</w:t>
                  </w:r>
                </w:p>
              </w:tc>
              <w:tc>
                <w:tcPr>
                  <w:tcW w:w="559" w:type="dxa"/>
                  <w:noWrap w:val="0"/>
                  <w:vAlign w:val="center"/>
                </w:tcPr>
                <w:p w14:paraId="195ECB2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99%</w:t>
                  </w:r>
                </w:p>
              </w:tc>
              <w:tc>
                <w:tcPr>
                  <w:tcW w:w="641" w:type="dxa"/>
                  <w:noWrap w:val="0"/>
                  <w:vAlign w:val="center"/>
                </w:tcPr>
                <w:p w14:paraId="57CFA4A4">
                  <w:pPr>
                    <w:widowControl/>
                    <w:adjustRightInd w:val="0"/>
                    <w:snapToGrid w:val="0"/>
                    <w:jc w:val="center"/>
                    <w:textAlignment w:val="center"/>
                    <w:rPr>
                      <w:color w:val="000000"/>
                      <w:sz w:val="18"/>
                      <w:szCs w:val="18"/>
                    </w:rPr>
                  </w:pPr>
                  <w:r>
                    <w:rPr>
                      <w:rFonts w:hint="eastAsia"/>
                      <w:color w:val="000000"/>
                      <w:sz w:val="18"/>
                      <w:szCs w:val="18"/>
                    </w:rPr>
                    <w:t xml:space="preserve">0.9 </w:t>
                  </w:r>
                </w:p>
              </w:tc>
              <w:tc>
                <w:tcPr>
                  <w:tcW w:w="628" w:type="dxa"/>
                  <w:noWrap w:val="0"/>
                  <w:vAlign w:val="center"/>
                </w:tcPr>
                <w:p w14:paraId="1B52B532">
                  <w:pPr>
                    <w:widowControl/>
                    <w:adjustRightInd w:val="0"/>
                    <w:snapToGrid w:val="0"/>
                    <w:jc w:val="center"/>
                    <w:textAlignment w:val="center"/>
                    <w:rPr>
                      <w:color w:val="000000"/>
                      <w:sz w:val="18"/>
                      <w:szCs w:val="18"/>
                    </w:rPr>
                  </w:pPr>
                  <w:r>
                    <w:rPr>
                      <w:rFonts w:hint="eastAsia"/>
                      <w:color w:val="000000"/>
                      <w:sz w:val="18"/>
                      <w:szCs w:val="18"/>
                    </w:rPr>
                    <w:t xml:space="preserve">0.01 </w:t>
                  </w:r>
                </w:p>
              </w:tc>
              <w:tc>
                <w:tcPr>
                  <w:tcW w:w="750" w:type="dxa"/>
                  <w:noWrap w:val="0"/>
                  <w:vAlign w:val="center"/>
                </w:tcPr>
                <w:p w14:paraId="12AB9C5B">
                  <w:pPr>
                    <w:widowControl/>
                    <w:adjustRightInd w:val="0"/>
                    <w:snapToGrid w:val="0"/>
                    <w:jc w:val="center"/>
                    <w:textAlignment w:val="center"/>
                    <w:rPr>
                      <w:rFonts w:hint="eastAsia"/>
                      <w:color w:val="000000"/>
                      <w:sz w:val="18"/>
                      <w:szCs w:val="18"/>
                    </w:rPr>
                  </w:pPr>
                  <w:r>
                    <w:rPr>
                      <w:rFonts w:hint="eastAsia"/>
                      <w:color w:val="000000"/>
                      <w:sz w:val="18"/>
                      <w:szCs w:val="18"/>
                    </w:rPr>
                    <w:t xml:space="preserve">0.024 </w:t>
                  </w:r>
                </w:p>
              </w:tc>
            </w:tr>
            <w:tr w14:paraId="1B1110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955" w:type="dxa"/>
                  <w:vMerge w:val="continue"/>
                  <w:noWrap w:val="0"/>
                  <w:vAlign w:val="center"/>
                </w:tcPr>
                <w:p w14:paraId="41043B21">
                  <w:pPr>
                    <w:widowControl/>
                    <w:adjustRightInd w:val="0"/>
                    <w:snapToGrid w:val="0"/>
                    <w:jc w:val="center"/>
                    <w:textAlignment w:val="center"/>
                    <w:rPr>
                      <w:color w:val="000000"/>
                      <w:sz w:val="18"/>
                      <w:szCs w:val="18"/>
                    </w:rPr>
                  </w:pPr>
                </w:p>
              </w:tc>
              <w:tc>
                <w:tcPr>
                  <w:tcW w:w="1006" w:type="dxa"/>
                  <w:noWrap w:val="0"/>
                  <w:vAlign w:val="center"/>
                </w:tcPr>
                <w:p w14:paraId="15AA501C">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722" w:type="dxa"/>
                  <w:noWrap w:val="0"/>
                  <w:vAlign w:val="center"/>
                </w:tcPr>
                <w:p w14:paraId="590F273B">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6.275 </w:t>
                  </w:r>
                </w:p>
              </w:tc>
              <w:tc>
                <w:tcPr>
                  <w:tcW w:w="682" w:type="dxa"/>
                  <w:noWrap w:val="0"/>
                  <w:vAlign w:val="center"/>
                </w:tcPr>
                <w:p w14:paraId="49F8263F">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2.614 </w:t>
                  </w:r>
                </w:p>
              </w:tc>
              <w:tc>
                <w:tcPr>
                  <w:tcW w:w="586" w:type="dxa"/>
                  <w:vMerge w:val="continue"/>
                  <w:noWrap w:val="0"/>
                  <w:vAlign w:val="center"/>
                </w:tcPr>
                <w:p w14:paraId="3C2C82CE">
                  <w:pPr>
                    <w:widowControl/>
                    <w:adjustRightInd w:val="0"/>
                    <w:snapToGrid w:val="0"/>
                    <w:jc w:val="center"/>
                    <w:textAlignment w:val="center"/>
                    <w:rPr>
                      <w:color w:val="000000"/>
                      <w:sz w:val="18"/>
                      <w:szCs w:val="18"/>
                    </w:rPr>
                  </w:pPr>
                </w:p>
              </w:tc>
              <w:tc>
                <w:tcPr>
                  <w:tcW w:w="1105" w:type="dxa"/>
                  <w:vMerge w:val="continue"/>
                  <w:noWrap w:val="0"/>
                  <w:vAlign w:val="center"/>
                </w:tcPr>
                <w:p w14:paraId="0903606E">
                  <w:pPr>
                    <w:widowControl/>
                    <w:adjustRightInd w:val="0"/>
                    <w:snapToGrid w:val="0"/>
                    <w:jc w:val="center"/>
                    <w:textAlignment w:val="center"/>
                    <w:rPr>
                      <w:color w:val="000000"/>
                      <w:sz w:val="18"/>
                      <w:szCs w:val="18"/>
                    </w:rPr>
                  </w:pPr>
                </w:p>
              </w:tc>
              <w:tc>
                <w:tcPr>
                  <w:tcW w:w="681" w:type="dxa"/>
                  <w:vMerge w:val="continue"/>
                  <w:noWrap w:val="0"/>
                  <w:vAlign w:val="center"/>
                </w:tcPr>
                <w:p w14:paraId="3F190B75">
                  <w:pPr>
                    <w:widowControl/>
                    <w:adjustRightInd w:val="0"/>
                    <w:snapToGrid w:val="0"/>
                    <w:jc w:val="center"/>
                    <w:textAlignment w:val="center"/>
                    <w:rPr>
                      <w:color w:val="000000"/>
                      <w:sz w:val="18"/>
                      <w:szCs w:val="18"/>
                    </w:rPr>
                  </w:pPr>
                </w:p>
              </w:tc>
              <w:tc>
                <w:tcPr>
                  <w:tcW w:w="559" w:type="dxa"/>
                  <w:noWrap w:val="0"/>
                  <w:vAlign w:val="center"/>
                </w:tcPr>
                <w:p w14:paraId="5B33161B">
                  <w:pPr>
                    <w:widowControl/>
                    <w:adjustRightInd w:val="0"/>
                    <w:snapToGrid w:val="0"/>
                    <w:jc w:val="center"/>
                    <w:textAlignment w:val="center"/>
                    <w:rPr>
                      <w:rFonts w:hint="eastAsia"/>
                      <w:color w:val="000000"/>
                      <w:sz w:val="18"/>
                      <w:szCs w:val="18"/>
                    </w:rPr>
                  </w:pPr>
                  <w:r>
                    <w:rPr>
                      <w:rFonts w:hint="eastAsia"/>
                      <w:color w:val="000000"/>
                      <w:sz w:val="18"/>
                      <w:szCs w:val="18"/>
                    </w:rPr>
                    <w:t>80%</w:t>
                  </w:r>
                </w:p>
              </w:tc>
              <w:tc>
                <w:tcPr>
                  <w:tcW w:w="641" w:type="dxa"/>
                  <w:noWrap w:val="0"/>
                  <w:vAlign w:val="center"/>
                </w:tcPr>
                <w:p w14:paraId="262561A3">
                  <w:pPr>
                    <w:widowControl/>
                    <w:adjustRightInd w:val="0"/>
                    <w:snapToGrid w:val="0"/>
                    <w:jc w:val="center"/>
                    <w:textAlignment w:val="center"/>
                    <w:rPr>
                      <w:color w:val="000000"/>
                      <w:sz w:val="18"/>
                      <w:szCs w:val="18"/>
                    </w:rPr>
                  </w:pPr>
                  <w:r>
                    <w:rPr>
                      <w:rFonts w:hint="eastAsia"/>
                      <w:color w:val="000000"/>
                      <w:sz w:val="18"/>
                      <w:szCs w:val="18"/>
                    </w:rPr>
                    <w:t xml:space="preserve">39.0 </w:t>
                  </w:r>
                </w:p>
              </w:tc>
              <w:tc>
                <w:tcPr>
                  <w:tcW w:w="628" w:type="dxa"/>
                  <w:noWrap w:val="0"/>
                  <w:vAlign w:val="center"/>
                </w:tcPr>
                <w:p w14:paraId="62A01A62">
                  <w:pPr>
                    <w:widowControl/>
                    <w:adjustRightInd w:val="0"/>
                    <w:snapToGrid w:val="0"/>
                    <w:jc w:val="center"/>
                    <w:textAlignment w:val="center"/>
                    <w:rPr>
                      <w:color w:val="000000"/>
                      <w:sz w:val="18"/>
                      <w:szCs w:val="18"/>
                    </w:rPr>
                  </w:pPr>
                  <w:r>
                    <w:rPr>
                      <w:rFonts w:hint="eastAsia"/>
                      <w:color w:val="000000"/>
                      <w:sz w:val="18"/>
                      <w:szCs w:val="18"/>
                    </w:rPr>
                    <w:t xml:space="preserve">0.44 </w:t>
                  </w:r>
                </w:p>
              </w:tc>
              <w:tc>
                <w:tcPr>
                  <w:tcW w:w="750" w:type="dxa"/>
                  <w:noWrap w:val="0"/>
                  <w:vAlign w:val="center"/>
                </w:tcPr>
                <w:p w14:paraId="17519F2D">
                  <w:pPr>
                    <w:widowControl/>
                    <w:adjustRightInd w:val="0"/>
                    <w:snapToGrid w:val="0"/>
                    <w:jc w:val="center"/>
                    <w:textAlignment w:val="center"/>
                    <w:rPr>
                      <w:color w:val="000000"/>
                      <w:sz w:val="18"/>
                      <w:szCs w:val="18"/>
                    </w:rPr>
                  </w:pPr>
                  <w:r>
                    <w:rPr>
                      <w:rFonts w:hint="eastAsia"/>
                      <w:color w:val="000000"/>
                      <w:sz w:val="18"/>
                      <w:szCs w:val="18"/>
                    </w:rPr>
                    <w:t xml:space="preserve">0.533 </w:t>
                  </w:r>
                </w:p>
              </w:tc>
            </w:tr>
            <w:tr w14:paraId="453263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955" w:type="dxa"/>
                  <w:vMerge w:val="continue"/>
                  <w:noWrap w:val="0"/>
                  <w:vAlign w:val="center"/>
                </w:tcPr>
                <w:p w14:paraId="1BA0CCBE">
                  <w:pPr>
                    <w:widowControl/>
                    <w:adjustRightInd w:val="0"/>
                    <w:snapToGrid w:val="0"/>
                    <w:jc w:val="center"/>
                    <w:rPr>
                      <w:color w:val="000000"/>
                      <w:sz w:val="18"/>
                      <w:szCs w:val="18"/>
                    </w:rPr>
                  </w:pPr>
                </w:p>
              </w:tc>
              <w:tc>
                <w:tcPr>
                  <w:tcW w:w="1006" w:type="dxa"/>
                  <w:noWrap w:val="0"/>
                  <w:vAlign w:val="center"/>
                </w:tcPr>
                <w:p w14:paraId="06FF1E1D">
                  <w:pPr>
                    <w:widowControl/>
                    <w:adjustRightInd w:val="0"/>
                    <w:snapToGrid w:val="0"/>
                    <w:jc w:val="center"/>
                    <w:textAlignment w:val="center"/>
                    <w:rPr>
                      <w:color w:val="000000"/>
                      <w:sz w:val="18"/>
                      <w:szCs w:val="18"/>
                    </w:rPr>
                  </w:pPr>
                  <w:r>
                    <w:rPr>
                      <w:color w:val="000000"/>
                      <w:kern w:val="0"/>
                      <w:sz w:val="18"/>
                      <w:szCs w:val="18"/>
                      <w:lang w:bidi="ar"/>
                    </w:rPr>
                    <w:t>氯化氢</w:t>
                  </w:r>
                </w:p>
              </w:tc>
              <w:tc>
                <w:tcPr>
                  <w:tcW w:w="722" w:type="dxa"/>
                  <w:noWrap w:val="0"/>
                  <w:vAlign w:val="center"/>
                </w:tcPr>
                <w:p w14:paraId="6B9C34AC">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0.058 </w:t>
                  </w:r>
                </w:p>
              </w:tc>
              <w:tc>
                <w:tcPr>
                  <w:tcW w:w="682" w:type="dxa"/>
                  <w:noWrap w:val="0"/>
                  <w:vAlign w:val="center"/>
                </w:tcPr>
                <w:p w14:paraId="451039B8">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0.024 </w:t>
                  </w:r>
                </w:p>
              </w:tc>
              <w:tc>
                <w:tcPr>
                  <w:tcW w:w="586" w:type="dxa"/>
                  <w:vMerge w:val="continue"/>
                  <w:noWrap w:val="0"/>
                  <w:vAlign w:val="center"/>
                </w:tcPr>
                <w:p w14:paraId="1771BC7B">
                  <w:pPr>
                    <w:widowControl/>
                    <w:adjustRightInd w:val="0"/>
                    <w:snapToGrid w:val="0"/>
                    <w:jc w:val="center"/>
                    <w:rPr>
                      <w:color w:val="000000"/>
                      <w:sz w:val="18"/>
                      <w:szCs w:val="18"/>
                    </w:rPr>
                  </w:pPr>
                </w:p>
              </w:tc>
              <w:tc>
                <w:tcPr>
                  <w:tcW w:w="1105" w:type="dxa"/>
                  <w:vMerge w:val="continue"/>
                  <w:noWrap w:val="0"/>
                  <w:vAlign w:val="center"/>
                </w:tcPr>
                <w:p w14:paraId="4A6201FD">
                  <w:pPr>
                    <w:widowControl/>
                    <w:adjustRightInd w:val="0"/>
                    <w:snapToGrid w:val="0"/>
                    <w:jc w:val="center"/>
                    <w:rPr>
                      <w:color w:val="000000"/>
                      <w:sz w:val="18"/>
                      <w:szCs w:val="18"/>
                    </w:rPr>
                  </w:pPr>
                </w:p>
              </w:tc>
              <w:tc>
                <w:tcPr>
                  <w:tcW w:w="681" w:type="dxa"/>
                  <w:vMerge w:val="continue"/>
                  <w:noWrap w:val="0"/>
                  <w:vAlign w:val="center"/>
                </w:tcPr>
                <w:p w14:paraId="160934FF">
                  <w:pPr>
                    <w:widowControl/>
                    <w:adjustRightInd w:val="0"/>
                    <w:snapToGrid w:val="0"/>
                    <w:jc w:val="center"/>
                    <w:rPr>
                      <w:color w:val="000000"/>
                      <w:sz w:val="18"/>
                      <w:szCs w:val="18"/>
                    </w:rPr>
                  </w:pPr>
                </w:p>
              </w:tc>
              <w:tc>
                <w:tcPr>
                  <w:tcW w:w="559" w:type="dxa"/>
                  <w:noWrap w:val="0"/>
                  <w:vAlign w:val="center"/>
                </w:tcPr>
                <w:p w14:paraId="62EF662F">
                  <w:pPr>
                    <w:widowControl/>
                    <w:adjustRightInd w:val="0"/>
                    <w:snapToGrid w:val="0"/>
                    <w:jc w:val="center"/>
                    <w:textAlignment w:val="center"/>
                    <w:rPr>
                      <w:color w:val="000000"/>
                      <w:sz w:val="18"/>
                      <w:szCs w:val="18"/>
                    </w:rPr>
                  </w:pPr>
                  <w:r>
                    <w:rPr>
                      <w:rFonts w:hint="eastAsia"/>
                      <w:color w:val="000000"/>
                      <w:sz w:val="18"/>
                      <w:szCs w:val="18"/>
                    </w:rPr>
                    <w:t>50%</w:t>
                  </w:r>
                </w:p>
              </w:tc>
              <w:tc>
                <w:tcPr>
                  <w:tcW w:w="641" w:type="dxa"/>
                  <w:noWrap w:val="0"/>
                  <w:vAlign w:val="center"/>
                </w:tcPr>
                <w:p w14:paraId="29F1AEA5">
                  <w:pPr>
                    <w:widowControl/>
                    <w:adjustRightInd w:val="0"/>
                    <w:snapToGrid w:val="0"/>
                    <w:jc w:val="center"/>
                    <w:textAlignment w:val="center"/>
                    <w:rPr>
                      <w:color w:val="000000"/>
                      <w:sz w:val="18"/>
                      <w:szCs w:val="18"/>
                    </w:rPr>
                  </w:pPr>
                  <w:r>
                    <w:rPr>
                      <w:rFonts w:hint="eastAsia"/>
                      <w:color w:val="000000"/>
                      <w:sz w:val="18"/>
                      <w:szCs w:val="18"/>
                    </w:rPr>
                    <w:t xml:space="preserve">0.9 </w:t>
                  </w:r>
                </w:p>
              </w:tc>
              <w:tc>
                <w:tcPr>
                  <w:tcW w:w="628" w:type="dxa"/>
                  <w:noWrap w:val="0"/>
                  <w:vAlign w:val="center"/>
                </w:tcPr>
                <w:p w14:paraId="48620AA6">
                  <w:pPr>
                    <w:widowControl/>
                    <w:adjustRightInd w:val="0"/>
                    <w:snapToGrid w:val="0"/>
                    <w:jc w:val="center"/>
                    <w:textAlignment w:val="center"/>
                    <w:rPr>
                      <w:color w:val="000000"/>
                      <w:sz w:val="18"/>
                      <w:szCs w:val="18"/>
                    </w:rPr>
                  </w:pPr>
                  <w:r>
                    <w:rPr>
                      <w:rFonts w:hint="eastAsia"/>
                      <w:color w:val="000000"/>
                      <w:sz w:val="18"/>
                      <w:szCs w:val="18"/>
                    </w:rPr>
                    <w:t xml:space="preserve">0.01 </w:t>
                  </w:r>
                </w:p>
              </w:tc>
              <w:tc>
                <w:tcPr>
                  <w:tcW w:w="750" w:type="dxa"/>
                  <w:noWrap w:val="0"/>
                  <w:vAlign w:val="center"/>
                </w:tcPr>
                <w:p w14:paraId="33522344">
                  <w:pPr>
                    <w:widowControl/>
                    <w:adjustRightInd w:val="0"/>
                    <w:snapToGrid w:val="0"/>
                    <w:jc w:val="center"/>
                    <w:textAlignment w:val="center"/>
                    <w:rPr>
                      <w:color w:val="000000"/>
                      <w:sz w:val="18"/>
                      <w:szCs w:val="18"/>
                    </w:rPr>
                  </w:pPr>
                  <w:r>
                    <w:rPr>
                      <w:rFonts w:hint="eastAsia"/>
                      <w:color w:val="000000"/>
                      <w:sz w:val="18"/>
                      <w:szCs w:val="18"/>
                    </w:rPr>
                    <w:t xml:space="preserve">0.012 </w:t>
                  </w:r>
                </w:p>
              </w:tc>
            </w:tr>
            <w:tr w14:paraId="2FB09D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955" w:type="dxa"/>
                  <w:vMerge w:val="continue"/>
                  <w:noWrap w:val="0"/>
                  <w:vAlign w:val="center"/>
                </w:tcPr>
                <w:p w14:paraId="0D7B9233">
                  <w:pPr>
                    <w:widowControl/>
                    <w:adjustRightInd w:val="0"/>
                    <w:snapToGrid w:val="0"/>
                    <w:jc w:val="center"/>
                    <w:rPr>
                      <w:color w:val="000000"/>
                      <w:sz w:val="18"/>
                      <w:szCs w:val="18"/>
                    </w:rPr>
                  </w:pPr>
                </w:p>
              </w:tc>
              <w:tc>
                <w:tcPr>
                  <w:tcW w:w="1006" w:type="dxa"/>
                  <w:noWrap w:val="0"/>
                  <w:vAlign w:val="center"/>
                </w:tcPr>
                <w:p w14:paraId="0142840A">
                  <w:pPr>
                    <w:widowControl/>
                    <w:adjustRightInd w:val="0"/>
                    <w:snapToGrid w:val="0"/>
                    <w:jc w:val="center"/>
                    <w:textAlignment w:val="center"/>
                    <w:rPr>
                      <w:color w:val="000000"/>
                      <w:sz w:val="18"/>
                      <w:szCs w:val="18"/>
                    </w:rPr>
                  </w:pPr>
                  <w:r>
                    <w:rPr>
                      <w:color w:val="000000"/>
                      <w:kern w:val="0"/>
                      <w:sz w:val="18"/>
                      <w:szCs w:val="18"/>
                      <w:lang w:bidi="ar"/>
                    </w:rPr>
                    <w:t>氯乙烯</w:t>
                  </w:r>
                </w:p>
              </w:tc>
              <w:tc>
                <w:tcPr>
                  <w:tcW w:w="722" w:type="dxa"/>
                  <w:noWrap w:val="0"/>
                  <w:vAlign w:val="center"/>
                </w:tcPr>
                <w:p w14:paraId="0BB22BBF">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0.104 </w:t>
                  </w:r>
                </w:p>
              </w:tc>
              <w:tc>
                <w:tcPr>
                  <w:tcW w:w="682" w:type="dxa"/>
                  <w:noWrap w:val="0"/>
                  <w:vAlign w:val="center"/>
                </w:tcPr>
                <w:p w14:paraId="68C48A64">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0.043 </w:t>
                  </w:r>
                </w:p>
              </w:tc>
              <w:tc>
                <w:tcPr>
                  <w:tcW w:w="586" w:type="dxa"/>
                  <w:vMerge w:val="continue"/>
                  <w:noWrap w:val="0"/>
                  <w:vAlign w:val="center"/>
                </w:tcPr>
                <w:p w14:paraId="2B230290">
                  <w:pPr>
                    <w:widowControl/>
                    <w:adjustRightInd w:val="0"/>
                    <w:snapToGrid w:val="0"/>
                    <w:jc w:val="center"/>
                    <w:rPr>
                      <w:color w:val="000000"/>
                      <w:sz w:val="18"/>
                      <w:szCs w:val="18"/>
                    </w:rPr>
                  </w:pPr>
                </w:p>
              </w:tc>
              <w:tc>
                <w:tcPr>
                  <w:tcW w:w="1105" w:type="dxa"/>
                  <w:vMerge w:val="continue"/>
                  <w:noWrap w:val="0"/>
                  <w:vAlign w:val="center"/>
                </w:tcPr>
                <w:p w14:paraId="390DD16E">
                  <w:pPr>
                    <w:widowControl/>
                    <w:adjustRightInd w:val="0"/>
                    <w:snapToGrid w:val="0"/>
                    <w:jc w:val="center"/>
                    <w:rPr>
                      <w:color w:val="000000"/>
                      <w:sz w:val="18"/>
                      <w:szCs w:val="18"/>
                    </w:rPr>
                  </w:pPr>
                </w:p>
              </w:tc>
              <w:tc>
                <w:tcPr>
                  <w:tcW w:w="681" w:type="dxa"/>
                  <w:vMerge w:val="continue"/>
                  <w:noWrap w:val="0"/>
                  <w:vAlign w:val="center"/>
                </w:tcPr>
                <w:p w14:paraId="281C230F">
                  <w:pPr>
                    <w:widowControl/>
                    <w:adjustRightInd w:val="0"/>
                    <w:snapToGrid w:val="0"/>
                    <w:jc w:val="center"/>
                    <w:rPr>
                      <w:color w:val="000000"/>
                      <w:sz w:val="18"/>
                      <w:szCs w:val="18"/>
                    </w:rPr>
                  </w:pPr>
                </w:p>
              </w:tc>
              <w:tc>
                <w:tcPr>
                  <w:tcW w:w="559" w:type="dxa"/>
                  <w:noWrap w:val="0"/>
                  <w:vAlign w:val="center"/>
                </w:tcPr>
                <w:p w14:paraId="70780D1F">
                  <w:pPr>
                    <w:widowControl/>
                    <w:adjustRightInd w:val="0"/>
                    <w:snapToGrid w:val="0"/>
                    <w:jc w:val="center"/>
                    <w:textAlignment w:val="center"/>
                    <w:rPr>
                      <w:color w:val="000000"/>
                      <w:sz w:val="18"/>
                      <w:szCs w:val="18"/>
                    </w:rPr>
                  </w:pPr>
                  <w:r>
                    <w:rPr>
                      <w:rFonts w:hint="eastAsia"/>
                      <w:color w:val="000000"/>
                      <w:sz w:val="18"/>
                      <w:szCs w:val="18"/>
                    </w:rPr>
                    <w:t>80%</w:t>
                  </w:r>
                </w:p>
              </w:tc>
              <w:tc>
                <w:tcPr>
                  <w:tcW w:w="641" w:type="dxa"/>
                  <w:noWrap w:val="0"/>
                  <w:vAlign w:val="center"/>
                </w:tcPr>
                <w:p w14:paraId="2E913199">
                  <w:pPr>
                    <w:widowControl/>
                    <w:adjustRightInd w:val="0"/>
                    <w:snapToGrid w:val="0"/>
                    <w:jc w:val="center"/>
                    <w:textAlignment w:val="center"/>
                    <w:rPr>
                      <w:color w:val="000000"/>
                      <w:sz w:val="18"/>
                      <w:szCs w:val="18"/>
                    </w:rPr>
                  </w:pPr>
                  <w:r>
                    <w:rPr>
                      <w:rFonts w:hint="eastAsia"/>
                      <w:color w:val="000000"/>
                      <w:sz w:val="18"/>
                      <w:szCs w:val="18"/>
                    </w:rPr>
                    <w:t xml:space="preserve">0.6 </w:t>
                  </w:r>
                </w:p>
              </w:tc>
              <w:tc>
                <w:tcPr>
                  <w:tcW w:w="628" w:type="dxa"/>
                  <w:noWrap w:val="0"/>
                  <w:vAlign w:val="center"/>
                </w:tcPr>
                <w:p w14:paraId="6C3BB2D4">
                  <w:pPr>
                    <w:widowControl/>
                    <w:adjustRightInd w:val="0"/>
                    <w:snapToGrid w:val="0"/>
                    <w:jc w:val="center"/>
                    <w:textAlignment w:val="center"/>
                    <w:rPr>
                      <w:color w:val="000000"/>
                      <w:sz w:val="18"/>
                      <w:szCs w:val="18"/>
                    </w:rPr>
                  </w:pPr>
                  <w:r>
                    <w:rPr>
                      <w:rFonts w:hint="eastAsia"/>
                      <w:color w:val="000000"/>
                      <w:sz w:val="18"/>
                      <w:szCs w:val="18"/>
                    </w:rPr>
                    <w:t xml:space="preserve">0.01 </w:t>
                  </w:r>
                </w:p>
              </w:tc>
              <w:tc>
                <w:tcPr>
                  <w:tcW w:w="750" w:type="dxa"/>
                  <w:noWrap w:val="0"/>
                  <w:vAlign w:val="center"/>
                </w:tcPr>
                <w:p w14:paraId="032AECE8">
                  <w:pPr>
                    <w:widowControl/>
                    <w:adjustRightInd w:val="0"/>
                    <w:snapToGrid w:val="0"/>
                    <w:jc w:val="center"/>
                    <w:textAlignment w:val="center"/>
                    <w:rPr>
                      <w:color w:val="000000"/>
                      <w:sz w:val="18"/>
                      <w:szCs w:val="18"/>
                    </w:rPr>
                  </w:pPr>
                  <w:r>
                    <w:rPr>
                      <w:rFonts w:hint="eastAsia"/>
                      <w:color w:val="000000"/>
                      <w:sz w:val="18"/>
                      <w:szCs w:val="18"/>
                    </w:rPr>
                    <w:t xml:space="preserve">0.018 </w:t>
                  </w:r>
                </w:p>
              </w:tc>
            </w:tr>
            <w:tr w14:paraId="3397D4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5" w:hRule="atLeast"/>
              </w:trPr>
              <w:tc>
                <w:tcPr>
                  <w:tcW w:w="955" w:type="dxa"/>
                  <w:noWrap/>
                  <w:vAlign w:val="center"/>
                </w:tcPr>
                <w:p w14:paraId="2768640E">
                  <w:pPr>
                    <w:widowControl/>
                    <w:adjustRightInd w:val="0"/>
                    <w:snapToGrid w:val="0"/>
                    <w:jc w:val="center"/>
                    <w:textAlignment w:val="center"/>
                    <w:rPr>
                      <w:color w:val="000000"/>
                      <w:sz w:val="18"/>
                      <w:szCs w:val="18"/>
                    </w:rPr>
                  </w:pPr>
                  <w:r>
                    <w:rPr>
                      <w:rFonts w:hint="eastAsia"/>
                      <w:color w:val="000000"/>
                      <w:kern w:val="0"/>
                      <w:sz w:val="18"/>
                      <w:szCs w:val="18"/>
                      <w:lang w:bidi="ar"/>
                    </w:rPr>
                    <w:t>低烟无卤电缆料</w:t>
                  </w:r>
                  <w:r>
                    <w:rPr>
                      <w:color w:val="000000"/>
                      <w:kern w:val="0"/>
                      <w:sz w:val="18"/>
                      <w:szCs w:val="18"/>
                      <w:lang w:bidi="ar"/>
                    </w:rPr>
                    <w:t>生产线</w:t>
                  </w:r>
                </w:p>
              </w:tc>
              <w:tc>
                <w:tcPr>
                  <w:tcW w:w="1006" w:type="dxa"/>
                  <w:noWrap w:val="0"/>
                  <w:vAlign w:val="center"/>
                </w:tcPr>
                <w:p w14:paraId="3463E3A4">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722" w:type="dxa"/>
                  <w:noWrap/>
                  <w:vAlign w:val="center"/>
                </w:tcPr>
                <w:p w14:paraId="36FA4AB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4.221 </w:t>
                  </w:r>
                </w:p>
              </w:tc>
              <w:tc>
                <w:tcPr>
                  <w:tcW w:w="682" w:type="dxa"/>
                  <w:noWrap/>
                  <w:vAlign w:val="center"/>
                </w:tcPr>
                <w:p w14:paraId="336974A4">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 xml:space="preserve">1.759 </w:t>
                  </w:r>
                </w:p>
              </w:tc>
              <w:tc>
                <w:tcPr>
                  <w:tcW w:w="586" w:type="dxa"/>
                  <w:noWrap/>
                  <w:vAlign w:val="center"/>
                </w:tcPr>
                <w:p w14:paraId="7F7EE4BE">
                  <w:pPr>
                    <w:widowControl/>
                    <w:adjustRightInd w:val="0"/>
                    <w:snapToGrid w:val="0"/>
                    <w:jc w:val="center"/>
                    <w:textAlignment w:val="center"/>
                    <w:rPr>
                      <w:color w:val="000000"/>
                      <w:sz w:val="18"/>
                      <w:szCs w:val="18"/>
                    </w:rPr>
                  </w:pPr>
                  <w:r>
                    <w:rPr>
                      <w:color w:val="000000"/>
                      <w:kern w:val="0"/>
                      <w:sz w:val="18"/>
                      <w:szCs w:val="18"/>
                      <w:lang w:bidi="ar"/>
                    </w:rPr>
                    <w:t>85%</w:t>
                  </w:r>
                </w:p>
              </w:tc>
              <w:tc>
                <w:tcPr>
                  <w:tcW w:w="1105" w:type="dxa"/>
                  <w:noWrap w:val="0"/>
                  <w:vAlign w:val="center"/>
                </w:tcPr>
                <w:p w14:paraId="2589E70F">
                  <w:pPr>
                    <w:widowControl/>
                    <w:adjustRightInd w:val="0"/>
                    <w:snapToGrid w:val="0"/>
                    <w:jc w:val="center"/>
                    <w:textAlignment w:val="center"/>
                    <w:rPr>
                      <w:rFonts w:hint="eastAsia"/>
                      <w:color w:val="000000"/>
                      <w:sz w:val="18"/>
                      <w:szCs w:val="18"/>
                    </w:rPr>
                  </w:pPr>
                  <w:r>
                    <w:rPr>
                      <w:rFonts w:hint="eastAsia"/>
                      <w:color w:val="000000"/>
                      <w:sz w:val="18"/>
                      <w:szCs w:val="18"/>
                    </w:rPr>
                    <w:t>UV光氧催化</w:t>
                  </w:r>
                  <w:r>
                    <w:rPr>
                      <w:color w:val="000000"/>
                      <w:sz w:val="18"/>
                      <w:szCs w:val="18"/>
                    </w:rPr>
                    <w:t>+</w:t>
                  </w:r>
                  <w:r>
                    <w:rPr>
                      <w:rFonts w:hint="eastAsia"/>
                      <w:color w:val="000000"/>
                      <w:sz w:val="18"/>
                      <w:szCs w:val="18"/>
                    </w:rPr>
                    <w:t>两级活性炭+DA003</w:t>
                  </w:r>
                </w:p>
              </w:tc>
              <w:tc>
                <w:tcPr>
                  <w:tcW w:w="681" w:type="dxa"/>
                  <w:noWrap/>
                  <w:vAlign w:val="center"/>
                </w:tcPr>
                <w:p w14:paraId="67C9DD7C">
                  <w:pPr>
                    <w:widowControl/>
                    <w:adjustRightInd w:val="0"/>
                    <w:snapToGrid w:val="0"/>
                    <w:jc w:val="center"/>
                    <w:textAlignment w:val="center"/>
                    <w:rPr>
                      <w:rFonts w:hint="eastAsia"/>
                      <w:color w:val="000000"/>
                      <w:sz w:val="18"/>
                      <w:szCs w:val="18"/>
                    </w:rPr>
                  </w:pPr>
                  <w:r>
                    <w:rPr>
                      <w:rFonts w:hint="eastAsia"/>
                      <w:color w:val="000000"/>
                      <w:sz w:val="18"/>
                      <w:szCs w:val="18"/>
                    </w:rPr>
                    <w:t>21600</w:t>
                  </w:r>
                </w:p>
              </w:tc>
              <w:tc>
                <w:tcPr>
                  <w:tcW w:w="559" w:type="dxa"/>
                  <w:noWrap/>
                  <w:vAlign w:val="center"/>
                </w:tcPr>
                <w:p w14:paraId="284389D1">
                  <w:pPr>
                    <w:widowControl/>
                    <w:adjustRightInd w:val="0"/>
                    <w:snapToGrid w:val="0"/>
                    <w:jc w:val="center"/>
                    <w:textAlignment w:val="center"/>
                    <w:rPr>
                      <w:rFonts w:hint="eastAsia"/>
                      <w:color w:val="000000"/>
                      <w:sz w:val="18"/>
                      <w:szCs w:val="18"/>
                    </w:rPr>
                  </w:pPr>
                  <w:r>
                    <w:rPr>
                      <w:color w:val="000000"/>
                      <w:kern w:val="0"/>
                      <w:sz w:val="18"/>
                      <w:szCs w:val="18"/>
                      <w:lang w:bidi="ar"/>
                    </w:rPr>
                    <w:t>7</w:t>
                  </w:r>
                  <w:r>
                    <w:rPr>
                      <w:rFonts w:hint="eastAsia"/>
                      <w:color w:val="000000"/>
                      <w:kern w:val="0"/>
                      <w:sz w:val="18"/>
                      <w:szCs w:val="18"/>
                      <w:lang w:bidi="ar"/>
                    </w:rPr>
                    <w:t>0</w:t>
                  </w:r>
                  <w:r>
                    <w:rPr>
                      <w:color w:val="000000"/>
                      <w:kern w:val="0"/>
                      <w:sz w:val="18"/>
                      <w:szCs w:val="18"/>
                      <w:lang w:bidi="ar"/>
                    </w:rPr>
                    <w:t>%</w:t>
                  </w:r>
                </w:p>
              </w:tc>
              <w:tc>
                <w:tcPr>
                  <w:tcW w:w="641" w:type="dxa"/>
                  <w:noWrap w:val="0"/>
                  <w:vAlign w:val="center"/>
                </w:tcPr>
                <w:p w14:paraId="19201816">
                  <w:pPr>
                    <w:widowControl/>
                    <w:adjustRightInd w:val="0"/>
                    <w:snapToGrid w:val="0"/>
                    <w:jc w:val="center"/>
                    <w:textAlignment w:val="center"/>
                    <w:rPr>
                      <w:color w:val="000000"/>
                      <w:sz w:val="18"/>
                      <w:szCs w:val="18"/>
                    </w:rPr>
                  </w:pPr>
                  <w:r>
                    <w:rPr>
                      <w:rFonts w:hint="eastAsia"/>
                      <w:color w:val="000000"/>
                      <w:sz w:val="18"/>
                      <w:szCs w:val="18"/>
                    </w:rPr>
                    <w:t xml:space="preserve">20.8 </w:t>
                  </w:r>
                </w:p>
              </w:tc>
              <w:tc>
                <w:tcPr>
                  <w:tcW w:w="628" w:type="dxa"/>
                  <w:noWrap w:val="0"/>
                  <w:vAlign w:val="center"/>
                </w:tcPr>
                <w:p w14:paraId="0945667B">
                  <w:pPr>
                    <w:widowControl/>
                    <w:adjustRightInd w:val="0"/>
                    <w:snapToGrid w:val="0"/>
                    <w:jc w:val="center"/>
                    <w:textAlignment w:val="center"/>
                    <w:rPr>
                      <w:color w:val="000000"/>
                      <w:sz w:val="18"/>
                      <w:szCs w:val="18"/>
                    </w:rPr>
                  </w:pPr>
                  <w:r>
                    <w:rPr>
                      <w:rFonts w:hint="eastAsia"/>
                      <w:color w:val="000000"/>
                      <w:sz w:val="18"/>
                      <w:szCs w:val="18"/>
                    </w:rPr>
                    <w:t xml:space="preserve">0.45 </w:t>
                  </w:r>
                </w:p>
              </w:tc>
              <w:tc>
                <w:tcPr>
                  <w:tcW w:w="750" w:type="dxa"/>
                  <w:noWrap w:val="0"/>
                  <w:vAlign w:val="center"/>
                </w:tcPr>
                <w:p w14:paraId="05B44F03">
                  <w:pPr>
                    <w:widowControl/>
                    <w:adjustRightInd w:val="0"/>
                    <w:snapToGrid w:val="0"/>
                    <w:jc w:val="center"/>
                    <w:textAlignment w:val="center"/>
                    <w:rPr>
                      <w:color w:val="000000"/>
                      <w:sz w:val="18"/>
                      <w:szCs w:val="18"/>
                    </w:rPr>
                  </w:pPr>
                  <w:r>
                    <w:rPr>
                      <w:rFonts w:hint="eastAsia"/>
                      <w:color w:val="000000"/>
                      <w:sz w:val="18"/>
                      <w:szCs w:val="18"/>
                    </w:rPr>
                    <w:t xml:space="preserve">0.538 </w:t>
                  </w:r>
                </w:p>
              </w:tc>
            </w:tr>
          </w:tbl>
          <w:p w14:paraId="04D92BBA">
            <w:pPr>
              <w:spacing w:line="360" w:lineRule="auto"/>
              <w:contextualSpacing/>
              <w:jc w:val="center"/>
              <w:rPr>
                <w:color w:val="000000"/>
              </w:rPr>
            </w:pPr>
            <w:r>
              <w:rPr>
                <w:rFonts w:hint="eastAsia"/>
                <w:b/>
                <w:bCs/>
                <w:color w:val="000000"/>
              </w:rPr>
              <w:t>表</w:t>
            </w:r>
            <w:r>
              <w:rPr>
                <w:b/>
                <w:bCs/>
                <w:color w:val="000000"/>
              </w:rPr>
              <w:t>4-</w:t>
            </w:r>
            <w:r>
              <w:rPr>
                <w:rFonts w:hint="eastAsia"/>
                <w:b/>
                <w:bCs/>
                <w:color w:val="000000"/>
              </w:rPr>
              <w:t>10</w:t>
            </w:r>
            <w:r>
              <w:rPr>
                <w:b/>
                <w:bCs/>
                <w:color w:val="000000"/>
              </w:rPr>
              <w:t xml:space="preserve"> </w:t>
            </w:r>
            <w:r>
              <w:rPr>
                <w:rFonts w:hint="eastAsia"/>
                <w:b/>
                <w:bCs/>
                <w:color w:val="000000"/>
              </w:rPr>
              <w:t xml:space="preserve"> 本项目有机废气达标情况表</w:t>
            </w:r>
          </w:p>
          <w:tbl>
            <w:tblPr>
              <w:tblStyle w:val="16"/>
              <w:tblW w:w="8440"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901"/>
              <w:gridCol w:w="1036"/>
              <w:gridCol w:w="1469"/>
              <w:gridCol w:w="1484"/>
              <w:gridCol w:w="1133"/>
              <w:gridCol w:w="1148"/>
              <w:gridCol w:w="1269"/>
            </w:tblGrid>
            <w:tr w14:paraId="710FBF8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74" w:hRule="atLeast"/>
              </w:trPr>
              <w:tc>
                <w:tcPr>
                  <w:tcW w:w="533" w:type="pct"/>
                  <w:noWrap/>
                  <w:vAlign w:val="center"/>
                </w:tcPr>
                <w:p w14:paraId="754845A7">
                  <w:pPr>
                    <w:widowControl/>
                    <w:adjustRightInd w:val="0"/>
                    <w:snapToGrid w:val="0"/>
                    <w:jc w:val="center"/>
                    <w:textAlignment w:val="center"/>
                    <w:rPr>
                      <w:color w:val="000000"/>
                      <w:sz w:val="18"/>
                      <w:szCs w:val="18"/>
                    </w:rPr>
                  </w:pPr>
                  <w:r>
                    <w:rPr>
                      <w:color w:val="000000"/>
                      <w:kern w:val="0"/>
                      <w:sz w:val="18"/>
                      <w:szCs w:val="18"/>
                      <w:lang w:bidi="ar"/>
                    </w:rPr>
                    <w:t>排气筒</w:t>
                  </w:r>
                </w:p>
              </w:tc>
              <w:tc>
                <w:tcPr>
                  <w:tcW w:w="613" w:type="pct"/>
                  <w:noWrap/>
                  <w:vAlign w:val="center"/>
                </w:tcPr>
                <w:p w14:paraId="32D19A05">
                  <w:pPr>
                    <w:widowControl/>
                    <w:adjustRightInd w:val="0"/>
                    <w:snapToGrid w:val="0"/>
                    <w:jc w:val="center"/>
                    <w:textAlignment w:val="center"/>
                    <w:rPr>
                      <w:color w:val="000000"/>
                      <w:sz w:val="18"/>
                      <w:szCs w:val="18"/>
                    </w:rPr>
                  </w:pPr>
                  <w:r>
                    <w:rPr>
                      <w:color w:val="000000"/>
                      <w:kern w:val="0"/>
                      <w:sz w:val="18"/>
                      <w:szCs w:val="18"/>
                      <w:lang w:bidi="ar"/>
                    </w:rPr>
                    <w:t>类别</w:t>
                  </w:r>
                </w:p>
              </w:tc>
              <w:tc>
                <w:tcPr>
                  <w:tcW w:w="870" w:type="pct"/>
                  <w:noWrap/>
                  <w:vAlign w:val="center"/>
                </w:tcPr>
                <w:p w14:paraId="783229F7">
                  <w:pPr>
                    <w:widowControl/>
                    <w:adjustRightInd w:val="0"/>
                    <w:snapToGrid w:val="0"/>
                    <w:jc w:val="center"/>
                    <w:textAlignment w:val="center"/>
                    <w:rPr>
                      <w:color w:val="000000"/>
                      <w:sz w:val="18"/>
                      <w:szCs w:val="18"/>
                    </w:rPr>
                  </w:pPr>
                  <w:r>
                    <w:rPr>
                      <w:color w:val="000000"/>
                      <w:kern w:val="0"/>
                      <w:sz w:val="18"/>
                      <w:szCs w:val="18"/>
                      <w:lang w:bidi="ar"/>
                    </w:rPr>
                    <w:t>污染物</w:t>
                  </w:r>
                </w:p>
              </w:tc>
              <w:tc>
                <w:tcPr>
                  <w:tcW w:w="879" w:type="pct"/>
                  <w:noWrap/>
                  <w:vAlign w:val="center"/>
                </w:tcPr>
                <w:p w14:paraId="4588624B">
                  <w:pPr>
                    <w:widowControl/>
                    <w:adjustRightInd w:val="0"/>
                    <w:snapToGrid w:val="0"/>
                    <w:jc w:val="center"/>
                    <w:textAlignment w:val="center"/>
                    <w:rPr>
                      <w:color w:val="000000"/>
                      <w:sz w:val="18"/>
                      <w:szCs w:val="18"/>
                    </w:rPr>
                  </w:pPr>
                  <w:r>
                    <w:rPr>
                      <w:color w:val="000000"/>
                      <w:kern w:val="0"/>
                      <w:sz w:val="18"/>
                      <w:szCs w:val="18"/>
                      <w:lang w:bidi="ar"/>
                    </w:rPr>
                    <w:t>排放</w:t>
                  </w:r>
                  <w:r>
                    <w:rPr>
                      <w:rFonts w:hint="eastAsia"/>
                      <w:color w:val="000000"/>
                      <w:kern w:val="0"/>
                      <w:sz w:val="18"/>
                      <w:szCs w:val="18"/>
                      <w:lang w:bidi="ar"/>
                    </w:rPr>
                    <w:t>情况</w:t>
                  </w:r>
                </w:p>
              </w:tc>
              <w:tc>
                <w:tcPr>
                  <w:tcW w:w="671" w:type="pct"/>
                  <w:noWrap/>
                  <w:vAlign w:val="center"/>
                </w:tcPr>
                <w:p w14:paraId="57664EA4">
                  <w:pPr>
                    <w:widowControl/>
                    <w:adjustRightInd w:val="0"/>
                    <w:snapToGrid w:val="0"/>
                    <w:jc w:val="center"/>
                    <w:textAlignment w:val="center"/>
                    <w:rPr>
                      <w:color w:val="000000"/>
                      <w:kern w:val="0"/>
                      <w:sz w:val="18"/>
                      <w:szCs w:val="18"/>
                      <w:lang w:bidi="ar"/>
                    </w:rPr>
                  </w:pPr>
                  <w:r>
                    <w:rPr>
                      <w:color w:val="000000"/>
                      <w:kern w:val="0"/>
                      <w:sz w:val="18"/>
                      <w:szCs w:val="18"/>
                      <w:lang w:bidi="ar"/>
                    </w:rPr>
                    <w:t>标准</w:t>
                  </w:r>
                </w:p>
                <w:p w14:paraId="0832B13A">
                  <w:pPr>
                    <w:widowControl/>
                    <w:adjustRightInd w:val="0"/>
                    <w:snapToGrid w:val="0"/>
                    <w:jc w:val="center"/>
                    <w:textAlignment w:val="center"/>
                    <w:rPr>
                      <w:color w:val="000000"/>
                      <w:sz w:val="18"/>
                      <w:szCs w:val="18"/>
                    </w:rPr>
                  </w:pPr>
                  <w:r>
                    <w:rPr>
                      <w:rFonts w:hint="eastAsia"/>
                      <w:color w:val="000000"/>
                      <w:kern w:val="0"/>
                      <w:sz w:val="18"/>
                      <w:szCs w:val="18"/>
                      <w:lang w:bidi="ar"/>
                    </w:rPr>
                    <w:t>限值</w:t>
                  </w:r>
                </w:p>
              </w:tc>
              <w:tc>
                <w:tcPr>
                  <w:tcW w:w="680" w:type="pct"/>
                  <w:noWrap/>
                  <w:vAlign w:val="center"/>
                </w:tcPr>
                <w:p w14:paraId="4032ECAA">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标准名称</w:t>
                  </w:r>
                </w:p>
              </w:tc>
              <w:tc>
                <w:tcPr>
                  <w:tcW w:w="752" w:type="pct"/>
                  <w:noWrap/>
                  <w:vAlign w:val="center"/>
                </w:tcPr>
                <w:p w14:paraId="0D0C6F28">
                  <w:pPr>
                    <w:widowControl/>
                    <w:adjustRightInd w:val="0"/>
                    <w:snapToGrid w:val="0"/>
                    <w:jc w:val="center"/>
                    <w:textAlignment w:val="center"/>
                    <w:rPr>
                      <w:color w:val="000000"/>
                      <w:sz w:val="18"/>
                      <w:szCs w:val="18"/>
                    </w:rPr>
                  </w:pPr>
                  <w:r>
                    <w:rPr>
                      <w:color w:val="000000"/>
                      <w:kern w:val="0"/>
                      <w:sz w:val="18"/>
                      <w:szCs w:val="18"/>
                      <w:lang w:bidi="ar"/>
                    </w:rPr>
                    <w:t>达标情况</w:t>
                  </w:r>
                </w:p>
              </w:tc>
            </w:tr>
            <w:tr w14:paraId="35BAB3A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restart"/>
                  <w:noWrap/>
                  <w:vAlign w:val="center"/>
                </w:tcPr>
                <w:p w14:paraId="0C9A9A96">
                  <w:pPr>
                    <w:widowControl/>
                    <w:adjustRightInd w:val="0"/>
                    <w:snapToGrid w:val="0"/>
                    <w:jc w:val="center"/>
                    <w:textAlignment w:val="center"/>
                    <w:rPr>
                      <w:color w:val="000000"/>
                      <w:sz w:val="18"/>
                      <w:szCs w:val="18"/>
                    </w:rPr>
                  </w:pPr>
                  <w:r>
                    <w:rPr>
                      <w:color w:val="000000"/>
                      <w:kern w:val="0"/>
                      <w:sz w:val="18"/>
                      <w:szCs w:val="18"/>
                      <w:lang w:bidi="ar"/>
                    </w:rPr>
                    <w:t>DA001</w:t>
                  </w:r>
                </w:p>
              </w:tc>
              <w:tc>
                <w:tcPr>
                  <w:tcW w:w="613" w:type="pct"/>
                  <w:vMerge w:val="restart"/>
                  <w:noWrap/>
                  <w:vAlign w:val="center"/>
                </w:tcPr>
                <w:p w14:paraId="7C63D198">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870" w:type="pct"/>
                  <w:noWrap/>
                  <w:vAlign w:val="center"/>
                </w:tcPr>
                <w:p w14:paraId="2AE6954A">
                  <w:pPr>
                    <w:widowControl/>
                    <w:adjustRightInd w:val="0"/>
                    <w:snapToGrid w:val="0"/>
                    <w:jc w:val="center"/>
                    <w:textAlignment w:val="center"/>
                    <w:rPr>
                      <w:color w:val="000000"/>
                      <w:sz w:val="18"/>
                      <w:szCs w:val="18"/>
                    </w:rPr>
                  </w:pPr>
                  <w:r>
                    <w:rPr>
                      <w:rFonts w:hint="eastAsia"/>
                      <w:color w:val="000000"/>
                      <w:sz w:val="18"/>
                      <w:szCs w:val="18"/>
                    </w:rPr>
                    <w:t>颗粒物</w:t>
                  </w:r>
                </w:p>
              </w:tc>
              <w:tc>
                <w:tcPr>
                  <w:tcW w:w="879" w:type="pct"/>
                  <w:noWrap/>
                  <w:vAlign w:val="center"/>
                </w:tcPr>
                <w:p w14:paraId="65DC6FB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0.9</w:t>
                  </w:r>
                </w:p>
              </w:tc>
              <w:tc>
                <w:tcPr>
                  <w:tcW w:w="671" w:type="pct"/>
                  <w:noWrap/>
                  <w:vAlign w:val="center"/>
                </w:tcPr>
                <w:p w14:paraId="32421354">
                  <w:pPr>
                    <w:widowControl/>
                    <w:adjustRightInd w:val="0"/>
                    <w:snapToGrid w:val="0"/>
                    <w:jc w:val="center"/>
                    <w:textAlignment w:val="center"/>
                    <w:rPr>
                      <w:color w:val="000000"/>
                      <w:sz w:val="18"/>
                      <w:szCs w:val="18"/>
                    </w:rPr>
                  </w:pPr>
                  <w:r>
                    <w:rPr>
                      <w:rFonts w:hint="eastAsia"/>
                      <w:color w:val="000000"/>
                      <w:sz w:val="18"/>
                      <w:szCs w:val="18"/>
                    </w:rPr>
                    <w:t>50</w:t>
                  </w:r>
                </w:p>
              </w:tc>
              <w:tc>
                <w:tcPr>
                  <w:tcW w:w="680" w:type="pct"/>
                  <w:vMerge w:val="restart"/>
                  <w:noWrap/>
                  <w:vAlign w:val="center"/>
                </w:tcPr>
                <w:p w14:paraId="29B75C9D">
                  <w:pPr>
                    <w:widowControl/>
                    <w:adjustRightInd w:val="0"/>
                    <w:snapToGrid w:val="0"/>
                    <w:jc w:val="center"/>
                    <w:rPr>
                      <w:rFonts w:hint="eastAsia"/>
                      <w:color w:val="000000"/>
                      <w:sz w:val="18"/>
                      <w:szCs w:val="18"/>
                    </w:rPr>
                  </w:pPr>
                  <w:r>
                    <w:rPr>
                      <w:rFonts w:hint="eastAsia"/>
                      <w:color w:val="000000"/>
                      <w:sz w:val="18"/>
                      <w:szCs w:val="18"/>
                    </w:rPr>
                    <w:t>《大气污染物综合排放标准》（DB50/418-2016）</w:t>
                  </w:r>
                </w:p>
              </w:tc>
              <w:tc>
                <w:tcPr>
                  <w:tcW w:w="752" w:type="pct"/>
                  <w:noWrap/>
                  <w:vAlign w:val="center"/>
                </w:tcPr>
                <w:p w14:paraId="1F07EBFA">
                  <w:pPr>
                    <w:widowControl/>
                    <w:adjustRightInd w:val="0"/>
                    <w:snapToGrid w:val="0"/>
                    <w:jc w:val="center"/>
                    <w:rPr>
                      <w:color w:val="000000"/>
                      <w:sz w:val="18"/>
                      <w:szCs w:val="18"/>
                    </w:rPr>
                  </w:pPr>
                  <w:r>
                    <w:rPr>
                      <w:rFonts w:hint="eastAsia"/>
                      <w:color w:val="000000"/>
                      <w:sz w:val="18"/>
                      <w:szCs w:val="18"/>
                    </w:rPr>
                    <w:t>达标</w:t>
                  </w:r>
                </w:p>
              </w:tc>
            </w:tr>
            <w:tr w14:paraId="7E2DFAD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6CB3FCA5">
                  <w:pPr>
                    <w:widowControl/>
                    <w:adjustRightInd w:val="0"/>
                    <w:snapToGrid w:val="0"/>
                    <w:jc w:val="center"/>
                    <w:textAlignment w:val="center"/>
                    <w:rPr>
                      <w:color w:val="000000"/>
                      <w:kern w:val="0"/>
                      <w:sz w:val="18"/>
                      <w:szCs w:val="18"/>
                      <w:lang w:bidi="ar"/>
                    </w:rPr>
                  </w:pPr>
                </w:p>
              </w:tc>
              <w:tc>
                <w:tcPr>
                  <w:tcW w:w="613" w:type="pct"/>
                  <w:vMerge w:val="continue"/>
                  <w:noWrap/>
                  <w:vAlign w:val="center"/>
                </w:tcPr>
                <w:p w14:paraId="0B2DD68C">
                  <w:pPr>
                    <w:widowControl/>
                    <w:adjustRightInd w:val="0"/>
                    <w:snapToGrid w:val="0"/>
                    <w:jc w:val="center"/>
                    <w:textAlignment w:val="center"/>
                    <w:rPr>
                      <w:color w:val="000000"/>
                      <w:kern w:val="0"/>
                      <w:sz w:val="18"/>
                      <w:szCs w:val="18"/>
                      <w:lang w:bidi="ar"/>
                    </w:rPr>
                  </w:pPr>
                </w:p>
              </w:tc>
              <w:tc>
                <w:tcPr>
                  <w:tcW w:w="870" w:type="pct"/>
                  <w:noWrap/>
                  <w:vAlign w:val="center"/>
                </w:tcPr>
                <w:p w14:paraId="60AEFC87">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03AAAE0D">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39</w:t>
                  </w:r>
                </w:p>
              </w:tc>
              <w:tc>
                <w:tcPr>
                  <w:tcW w:w="671" w:type="pct"/>
                  <w:noWrap/>
                  <w:vAlign w:val="center"/>
                </w:tcPr>
                <w:p w14:paraId="548B7628">
                  <w:pPr>
                    <w:widowControl/>
                    <w:adjustRightInd w:val="0"/>
                    <w:snapToGrid w:val="0"/>
                    <w:jc w:val="center"/>
                    <w:textAlignment w:val="center"/>
                    <w:rPr>
                      <w:color w:val="000000"/>
                      <w:sz w:val="18"/>
                      <w:szCs w:val="18"/>
                    </w:rPr>
                  </w:pPr>
                  <w:r>
                    <w:rPr>
                      <w:color w:val="000000"/>
                      <w:kern w:val="0"/>
                      <w:sz w:val="18"/>
                      <w:szCs w:val="18"/>
                      <w:lang w:bidi="ar"/>
                    </w:rPr>
                    <w:t>120</w:t>
                  </w:r>
                </w:p>
              </w:tc>
              <w:tc>
                <w:tcPr>
                  <w:tcW w:w="680" w:type="pct"/>
                  <w:vMerge w:val="continue"/>
                  <w:noWrap/>
                  <w:vAlign w:val="center"/>
                </w:tcPr>
                <w:p w14:paraId="501C918D">
                  <w:pPr>
                    <w:widowControl/>
                    <w:adjustRightInd w:val="0"/>
                    <w:snapToGrid w:val="0"/>
                    <w:jc w:val="center"/>
                    <w:rPr>
                      <w:rFonts w:hint="eastAsia"/>
                      <w:color w:val="000000"/>
                      <w:sz w:val="18"/>
                      <w:szCs w:val="18"/>
                    </w:rPr>
                  </w:pPr>
                </w:p>
              </w:tc>
              <w:tc>
                <w:tcPr>
                  <w:tcW w:w="752" w:type="pct"/>
                  <w:noWrap/>
                  <w:vAlign w:val="center"/>
                </w:tcPr>
                <w:p w14:paraId="470B2B6F">
                  <w:pPr>
                    <w:widowControl/>
                    <w:adjustRightInd w:val="0"/>
                    <w:snapToGrid w:val="0"/>
                    <w:jc w:val="center"/>
                    <w:rPr>
                      <w:rFonts w:hint="eastAsia"/>
                      <w:color w:val="000000"/>
                      <w:sz w:val="18"/>
                      <w:szCs w:val="18"/>
                    </w:rPr>
                  </w:pPr>
                  <w:r>
                    <w:rPr>
                      <w:rFonts w:hint="eastAsia"/>
                      <w:color w:val="000000"/>
                      <w:sz w:val="18"/>
                      <w:szCs w:val="18"/>
                    </w:rPr>
                    <w:t>达标</w:t>
                  </w:r>
                </w:p>
              </w:tc>
            </w:tr>
            <w:tr w14:paraId="7B453D0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182D689D">
                  <w:pPr>
                    <w:widowControl/>
                    <w:adjustRightInd w:val="0"/>
                    <w:snapToGrid w:val="0"/>
                    <w:jc w:val="center"/>
                    <w:rPr>
                      <w:color w:val="000000"/>
                      <w:sz w:val="18"/>
                      <w:szCs w:val="18"/>
                    </w:rPr>
                  </w:pPr>
                </w:p>
              </w:tc>
              <w:tc>
                <w:tcPr>
                  <w:tcW w:w="613" w:type="pct"/>
                  <w:vMerge w:val="continue"/>
                  <w:noWrap/>
                  <w:vAlign w:val="center"/>
                </w:tcPr>
                <w:p w14:paraId="48E74AA8">
                  <w:pPr>
                    <w:widowControl/>
                    <w:adjustRightInd w:val="0"/>
                    <w:snapToGrid w:val="0"/>
                    <w:jc w:val="center"/>
                    <w:rPr>
                      <w:color w:val="000000"/>
                      <w:sz w:val="18"/>
                      <w:szCs w:val="18"/>
                    </w:rPr>
                  </w:pPr>
                </w:p>
              </w:tc>
              <w:tc>
                <w:tcPr>
                  <w:tcW w:w="870" w:type="pct"/>
                  <w:noWrap/>
                  <w:vAlign w:val="center"/>
                </w:tcPr>
                <w:p w14:paraId="4C1C7849">
                  <w:pPr>
                    <w:widowControl/>
                    <w:adjustRightInd w:val="0"/>
                    <w:snapToGrid w:val="0"/>
                    <w:jc w:val="center"/>
                    <w:textAlignment w:val="center"/>
                    <w:rPr>
                      <w:color w:val="000000"/>
                      <w:sz w:val="18"/>
                      <w:szCs w:val="18"/>
                    </w:rPr>
                  </w:pPr>
                  <w:r>
                    <w:rPr>
                      <w:color w:val="000000"/>
                      <w:kern w:val="0"/>
                      <w:sz w:val="18"/>
                      <w:szCs w:val="18"/>
                      <w:lang w:bidi="ar"/>
                    </w:rPr>
                    <w:t>氯化氢</w:t>
                  </w:r>
                </w:p>
              </w:tc>
              <w:tc>
                <w:tcPr>
                  <w:tcW w:w="879" w:type="pct"/>
                  <w:noWrap/>
                  <w:vAlign w:val="center"/>
                </w:tcPr>
                <w:p w14:paraId="777419DB">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0.9</w:t>
                  </w:r>
                </w:p>
              </w:tc>
              <w:tc>
                <w:tcPr>
                  <w:tcW w:w="671" w:type="pct"/>
                  <w:noWrap/>
                  <w:vAlign w:val="center"/>
                </w:tcPr>
                <w:p w14:paraId="7AEC0DA4">
                  <w:pPr>
                    <w:widowControl/>
                    <w:adjustRightInd w:val="0"/>
                    <w:snapToGrid w:val="0"/>
                    <w:jc w:val="center"/>
                    <w:textAlignment w:val="center"/>
                    <w:rPr>
                      <w:color w:val="000000"/>
                      <w:sz w:val="18"/>
                      <w:szCs w:val="18"/>
                    </w:rPr>
                  </w:pPr>
                  <w:r>
                    <w:rPr>
                      <w:color w:val="000000"/>
                      <w:kern w:val="0"/>
                      <w:sz w:val="18"/>
                      <w:szCs w:val="18"/>
                      <w:lang w:bidi="ar"/>
                    </w:rPr>
                    <w:t>100</w:t>
                  </w:r>
                </w:p>
              </w:tc>
              <w:tc>
                <w:tcPr>
                  <w:tcW w:w="680" w:type="pct"/>
                  <w:vMerge w:val="continue"/>
                  <w:noWrap/>
                  <w:vAlign w:val="center"/>
                </w:tcPr>
                <w:p w14:paraId="0CC02214">
                  <w:pPr>
                    <w:widowControl/>
                    <w:adjustRightInd w:val="0"/>
                    <w:snapToGrid w:val="0"/>
                    <w:jc w:val="center"/>
                    <w:rPr>
                      <w:rFonts w:hint="eastAsia"/>
                      <w:color w:val="000000"/>
                      <w:sz w:val="18"/>
                      <w:szCs w:val="18"/>
                    </w:rPr>
                  </w:pPr>
                </w:p>
              </w:tc>
              <w:tc>
                <w:tcPr>
                  <w:tcW w:w="752" w:type="pct"/>
                  <w:noWrap/>
                  <w:vAlign w:val="center"/>
                </w:tcPr>
                <w:p w14:paraId="058E3E61">
                  <w:pPr>
                    <w:widowControl/>
                    <w:adjustRightInd w:val="0"/>
                    <w:snapToGrid w:val="0"/>
                    <w:jc w:val="center"/>
                    <w:rPr>
                      <w:color w:val="000000"/>
                      <w:sz w:val="18"/>
                      <w:szCs w:val="18"/>
                    </w:rPr>
                  </w:pPr>
                  <w:r>
                    <w:rPr>
                      <w:rFonts w:hint="eastAsia"/>
                      <w:color w:val="000000"/>
                      <w:sz w:val="18"/>
                      <w:szCs w:val="18"/>
                    </w:rPr>
                    <w:t>达标</w:t>
                  </w:r>
                </w:p>
              </w:tc>
            </w:tr>
            <w:tr w14:paraId="0973C5D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7EF84656">
                  <w:pPr>
                    <w:widowControl/>
                    <w:adjustRightInd w:val="0"/>
                    <w:snapToGrid w:val="0"/>
                    <w:jc w:val="center"/>
                    <w:rPr>
                      <w:color w:val="000000"/>
                      <w:sz w:val="18"/>
                      <w:szCs w:val="18"/>
                    </w:rPr>
                  </w:pPr>
                </w:p>
              </w:tc>
              <w:tc>
                <w:tcPr>
                  <w:tcW w:w="613" w:type="pct"/>
                  <w:vMerge w:val="continue"/>
                  <w:noWrap/>
                  <w:vAlign w:val="center"/>
                </w:tcPr>
                <w:p w14:paraId="392DA222">
                  <w:pPr>
                    <w:widowControl/>
                    <w:adjustRightInd w:val="0"/>
                    <w:snapToGrid w:val="0"/>
                    <w:jc w:val="center"/>
                    <w:rPr>
                      <w:color w:val="000000"/>
                      <w:sz w:val="18"/>
                      <w:szCs w:val="18"/>
                    </w:rPr>
                  </w:pPr>
                </w:p>
              </w:tc>
              <w:tc>
                <w:tcPr>
                  <w:tcW w:w="870" w:type="pct"/>
                  <w:noWrap/>
                  <w:vAlign w:val="center"/>
                </w:tcPr>
                <w:p w14:paraId="4B1C4307">
                  <w:pPr>
                    <w:widowControl/>
                    <w:adjustRightInd w:val="0"/>
                    <w:snapToGrid w:val="0"/>
                    <w:jc w:val="center"/>
                    <w:textAlignment w:val="center"/>
                    <w:rPr>
                      <w:color w:val="000000"/>
                      <w:sz w:val="18"/>
                      <w:szCs w:val="18"/>
                    </w:rPr>
                  </w:pPr>
                  <w:r>
                    <w:rPr>
                      <w:color w:val="000000"/>
                      <w:kern w:val="0"/>
                      <w:sz w:val="18"/>
                      <w:szCs w:val="18"/>
                      <w:lang w:bidi="ar"/>
                    </w:rPr>
                    <w:t>氯乙烯</w:t>
                  </w:r>
                </w:p>
              </w:tc>
              <w:tc>
                <w:tcPr>
                  <w:tcW w:w="879" w:type="pct"/>
                  <w:noWrap/>
                  <w:vAlign w:val="center"/>
                </w:tcPr>
                <w:p w14:paraId="2CC8AA54">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0.6</w:t>
                  </w:r>
                </w:p>
              </w:tc>
              <w:tc>
                <w:tcPr>
                  <w:tcW w:w="671" w:type="pct"/>
                  <w:noWrap/>
                  <w:vAlign w:val="center"/>
                </w:tcPr>
                <w:p w14:paraId="4458FFA5">
                  <w:pPr>
                    <w:widowControl/>
                    <w:adjustRightInd w:val="0"/>
                    <w:snapToGrid w:val="0"/>
                    <w:jc w:val="center"/>
                    <w:textAlignment w:val="center"/>
                    <w:rPr>
                      <w:color w:val="000000"/>
                      <w:sz w:val="18"/>
                      <w:szCs w:val="18"/>
                    </w:rPr>
                  </w:pPr>
                  <w:r>
                    <w:rPr>
                      <w:color w:val="000000"/>
                      <w:kern w:val="0"/>
                      <w:sz w:val="18"/>
                      <w:szCs w:val="18"/>
                      <w:lang w:bidi="ar"/>
                    </w:rPr>
                    <w:t>36</w:t>
                  </w:r>
                </w:p>
              </w:tc>
              <w:tc>
                <w:tcPr>
                  <w:tcW w:w="680" w:type="pct"/>
                  <w:vMerge w:val="continue"/>
                  <w:noWrap/>
                  <w:vAlign w:val="center"/>
                </w:tcPr>
                <w:p w14:paraId="507C786C">
                  <w:pPr>
                    <w:widowControl/>
                    <w:adjustRightInd w:val="0"/>
                    <w:snapToGrid w:val="0"/>
                    <w:jc w:val="center"/>
                    <w:rPr>
                      <w:rFonts w:hint="eastAsia"/>
                      <w:color w:val="000000"/>
                      <w:sz w:val="18"/>
                      <w:szCs w:val="18"/>
                    </w:rPr>
                  </w:pPr>
                </w:p>
              </w:tc>
              <w:tc>
                <w:tcPr>
                  <w:tcW w:w="752" w:type="pct"/>
                  <w:noWrap/>
                  <w:vAlign w:val="center"/>
                </w:tcPr>
                <w:p w14:paraId="089AB621">
                  <w:pPr>
                    <w:widowControl/>
                    <w:adjustRightInd w:val="0"/>
                    <w:snapToGrid w:val="0"/>
                    <w:jc w:val="center"/>
                    <w:rPr>
                      <w:color w:val="000000"/>
                      <w:sz w:val="18"/>
                      <w:szCs w:val="18"/>
                    </w:rPr>
                  </w:pPr>
                  <w:r>
                    <w:rPr>
                      <w:rFonts w:hint="eastAsia"/>
                      <w:color w:val="000000"/>
                      <w:sz w:val="18"/>
                      <w:szCs w:val="18"/>
                    </w:rPr>
                    <w:t>达标</w:t>
                  </w:r>
                </w:p>
              </w:tc>
            </w:tr>
            <w:tr w14:paraId="36AE0FC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00D219AF">
                  <w:pPr>
                    <w:widowControl/>
                    <w:adjustRightInd w:val="0"/>
                    <w:snapToGrid w:val="0"/>
                    <w:jc w:val="center"/>
                    <w:rPr>
                      <w:color w:val="000000"/>
                      <w:sz w:val="18"/>
                      <w:szCs w:val="18"/>
                    </w:rPr>
                  </w:pPr>
                </w:p>
              </w:tc>
              <w:tc>
                <w:tcPr>
                  <w:tcW w:w="613" w:type="pct"/>
                  <w:vMerge w:val="restart"/>
                  <w:noWrap/>
                  <w:vAlign w:val="center"/>
                </w:tcPr>
                <w:p w14:paraId="09C74C86">
                  <w:pPr>
                    <w:widowControl/>
                    <w:adjustRightInd w:val="0"/>
                    <w:snapToGrid w:val="0"/>
                    <w:jc w:val="center"/>
                    <w:textAlignment w:val="center"/>
                    <w:rPr>
                      <w:color w:val="000000"/>
                      <w:kern w:val="0"/>
                      <w:sz w:val="18"/>
                      <w:szCs w:val="18"/>
                      <w:lang w:bidi="ar"/>
                    </w:rPr>
                  </w:pPr>
                  <w:r>
                    <w:rPr>
                      <w:color w:val="000000"/>
                      <w:kern w:val="0"/>
                      <w:sz w:val="18"/>
                      <w:szCs w:val="18"/>
                      <w:lang w:bidi="ar"/>
                    </w:rPr>
                    <w:t>排放速率</w:t>
                  </w:r>
                </w:p>
                <w:p w14:paraId="6A2FF651">
                  <w:pPr>
                    <w:widowControl/>
                    <w:adjustRightInd w:val="0"/>
                    <w:snapToGrid w:val="0"/>
                    <w:jc w:val="center"/>
                    <w:textAlignment w:val="center"/>
                    <w:rPr>
                      <w:color w:val="000000"/>
                      <w:sz w:val="18"/>
                      <w:szCs w:val="18"/>
                    </w:rPr>
                  </w:pPr>
                  <w:r>
                    <w:rPr>
                      <w:rFonts w:hint="eastAsia"/>
                      <w:color w:val="000000"/>
                      <w:kern w:val="0"/>
                      <w:sz w:val="18"/>
                      <w:szCs w:val="18"/>
                      <w:lang w:bidi="ar"/>
                    </w:rPr>
                    <w:t>kg/h</w:t>
                  </w:r>
                </w:p>
              </w:tc>
              <w:tc>
                <w:tcPr>
                  <w:tcW w:w="870" w:type="pct"/>
                  <w:noWrap/>
                  <w:vAlign w:val="center"/>
                </w:tcPr>
                <w:p w14:paraId="33B21B8D">
                  <w:pPr>
                    <w:widowControl/>
                    <w:adjustRightInd w:val="0"/>
                    <w:snapToGrid w:val="0"/>
                    <w:jc w:val="center"/>
                    <w:textAlignment w:val="center"/>
                    <w:rPr>
                      <w:color w:val="000000"/>
                      <w:sz w:val="18"/>
                      <w:szCs w:val="18"/>
                    </w:rPr>
                  </w:pPr>
                  <w:r>
                    <w:rPr>
                      <w:rFonts w:hint="eastAsia"/>
                      <w:color w:val="000000"/>
                      <w:sz w:val="18"/>
                      <w:szCs w:val="18"/>
                    </w:rPr>
                    <w:t>颗粒物</w:t>
                  </w:r>
                </w:p>
              </w:tc>
              <w:tc>
                <w:tcPr>
                  <w:tcW w:w="879" w:type="pct"/>
                  <w:noWrap/>
                  <w:vAlign w:val="center"/>
                </w:tcPr>
                <w:p w14:paraId="25C0B01A">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0.01</w:t>
                  </w:r>
                </w:p>
              </w:tc>
              <w:tc>
                <w:tcPr>
                  <w:tcW w:w="1133" w:type="dxa"/>
                  <w:noWrap/>
                  <w:vAlign w:val="center"/>
                </w:tcPr>
                <w:p w14:paraId="171FB0DE">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0.4</w:t>
                  </w:r>
                </w:p>
              </w:tc>
              <w:tc>
                <w:tcPr>
                  <w:tcW w:w="680" w:type="pct"/>
                  <w:vMerge w:val="continue"/>
                  <w:noWrap/>
                  <w:vAlign w:val="center"/>
                </w:tcPr>
                <w:p w14:paraId="7877BF90">
                  <w:pPr>
                    <w:widowControl/>
                    <w:adjustRightInd w:val="0"/>
                    <w:snapToGrid w:val="0"/>
                    <w:jc w:val="center"/>
                    <w:rPr>
                      <w:rFonts w:hint="eastAsia"/>
                      <w:color w:val="000000"/>
                      <w:sz w:val="18"/>
                      <w:szCs w:val="18"/>
                    </w:rPr>
                  </w:pPr>
                </w:p>
              </w:tc>
              <w:tc>
                <w:tcPr>
                  <w:tcW w:w="752" w:type="pct"/>
                  <w:noWrap/>
                  <w:vAlign w:val="center"/>
                </w:tcPr>
                <w:p w14:paraId="25C698F4">
                  <w:pPr>
                    <w:widowControl/>
                    <w:adjustRightInd w:val="0"/>
                    <w:snapToGrid w:val="0"/>
                    <w:jc w:val="center"/>
                    <w:rPr>
                      <w:rFonts w:hint="eastAsia"/>
                      <w:color w:val="000000"/>
                      <w:sz w:val="18"/>
                      <w:szCs w:val="18"/>
                    </w:rPr>
                  </w:pPr>
                  <w:r>
                    <w:rPr>
                      <w:rFonts w:hint="eastAsia"/>
                      <w:color w:val="000000"/>
                      <w:sz w:val="18"/>
                      <w:szCs w:val="18"/>
                    </w:rPr>
                    <w:t>达标</w:t>
                  </w:r>
                </w:p>
              </w:tc>
            </w:tr>
            <w:tr w14:paraId="0B9796C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5FF27668">
                  <w:pPr>
                    <w:widowControl/>
                    <w:adjustRightInd w:val="0"/>
                    <w:snapToGrid w:val="0"/>
                    <w:jc w:val="center"/>
                    <w:rPr>
                      <w:color w:val="000000"/>
                      <w:sz w:val="18"/>
                      <w:szCs w:val="18"/>
                    </w:rPr>
                  </w:pPr>
                </w:p>
              </w:tc>
              <w:tc>
                <w:tcPr>
                  <w:tcW w:w="613" w:type="pct"/>
                  <w:vMerge w:val="continue"/>
                  <w:noWrap/>
                  <w:vAlign w:val="center"/>
                </w:tcPr>
                <w:p w14:paraId="3EEBC2E8">
                  <w:pPr>
                    <w:widowControl/>
                    <w:adjustRightInd w:val="0"/>
                    <w:snapToGrid w:val="0"/>
                    <w:jc w:val="center"/>
                    <w:textAlignment w:val="center"/>
                    <w:rPr>
                      <w:color w:val="000000"/>
                      <w:kern w:val="0"/>
                      <w:sz w:val="18"/>
                      <w:szCs w:val="18"/>
                      <w:lang w:bidi="ar"/>
                    </w:rPr>
                  </w:pPr>
                </w:p>
              </w:tc>
              <w:tc>
                <w:tcPr>
                  <w:tcW w:w="870" w:type="pct"/>
                  <w:noWrap/>
                  <w:vAlign w:val="center"/>
                </w:tcPr>
                <w:p w14:paraId="4FC89B2A">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7C03E33C">
                  <w:pPr>
                    <w:widowControl/>
                    <w:adjustRightInd w:val="0"/>
                    <w:snapToGrid w:val="0"/>
                    <w:jc w:val="center"/>
                    <w:textAlignment w:val="center"/>
                    <w:rPr>
                      <w:rFonts w:hint="eastAsia"/>
                      <w:color w:val="000000"/>
                      <w:kern w:val="0"/>
                      <w:sz w:val="18"/>
                      <w:szCs w:val="18"/>
                      <w:lang w:bidi="ar"/>
                    </w:rPr>
                  </w:pPr>
                  <w:r>
                    <w:rPr>
                      <w:rFonts w:hint="eastAsia"/>
                      <w:color w:val="000000"/>
                      <w:sz w:val="18"/>
                      <w:szCs w:val="18"/>
                    </w:rPr>
                    <w:t xml:space="preserve">0.44 </w:t>
                  </w:r>
                </w:p>
              </w:tc>
              <w:tc>
                <w:tcPr>
                  <w:tcW w:w="1133" w:type="dxa"/>
                  <w:noWrap/>
                  <w:vAlign w:val="center"/>
                </w:tcPr>
                <w:p w14:paraId="384D9F99">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5</w:t>
                  </w:r>
                </w:p>
              </w:tc>
              <w:tc>
                <w:tcPr>
                  <w:tcW w:w="680" w:type="pct"/>
                  <w:vMerge w:val="continue"/>
                  <w:noWrap/>
                  <w:vAlign w:val="center"/>
                </w:tcPr>
                <w:p w14:paraId="45FDA4A9">
                  <w:pPr>
                    <w:widowControl/>
                    <w:adjustRightInd w:val="0"/>
                    <w:snapToGrid w:val="0"/>
                    <w:jc w:val="center"/>
                    <w:rPr>
                      <w:rFonts w:hint="eastAsia"/>
                      <w:color w:val="000000"/>
                      <w:sz w:val="18"/>
                      <w:szCs w:val="18"/>
                    </w:rPr>
                  </w:pPr>
                </w:p>
              </w:tc>
              <w:tc>
                <w:tcPr>
                  <w:tcW w:w="752" w:type="pct"/>
                  <w:noWrap/>
                  <w:vAlign w:val="center"/>
                </w:tcPr>
                <w:p w14:paraId="03AE87BE">
                  <w:pPr>
                    <w:widowControl/>
                    <w:adjustRightInd w:val="0"/>
                    <w:snapToGrid w:val="0"/>
                    <w:jc w:val="center"/>
                    <w:rPr>
                      <w:rFonts w:hint="eastAsia"/>
                      <w:color w:val="000000"/>
                      <w:sz w:val="18"/>
                      <w:szCs w:val="18"/>
                    </w:rPr>
                  </w:pPr>
                  <w:r>
                    <w:rPr>
                      <w:rFonts w:hint="eastAsia"/>
                      <w:color w:val="000000"/>
                      <w:sz w:val="18"/>
                      <w:szCs w:val="18"/>
                    </w:rPr>
                    <w:t>达标</w:t>
                  </w:r>
                </w:p>
              </w:tc>
            </w:tr>
            <w:tr w14:paraId="1C38383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2ACE072D">
                  <w:pPr>
                    <w:widowControl/>
                    <w:adjustRightInd w:val="0"/>
                    <w:snapToGrid w:val="0"/>
                    <w:jc w:val="center"/>
                    <w:rPr>
                      <w:color w:val="000000"/>
                      <w:sz w:val="18"/>
                      <w:szCs w:val="18"/>
                    </w:rPr>
                  </w:pPr>
                </w:p>
              </w:tc>
              <w:tc>
                <w:tcPr>
                  <w:tcW w:w="613" w:type="pct"/>
                  <w:vMerge w:val="continue"/>
                  <w:noWrap/>
                  <w:vAlign w:val="center"/>
                </w:tcPr>
                <w:p w14:paraId="16983C1C">
                  <w:pPr>
                    <w:widowControl/>
                    <w:adjustRightInd w:val="0"/>
                    <w:snapToGrid w:val="0"/>
                    <w:jc w:val="center"/>
                    <w:rPr>
                      <w:color w:val="000000"/>
                      <w:sz w:val="18"/>
                      <w:szCs w:val="18"/>
                    </w:rPr>
                  </w:pPr>
                </w:p>
              </w:tc>
              <w:tc>
                <w:tcPr>
                  <w:tcW w:w="870" w:type="pct"/>
                  <w:noWrap/>
                  <w:vAlign w:val="center"/>
                </w:tcPr>
                <w:p w14:paraId="19276043">
                  <w:pPr>
                    <w:widowControl/>
                    <w:adjustRightInd w:val="0"/>
                    <w:snapToGrid w:val="0"/>
                    <w:jc w:val="center"/>
                    <w:textAlignment w:val="center"/>
                    <w:rPr>
                      <w:color w:val="000000"/>
                      <w:sz w:val="18"/>
                      <w:szCs w:val="18"/>
                    </w:rPr>
                  </w:pPr>
                  <w:r>
                    <w:rPr>
                      <w:color w:val="000000"/>
                      <w:kern w:val="0"/>
                      <w:sz w:val="18"/>
                      <w:szCs w:val="18"/>
                      <w:lang w:bidi="ar"/>
                    </w:rPr>
                    <w:t>氯化氢</w:t>
                  </w:r>
                </w:p>
              </w:tc>
              <w:tc>
                <w:tcPr>
                  <w:tcW w:w="879" w:type="pct"/>
                  <w:noWrap/>
                  <w:vAlign w:val="center"/>
                </w:tcPr>
                <w:p w14:paraId="751343EA">
                  <w:pPr>
                    <w:widowControl/>
                    <w:adjustRightInd w:val="0"/>
                    <w:snapToGrid w:val="0"/>
                    <w:jc w:val="center"/>
                    <w:textAlignment w:val="center"/>
                    <w:rPr>
                      <w:color w:val="000000"/>
                      <w:kern w:val="0"/>
                      <w:sz w:val="18"/>
                      <w:szCs w:val="18"/>
                      <w:lang w:bidi="ar"/>
                    </w:rPr>
                  </w:pPr>
                  <w:r>
                    <w:rPr>
                      <w:rFonts w:hint="eastAsia"/>
                      <w:color w:val="000000"/>
                      <w:sz w:val="18"/>
                      <w:szCs w:val="18"/>
                    </w:rPr>
                    <w:t xml:space="preserve">0.01 </w:t>
                  </w:r>
                </w:p>
              </w:tc>
              <w:tc>
                <w:tcPr>
                  <w:tcW w:w="1133" w:type="dxa"/>
                  <w:noWrap/>
                  <w:vAlign w:val="center"/>
                </w:tcPr>
                <w:p w14:paraId="3BC7D4D1">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0.13</w:t>
                  </w:r>
                </w:p>
              </w:tc>
              <w:tc>
                <w:tcPr>
                  <w:tcW w:w="680" w:type="pct"/>
                  <w:vMerge w:val="continue"/>
                  <w:noWrap/>
                  <w:vAlign w:val="center"/>
                </w:tcPr>
                <w:p w14:paraId="2F9709F1">
                  <w:pPr>
                    <w:widowControl/>
                    <w:adjustRightInd w:val="0"/>
                    <w:snapToGrid w:val="0"/>
                    <w:jc w:val="center"/>
                    <w:rPr>
                      <w:rFonts w:hint="eastAsia"/>
                      <w:color w:val="000000"/>
                      <w:sz w:val="18"/>
                      <w:szCs w:val="18"/>
                    </w:rPr>
                  </w:pPr>
                </w:p>
              </w:tc>
              <w:tc>
                <w:tcPr>
                  <w:tcW w:w="752" w:type="pct"/>
                  <w:noWrap/>
                  <w:vAlign w:val="center"/>
                </w:tcPr>
                <w:p w14:paraId="2ABB4B44">
                  <w:pPr>
                    <w:widowControl/>
                    <w:adjustRightInd w:val="0"/>
                    <w:snapToGrid w:val="0"/>
                    <w:jc w:val="center"/>
                    <w:rPr>
                      <w:color w:val="000000"/>
                      <w:sz w:val="18"/>
                      <w:szCs w:val="18"/>
                    </w:rPr>
                  </w:pPr>
                  <w:r>
                    <w:rPr>
                      <w:rFonts w:hint="eastAsia"/>
                      <w:color w:val="000000"/>
                      <w:sz w:val="18"/>
                      <w:szCs w:val="18"/>
                    </w:rPr>
                    <w:t>达标</w:t>
                  </w:r>
                </w:p>
              </w:tc>
            </w:tr>
            <w:tr w14:paraId="6B67AF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02AC82D3">
                  <w:pPr>
                    <w:widowControl/>
                    <w:adjustRightInd w:val="0"/>
                    <w:snapToGrid w:val="0"/>
                    <w:jc w:val="center"/>
                    <w:rPr>
                      <w:color w:val="000000"/>
                      <w:sz w:val="18"/>
                      <w:szCs w:val="18"/>
                    </w:rPr>
                  </w:pPr>
                </w:p>
              </w:tc>
              <w:tc>
                <w:tcPr>
                  <w:tcW w:w="613" w:type="pct"/>
                  <w:vMerge w:val="continue"/>
                  <w:noWrap/>
                  <w:vAlign w:val="center"/>
                </w:tcPr>
                <w:p w14:paraId="3662F55F">
                  <w:pPr>
                    <w:widowControl/>
                    <w:adjustRightInd w:val="0"/>
                    <w:snapToGrid w:val="0"/>
                    <w:jc w:val="center"/>
                    <w:rPr>
                      <w:color w:val="000000"/>
                      <w:sz w:val="18"/>
                      <w:szCs w:val="18"/>
                    </w:rPr>
                  </w:pPr>
                </w:p>
              </w:tc>
              <w:tc>
                <w:tcPr>
                  <w:tcW w:w="870" w:type="pct"/>
                  <w:noWrap/>
                  <w:vAlign w:val="center"/>
                </w:tcPr>
                <w:p w14:paraId="1F6EA5BD">
                  <w:pPr>
                    <w:widowControl/>
                    <w:adjustRightInd w:val="0"/>
                    <w:snapToGrid w:val="0"/>
                    <w:jc w:val="center"/>
                    <w:textAlignment w:val="center"/>
                    <w:rPr>
                      <w:color w:val="000000"/>
                      <w:sz w:val="18"/>
                      <w:szCs w:val="18"/>
                    </w:rPr>
                  </w:pPr>
                  <w:r>
                    <w:rPr>
                      <w:color w:val="000000"/>
                      <w:kern w:val="0"/>
                      <w:sz w:val="18"/>
                      <w:szCs w:val="18"/>
                      <w:lang w:bidi="ar"/>
                    </w:rPr>
                    <w:t>氯乙烯</w:t>
                  </w:r>
                </w:p>
              </w:tc>
              <w:tc>
                <w:tcPr>
                  <w:tcW w:w="879" w:type="pct"/>
                  <w:noWrap/>
                  <w:vAlign w:val="center"/>
                </w:tcPr>
                <w:p w14:paraId="1A76D898">
                  <w:pPr>
                    <w:widowControl/>
                    <w:adjustRightInd w:val="0"/>
                    <w:snapToGrid w:val="0"/>
                    <w:jc w:val="center"/>
                    <w:textAlignment w:val="center"/>
                    <w:rPr>
                      <w:color w:val="000000"/>
                      <w:kern w:val="0"/>
                      <w:sz w:val="18"/>
                      <w:szCs w:val="18"/>
                      <w:lang w:bidi="ar"/>
                    </w:rPr>
                  </w:pPr>
                  <w:r>
                    <w:rPr>
                      <w:rFonts w:hint="eastAsia"/>
                      <w:color w:val="000000"/>
                      <w:sz w:val="18"/>
                      <w:szCs w:val="18"/>
                    </w:rPr>
                    <w:t xml:space="preserve">0.01 </w:t>
                  </w:r>
                </w:p>
              </w:tc>
              <w:tc>
                <w:tcPr>
                  <w:tcW w:w="1133" w:type="dxa"/>
                  <w:noWrap/>
                  <w:vAlign w:val="center"/>
                </w:tcPr>
                <w:p w14:paraId="7DD400E7">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0.38</w:t>
                  </w:r>
                </w:p>
              </w:tc>
              <w:tc>
                <w:tcPr>
                  <w:tcW w:w="680" w:type="pct"/>
                  <w:vMerge w:val="continue"/>
                  <w:noWrap/>
                  <w:vAlign w:val="center"/>
                </w:tcPr>
                <w:p w14:paraId="7C75AFA3">
                  <w:pPr>
                    <w:widowControl/>
                    <w:adjustRightInd w:val="0"/>
                    <w:snapToGrid w:val="0"/>
                    <w:jc w:val="center"/>
                    <w:rPr>
                      <w:rFonts w:hint="eastAsia"/>
                      <w:color w:val="000000"/>
                      <w:sz w:val="18"/>
                      <w:szCs w:val="18"/>
                    </w:rPr>
                  </w:pPr>
                </w:p>
              </w:tc>
              <w:tc>
                <w:tcPr>
                  <w:tcW w:w="752" w:type="pct"/>
                  <w:noWrap/>
                  <w:vAlign w:val="center"/>
                </w:tcPr>
                <w:p w14:paraId="5544F75C">
                  <w:pPr>
                    <w:widowControl/>
                    <w:adjustRightInd w:val="0"/>
                    <w:snapToGrid w:val="0"/>
                    <w:jc w:val="center"/>
                    <w:rPr>
                      <w:color w:val="000000"/>
                      <w:sz w:val="18"/>
                      <w:szCs w:val="18"/>
                    </w:rPr>
                  </w:pPr>
                  <w:r>
                    <w:rPr>
                      <w:rFonts w:hint="eastAsia"/>
                      <w:color w:val="000000"/>
                      <w:sz w:val="18"/>
                      <w:szCs w:val="18"/>
                    </w:rPr>
                    <w:t>达标</w:t>
                  </w:r>
                </w:p>
              </w:tc>
            </w:tr>
            <w:tr w14:paraId="60484D4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3A8252D4">
                  <w:pPr>
                    <w:widowControl/>
                    <w:adjustRightInd w:val="0"/>
                    <w:snapToGrid w:val="0"/>
                    <w:jc w:val="center"/>
                    <w:rPr>
                      <w:color w:val="000000"/>
                      <w:sz w:val="18"/>
                      <w:szCs w:val="18"/>
                    </w:rPr>
                  </w:pPr>
                </w:p>
              </w:tc>
              <w:tc>
                <w:tcPr>
                  <w:tcW w:w="613" w:type="pct"/>
                  <w:vMerge w:val="restart"/>
                  <w:noWrap/>
                  <w:vAlign w:val="center"/>
                </w:tcPr>
                <w:p w14:paraId="1968FC3D">
                  <w:pPr>
                    <w:widowControl/>
                    <w:adjustRightInd w:val="0"/>
                    <w:snapToGrid w:val="0"/>
                    <w:jc w:val="center"/>
                    <w:textAlignment w:val="center"/>
                    <w:rPr>
                      <w:color w:val="000000"/>
                      <w:sz w:val="18"/>
                      <w:szCs w:val="18"/>
                    </w:rPr>
                  </w:pPr>
                  <w:r>
                    <w:rPr>
                      <w:color w:val="000000"/>
                      <w:kern w:val="0"/>
                      <w:sz w:val="18"/>
                      <w:szCs w:val="18"/>
                      <w:lang w:bidi="ar"/>
                    </w:rPr>
                    <w:t>排放量</w:t>
                  </w:r>
                  <w:r>
                    <w:rPr>
                      <w:rFonts w:hint="eastAsia"/>
                      <w:color w:val="000000"/>
                      <w:kern w:val="0"/>
                      <w:sz w:val="18"/>
                      <w:szCs w:val="18"/>
                      <w:lang w:bidi="ar"/>
                    </w:rPr>
                    <w:t>t/a</w:t>
                  </w:r>
                </w:p>
              </w:tc>
              <w:tc>
                <w:tcPr>
                  <w:tcW w:w="870" w:type="pct"/>
                  <w:noWrap/>
                  <w:vAlign w:val="center"/>
                </w:tcPr>
                <w:p w14:paraId="69694FFC">
                  <w:pPr>
                    <w:widowControl/>
                    <w:adjustRightInd w:val="0"/>
                    <w:snapToGrid w:val="0"/>
                    <w:jc w:val="center"/>
                    <w:textAlignment w:val="center"/>
                    <w:rPr>
                      <w:color w:val="000000"/>
                      <w:sz w:val="18"/>
                      <w:szCs w:val="18"/>
                    </w:rPr>
                  </w:pPr>
                  <w:r>
                    <w:rPr>
                      <w:rFonts w:hint="eastAsia"/>
                      <w:color w:val="000000"/>
                      <w:sz w:val="18"/>
                      <w:szCs w:val="18"/>
                    </w:rPr>
                    <w:t>颗粒物</w:t>
                  </w:r>
                </w:p>
              </w:tc>
              <w:tc>
                <w:tcPr>
                  <w:tcW w:w="879" w:type="pct"/>
                  <w:noWrap/>
                  <w:vAlign w:val="center"/>
                </w:tcPr>
                <w:p w14:paraId="646320A8">
                  <w:pPr>
                    <w:widowControl/>
                    <w:adjustRightInd w:val="0"/>
                    <w:snapToGrid w:val="0"/>
                    <w:jc w:val="center"/>
                    <w:textAlignment w:val="center"/>
                    <w:rPr>
                      <w:color w:val="000000"/>
                      <w:kern w:val="0"/>
                      <w:sz w:val="18"/>
                      <w:szCs w:val="18"/>
                      <w:lang w:bidi="ar"/>
                    </w:rPr>
                  </w:pPr>
                  <w:r>
                    <w:rPr>
                      <w:rFonts w:hint="eastAsia"/>
                      <w:color w:val="000000"/>
                      <w:kern w:val="0"/>
                      <w:sz w:val="18"/>
                      <w:szCs w:val="18"/>
                      <w:lang w:bidi="ar"/>
                    </w:rPr>
                    <w:t>0.024</w:t>
                  </w:r>
                </w:p>
              </w:tc>
              <w:tc>
                <w:tcPr>
                  <w:tcW w:w="671" w:type="pct"/>
                  <w:noWrap/>
                  <w:vAlign w:val="center"/>
                </w:tcPr>
                <w:p w14:paraId="272D9310">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47F8AD29">
                  <w:pPr>
                    <w:widowControl/>
                    <w:adjustRightInd w:val="0"/>
                    <w:snapToGrid w:val="0"/>
                    <w:jc w:val="center"/>
                    <w:rPr>
                      <w:color w:val="000000"/>
                      <w:kern w:val="0"/>
                      <w:sz w:val="18"/>
                      <w:szCs w:val="18"/>
                      <w:lang w:bidi="ar"/>
                    </w:rPr>
                  </w:pPr>
                </w:p>
              </w:tc>
              <w:tc>
                <w:tcPr>
                  <w:tcW w:w="752" w:type="pct"/>
                  <w:noWrap/>
                  <w:vAlign w:val="center"/>
                </w:tcPr>
                <w:p w14:paraId="4D590B73">
                  <w:pPr>
                    <w:widowControl/>
                    <w:adjustRightInd w:val="0"/>
                    <w:snapToGrid w:val="0"/>
                    <w:jc w:val="center"/>
                    <w:rPr>
                      <w:rFonts w:hint="eastAsia"/>
                      <w:color w:val="000000"/>
                      <w:sz w:val="18"/>
                      <w:szCs w:val="18"/>
                    </w:rPr>
                  </w:pPr>
                  <w:r>
                    <w:rPr>
                      <w:color w:val="000000"/>
                      <w:kern w:val="0"/>
                      <w:sz w:val="18"/>
                      <w:szCs w:val="18"/>
                      <w:lang w:bidi="ar"/>
                    </w:rPr>
                    <w:t>/</w:t>
                  </w:r>
                </w:p>
              </w:tc>
            </w:tr>
            <w:tr w14:paraId="3B58E33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7313D7E8">
                  <w:pPr>
                    <w:widowControl/>
                    <w:adjustRightInd w:val="0"/>
                    <w:snapToGrid w:val="0"/>
                    <w:jc w:val="center"/>
                    <w:rPr>
                      <w:color w:val="000000"/>
                      <w:sz w:val="18"/>
                      <w:szCs w:val="18"/>
                    </w:rPr>
                  </w:pPr>
                </w:p>
              </w:tc>
              <w:tc>
                <w:tcPr>
                  <w:tcW w:w="613" w:type="pct"/>
                  <w:vMerge w:val="continue"/>
                  <w:noWrap/>
                  <w:vAlign w:val="center"/>
                </w:tcPr>
                <w:p w14:paraId="1ACFD7B8">
                  <w:pPr>
                    <w:widowControl/>
                    <w:adjustRightInd w:val="0"/>
                    <w:snapToGrid w:val="0"/>
                    <w:jc w:val="center"/>
                    <w:textAlignment w:val="center"/>
                    <w:rPr>
                      <w:color w:val="000000"/>
                      <w:kern w:val="0"/>
                      <w:sz w:val="18"/>
                      <w:szCs w:val="18"/>
                      <w:lang w:bidi="ar"/>
                    </w:rPr>
                  </w:pPr>
                </w:p>
              </w:tc>
              <w:tc>
                <w:tcPr>
                  <w:tcW w:w="870" w:type="pct"/>
                  <w:noWrap/>
                  <w:vAlign w:val="center"/>
                </w:tcPr>
                <w:p w14:paraId="7B625CE9">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162BD03A">
                  <w:pPr>
                    <w:widowControl/>
                    <w:adjustRightInd w:val="0"/>
                    <w:snapToGrid w:val="0"/>
                    <w:jc w:val="center"/>
                    <w:textAlignment w:val="center"/>
                    <w:rPr>
                      <w:rFonts w:hint="eastAsia"/>
                      <w:color w:val="000000"/>
                      <w:kern w:val="0"/>
                      <w:sz w:val="18"/>
                      <w:szCs w:val="18"/>
                      <w:lang w:bidi="ar"/>
                    </w:rPr>
                  </w:pPr>
                  <w:r>
                    <w:rPr>
                      <w:rFonts w:hint="eastAsia"/>
                      <w:color w:val="000000"/>
                      <w:sz w:val="18"/>
                      <w:szCs w:val="18"/>
                    </w:rPr>
                    <w:t xml:space="preserve">0.533 </w:t>
                  </w:r>
                </w:p>
              </w:tc>
              <w:tc>
                <w:tcPr>
                  <w:tcW w:w="671" w:type="pct"/>
                  <w:noWrap/>
                  <w:vAlign w:val="center"/>
                </w:tcPr>
                <w:p w14:paraId="0C692D41">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7CF6B6E4">
                  <w:pPr>
                    <w:widowControl/>
                    <w:adjustRightInd w:val="0"/>
                    <w:snapToGrid w:val="0"/>
                    <w:jc w:val="center"/>
                    <w:rPr>
                      <w:rFonts w:hint="eastAsia"/>
                      <w:color w:val="000000"/>
                      <w:sz w:val="18"/>
                      <w:szCs w:val="18"/>
                    </w:rPr>
                  </w:pPr>
                </w:p>
              </w:tc>
              <w:tc>
                <w:tcPr>
                  <w:tcW w:w="752" w:type="pct"/>
                  <w:noWrap/>
                  <w:vAlign w:val="center"/>
                </w:tcPr>
                <w:p w14:paraId="089381F4">
                  <w:pPr>
                    <w:widowControl/>
                    <w:adjustRightInd w:val="0"/>
                    <w:snapToGrid w:val="0"/>
                    <w:jc w:val="center"/>
                    <w:rPr>
                      <w:rFonts w:hint="eastAsia"/>
                      <w:color w:val="000000"/>
                      <w:sz w:val="18"/>
                      <w:szCs w:val="18"/>
                    </w:rPr>
                  </w:pPr>
                  <w:r>
                    <w:rPr>
                      <w:rFonts w:hint="eastAsia"/>
                      <w:color w:val="000000"/>
                      <w:sz w:val="18"/>
                      <w:szCs w:val="18"/>
                    </w:rPr>
                    <w:t>/</w:t>
                  </w:r>
                </w:p>
              </w:tc>
            </w:tr>
            <w:tr w14:paraId="42AF350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42407201">
                  <w:pPr>
                    <w:widowControl/>
                    <w:adjustRightInd w:val="0"/>
                    <w:snapToGrid w:val="0"/>
                    <w:jc w:val="center"/>
                    <w:rPr>
                      <w:color w:val="000000"/>
                      <w:sz w:val="18"/>
                      <w:szCs w:val="18"/>
                    </w:rPr>
                  </w:pPr>
                </w:p>
              </w:tc>
              <w:tc>
                <w:tcPr>
                  <w:tcW w:w="613" w:type="pct"/>
                  <w:vMerge w:val="continue"/>
                  <w:noWrap/>
                  <w:vAlign w:val="center"/>
                </w:tcPr>
                <w:p w14:paraId="31ABF291">
                  <w:pPr>
                    <w:widowControl/>
                    <w:adjustRightInd w:val="0"/>
                    <w:snapToGrid w:val="0"/>
                    <w:jc w:val="center"/>
                    <w:rPr>
                      <w:color w:val="000000"/>
                      <w:sz w:val="18"/>
                      <w:szCs w:val="18"/>
                    </w:rPr>
                  </w:pPr>
                </w:p>
              </w:tc>
              <w:tc>
                <w:tcPr>
                  <w:tcW w:w="870" w:type="pct"/>
                  <w:noWrap/>
                  <w:vAlign w:val="center"/>
                </w:tcPr>
                <w:p w14:paraId="391F0072">
                  <w:pPr>
                    <w:widowControl/>
                    <w:adjustRightInd w:val="0"/>
                    <w:snapToGrid w:val="0"/>
                    <w:jc w:val="center"/>
                    <w:textAlignment w:val="center"/>
                    <w:rPr>
                      <w:color w:val="000000"/>
                      <w:sz w:val="18"/>
                      <w:szCs w:val="18"/>
                    </w:rPr>
                  </w:pPr>
                  <w:r>
                    <w:rPr>
                      <w:color w:val="000000"/>
                      <w:kern w:val="0"/>
                      <w:sz w:val="18"/>
                      <w:szCs w:val="18"/>
                      <w:lang w:bidi="ar"/>
                    </w:rPr>
                    <w:t>氯化氢</w:t>
                  </w:r>
                </w:p>
              </w:tc>
              <w:tc>
                <w:tcPr>
                  <w:tcW w:w="879" w:type="pct"/>
                  <w:noWrap/>
                  <w:vAlign w:val="center"/>
                </w:tcPr>
                <w:p w14:paraId="4906D70E">
                  <w:pPr>
                    <w:widowControl/>
                    <w:adjustRightInd w:val="0"/>
                    <w:snapToGrid w:val="0"/>
                    <w:jc w:val="center"/>
                    <w:textAlignment w:val="center"/>
                    <w:rPr>
                      <w:color w:val="000000"/>
                      <w:kern w:val="0"/>
                      <w:sz w:val="18"/>
                      <w:szCs w:val="18"/>
                      <w:lang w:bidi="ar"/>
                    </w:rPr>
                  </w:pPr>
                  <w:r>
                    <w:rPr>
                      <w:rFonts w:hint="eastAsia"/>
                      <w:color w:val="000000"/>
                      <w:sz w:val="18"/>
                      <w:szCs w:val="18"/>
                    </w:rPr>
                    <w:t xml:space="preserve">0.012 </w:t>
                  </w:r>
                </w:p>
              </w:tc>
              <w:tc>
                <w:tcPr>
                  <w:tcW w:w="671" w:type="pct"/>
                  <w:noWrap/>
                  <w:vAlign w:val="center"/>
                </w:tcPr>
                <w:p w14:paraId="382ECED4">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6DE5B0A1">
                  <w:pPr>
                    <w:widowControl/>
                    <w:adjustRightInd w:val="0"/>
                    <w:snapToGrid w:val="0"/>
                    <w:jc w:val="center"/>
                    <w:rPr>
                      <w:rFonts w:hint="eastAsia"/>
                      <w:color w:val="000000"/>
                      <w:sz w:val="18"/>
                      <w:szCs w:val="18"/>
                    </w:rPr>
                  </w:pPr>
                </w:p>
              </w:tc>
              <w:tc>
                <w:tcPr>
                  <w:tcW w:w="752" w:type="pct"/>
                  <w:noWrap/>
                  <w:vAlign w:val="center"/>
                </w:tcPr>
                <w:p w14:paraId="0DEC52CA">
                  <w:pPr>
                    <w:widowControl/>
                    <w:adjustRightInd w:val="0"/>
                    <w:snapToGrid w:val="0"/>
                    <w:jc w:val="center"/>
                    <w:rPr>
                      <w:rFonts w:hint="eastAsia"/>
                      <w:color w:val="000000"/>
                      <w:sz w:val="18"/>
                      <w:szCs w:val="18"/>
                    </w:rPr>
                  </w:pPr>
                  <w:r>
                    <w:rPr>
                      <w:rFonts w:hint="eastAsia"/>
                      <w:color w:val="000000"/>
                      <w:sz w:val="18"/>
                      <w:szCs w:val="18"/>
                    </w:rPr>
                    <w:t>/</w:t>
                  </w:r>
                </w:p>
              </w:tc>
            </w:tr>
            <w:tr w14:paraId="7C7A116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2F80C1AC">
                  <w:pPr>
                    <w:widowControl/>
                    <w:adjustRightInd w:val="0"/>
                    <w:snapToGrid w:val="0"/>
                    <w:jc w:val="center"/>
                    <w:rPr>
                      <w:color w:val="000000"/>
                      <w:sz w:val="18"/>
                      <w:szCs w:val="18"/>
                    </w:rPr>
                  </w:pPr>
                </w:p>
              </w:tc>
              <w:tc>
                <w:tcPr>
                  <w:tcW w:w="613" w:type="pct"/>
                  <w:vMerge w:val="continue"/>
                  <w:noWrap/>
                  <w:vAlign w:val="center"/>
                </w:tcPr>
                <w:p w14:paraId="3728AA12">
                  <w:pPr>
                    <w:widowControl/>
                    <w:adjustRightInd w:val="0"/>
                    <w:snapToGrid w:val="0"/>
                    <w:jc w:val="center"/>
                    <w:rPr>
                      <w:color w:val="000000"/>
                      <w:sz w:val="18"/>
                      <w:szCs w:val="18"/>
                    </w:rPr>
                  </w:pPr>
                </w:p>
              </w:tc>
              <w:tc>
                <w:tcPr>
                  <w:tcW w:w="870" w:type="pct"/>
                  <w:noWrap/>
                  <w:vAlign w:val="center"/>
                </w:tcPr>
                <w:p w14:paraId="417A24D5">
                  <w:pPr>
                    <w:widowControl/>
                    <w:adjustRightInd w:val="0"/>
                    <w:snapToGrid w:val="0"/>
                    <w:jc w:val="center"/>
                    <w:textAlignment w:val="center"/>
                    <w:rPr>
                      <w:color w:val="000000"/>
                      <w:sz w:val="18"/>
                      <w:szCs w:val="18"/>
                    </w:rPr>
                  </w:pPr>
                  <w:r>
                    <w:rPr>
                      <w:color w:val="000000"/>
                      <w:kern w:val="0"/>
                      <w:sz w:val="18"/>
                      <w:szCs w:val="18"/>
                      <w:lang w:bidi="ar"/>
                    </w:rPr>
                    <w:t>氯乙烯</w:t>
                  </w:r>
                </w:p>
              </w:tc>
              <w:tc>
                <w:tcPr>
                  <w:tcW w:w="879" w:type="pct"/>
                  <w:noWrap/>
                  <w:vAlign w:val="center"/>
                </w:tcPr>
                <w:p w14:paraId="34F26B39">
                  <w:pPr>
                    <w:widowControl/>
                    <w:adjustRightInd w:val="0"/>
                    <w:snapToGrid w:val="0"/>
                    <w:jc w:val="center"/>
                    <w:textAlignment w:val="center"/>
                    <w:rPr>
                      <w:color w:val="000000"/>
                      <w:kern w:val="0"/>
                      <w:sz w:val="18"/>
                      <w:szCs w:val="18"/>
                      <w:lang w:bidi="ar"/>
                    </w:rPr>
                  </w:pPr>
                  <w:r>
                    <w:rPr>
                      <w:rFonts w:hint="eastAsia"/>
                      <w:color w:val="000000"/>
                      <w:sz w:val="18"/>
                      <w:szCs w:val="18"/>
                    </w:rPr>
                    <w:t xml:space="preserve">0.018 </w:t>
                  </w:r>
                </w:p>
              </w:tc>
              <w:tc>
                <w:tcPr>
                  <w:tcW w:w="671" w:type="pct"/>
                  <w:noWrap/>
                  <w:vAlign w:val="center"/>
                </w:tcPr>
                <w:p w14:paraId="46A0A9A5">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2AEC0339">
                  <w:pPr>
                    <w:widowControl/>
                    <w:adjustRightInd w:val="0"/>
                    <w:snapToGrid w:val="0"/>
                    <w:jc w:val="center"/>
                    <w:rPr>
                      <w:rFonts w:hint="eastAsia"/>
                      <w:color w:val="000000"/>
                      <w:sz w:val="18"/>
                      <w:szCs w:val="18"/>
                    </w:rPr>
                  </w:pPr>
                </w:p>
              </w:tc>
              <w:tc>
                <w:tcPr>
                  <w:tcW w:w="752" w:type="pct"/>
                  <w:noWrap/>
                  <w:vAlign w:val="center"/>
                </w:tcPr>
                <w:p w14:paraId="1038FE9D">
                  <w:pPr>
                    <w:widowControl/>
                    <w:adjustRightInd w:val="0"/>
                    <w:snapToGrid w:val="0"/>
                    <w:jc w:val="center"/>
                    <w:rPr>
                      <w:rFonts w:hint="eastAsia"/>
                      <w:color w:val="000000"/>
                      <w:sz w:val="18"/>
                      <w:szCs w:val="18"/>
                    </w:rPr>
                  </w:pPr>
                  <w:r>
                    <w:rPr>
                      <w:rFonts w:hint="eastAsia"/>
                      <w:color w:val="000000"/>
                      <w:sz w:val="18"/>
                      <w:szCs w:val="18"/>
                    </w:rPr>
                    <w:t>/</w:t>
                  </w:r>
                </w:p>
              </w:tc>
            </w:tr>
            <w:tr w14:paraId="55DA171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restart"/>
                  <w:noWrap/>
                  <w:vAlign w:val="center"/>
                </w:tcPr>
                <w:p w14:paraId="181E5575">
                  <w:pPr>
                    <w:widowControl/>
                    <w:adjustRightInd w:val="0"/>
                    <w:snapToGrid w:val="0"/>
                    <w:jc w:val="center"/>
                    <w:textAlignment w:val="center"/>
                    <w:rPr>
                      <w:color w:val="000000"/>
                      <w:sz w:val="18"/>
                      <w:szCs w:val="18"/>
                    </w:rPr>
                  </w:pPr>
                  <w:r>
                    <w:rPr>
                      <w:color w:val="000000"/>
                      <w:kern w:val="0"/>
                      <w:sz w:val="18"/>
                      <w:szCs w:val="18"/>
                      <w:lang w:bidi="ar"/>
                    </w:rPr>
                    <w:t>DA00</w:t>
                  </w:r>
                  <w:r>
                    <w:rPr>
                      <w:rFonts w:hint="eastAsia"/>
                      <w:color w:val="000000"/>
                      <w:kern w:val="0"/>
                      <w:sz w:val="18"/>
                      <w:szCs w:val="18"/>
                      <w:lang w:bidi="ar"/>
                    </w:rPr>
                    <w:t>3</w:t>
                  </w:r>
                </w:p>
              </w:tc>
              <w:tc>
                <w:tcPr>
                  <w:tcW w:w="613" w:type="pct"/>
                  <w:noWrap/>
                  <w:vAlign w:val="center"/>
                </w:tcPr>
                <w:p w14:paraId="7DFADA2D">
                  <w:pPr>
                    <w:widowControl/>
                    <w:adjustRightInd w:val="0"/>
                    <w:snapToGrid w:val="0"/>
                    <w:jc w:val="center"/>
                    <w:textAlignment w:val="center"/>
                    <w:rPr>
                      <w:color w:val="000000"/>
                      <w:sz w:val="18"/>
                      <w:szCs w:val="18"/>
                    </w:rPr>
                  </w:pPr>
                  <w:r>
                    <w:rPr>
                      <w:color w:val="000000"/>
                      <w:kern w:val="0"/>
                      <w:sz w:val="18"/>
                      <w:szCs w:val="18"/>
                      <w:lang w:bidi="ar"/>
                    </w:rPr>
                    <w:t>排放浓度</w:t>
                  </w:r>
                  <w:r>
                    <w:rPr>
                      <w:rFonts w:hint="eastAsia"/>
                      <w:color w:val="000000"/>
                      <w:kern w:val="0"/>
                      <w:sz w:val="18"/>
                      <w:szCs w:val="18"/>
                      <w:lang w:bidi="ar"/>
                    </w:rPr>
                    <w:t>mg/m</w:t>
                  </w:r>
                  <w:r>
                    <w:rPr>
                      <w:rFonts w:hint="eastAsia"/>
                      <w:color w:val="000000"/>
                      <w:kern w:val="0"/>
                      <w:sz w:val="18"/>
                      <w:szCs w:val="18"/>
                      <w:vertAlign w:val="superscript"/>
                      <w:lang w:bidi="ar"/>
                    </w:rPr>
                    <w:t>3</w:t>
                  </w:r>
                </w:p>
              </w:tc>
              <w:tc>
                <w:tcPr>
                  <w:tcW w:w="870" w:type="pct"/>
                  <w:noWrap/>
                  <w:vAlign w:val="center"/>
                </w:tcPr>
                <w:p w14:paraId="1AD6B84F">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33E431F3">
                  <w:pPr>
                    <w:widowControl/>
                    <w:adjustRightInd w:val="0"/>
                    <w:snapToGrid w:val="0"/>
                    <w:jc w:val="center"/>
                    <w:rPr>
                      <w:color w:val="000000"/>
                      <w:sz w:val="18"/>
                      <w:szCs w:val="18"/>
                    </w:rPr>
                  </w:pPr>
                  <w:r>
                    <w:rPr>
                      <w:rFonts w:hint="eastAsia"/>
                      <w:color w:val="000000"/>
                      <w:sz w:val="18"/>
                      <w:szCs w:val="18"/>
                    </w:rPr>
                    <w:t>20.8</w:t>
                  </w:r>
                </w:p>
              </w:tc>
              <w:tc>
                <w:tcPr>
                  <w:tcW w:w="671" w:type="pct"/>
                  <w:noWrap/>
                  <w:vAlign w:val="center"/>
                </w:tcPr>
                <w:p w14:paraId="75D02653">
                  <w:pPr>
                    <w:widowControl/>
                    <w:adjustRightInd w:val="0"/>
                    <w:snapToGrid w:val="0"/>
                    <w:jc w:val="center"/>
                    <w:textAlignment w:val="center"/>
                    <w:rPr>
                      <w:color w:val="000000"/>
                      <w:sz w:val="18"/>
                      <w:szCs w:val="18"/>
                    </w:rPr>
                  </w:pPr>
                  <w:r>
                    <w:rPr>
                      <w:color w:val="000000"/>
                      <w:kern w:val="0"/>
                      <w:sz w:val="18"/>
                      <w:szCs w:val="18"/>
                      <w:lang w:bidi="ar"/>
                    </w:rPr>
                    <w:t>60</w:t>
                  </w:r>
                </w:p>
              </w:tc>
              <w:tc>
                <w:tcPr>
                  <w:tcW w:w="680" w:type="pct"/>
                  <w:vMerge w:val="restart"/>
                  <w:noWrap/>
                  <w:vAlign w:val="center"/>
                </w:tcPr>
                <w:p w14:paraId="78D928C8">
                  <w:pPr>
                    <w:widowControl/>
                    <w:adjustRightInd w:val="0"/>
                    <w:snapToGrid w:val="0"/>
                    <w:jc w:val="center"/>
                    <w:rPr>
                      <w:rFonts w:hint="eastAsia"/>
                      <w:color w:val="000000"/>
                      <w:sz w:val="18"/>
                      <w:szCs w:val="18"/>
                    </w:rPr>
                  </w:pPr>
                  <w:r>
                    <w:rPr>
                      <w:rFonts w:hint="eastAsia"/>
                      <w:color w:val="000000"/>
                      <w:sz w:val="18"/>
                      <w:szCs w:val="18"/>
                    </w:rPr>
                    <w:t>《合成树脂工业污染物排放标准》(GB31572-2015)</w:t>
                  </w:r>
                </w:p>
              </w:tc>
              <w:tc>
                <w:tcPr>
                  <w:tcW w:w="752" w:type="pct"/>
                  <w:noWrap/>
                  <w:vAlign w:val="center"/>
                </w:tcPr>
                <w:p w14:paraId="2E83036A">
                  <w:pPr>
                    <w:widowControl/>
                    <w:adjustRightInd w:val="0"/>
                    <w:snapToGrid w:val="0"/>
                    <w:jc w:val="center"/>
                    <w:rPr>
                      <w:rFonts w:hint="eastAsia"/>
                      <w:color w:val="000000"/>
                      <w:sz w:val="18"/>
                      <w:szCs w:val="18"/>
                    </w:rPr>
                  </w:pPr>
                  <w:r>
                    <w:rPr>
                      <w:rFonts w:hint="eastAsia"/>
                      <w:color w:val="000000"/>
                      <w:sz w:val="18"/>
                      <w:szCs w:val="18"/>
                    </w:rPr>
                    <w:t>达标</w:t>
                  </w:r>
                </w:p>
              </w:tc>
            </w:tr>
            <w:tr w14:paraId="3FA1078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65A47A19">
                  <w:pPr>
                    <w:widowControl/>
                    <w:adjustRightInd w:val="0"/>
                    <w:snapToGrid w:val="0"/>
                    <w:jc w:val="center"/>
                    <w:rPr>
                      <w:color w:val="000000"/>
                      <w:sz w:val="18"/>
                      <w:szCs w:val="18"/>
                    </w:rPr>
                  </w:pPr>
                </w:p>
              </w:tc>
              <w:tc>
                <w:tcPr>
                  <w:tcW w:w="613" w:type="pct"/>
                  <w:noWrap/>
                  <w:vAlign w:val="center"/>
                </w:tcPr>
                <w:p w14:paraId="2C56C399">
                  <w:pPr>
                    <w:widowControl/>
                    <w:adjustRightInd w:val="0"/>
                    <w:snapToGrid w:val="0"/>
                    <w:jc w:val="center"/>
                    <w:textAlignment w:val="center"/>
                    <w:rPr>
                      <w:color w:val="000000"/>
                      <w:sz w:val="18"/>
                      <w:szCs w:val="18"/>
                    </w:rPr>
                  </w:pPr>
                  <w:r>
                    <w:rPr>
                      <w:color w:val="000000"/>
                      <w:kern w:val="0"/>
                      <w:sz w:val="18"/>
                      <w:szCs w:val="18"/>
                      <w:lang w:bidi="ar"/>
                    </w:rPr>
                    <w:t>排放速率</w:t>
                  </w:r>
                  <w:r>
                    <w:rPr>
                      <w:rFonts w:hint="eastAsia"/>
                      <w:color w:val="000000"/>
                      <w:kern w:val="0"/>
                      <w:sz w:val="18"/>
                      <w:szCs w:val="18"/>
                      <w:lang w:bidi="ar"/>
                    </w:rPr>
                    <w:t>kg/h</w:t>
                  </w:r>
                </w:p>
              </w:tc>
              <w:tc>
                <w:tcPr>
                  <w:tcW w:w="870" w:type="pct"/>
                  <w:noWrap/>
                  <w:vAlign w:val="center"/>
                </w:tcPr>
                <w:p w14:paraId="254632DE">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0B6876F3">
                  <w:pPr>
                    <w:widowControl/>
                    <w:adjustRightInd w:val="0"/>
                    <w:snapToGrid w:val="0"/>
                    <w:jc w:val="center"/>
                    <w:rPr>
                      <w:color w:val="000000"/>
                      <w:sz w:val="18"/>
                      <w:szCs w:val="18"/>
                    </w:rPr>
                  </w:pPr>
                  <w:r>
                    <w:rPr>
                      <w:rFonts w:hint="eastAsia"/>
                      <w:color w:val="000000"/>
                      <w:sz w:val="18"/>
                      <w:szCs w:val="18"/>
                    </w:rPr>
                    <w:t>0.45</w:t>
                  </w:r>
                </w:p>
              </w:tc>
              <w:tc>
                <w:tcPr>
                  <w:tcW w:w="671" w:type="pct"/>
                  <w:noWrap/>
                  <w:vAlign w:val="center"/>
                </w:tcPr>
                <w:p w14:paraId="003CB08D">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3B349CEB">
                  <w:pPr>
                    <w:widowControl/>
                    <w:adjustRightInd w:val="0"/>
                    <w:snapToGrid w:val="0"/>
                    <w:jc w:val="center"/>
                    <w:rPr>
                      <w:rFonts w:hint="eastAsia"/>
                      <w:color w:val="000000"/>
                      <w:sz w:val="18"/>
                      <w:szCs w:val="18"/>
                    </w:rPr>
                  </w:pPr>
                </w:p>
              </w:tc>
              <w:tc>
                <w:tcPr>
                  <w:tcW w:w="752" w:type="pct"/>
                  <w:noWrap/>
                  <w:vAlign w:val="center"/>
                </w:tcPr>
                <w:p w14:paraId="35114F4B">
                  <w:pPr>
                    <w:widowControl/>
                    <w:adjustRightInd w:val="0"/>
                    <w:snapToGrid w:val="0"/>
                    <w:jc w:val="center"/>
                    <w:rPr>
                      <w:rFonts w:hint="eastAsia"/>
                      <w:color w:val="000000"/>
                      <w:sz w:val="18"/>
                      <w:szCs w:val="18"/>
                    </w:rPr>
                  </w:pPr>
                  <w:r>
                    <w:rPr>
                      <w:rFonts w:hint="eastAsia"/>
                      <w:color w:val="000000"/>
                      <w:sz w:val="18"/>
                      <w:szCs w:val="18"/>
                    </w:rPr>
                    <w:t>/</w:t>
                  </w:r>
                </w:p>
              </w:tc>
            </w:tr>
            <w:tr w14:paraId="672BA90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5" w:hRule="atLeast"/>
              </w:trPr>
              <w:tc>
                <w:tcPr>
                  <w:tcW w:w="533" w:type="pct"/>
                  <w:vMerge w:val="continue"/>
                  <w:noWrap/>
                  <w:vAlign w:val="center"/>
                </w:tcPr>
                <w:p w14:paraId="0AFC7ABA">
                  <w:pPr>
                    <w:widowControl/>
                    <w:adjustRightInd w:val="0"/>
                    <w:snapToGrid w:val="0"/>
                    <w:jc w:val="center"/>
                    <w:rPr>
                      <w:color w:val="000000"/>
                      <w:sz w:val="18"/>
                      <w:szCs w:val="18"/>
                    </w:rPr>
                  </w:pPr>
                </w:p>
              </w:tc>
              <w:tc>
                <w:tcPr>
                  <w:tcW w:w="613" w:type="pct"/>
                  <w:noWrap/>
                  <w:vAlign w:val="center"/>
                </w:tcPr>
                <w:p w14:paraId="5F98141B">
                  <w:pPr>
                    <w:widowControl/>
                    <w:adjustRightInd w:val="0"/>
                    <w:snapToGrid w:val="0"/>
                    <w:jc w:val="center"/>
                    <w:textAlignment w:val="center"/>
                    <w:rPr>
                      <w:color w:val="000000"/>
                      <w:sz w:val="18"/>
                      <w:szCs w:val="18"/>
                    </w:rPr>
                  </w:pPr>
                  <w:r>
                    <w:rPr>
                      <w:color w:val="000000"/>
                      <w:kern w:val="0"/>
                      <w:sz w:val="18"/>
                      <w:szCs w:val="18"/>
                      <w:lang w:bidi="ar"/>
                    </w:rPr>
                    <w:t>排放量</w:t>
                  </w:r>
                  <w:r>
                    <w:rPr>
                      <w:rFonts w:hint="eastAsia"/>
                      <w:color w:val="000000"/>
                      <w:kern w:val="0"/>
                      <w:sz w:val="18"/>
                      <w:szCs w:val="18"/>
                      <w:lang w:bidi="ar"/>
                    </w:rPr>
                    <w:t>t/a</w:t>
                  </w:r>
                </w:p>
              </w:tc>
              <w:tc>
                <w:tcPr>
                  <w:tcW w:w="870" w:type="pct"/>
                  <w:noWrap/>
                  <w:vAlign w:val="center"/>
                </w:tcPr>
                <w:p w14:paraId="47C26A71">
                  <w:pPr>
                    <w:widowControl/>
                    <w:adjustRightInd w:val="0"/>
                    <w:snapToGrid w:val="0"/>
                    <w:jc w:val="center"/>
                    <w:textAlignment w:val="center"/>
                    <w:rPr>
                      <w:color w:val="000000"/>
                      <w:sz w:val="18"/>
                      <w:szCs w:val="18"/>
                    </w:rPr>
                  </w:pPr>
                  <w:r>
                    <w:rPr>
                      <w:color w:val="000000"/>
                      <w:kern w:val="0"/>
                      <w:sz w:val="18"/>
                      <w:szCs w:val="18"/>
                      <w:lang w:bidi="ar"/>
                    </w:rPr>
                    <w:t>非甲烷总烃</w:t>
                  </w:r>
                </w:p>
              </w:tc>
              <w:tc>
                <w:tcPr>
                  <w:tcW w:w="879" w:type="pct"/>
                  <w:noWrap/>
                  <w:vAlign w:val="center"/>
                </w:tcPr>
                <w:p w14:paraId="7FD88D7C">
                  <w:pPr>
                    <w:widowControl/>
                    <w:adjustRightInd w:val="0"/>
                    <w:snapToGrid w:val="0"/>
                    <w:jc w:val="center"/>
                    <w:rPr>
                      <w:color w:val="000000"/>
                      <w:sz w:val="18"/>
                      <w:szCs w:val="18"/>
                    </w:rPr>
                  </w:pPr>
                  <w:r>
                    <w:rPr>
                      <w:rFonts w:hint="eastAsia"/>
                      <w:color w:val="000000"/>
                      <w:sz w:val="18"/>
                      <w:szCs w:val="18"/>
                    </w:rPr>
                    <w:t>0.538</w:t>
                  </w:r>
                </w:p>
              </w:tc>
              <w:tc>
                <w:tcPr>
                  <w:tcW w:w="671" w:type="pct"/>
                  <w:noWrap/>
                  <w:vAlign w:val="center"/>
                </w:tcPr>
                <w:p w14:paraId="0720C4A4">
                  <w:pPr>
                    <w:widowControl/>
                    <w:adjustRightInd w:val="0"/>
                    <w:snapToGrid w:val="0"/>
                    <w:jc w:val="center"/>
                    <w:textAlignment w:val="center"/>
                    <w:rPr>
                      <w:color w:val="000000"/>
                      <w:sz w:val="18"/>
                      <w:szCs w:val="18"/>
                    </w:rPr>
                  </w:pPr>
                  <w:r>
                    <w:rPr>
                      <w:color w:val="000000"/>
                      <w:kern w:val="0"/>
                      <w:sz w:val="18"/>
                      <w:szCs w:val="18"/>
                      <w:lang w:bidi="ar"/>
                    </w:rPr>
                    <w:t>/</w:t>
                  </w:r>
                </w:p>
              </w:tc>
              <w:tc>
                <w:tcPr>
                  <w:tcW w:w="680" w:type="pct"/>
                  <w:vMerge w:val="continue"/>
                  <w:noWrap/>
                  <w:vAlign w:val="center"/>
                </w:tcPr>
                <w:p w14:paraId="0386323E">
                  <w:pPr>
                    <w:widowControl/>
                    <w:adjustRightInd w:val="0"/>
                    <w:snapToGrid w:val="0"/>
                    <w:jc w:val="center"/>
                    <w:rPr>
                      <w:rFonts w:hint="eastAsia"/>
                      <w:color w:val="000000"/>
                      <w:sz w:val="18"/>
                      <w:szCs w:val="18"/>
                    </w:rPr>
                  </w:pPr>
                </w:p>
              </w:tc>
              <w:tc>
                <w:tcPr>
                  <w:tcW w:w="752" w:type="pct"/>
                  <w:noWrap/>
                  <w:vAlign w:val="center"/>
                </w:tcPr>
                <w:p w14:paraId="6B5A4EA1">
                  <w:pPr>
                    <w:widowControl/>
                    <w:adjustRightInd w:val="0"/>
                    <w:snapToGrid w:val="0"/>
                    <w:jc w:val="center"/>
                    <w:rPr>
                      <w:rFonts w:hint="eastAsia"/>
                      <w:color w:val="000000"/>
                      <w:sz w:val="18"/>
                      <w:szCs w:val="18"/>
                    </w:rPr>
                  </w:pPr>
                  <w:r>
                    <w:rPr>
                      <w:rFonts w:hint="eastAsia"/>
                      <w:color w:val="000000"/>
                      <w:sz w:val="18"/>
                      <w:szCs w:val="18"/>
                    </w:rPr>
                    <w:t>/</w:t>
                  </w:r>
                </w:p>
              </w:tc>
            </w:tr>
          </w:tbl>
          <w:p w14:paraId="2600C57B">
            <w:pPr>
              <w:spacing w:line="360" w:lineRule="auto"/>
              <w:ind w:firstLine="465"/>
              <w:contextualSpacing/>
              <w:rPr>
                <w:rFonts w:hint="eastAsia"/>
                <w:color w:val="000000"/>
              </w:rPr>
            </w:pPr>
            <w:r>
              <w:rPr>
                <w:rFonts w:hint="eastAsia"/>
                <w:color w:val="000000"/>
              </w:rPr>
              <w:t>根据上表可知，PVC电缆料生产线产生的非甲烷总烃、氯化氢、氯乙烯排放浓度满足《大气污染物综合排放标准》（DB50/418-2016）限值要求；本项目低烟无卤电缆料生产线产生的非甲烷总烃排放浓度满足《合成树脂工业污染物排放标准》（</w:t>
            </w:r>
            <w:r>
              <w:rPr>
                <w:color w:val="000000"/>
              </w:rPr>
              <w:t>GB31572-2015</w:t>
            </w:r>
            <w:r>
              <w:rPr>
                <w:rFonts w:hint="eastAsia"/>
                <w:color w:val="000000"/>
              </w:rPr>
              <w:t>）中表</w:t>
            </w:r>
            <w:r>
              <w:rPr>
                <w:color w:val="000000"/>
              </w:rPr>
              <w:t>5</w:t>
            </w:r>
            <w:r>
              <w:rPr>
                <w:rFonts w:hint="eastAsia"/>
                <w:color w:val="000000"/>
              </w:rPr>
              <w:t>“大气污染物特别排放限值”要求。</w:t>
            </w:r>
          </w:p>
          <w:p w14:paraId="39E5F1F7">
            <w:pPr>
              <w:spacing w:line="360" w:lineRule="auto"/>
              <w:ind w:firstLine="465"/>
              <w:contextualSpacing/>
              <w:rPr>
                <w:b/>
                <w:bCs/>
                <w:color w:val="000000"/>
              </w:rPr>
            </w:pPr>
            <w:r>
              <w:rPr>
                <w:rFonts w:hint="eastAsia"/>
                <w:b/>
                <w:bCs/>
                <w:color w:val="000000"/>
              </w:rPr>
              <w:t>（3）液体原料罐</w:t>
            </w:r>
            <w:r>
              <w:rPr>
                <w:rFonts w:hint="eastAsia"/>
                <w:b/>
                <w:bCs/>
                <w:color w:val="000000"/>
                <w:kern w:val="0"/>
                <w:lang w:bidi="ar"/>
              </w:rPr>
              <w:t>呼吸废气</w:t>
            </w:r>
          </w:p>
          <w:p w14:paraId="5457DE0D">
            <w:pPr>
              <w:spacing w:line="360" w:lineRule="auto"/>
              <w:ind w:firstLine="465"/>
              <w:contextualSpacing/>
              <w:rPr>
                <w:rFonts w:hint="eastAsia"/>
                <w:color w:val="000000"/>
              </w:rPr>
            </w:pPr>
            <w:r>
              <w:rPr>
                <w:rFonts w:hint="eastAsia"/>
                <w:color w:val="000000"/>
              </w:rPr>
              <w:t>本项目共设置6个储罐，分别储存</w:t>
            </w:r>
            <w:r>
              <w:rPr>
                <w:rFonts w:hint="eastAsia" w:cs="宋体"/>
                <w:color w:val="000000"/>
                <w:lang w:bidi="ar"/>
              </w:rPr>
              <w:t>TOTM、DOTP、DOTP、DOS、ESO、氯化石蜡</w:t>
            </w:r>
            <w:r>
              <w:rPr>
                <w:rFonts w:hint="eastAsia"/>
                <w:color w:val="000000"/>
              </w:rPr>
              <w:t>。企业对储罐设置呼吸阀及平衡管，储罐车卸料时大呼吸废气由平衡管导出接入储罐，杜绝大呼吸废气；小呼吸废气由呼吸阀导出。根据查阅资料，6种物质沸点为220℃~430℃，其储存真实蒸气压远小于0.3kPa，不属于挥发性有机液体。本项目储罐为常温常压保存，常温下物料性质稳定，基本无挥发，因此本环评对储罐呼吸废气不进行定量计算。</w:t>
            </w:r>
          </w:p>
          <w:p w14:paraId="152751FC">
            <w:pPr>
              <w:pStyle w:val="35"/>
              <w:spacing w:line="360" w:lineRule="auto"/>
              <w:rPr>
                <w:rFonts w:hint="eastAsia" w:cs="Times New Roman"/>
                <w:color w:val="000000"/>
              </w:rPr>
            </w:pPr>
            <w:r>
              <w:rPr>
                <w:rFonts w:hint="eastAsia" w:cs="Times New Roman"/>
                <w:color w:val="000000"/>
              </w:rPr>
              <w:t>本项目废气排放情况汇总，见表4-11。</w:t>
            </w:r>
          </w:p>
          <w:p w14:paraId="3A3ECB0A">
            <w:pPr>
              <w:spacing w:line="360" w:lineRule="auto"/>
              <w:contextualSpacing/>
              <w:jc w:val="center"/>
              <w:rPr>
                <w:b/>
                <w:bCs/>
                <w:color w:val="000000"/>
              </w:rPr>
            </w:pPr>
            <w:r>
              <w:rPr>
                <w:rFonts w:hint="eastAsia"/>
                <w:b/>
                <w:bCs/>
                <w:color w:val="000000"/>
              </w:rPr>
              <w:t>表4-11  本项目废气排放情况汇总</w:t>
            </w:r>
          </w:p>
          <w:tbl>
            <w:tblPr>
              <w:tblStyle w:val="16"/>
              <w:tblW w:w="5000" w:type="pct"/>
              <w:tblInd w:w="-64"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78"/>
              <w:gridCol w:w="1680"/>
              <w:gridCol w:w="1968"/>
              <w:gridCol w:w="1864"/>
              <w:gridCol w:w="1603"/>
            </w:tblGrid>
            <w:tr w14:paraId="3C0AC6E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noWrap/>
                  <w:vAlign w:val="center"/>
                </w:tcPr>
                <w:p w14:paraId="1A9C215A">
                  <w:pPr>
                    <w:widowControl/>
                    <w:jc w:val="center"/>
                    <w:textAlignment w:val="center"/>
                    <w:rPr>
                      <w:color w:val="000000"/>
                      <w:sz w:val="21"/>
                      <w:szCs w:val="21"/>
                    </w:rPr>
                  </w:pPr>
                  <w:r>
                    <w:rPr>
                      <w:color w:val="000000"/>
                      <w:kern w:val="0"/>
                      <w:sz w:val="21"/>
                      <w:szCs w:val="21"/>
                      <w:lang w:bidi="ar"/>
                    </w:rPr>
                    <w:t>排气筒</w:t>
                  </w:r>
                </w:p>
              </w:tc>
              <w:tc>
                <w:tcPr>
                  <w:tcW w:w="1000" w:type="pct"/>
                  <w:noWrap/>
                  <w:vAlign w:val="center"/>
                </w:tcPr>
                <w:p w14:paraId="52CD0B95">
                  <w:pPr>
                    <w:widowControl/>
                    <w:jc w:val="center"/>
                    <w:textAlignment w:val="center"/>
                    <w:rPr>
                      <w:color w:val="000000"/>
                      <w:sz w:val="21"/>
                      <w:szCs w:val="21"/>
                    </w:rPr>
                  </w:pPr>
                  <w:r>
                    <w:rPr>
                      <w:color w:val="000000"/>
                      <w:kern w:val="0"/>
                      <w:sz w:val="21"/>
                      <w:szCs w:val="21"/>
                      <w:lang w:bidi="ar"/>
                    </w:rPr>
                    <w:t>污染物</w:t>
                  </w:r>
                </w:p>
              </w:tc>
              <w:tc>
                <w:tcPr>
                  <w:tcW w:w="1172" w:type="pct"/>
                  <w:noWrap w:val="0"/>
                  <w:vAlign w:val="center"/>
                </w:tcPr>
                <w:p w14:paraId="529DEBEF">
                  <w:pPr>
                    <w:widowControl/>
                    <w:jc w:val="center"/>
                    <w:textAlignment w:val="center"/>
                    <w:rPr>
                      <w:color w:val="000000"/>
                      <w:sz w:val="21"/>
                      <w:szCs w:val="21"/>
                    </w:rPr>
                  </w:pPr>
                  <w:r>
                    <w:rPr>
                      <w:color w:val="000000"/>
                      <w:kern w:val="0"/>
                      <w:sz w:val="21"/>
                      <w:szCs w:val="21"/>
                      <w:lang w:bidi="ar"/>
                    </w:rPr>
                    <w:t>排放浓度</w:t>
                  </w:r>
                  <w:r>
                    <w:rPr>
                      <w:rFonts w:hint="eastAsia"/>
                      <w:color w:val="000000"/>
                      <w:kern w:val="0"/>
                      <w:sz w:val="21"/>
                      <w:szCs w:val="21"/>
                      <w:lang w:bidi="ar"/>
                    </w:rPr>
                    <w:t>mg/m</w:t>
                  </w:r>
                  <w:r>
                    <w:rPr>
                      <w:rFonts w:hint="eastAsia"/>
                      <w:color w:val="000000"/>
                      <w:kern w:val="0"/>
                      <w:sz w:val="21"/>
                      <w:szCs w:val="21"/>
                      <w:vertAlign w:val="superscript"/>
                      <w:lang w:bidi="ar"/>
                    </w:rPr>
                    <w:t>3</w:t>
                  </w:r>
                </w:p>
              </w:tc>
              <w:tc>
                <w:tcPr>
                  <w:tcW w:w="1110" w:type="pct"/>
                  <w:noWrap w:val="0"/>
                  <w:vAlign w:val="center"/>
                </w:tcPr>
                <w:p w14:paraId="026FA23B">
                  <w:pPr>
                    <w:widowControl/>
                    <w:jc w:val="center"/>
                    <w:textAlignment w:val="center"/>
                    <w:rPr>
                      <w:color w:val="000000"/>
                      <w:sz w:val="21"/>
                      <w:szCs w:val="21"/>
                    </w:rPr>
                  </w:pPr>
                  <w:r>
                    <w:rPr>
                      <w:color w:val="000000"/>
                      <w:kern w:val="0"/>
                      <w:sz w:val="21"/>
                      <w:szCs w:val="21"/>
                      <w:lang w:bidi="ar"/>
                    </w:rPr>
                    <w:t>排放速率</w:t>
                  </w:r>
                  <w:r>
                    <w:rPr>
                      <w:rFonts w:hint="eastAsia"/>
                      <w:color w:val="000000"/>
                      <w:kern w:val="0"/>
                      <w:sz w:val="21"/>
                      <w:szCs w:val="21"/>
                      <w:lang w:bidi="ar"/>
                    </w:rPr>
                    <w:t>kg/h</w:t>
                  </w:r>
                </w:p>
              </w:tc>
              <w:tc>
                <w:tcPr>
                  <w:tcW w:w="955" w:type="pct"/>
                  <w:noWrap/>
                  <w:vAlign w:val="center"/>
                </w:tcPr>
                <w:p w14:paraId="0564F515">
                  <w:pPr>
                    <w:widowControl/>
                    <w:jc w:val="center"/>
                    <w:textAlignment w:val="center"/>
                    <w:rPr>
                      <w:color w:val="000000"/>
                      <w:sz w:val="21"/>
                      <w:szCs w:val="21"/>
                    </w:rPr>
                  </w:pPr>
                  <w:r>
                    <w:rPr>
                      <w:color w:val="000000"/>
                      <w:kern w:val="0"/>
                      <w:sz w:val="21"/>
                      <w:szCs w:val="21"/>
                      <w:lang w:bidi="ar"/>
                    </w:rPr>
                    <w:t>排放量</w:t>
                  </w:r>
                  <w:r>
                    <w:rPr>
                      <w:rFonts w:hint="eastAsia"/>
                      <w:color w:val="000000"/>
                      <w:kern w:val="0"/>
                      <w:sz w:val="21"/>
                      <w:szCs w:val="21"/>
                      <w:lang w:bidi="ar"/>
                    </w:rPr>
                    <w:t>t/a</w:t>
                  </w:r>
                </w:p>
              </w:tc>
            </w:tr>
            <w:tr w14:paraId="034AA4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restart"/>
                  <w:noWrap/>
                  <w:vAlign w:val="center"/>
                </w:tcPr>
                <w:p w14:paraId="7B5C2A70">
                  <w:pPr>
                    <w:widowControl/>
                    <w:jc w:val="center"/>
                    <w:textAlignment w:val="center"/>
                    <w:rPr>
                      <w:color w:val="000000"/>
                      <w:sz w:val="21"/>
                      <w:szCs w:val="21"/>
                    </w:rPr>
                  </w:pPr>
                  <w:r>
                    <w:rPr>
                      <w:color w:val="000000"/>
                      <w:kern w:val="0"/>
                      <w:sz w:val="21"/>
                      <w:szCs w:val="21"/>
                      <w:lang w:bidi="ar"/>
                    </w:rPr>
                    <w:t>DA001</w:t>
                  </w:r>
                </w:p>
              </w:tc>
              <w:tc>
                <w:tcPr>
                  <w:tcW w:w="1000" w:type="pct"/>
                  <w:noWrap/>
                  <w:vAlign w:val="center"/>
                </w:tcPr>
                <w:p w14:paraId="603E14F7">
                  <w:pPr>
                    <w:widowControl/>
                    <w:jc w:val="center"/>
                    <w:textAlignment w:val="center"/>
                    <w:rPr>
                      <w:color w:val="000000"/>
                      <w:kern w:val="0"/>
                      <w:sz w:val="21"/>
                      <w:szCs w:val="21"/>
                      <w:lang w:bidi="ar"/>
                    </w:rPr>
                  </w:pPr>
                  <w:r>
                    <w:rPr>
                      <w:rFonts w:hint="eastAsia"/>
                      <w:color w:val="000000"/>
                      <w:kern w:val="0"/>
                      <w:sz w:val="21"/>
                      <w:szCs w:val="21"/>
                      <w:lang w:bidi="ar"/>
                    </w:rPr>
                    <w:t>颗粒物</w:t>
                  </w:r>
                </w:p>
              </w:tc>
              <w:tc>
                <w:tcPr>
                  <w:tcW w:w="1950" w:type="dxa"/>
                  <w:noWrap w:val="0"/>
                  <w:vAlign w:val="center"/>
                </w:tcPr>
                <w:p w14:paraId="1003A181">
                  <w:pPr>
                    <w:widowControl/>
                    <w:jc w:val="center"/>
                    <w:textAlignment w:val="center"/>
                    <w:rPr>
                      <w:color w:val="000000"/>
                      <w:kern w:val="0"/>
                      <w:sz w:val="21"/>
                      <w:szCs w:val="21"/>
                      <w:lang w:bidi="ar"/>
                    </w:rPr>
                  </w:pPr>
                  <w:r>
                    <w:rPr>
                      <w:rFonts w:hint="eastAsia"/>
                      <w:color w:val="000000"/>
                      <w:kern w:val="0"/>
                      <w:sz w:val="21"/>
                      <w:szCs w:val="21"/>
                      <w:lang w:bidi="ar"/>
                    </w:rPr>
                    <w:t xml:space="preserve">0.9 </w:t>
                  </w:r>
                </w:p>
              </w:tc>
              <w:tc>
                <w:tcPr>
                  <w:tcW w:w="1847" w:type="dxa"/>
                  <w:noWrap w:val="0"/>
                  <w:vAlign w:val="center"/>
                </w:tcPr>
                <w:p w14:paraId="5AC54547">
                  <w:pPr>
                    <w:widowControl/>
                    <w:jc w:val="center"/>
                    <w:textAlignment w:val="center"/>
                    <w:rPr>
                      <w:color w:val="000000"/>
                      <w:kern w:val="0"/>
                      <w:sz w:val="21"/>
                      <w:szCs w:val="21"/>
                      <w:lang w:bidi="ar"/>
                    </w:rPr>
                  </w:pPr>
                  <w:r>
                    <w:rPr>
                      <w:rFonts w:hint="eastAsia"/>
                      <w:color w:val="000000"/>
                      <w:kern w:val="0"/>
                      <w:sz w:val="21"/>
                      <w:szCs w:val="21"/>
                      <w:lang w:bidi="ar"/>
                    </w:rPr>
                    <w:t xml:space="preserve">0.01 </w:t>
                  </w:r>
                </w:p>
              </w:tc>
              <w:tc>
                <w:tcPr>
                  <w:tcW w:w="1589" w:type="dxa"/>
                  <w:noWrap/>
                  <w:vAlign w:val="center"/>
                </w:tcPr>
                <w:p w14:paraId="06614230">
                  <w:pPr>
                    <w:widowControl/>
                    <w:jc w:val="center"/>
                    <w:textAlignment w:val="center"/>
                    <w:rPr>
                      <w:color w:val="000000"/>
                      <w:kern w:val="0"/>
                      <w:sz w:val="21"/>
                      <w:szCs w:val="21"/>
                      <w:lang w:bidi="ar"/>
                    </w:rPr>
                  </w:pPr>
                  <w:r>
                    <w:rPr>
                      <w:rFonts w:hint="eastAsia"/>
                      <w:color w:val="000000"/>
                      <w:kern w:val="0"/>
                      <w:sz w:val="21"/>
                      <w:szCs w:val="21"/>
                      <w:lang w:bidi="ar"/>
                    </w:rPr>
                    <w:t xml:space="preserve">0.024 </w:t>
                  </w:r>
                </w:p>
              </w:tc>
            </w:tr>
            <w:tr w14:paraId="277A0FC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3C93B499">
                  <w:pPr>
                    <w:widowControl/>
                    <w:jc w:val="center"/>
                    <w:textAlignment w:val="center"/>
                    <w:rPr>
                      <w:color w:val="000000"/>
                      <w:sz w:val="21"/>
                      <w:szCs w:val="21"/>
                    </w:rPr>
                  </w:pPr>
                </w:p>
              </w:tc>
              <w:tc>
                <w:tcPr>
                  <w:tcW w:w="1000" w:type="pct"/>
                  <w:noWrap/>
                  <w:vAlign w:val="center"/>
                </w:tcPr>
                <w:p w14:paraId="410016F9">
                  <w:pPr>
                    <w:widowControl/>
                    <w:jc w:val="center"/>
                    <w:textAlignment w:val="center"/>
                    <w:rPr>
                      <w:color w:val="000000"/>
                      <w:sz w:val="21"/>
                      <w:szCs w:val="21"/>
                    </w:rPr>
                  </w:pPr>
                  <w:r>
                    <w:rPr>
                      <w:color w:val="000000"/>
                      <w:kern w:val="0"/>
                      <w:sz w:val="21"/>
                      <w:szCs w:val="21"/>
                      <w:lang w:bidi="ar"/>
                    </w:rPr>
                    <w:t>非甲烷总烃</w:t>
                  </w:r>
                </w:p>
              </w:tc>
              <w:tc>
                <w:tcPr>
                  <w:tcW w:w="1968" w:type="dxa"/>
                  <w:noWrap/>
                  <w:vAlign w:val="center"/>
                </w:tcPr>
                <w:p w14:paraId="1AD61013">
                  <w:pPr>
                    <w:widowControl/>
                    <w:jc w:val="center"/>
                    <w:textAlignment w:val="center"/>
                    <w:rPr>
                      <w:color w:val="000000"/>
                      <w:kern w:val="0"/>
                      <w:sz w:val="21"/>
                      <w:szCs w:val="21"/>
                      <w:lang w:bidi="ar"/>
                    </w:rPr>
                  </w:pPr>
                  <w:r>
                    <w:rPr>
                      <w:color w:val="000000"/>
                      <w:kern w:val="0"/>
                      <w:sz w:val="21"/>
                      <w:szCs w:val="21"/>
                      <w:lang w:bidi="ar"/>
                    </w:rPr>
                    <w:t xml:space="preserve">39.0 </w:t>
                  </w:r>
                </w:p>
              </w:tc>
              <w:tc>
                <w:tcPr>
                  <w:tcW w:w="1864" w:type="dxa"/>
                  <w:noWrap/>
                  <w:vAlign w:val="center"/>
                </w:tcPr>
                <w:p w14:paraId="3458BC45">
                  <w:pPr>
                    <w:widowControl/>
                    <w:jc w:val="center"/>
                    <w:textAlignment w:val="center"/>
                    <w:rPr>
                      <w:color w:val="000000"/>
                      <w:kern w:val="0"/>
                      <w:sz w:val="21"/>
                      <w:szCs w:val="21"/>
                      <w:lang w:bidi="ar"/>
                    </w:rPr>
                  </w:pPr>
                  <w:r>
                    <w:rPr>
                      <w:color w:val="000000"/>
                      <w:kern w:val="0"/>
                      <w:sz w:val="21"/>
                      <w:szCs w:val="21"/>
                      <w:lang w:bidi="ar"/>
                    </w:rPr>
                    <w:t xml:space="preserve">0.44 </w:t>
                  </w:r>
                </w:p>
              </w:tc>
              <w:tc>
                <w:tcPr>
                  <w:tcW w:w="1604" w:type="dxa"/>
                  <w:noWrap/>
                  <w:vAlign w:val="center"/>
                </w:tcPr>
                <w:p w14:paraId="2EDAFCCD">
                  <w:pPr>
                    <w:widowControl/>
                    <w:jc w:val="center"/>
                    <w:textAlignment w:val="center"/>
                    <w:rPr>
                      <w:color w:val="000000"/>
                      <w:kern w:val="0"/>
                      <w:sz w:val="21"/>
                      <w:szCs w:val="21"/>
                      <w:lang w:bidi="ar"/>
                    </w:rPr>
                  </w:pPr>
                  <w:r>
                    <w:rPr>
                      <w:color w:val="000000"/>
                      <w:kern w:val="0"/>
                      <w:sz w:val="21"/>
                      <w:szCs w:val="21"/>
                      <w:lang w:bidi="ar"/>
                    </w:rPr>
                    <w:t xml:space="preserve">0.533 </w:t>
                  </w:r>
                </w:p>
              </w:tc>
            </w:tr>
            <w:tr w14:paraId="4D5696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5FAA58DF">
                  <w:pPr>
                    <w:jc w:val="center"/>
                    <w:rPr>
                      <w:color w:val="000000"/>
                      <w:sz w:val="21"/>
                      <w:szCs w:val="21"/>
                    </w:rPr>
                  </w:pPr>
                </w:p>
              </w:tc>
              <w:tc>
                <w:tcPr>
                  <w:tcW w:w="1000" w:type="pct"/>
                  <w:noWrap/>
                  <w:vAlign w:val="center"/>
                </w:tcPr>
                <w:p w14:paraId="65232DAA">
                  <w:pPr>
                    <w:widowControl/>
                    <w:jc w:val="center"/>
                    <w:textAlignment w:val="center"/>
                    <w:rPr>
                      <w:color w:val="000000"/>
                      <w:sz w:val="21"/>
                      <w:szCs w:val="21"/>
                    </w:rPr>
                  </w:pPr>
                  <w:r>
                    <w:rPr>
                      <w:color w:val="000000"/>
                      <w:kern w:val="0"/>
                      <w:sz w:val="21"/>
                      <w:szCs w:val="21"/>
                      <w:lang w:bidi="ar"/>
                    </w:rPr>
                    <w:t>氯化氢</w:t>
                  </w:r>
                </w:p>
              </w:tc>
              <w:tc>
                <w:tcPr>
                  <w:tcW w:w="1968" w:type="dxa"/>
                  <w:noWrap/>
                  <w:vAlign w:val="center"/>
                </w:tcPr>
                <w:p w14:paraId="79793B24">
                  <w:pPr>
                    <w:widowControl/>
                    <w:jc w:val="center"/>
                    <w:textAlignment w:val="center"/>
                    <w:rPr>
                      <w:color w:val="000000"/>
                      <w:kern w:val="0"/>
                      <w:sz w:val="21"/>
                      <w:szCs w:val="21"/>
                      <w:lang w:bidi="ar"/>
                    </w:rPr>
                  </w:pPr>
                  <w:r>
                    <w:rPr>
                      <w:color w:val="000000"/>
                      <w:kern w:val="0"/>
                      <w:sz w:val="21"/>
                      <w:szCs w:val="21"/>
                      <w:lang w:bidi="ar"/>
                    </w:rPr>
                    <w:t xml:space="preserve">0.9 </w:t>
                  </w:r>
                </w:p>
              </w:tc>
              <w:tc>
                <w:tcPr>
                  <w:tcW w:w="1864" w:type="dxa"/>
                  <w:noWrap/>
                  <w:vAlign w:val="center"/>
                </w:tcPr>
                <w:p w14:paraId="7B695C72">
                  <w:pPr>
                    <w:widowControl/>
                    <w:jc w:val="center"/>
                    <w:textAlignment w:val="center"/>
                    <w:rPr>
                      <w:color w:val="000000"/>
                      <w:kern w:val="0"/>
                      <w:sz w:val="21"/>
                      <w:szCs w:val="21"/>
                      <w:lang w:bidi="ar"/>
                    </w:rPr>
                  </w:pPr>
                  <w:r>
                    <w:rPr>
                      <w:color w:val="000000"/>
                      <w:kern w:val="0"/>
                      <w:sz w:val="21"/>
                      <w:szCs w:val="21"/>
                      <w:lang w:bidi="ar"/>
                    </w:rPr>
                    <w:t xml:space="preserve">0.01 </w:t>
                  </w:r>
                </w:p>
              </w:tc>
              <w:tc>
                <w:tcPr>
                  <w:tcW w:w="1604" w:type="dxa"/>
                  <w:noWrap/>
                  <w:vAlign w:val="center"/>
                </w:tcPr>
                <w:p w14:paraId="2862CDCA">
                  <w:pPr>
                    <w:widowControl/>
                    <w:jc w:val="center"/>
                    <w:textAlignment w:val="center"/>
                    <w:rPr>
                      <w:color w:val="000000"/>
                      <w:kern w:val="0"/>
                      <w:sz w:val="21"/>
                      <w:szCs w:val="21"/>
                      <w:lang w:bidi="ar"/>
                    </w:rPr>
                  </w:pPr>
                  <w:r>
                    <w:rPr>
                      <w:color w:val="000000"/>
                      <w:kern w:val="0"/>
                      <w:sz w:val="21"/>
                      <w:szCs w:val="21"/>
                      <w:lang w:bidi="ar"/>
                    </w:rPr>
                    <w:t xml:space="preserve">0.009 </w:t>
                  </w:r>
                </w:p>
              </w:tc>
            </w:tr>
            <w:tr w14:paraId="4A986B3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142404F0">
                  <w:pPr>
                    <w:jc w:val="center"/>
                    <w:rPr>
                      <w:color w:val="000000"/>
                      <w:sz w:val="21"/>
                      <w:szCs w:val="21"/>
                    </w:rPr>
                  </w:pPr>
                </w:p>
              </w:tc>
              <w:tc>
                <w:tcPr>
                  <w:tcW w:w="1000" w:type="pct"/>
                  <w:noWrap/>
                  <w:vAlign w:val="center"/>
                </w:tcPr>
                <w:p w14:paraId="2CF9F959">
                  <w:pPr>
                    <w:widowControl/>
                    <w:jc w:val="center"/>
                    <w:textAlignment w:val="center"/>
                    <w:rPr>
                      <w:color w:val="000000"/>
                      <w:sz w:val="21"/>
                      <w:szCs w:val="21"/>
                    </w:rPr>
                  </w:pPr>
                  <w:r>
                    <w:rPr>
                      <w:color w:val="000000"/>
                      <w:kern w:val="0"/>
                      <w:sz w:val="21"/>
                      <w:szCs w:val="21"/>
                      <w:lang w:bidi="ar"/>
                    </w:rPr>
                    <w:t>氯乙烯</w:t>
                  </w:r>
                </w:p>
              </w:tc>
              <w:tc>
                <w:tcPr>
                  <w:tcW w:w="1968" w:type="dxa"/>
                  <w:noWrap/>
                  <w:vAlign w:val="center"/>
                </w:tcPr>
                <w:p w14:paraId="23604571">
                  <w:pPr>
                    <w:widowControl/>
                    <w:jc w:val="center"/>
                    <w:textAlignment w:val="center"/>
                    <w:rPr>
                      <w:color w:val="000000"/>
                      <w:kern w:val="0"/>
                      <w:sz w:val="21"/>
                      <w:szCs w:val="21"/>
                      <w:lang w:bidi="ar"/>
                    </w:rPr>
                  </w:pPr>
                  <w:r>
                    <w:rPr>
                      <w:color w:val="000000"/>
                      <w:kern w:val="0"/>
                      <w:sz w:val="21"/>
                      <w:szCs w:val="21"/>
                      <w:lang w:bidi="ar"/>
                    </w:rPr>
                    <w:t xml:space="preserve">0.6 </w:t>
                  </w:r>
                </w:p>
              </w:tc>
              <w:tc>
                <w:tcPr>
                  <w:tcW w:w="1864" w:type="dxa"/>
                  <w:noWrap/>
                  <w:vAlign w:val="center"/>
                </w:tcPr>
                <w:p w14:paraId="0D078D19">
                  <w:pPr>
                    <w:widowControl/>
                    <w:jc w:val="center"/>
                    <w:textAlignment w:val="center"/>
                    <w:rPr>
                      <w:color w:val="000000"/>
                      <w:kern w:val="0"/>
                      <w:sz w:val="21"/>
                      <w:szCs w:val="21"/>
                      <w:lang w:bidi="ar"/>
                    </w:rPr>
                  </w:pPr>
                  <w:r>
                    <w:rPr>
                      <w:color w:val="000000"/>
                      <w:kern w:val="0"/>
                      <w:sz w:val="21"/>
                      <w:szCs w:val="21"/>
                      <w:lang w:bidi="ar"/>
                    </w:rPr>
                    <w:t xml:space="preserve">0.01 </w:t>
                  </w:r>
                </w:p>
              </w:tc>
              <w:tc>
                <w:tcPr>
                  <w:tcW w:w="1604" w:type="dxa"/>
                  <w:noWrap/>
                  <w:vAlign w:val="center"/>
                </w:tcPr>
                <w:p w14:paraId="5B0E5F80">
                  <w:pPr>
                    <w:widowControl/>
                    <w:jc w:val="center"/>
                    <w:textAlignment w:val="center"/>
                    <w:rPr>
                      <w:color w:val="000000"/>
                      <w:kern w:val="0"/>
                      <w:sz w:val="21"/>
                      <w:szCs w:val="21"/>
                      <w:lang w:bidi="ar"/>
                    </w:rPr>
                  </w:pPr>
                  <w:r>
                    <w:rPr>
                      <w:color w:val="000000"/>
                      <w:kern w:val="0"/>
                      <w:sz w:val="21"/>
                      <w:szCs w:val="21"/>
                      <w:lang w:bidi="ar"/>
                    </w:rPr>
                    <w:t xml:space="preserve">0.018 </w:t>
                  </w:r>
                </w:p>
              </w:tc>
            </w:tr>
            <w:tr w14:paraId="6439A72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339D6E62">
                  <w:pPr>
                    <w:jc w:val="center"/>
                    <w:rPr>
                      <w:color w:val="000000"/>
                      <w:sz w:val="21"/>
                      <w:szCs w:val="21"/>
                    </w:rPr>
                  </w:pPr>
                </w:p>
              </w:tc>
              <w:tc>
                <w:tcPr>
                  <w:tcW w:w="1000" w:type="pct"/>
                  <w:noWrap/>
                  <w:vAlign w:val="center"/>
                </w:tcPr>
                <w:p w14:paraId="202C7B4E">
                  <w:pPr>
                    <w:widowControl/>
                    <w:jc w:val="center"/>
                    <w:textAlignment w:val="center"/>
                    <w:rPr>
                      <w:color w:val="000000"/>
                      <w:kern w:val="0"/>
                      <w:sz w:val="21"/>
                      <w:szCs w:val="21"/>
                      <w:lang w:bidi="ar"/>
                    </w:rPr>
                  </w:pPr>
                  <w:r>
                    <w:rPr>
                      <w:rFonts w:hint="eastAsia"/>
                      <w:color w:val="000000"/>
                      <w:kern w:val="0"/>
                      <w:sz w:val="21"/>
                      <w:szCs w:val="21"/>
                      <w:lang w:bidi="ar"/>
                    </w:rPr>
                    <w:t>臭气浓度</w:t>
                  </w:r>
                </w:p>
              </w:tc>
              <w:tc>
                <w:tcPr>
                  <w:tcW w:w="1172" w:type="pct"/>
                  <w:noWrap/>
                  <w:vAlign w:val="center"/>
                </w:tcPr>
                <w:p w14:paraId="4D5A3E1A">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110" w:type="pct"/>
                  <w:noWrap/>
                  <w:vAlign w:val="center"/>
                </w:tcPr>
                <w:p w14:paraId="5B7083EF">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955" w:type="pct"/>
                  <w:noWrap/>
                  <w:vAlign w:val="center"/>
                </w:tcPr>
                <w:p w14:paraId="000EF218">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r>
            <w:tr w14:paraId="627A257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noWrap/>
                  <w:vAlign w:val="center"/>
                </w:tcPr>
                <w:p w14:paraId="54775AC4">
                  <w:pPr>
                    <w:jc w:val="center"/>
                    <w:rPr>
                      <w:color w:val="000000"/>
                      <w:sz w:val="21"/>
                      <w:szCs w:val="21"/>
                    </w:rPr>
                  </w:pPr>
                  <w:r>
                    <w:rPr>
                      <w:color w:val="000000"/>
                      <w:kern w:val="0"/>
                      <w:sz w:val="21"/>
                      <w:szCs w:val="21"/>
                      <w:lang w:bidi="ar"/>
                    </w:rPr>
                    <w:t>DA002</w:t>
                  </w:r>
                </w:p>
              </w:tc>
              <w:tc>
                <w:tcPr>
                  <w:tcW w:w="1000" w:type="pct"/>
                  <w:noWrap/>
                  <w:vAlign w:val="center"/>
                </w:tcPr>
                <w:p w14:paraId="357D89C7">
                  <w:pPr>
                    <w:widowControl/>
                    <w:jc w:val="center"/>
                    <w:textAlignment w:val="center"/>
                    <w:rPr>
                      <w:rFonts w:hint="eastAsia"/>
                      <w:color w:val="000000"/>
                      <w:kern w:val="0"/>
                      <w:sz w:val="21"/>
                      <w:szCs w:val="21"/>
                      <w:lang w:bidi="ar"/>
                    </w:rPr>
                  </w:pPr>
                  <w:r>
                    <w:rPr>
                      <w:color w:val="000000"/>
                      <w:kern w:val="0"/>
                      <w:sz w:val="21"/>
                      <w:szCs w:val="21"/>
                      <w:lang w:bidi="ar"/>
                    </w:rPr>
                    <w:t>颗粒物</w:t>
                  </w:r>
                </w:p>
              </w:tc>
              <w:tc>
                <w:tcPr>
                  <w:tcW w:w="1968" w:type="dxa"/>
                  <w:noWrap/>
                  <w:vAlign w:val="center"/>
                </w:tcPr>
                <w:p w14:paraId="3E7EAA76">
                  <w:pPr>
                    <w:widowControl/>
                    <w:jc w:val="center"/>
                    <w:textAlignment w:val="center"/>
                    <w:rPr>
                      <w:rFonts w:hint="eastAsia"/>
                      <w:color w:val="000000"/>
                      <w:kern w:val="0"/>
                      <w:sz w:val="21"/>
                      <w:szCs w:val="21"/>
                      <w:lang w:bidi="ar"/>
                    </w:rPr>
                  </w:pPr>
                  <w:r>
                    <w:rPr>
                      <w:color w:val="000000"/>
                      <w:kern w:val="0"/>
                      <w:sz w:val="21"/>
                      <w:szCs w:val="21"/>
                      <w:lang w:bidi="ar"/>
                    </w:rPr>
                    <w:t xml:space="preserve">28.60 </w:t>
                  </w:r>
                </w:p>
              </w:tc>
              <w:tc>
                <w:tcPr>
                  <w:tcW w:w="1864" w:type="dxa"/>
                  <w:noWrap/>
                  <w:vAlign w:val="center"/>
                </w:tcPr>
                <w:p w14:paraId="2E89371B">
                  <w:pPr>
                    <w:widowControl/>
                    <w:jc w:val="center"/>
                    <w:textAlignment w:val="center"/>
                    <w:rPr>
                      <w:rFonts w:hint="eastAsia"/>
                      <w:color w:val="000000"/>
                      <w:kern w:val="0"/>
                      <w:sz w:val="21"/>
                      <w:szCs w:val="21"/>
                      <w:lang w:bidi="ar"/>
                    </w:rPr>
                  </w:pPr>
                  <w:r>
                    <w:rPr>
                      <w:color w:val="000000"/>
                      <w:kern w:val="0"/>
                      <w:sz w:val="21"/>
                      <w:szCs w:val="21"/>
                      <w:lang w:bidi="ar"/>
                    </w:rPr>
                    <w:t xml:space="preserve">0.11 </w:t>
                  </w:r>
                </w:p>
              </w:tc>
              <w:tc>
                <w:tcPr>
                  <w:tcW w:w="1604" w:type="dxa"/>
                  <w:noWrap/>
                  <w:vAlign w:val="center"/>
                </w:tcPr>
                <w:p w14:paraId="67E908A7">
                  <w:pPr>
                    <w:widowControl/>
                    <w:jc w:val="center"/>
                    <w:textAlignment w:val="center"/>
                    <w:rPr>
                      <w:rFonts w:hint="eastAsia"/>
                      <w:color w:val="000000"/>
                      <w:kern w:val="0"/>
                      <w:sz w:val="21"/>
                      <w:szCs w:val="21"/>
                      <w:lang w:bidi="ar"/>
                    </w:rPr>
                  </w:pPr>
                  <w:r>
                    <w:rPr>
                      <w:color w:val="000000"/>
                      <w:kern w:val="0"/>
                      <w:sz w:val="21"/>
                      <w:szCs w:val="21"/>
                      <w:lang w:bidi="ar"/>
                    </w:rPr>
                    <w:t xml:space="preserve">0.137 </w:t>
                  </w:r>
                </w:p>
              </w:tc>
            </w:tr>
            <w:tr w14:paraId="3A104C8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restart"/>
                  <w:noWrap/>
                  <w:vAlign w:val="center"/>
                </w:tcPr>
                <w:p w14:paraId="6F65912A">
                  <w:pPr>
                    <w:widowControl/>
                    <w:jc w:val="center"/>
                    <w:textAlignment w:val="center"/>
                    <w:rPr>
                      <w:color w:val="000000"/>
                      <w:sz w:val="21"/>
                      <w:szCs w:val="21"/>
                    </w:rPr>
                  </w:pPr>
                  <w:r>
                    <w:rPr>
                      <w:color w:val="000000"/>
                      <w:kern w:val="0"/>
                      <w:sz w:val="21"/>
                      <w:szCs w:val="21"/>
                      <w:lang w:bidi="ar"/>
                    </w:rPr>
                    <w:t>DA00</w:t>
                  </w:r>
                  <w:r>
                    <w:rPr>
                      <w:rFonts w:hint="eastAsia"/>
                      <w:color w:val="000000"/>
                      <w:kern w:val="0"/>
                      <w:sz w:val="21"/>
                      <w:szCs w:val="21"/>
                      <w:lang w:bidi="ar"/>
                    </w:rPr>
                    <w:t>3</w:t>
                  </w:r>
                </w:p>
              </w:tc>
              <w:tc>
                <w:tcPr>
                  <w:tcW w:w="1000" w:type="pct"/>
                  <w:noWrap/>
                  <w:vAlign w:val="center"/>
                </w:tcPr>
                <w:p w14:paraId="3DCB20FB">
                  <w:pPr>
                    <w:widowControl/>
                    <w:jc w:val="center"/>
                    <w:textAlignment w:val="center"/>
                    <w:rPr>
                      <w:color w:val="000000"/>
                      <w:sz w:val="21"/>
                      <w:szCs w:val="21"/>
                    </w:rPr>
                  </w:pPr>
                  <w:r>
                    <w:rPr>
                      <w:color w:val="000000"/>
                      <w:kern w:val="0"/>
                      <w:sz w:val="21"/>
                      <w:szCs w:val="21"/>
                      <w:lang w:bidi="ar"/>
                    </w:rPr>
                    <w:t>非甲烷总烃</w:t>
                  </w:r>
                </w:p>
              </w:tc>
              <w:tc>
                <w:tcPr>
                  <w:tcW w:w="1968" w:type="dxa"/>
                  <w:noWrap/>
                  <w:vAlign w:val="center"/>
                </w:tcPr>
                <w:p w14:paraId="42754583">
                  <w:pPr>
                    <w:widowControl/>
                    <w:jc w:val="center"/>
                    <w:textAlignment w:val="center"/>
                    <w:rPr>
                      <w:color w:val="000000"/>
                      <w:kern w:val="0"/>
                      <w:sz w:val="21"/>
                      <w:szCs w:val="21"/>
                      <w:lang w:bidi="ar"/>
                    </w:rPr>
                  </w:pPr>
                  <w:r>
                    <w:rPr>
                      <w:color w:val="000000"/>
                      <w:kern w:val="0"/>
                      <w:sz w:val="21"/>
                      <w:szCs w:val="21"/>
                      <w:lang w:bidi="ar"/>
                    </w:rPr>
                    <w:t xml:space="preserve">20.76 </w:t>
                  </w:r>
                </w:p>
              </w:tc>
              <w:tc>
                <w:tcPr>
                  <w:tcW w:w="1864" w:type="dxa"/>
                  <w:noWrap/>
                  <w:vAlign w:val="center"/>
                </w:tcPr>
                <w:p w14:paraId="12CA9906">
                  <w:pPr>
                    <w:widowControl/>
                    <w:jc w:val="center"/>
                    <w:textAlignment w:val="center"/>
                    <w:rPr>
                      <w:color w:val="000000"/>
                      <w:kern w:val="0"/>
                      <w:sz w:val="21"/>
                      <w:szCs w:val="21"/>
                      <w:lang w:bidi="ar"/>
                    </w:rPr>
                  </w:pPr>
                  <w:r>
                    <w:rPr>
                      <w:color w:val="000000"/>
                      <w:kern w:val="0"/>
                      <w:sz w:val="21"/>
                      <w:szCs w:val="21"/>
                      <w:lang w:bidi="ar"/>
                    </w:rPr>
                    <w:t xml:space="preserve">0.45 </w:t>
                  </w:r>
                </w:p>
              </w:tc>
              <w:tc>
                <w:tcPr>
                  <w:tcW w:w="1604" w:type="dxa"/>
                  <w:noWrap/>
                  <w:vAlign w:val="center"/>
                </w:tcPr>
                <w:p w14:paraId="7B03361B">
                  <w:pPr>
                    <w:widowControl/>
                    <w:jc w:val="center"/>
                    <w:textAlignment w:val="center"/>
                    <w:rPr>
                      <w:color w:val="000000"/>
                      <w:kern w:val="0"/>
                      <w:sz w:val="21"/>
                      <w:szCs w:val="21"/>
                      <w:lang w:bidi="ar"/>
                    </w:rPr>
                  </w:pPr>
                  <w:r>
                    <w:rPr>
                      <w:color w:val="000000"/>
                      <w:kern w:val="0"/>
                      <w:sz w:val="21"/>
                      <w:szCs w:val="21"/>
                      <w:lang w:bidi="ar"/>
                    </w:rPr>
                    <w:t xml:space="preserve">0.538 </w:t>
                  </w:r>
                </w:p>
              </w:tc>
            </w:tr>
            <w:tr w14:paraId="79A21F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0B399942">
                  <w:pPr>
                    <w:jc w:val="center"/>
                    <w:rPr>
                      <w:color w:val="000000"/>
                      <w:sz w:val="21"/>
                      <w:szCs w:val="21"/>
                    </w:rPr>
                  </w:pPr>
                </w:p>
              </w:tc>
              <w:tc>
                <w:tcPr>
                  <w:tcW w:w="1000" w:type="pct"/>
                  <w:noWrap/>
                  <w:vAlign w:val="center"/>
                </w:tcPr>
                <w:p w14:paraId="42C48D07">
                  <w:pPr>
                    <w:widowControl/>
                    <w:jc w:val="center"/>
                    <w:textAlignment w:val="center"/>
                    <w:rPr>
                      <w:color w:val="000000"/>
                      <w:kern w:val="0"/>
                      <w:sz w:val="21"/>
                      <w:szCs w:val="21"/>
                      <w:lang w:bidi="ar"/>
                    </w:rPr>
                  </w:pPr>
                  <w:r>
                    <w:rPr>
                      <w:rFonts w:hint="eastAsia"/>
                      <w:color w:val="000000"/>
                      <w:kern w:val="0"/>
                      <w:sz w:val="21"/>
                      <w:szCs w:val="21"/>
                      <w:lang w:bidi="ar"/>
                    </w:rPr>
                    <w:t>臭气浓度</w:t>
                  </w:r>
                </w:p>
              </w:tc>
              <w:tc>
                <w:tcPr>
                  <w:tcW w:w="1172" w:type="pct"/>
                  <w:noWrap/>
                  <w:vAlign w:val="center"/>
                </w:tcPr>
                <w:p w14:paraId="4D22AD7A">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110" w:type="pct"/>
                  <w:noWrap/>
                  <w:vAlign w:val="center"/>
                </w:tcPr>
                <w:p w14:paraId="71F4017D">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955" w:type="pct"/>
                  <w:noWrap/>
                  <w:vAlign w:val="center"/>
                </w:tcPr>
                <w:p w14:paraId="2CA6E3AC">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r>
            <w:tr w14:paraId="2117183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noWrap/>
                  <w:vAlign w:val="center"/>
                </w:tcPr>
                <w:p w14:paraId="6735E30F">
                  <w:pPr>
                    <w:jc w:val="center"/>
                    <w:rPr>
                      <w:color w:val="000000"/>
                      <w:sz w:val="21"/>
                      <w:szCs w:val="21"/>
                    </w:rPr>
                  </w:pPr>
                  <w:r>
                    <w:rPr>
                      <w:color w:val="000000"/>
                      <w:kern w:val="0"/>
                      <w:sz w:val="21"/>
                      <w:szCs w:val="21"/>
                      <w:lang w:bidi="ar"/>
                    </w:rPr>
                    <w:t>DA00</w:t>
                  </w:r>
                  <w:r>
                    <w:rPr>
                      <w:rFonts w:hint="eastAsia"/>
                      <w:color w:val="000000"/>
                      <w:kern w:val="0"/>
                      <w:sz w:val="21"/>
                      <w:szCs w:val="21"/>
                      <w:lang w:bidi="ar"/>
                    </w:rPr>
                    <w:t>4</w:t>
                  </w:r>
                </w:p>
              </w:tc>
              <w:tc>
                <w:tcPr>
                  <w:tcW w:w="1000" w:type="pct"/>
                  <w:noWrap/>
                  <w:vAlign w:val="center"/>
                </w:tcPr>
                <w:p w14:paraId="488200B8">
                  <w:pPr>
                    <w:widowControl/>
                    <w:jc w:val="center"/>
                    <w:textAlignment w:val="center"/>
                    <w:rPr>
                      <w:rFonts w:hint="eastAsia"/>
                      <w:color w:val="000000"/>
                      <w:kern w:val="0"/>
                      <w:sz w:val="21"/>
                      <w:szCs w:val="21"/>
                      <w:lang w:bidi="ar"/>
                    </w:rPr>
                  </w:pPr>
                  <w:r>
                    <w:rPr>
                      <w:color w:val="000000"/>
                      <w:kern w:val="0"/>
                      <w:sz w:val="21"/>
                      <w:szCs w:val="21"/>
                      <w:lang w:bidi="ar"/>
                    </w:rPr>
                    <w:t>颗粒物</w:t>
                  </w:r>
                </w:p>
              </w:tc>
              <w:tc>
                <w:tcPr>
                  <w:tcW w:w="1968" w:type="dxa"/>
                  <w:noWrap/>
                  <w:vAlign w:val="center"/>
                </w:tcPr>
                <w:p w14:paraId="48AE351B">
                  <w:pPr>
                    <w:widowControl/>
                    <w:jc w:val="center"/>
                    <w:textAlignment w:val="center"/>
                    <w:rPr>
                      <w:rFonts w:hint="eastAsia"/>
                      <w:color w:val="000000"/>
                      <w:kern w:val="0"/>
                      <w:sz w:val="21"/>
                      <w:szCs w:val="21"/>
                      <w:lang w:bidi="ar"/>
                    </w:rPr>
                  </w:pPr>
                  <w:r>
                    <w:rPr>
                      <w:color w:val="000000"/>
                      <w:kern w:val="0"/>
                      <w:sz w:val="21"/>
                      <w:szCs w:val="21"/>
                      <w:lang w:bidi="ar"/>
                    </w:rPr>
                    <w:t xml:space="preserve">17.3 </w:t>
                  </w:r>
                </w:p>
              </w:tc>
              <w:tc>
                <w:tcPr>
                  <w:tcW w:w="1864" w:type="dxa"/>
                  <w:noWrap/>
                  <w:vAlign w:val="center"/>
                </w:tcPr>
                <w:p w14:paraId="6E8D12F2">
                  <w:pPr>
                    <w:widowControl/>
                    <w:jc w:val="center"/>
                    <w:textAlignment w:val="center"/>
                    <w:rPr>
                      <w:rFonts w:hint="eastAsia"/>
                      <w:color w:val="000000"/>
                      <w:kern w:val="0"/>
                      <w:sz w:val="21"/>
                      <w:szCs w:val="21"/>
                      <w:lang w:bidi="ar"/>
                    </w:rPr>
                  </w:pPr>
                  <w:r>
                    <w:rPr>
                      <w:color w:val="000000"/>
                      <w:kern w:val="0"/>
                      <w:sz w:val="21"/>
                      <w:szCs w:val="21"/>
                      <w:lang w:bidi="ar"/>
                    </w:rPr>
                    <w:t xml:space="preserve">0.13 </w:t>
                  </w:r>
                </w:p>
              </w:tc>
              <w:tc>
                <w:tcPr>
                  <w:tcW w:w="1604" w:type="dxa"/>
                  <w:noWrap/>
                  <w:vAlign w:val="center"/>
                </w:tcPr>
                <w:p w14:paraId="69A237F1">
                  <w:pPr>
                    <w:widowControl/>
                    <w:jc w:val="center"/>
                    <w:textAlignment w:val="center"/>
                    <w:rPr>
                      <w:rFonts w:hint="eastAsia"/>
                      <w:color w:val="000000"/>
                      <w:kern w:val="0"/>
                      <w:sz w:val="21"/>
                      <w:szCs w:val="21"/>
                      <w:lang w:bidi="ar"/>
                    </w:rPr>
                  </w:pPr>
                  <w:r>
                    <w:rPr>
                      <w:color w:val="000000"/>
                      <w:kern w:val="0"/>
                      <w:sz w:val="21"/>
                      <w:szCs w:val="21"/>
                      <w:lang w:bidi="ar"/>
                    </w:rPr>
                    <w:t xml:space="preserve">0.156 </w:t>
                  </w:r>
                </w:p>
              </w:tc>
            </w:tr>
            <w:tr w14:paraId="197B585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restart"/>
                  <w:noWrap/>
                  <w:vAlign w:val="center"/>
                </w:tcPr>
                <w:p w14:paraId="749CCF2E">
                  <w:pPr>
                    <w:widowControl/>
                    <w:jc w:val="center"/>
                    <w:textAlignment w:val="center"/>
                    <w:rPr>
                      <w:color w:val="000000"/>
                      <w:sz w:val="21"/>
                      <w:szCs w:val="21"/>
                    </w:rPr>
                  </w:pPr>
                  <w:r>
                    <w:rPr>
                      <w:color w:val="000000"/>
                      <w:kern w:val="0"/>
                      <w:sz w:val="21"/>
                      <w:szCs w:val="21"/>
                      <w:lang w:bidi="ar"/>
                    </w:rPr>
                    <w:t>无组织排放</w:t>
                  </w:r>
                </w:p>
              </w:tc>
              <w:tc>
                <w:tcPr>
                  <w:tcW w:w="1000" w:type="pct"/>
                  <w:noWrap/>
                  <w:vAlign w:val="center"/>
                </w:tcPr>
                <w:p w14:paraId="795EE680">
                  <w:pPr>
                    <w:widowControl/>
                    <w:jc w:val="center"/>
                    <w:textAlignment w:val="center"/>
                    <w:rPr>
                      <w:color w:val="000000"/>
                      <w:sz w:val="21"/>
                      <w:szCs w:val="21"/>
                    </w:rPr>
                  </w:pPr>
                  <w:r>
                    <w:rPr>
                      <w:color w:val="000000"/>
                      <w:kern w:val="0"/>
                      <w:sz w:val="21"/>
                      <w:szCs w:val="21"/>
                      <w:lang w:bidi="ar"/>
                    </w:rPr>
                    <w:t>颗粒物</w:t>
                  </w:r>
                </w:p>
              </w:tc>
              <w:tc>
                <w:tcPr>
                  <w:tcW w:w="1968" w:type="dxa"/>
                  <w:noWrap/>
                  <w:vAlign w:val="center"/>
                </w:tcPr>
                <w:p w14:paraId="7A42DA53">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4E0B1DC8">
                  <w:pPr>
                    <w:widowControl/>
                    <w:jc w:val="center"/>
                    <w:textAlignment w:val="center"/>
                    <w:rPr>
                      <w:color w:val="000000"/>
                      <w:kern w:val="0"/>
                      <w:sz w:val="21"/>
                      <w:szCs w:val="21"/>
                      <w:lang w:bidi="ar"/>
                    </w:rPr>
                  </w:pPr>
                  <w:r>
                    <w:rPr>
                      <w:color w:val="000000"/>
                      <w:kern w:val="0"/>
                      <w:sz w:val="21"/>
                      <w:szCs w:val="21"/>
                      <w:lang w:bidi="ar"/>
                    </w:rPr>
                    <w:t xml:space="preserve">1.61 </w:t>
                  </w:r>
                </w:p>
              </w:tc>
              <w:tc>
                <w:tcPr>
                  <w:tcW w:w="1604" w:type="dxa"/>
                  <w:noWrap/>
                  <w:vAlign w:val="center"/>
                </w:tcPr>
                <w:p w14:paraId="39B5CD1D">
                  <w:pPr>
                    <w:widowControl/>
                    <w:jc w:val="center"/>
                    <w:textAlignment w:val="center"/>
                    <w:rPr>
                      <w:color w:val="000000"/>
                      <w:kern w:val="0"/>
                      <w:sz w:val="21"/>
                      <w:szCs w:val="21"/>
                      <w:lang w:bidi="ar"/>
                    </w:rPr>
                  </w:pPr>
                  <w:r>
                    <w:rPr>
                      <w:color w:val="000000"/>
                      <w:kern w:val="0"/>
                      <w:sz w:val="21"/>
                      <w:szCs w:val="21"/>
                      <w:lang w:bidi="ar"/>
                    </w:rPr>
                    <w:t xml:space="preserve">2.140 </w:t>
                  </w:r>
                </w:p>
              </w:tc>
            </w:tr>
            <w:tr w14:paraId="588A36A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761" w:type="pct"/>
                  <w:vMerge w:val="continue"/>
                  <w:noWrap/>
                  <w:vAlign w:val="center"/>
                </w:tcPr>
                <w:p w14:paraId="77463415">
                  <w:pPr>
                    <w:jc w:val="center"/>
                    <w:rPr>
                      <w:color w:val="000000"/>
                      <w:sz w:val="21"/>
                      <w:szCs w:val="21"/>
                    </w:rPr>
                  </w:pPr>
                </w:p>
              </w:tc>
              <w:tc>
                <w:tcPr>
                  <w:tcW w:w="1000" w:type="pct"/>
                  <w:noWrap/>
                  <w:vAlign w:val="center"/>
                </w:tcPr>
                <w:p w14:paraId="077F5255">
                  <w:pPr>
                    <w:widowControl/>
                    <w:jc w:val="center"/>
                    <w:textAlignment w:val="center"/>
                    <w:rPr>
                      <w:color w:val="000000"/>
                      <w:sz w:val="21"/>
                      <w:szCs w:val="21"/>
                    </w:rPr>
                  </w:pPr>
                  <w:r>
                    <w:rPr>
                      <w:color w:val="000000"/>
                      <w:kern w:val="0"/>
                      <w:sz w:val="21"/>
                      <w:szCs w:val="21"/>
                      <w:lang w:bidi="ar"/>
                    </w:rPr>
                    <w:t>非甲烷总烃</w:t>
                  </w:r>
                </w:p>
              </w:tc>
              <w:tc>
                <w:tcPr>
                  <w:tcW w:w="1968" w:type="dxa"/>
                  <w:noWrap/>
                  <w:vAlign w:val="center"/>
                </w:tcPr>
                <w:p w14:paraId="57743784">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0277A1B9">
                  <w:pPr>
                    <w:widowControl/>
                    <w:jc w:val="center"/>
                    <w:textAlignment w:val="center"/>
                    <w:rPr>
                      <w:color w:val="000000"/>
                      <w:kern w:val="0"/>
                      <w:sz w:val="21"/>
                      <w:szCs w:val="21"/>
                      <w:lang w:bidi="ar"/>
                    </w:rPr>
                  </w:pPr>
                  <w:r>
                    <w:rPr>
                      <w:color w:val="000000"/>
                      <w:kern w:val="0"/>
                      <w:sz w:val="21"/>
                      <w:szCs w:val="21"/>
                      <w:lang w:bidi="ar"/>
                    </w:rPr>
                    <w:t xml:space="preserve">1.31 </w:t>
                  </w:r>
                </w:p>
              </w:tc>
              <w:tc>
                <w:tcPr>
                  <w:tcW w:w="1604" w:type="dxa"/>
                  <w:noWrap/>
                  <w:vAlign w:val="center"/>
                </w:tcPr>
                <w:p w14:paraId="61C6A48F">
                  <w:pPr>
                    <w:widowControl/>
                    <w:jc w:val="center"/>
                    <w:textAlignment w:val="center"/>
                    <w:rPr>
                      <w:color w:val="000000"/>
                      <w:kern w:val="0"/>
                      <w:sz w:val="21"/>
                      <w:szCs w:val="21"/>
                      <w:lang w:bidi="ar"/>
                    </w:rPr>
                  </w:pPr>
                  <w:r>
                    <w:rPr>
                      <w:color w:val="000000"/>
                      <w:kern w:val="0"/>
                      <w:sz w:val="21"/>
                      <w:szCs w:val="21"/>
                      <w:lang w:bidi="ar"/>
                    </w:rPr>
                    <w:t xml:space="preserve">1.574 </w:t>
                  </w:r>
                </w:p>
              </w:tc>
            </w:tr>
            <w:tr w14:paraId="18E6001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378B3DF8">
                  <w:pPr>
                    <w:jc w:val="center"/>
                    <w:rPr>
                      <w:color w:val="000000"/>
                      <w:sz w:val="21"/>
                      <w:szCs w:val="21"/>
                    </w:rPr>
                  </w:pPr>
                </w:p>
              </w:tc>
              <w:tc>
                <w:tcPr>
                  <w:tcW w:w="1000" w:type="pct"/>
                  <w:noWrap/>
                  <w:vAlign w:val="center"/>
                </w:tcPr>
                <w:p w14:paraId="76146BE3">
                  <w:pPr>
                    <w:widowControl/>
                    <w:jc w:val="center"/>
                    <w:textAlignment w:val="center"/>
                    <w:rPr>
                      <w:color w:val="000000"/>
                      <w:sz w:val="21"/>
                      <w:szCs w:val="21"/>
                    </w:rPr>
                  </w:pPr>
                  <w:r>
                    <w:rPr>
                      <w:color w:val="000000"/>
                      <w:kern w:val="0"/>
                      <w:sz w:val="21"/>
                      <w:szCs w:val="21"/>
                      <w:lang w:bidi="ar"/>
                    </w:rPr>
                    <w:t>氯化氢</w:t>
                  </w:r>
                </w:p>
              </w:tc>
              <w:tc>
                <w:tcPr>
                  <w:tcW w:w="1968" w:type="dxa"/>
                  <w:noWrap/>
                  <w:vAlign w:val="center"/>
                </w:tcPr>
                <w:p w14:paraId="48580831">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6C7F84E7">
                  <w:pPr>
                    <w:widowControl/>
                    <w:jc w:val="center"/>
                    <w:textAlignment w:val="center"/>
                    <w:rPr>
                      <w:color w:val="000000"/>
                      <w:kern w:val="0"/>
                      <w:sz w:val="21"/>
                      <w:szCs w:val="21"/>
                      <w:lang w:bidi="ar"/>
                    </w:rPr>
                  </w:pPr>
                  <w:r>
                    <w:rPr>
                      <w:color w:val="000000"/>
                      <w:kern w:val="0"/>
                      <w:sz w:val="21"/>
                      <w:szCs w:val="21"/>
                      <w:lang w:bidi="ar"/>
                    </w:rPr>
                    <w:t xml:space="preserve">0.01 </w:t>
                  </w:r>
                </w:p>
              </w:tc>
              <w:tc>
                <w:tcPr>
                  <w:tcW w:w="1604" w:type="dxa"/>
                  <w:noWrap/>
                  <w:vAlign w:val="center"/>
                </w:tcPr>
                <w:p w14:paraId="4D2D5119">
                  <w:pPr>
                    <w:widowControl/>
                    <w:jc w:val="center"/>
                    <w:textAlignment w:val="center"/>
                    <w:rPr>
                      <w:color w:val="000000"/>
                      <w:kern w:val="0"/>
                      <w:sz w:val="21"/>
                      <w:szCs w:val="21"/>
                      <w:lang w:bidi="ar"/>
                    </w:rPr>
                  </w:pPr>
                  <w:r>
                    <w:rPr>
                      <w:color w:val="000000"/>
                      <w:kern w:val="0"/>
                      <w:sz w:val="21"/>
                      <w:szCs w:val="21"/>
                      <w:lang w:bidi="ar"/>
                    </w:rPr>
                    <w:t xml:space="preserve">0.009 </w:t>
                  </w:r>
                </w:p>
              </w:tc>
            </w:tr>
            <w:tr w14:paraId="7FD6EB2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538ABBCD">
                  <w:pPr>
                    <w:jc w:val="center"/>
                    <w:rPr>
                      <w:color w:val="000000"/>
                      <w:sz w:val="21"/>
                      <w:szCs w:val="21"/>
                    </w:rPr>
                  </w:pPr>
                </w:p>
              </w:tc>
              <w:tc>
                <w:tcPr>
                  <w:tcW w:w="1000" w:type="pct"/>
                  <w:noWrap/>
                  <w:vAlign w:val="center"/>
                </w:tcPr>
                <w:p w14:paraId="7BCAA74C">
                  <w:pPr>
                    <w:widowControl/>
                    <w:jc w:val="center"/>
                    <w:textAlignment w:val="center"/>
                    <w:rPr>
                      <w:color w:val="000000"/>
                      <w:sz w:val="21"/>
                      <w:szCs w:val="21"/>
                    </w:rPr>
                  </w:pPr>
                  <w:r>
                    <w:rPr>
                      <w:color w:val="000000"/>
                      <w:kern w:val="0"/>
                      <w:sz w:val="21"/>
                      <w:szCs w:val="21"/>
                      <w:lang w:bidi="ar"/>
                    </w:rPr>
                    <w:t>氯乙烯</w:t>
                  </w:r>
                </w:p>
              </w:tc>
              <w:tc>
                <w:tcPr>
                  <w:tcW w:w="1968" w:type="dxa"/>
                  <w:noWrap/>
                  <w:vAlign w:val="center"/>
                </w:tcPr>
                <w:p w14:paraId="34A3969B">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0CB63FBD">
                  <w:pPr>
                    <w:widowControl/>
                    <w:jc w:val="center"/>
                    <w:textAlignment w:val="center"/>
                    <w:rPr>
                      <w:color w:val="000000"/>
                      <w:kern w:val="0"/>
                      <w:sz w:val="21"/>
                      <w:szCs w:val="21"/>
                      <w:lang w:bidi="ar"/>
                    </w:rPr>
                  </w:pPr>
                  <w:r>
                    <w:rPr>
                      <w:color w:val="000000"/>
                      <w:kern w:val="0"/>
                      <w:sz w:val="21"/>
                      <w:szCs w:val="21"/>
                      <w:lang w:bidi="ar"/>
                    </w:rPr>
                    <w:t xml:space="preserve">0.01 </w:t>
                  </w:r>
                </w:p>
              </w:tc>
              <w:tc>
                <w:tcPr>
                  <w:tcW w:w="1604" w:type="dxa"/>
                  <w:noWrap/>
                  <w:vAlign w:val="center"/>
                </w:tcPr>
                <w:p w14:paraId="62877B73">
                  <w:pPr>
                    <w:widowControl/>
                    <w:jc w:val="center"/>
                    <w:textAlignment w:val="center"/>
                    <w:rPr>
                      <w:color w:val="000000"/>
                      <w:kern w:val="0"/>
                      <w:sz w:val="21"/>
                      <w:szCs w:val="21"/>
                      <w:lang w:bidi="ar"/>
                    </w:rPr>
                  </w:pPr>
                  <w:r>
                    <w:rPr>
                      <w:color w:val="000000"/>
                      <w:kern w:val="0"/>
                      <w:sz w:val="21"/>
                      <w:szCs w:val="21"/>
                      <w:lang w:bidi="ar"/>
                    </w:rPr>
                    <w:t xml:space="preserve">0.016 </w:t>
                  </w:r>
                </w:p>
              </w:tc>
            </w:tr>
            <w:tr w14:paraId="60196A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43A15B00">
                  <w:pPr>
                    <w:jc w:val="center"/>
                    <w:rPr>
                      <w:color w:val="000000"/>
                      <w:sz w:val="21"/>
                      <w:szCs w:val="21"/>
                    </w:rPr>
                  </w:pPr>
                </w:p>
              </w:tc>
              <w:tc>
                <w:tcPr>
                  <w:tcW w:w="1000" w:type="pct"/>
                  <w:noWrap/>
                  <w:vAlign w:val="center"/>
                </w:tcPr>
                <w:p w14:paraId="65923E2E">
                  <w:pPr>
                    <w:widowControl/>
                    <w:jc w:val="center"/>
                    <w:textAlignment w:val="center"/>
                    <w:rPr>
                      <w:color w:val="000000"/>
                      <w:kern w:val="0"/>
                      <w:sz w:val="21"/>
                      <w:szCs w:val="21"/>
                      <w:lang w:bidi="ar"/>
                    </w:rPr>
                  </w:pPr>
                  <w:r>
                    <w:rPr>
                      <w:rFonts w:hint="eastAsia"/>
                      <w:color w:val="000000"/>
                      <w:kern w:val="0"/>
                      <w:sz w:val="21"/>
                      <w:szCs w:val="21"/>
                      <w:lang w:bidi="ar"/>
                    </w:rPr>
                    <w:t>臭气浓度</w:t>
                  </w:r>
                </w:p>
              </w:tc>
              <w:tc>
                <w:tcPr>
                  <w:tcW w:w="1968" w:type="dxa"/>
                  <w:noWrap/>
                  <w:vAlign w:val="center"/>
                </w:tcPr>
                <w:p w14:paraId="7BD8422B">
                  <w:pPr>
                    <w:widowControl/>
                    <w:jc w:val="center"/>
                    <w:textAlignment w:val="center"/>
                    <w:rPr>
                      <w:color w:val="000000"/>
                      <w:kern w:val="0"/>
                      <w:sz w:val="21"/>
                      <w:szCs w:val="21"/>
                      <w:lang w:bidi="ar"/>
                    </w:rPr>
                  </w:pPr>
                  <w:r>
                    <w:rPr>
                      <w:rFonts w:hint="eastAsia"/>
                      <w:color w:val="000000"/>
                      <w:kern w:val="0"/>
                      <w:sz w:val="21"/>
                      <w:szCs w:val="21"/>
                      <w:lang w:bidi="ar"/>
                    </w:rPr>
                    <w:t>少量</w:t>
                  </w:r>
                </w:p>
              </w:tc>
              <w:tc>
                <w:tcPr>
                  <w:tcW w:w="1864" w:type="dxa"/>
                  <w:noWrap/>
                  <w:vAlign w:val="center"/>
                </w:tcPr>
                <w:p w14:paraId="544F2919">
                  <w:pPr>
                    <w:widowControl/>
                    <w:jc w:val="center"/>
                    <w:textAlignment w:val="center"/>
                    <w:rPr>
                      <w:color w:val="000000"/>
                      <w:kern w:val="0"/>
                      <w:sz w:val="21"/>
                      <w:szCs w:val="21"/>
                      <w:lang w:bidi="ar"/>
                    </w:rPr>
                  </w:pPr>
                  <w:r>
                    <w:rPr>
                      <w:rFonts w:hint="eastAsia"/>
                      <w:color w:val="000000"/>
                      <w:kern w:val="0"/>
                      <w:sz w:val="21"/>
                      <w:szCs w:val="21"/>
                      <w:lang w:bidi="ar"/>
                    </w:rPr>
                    <w:t>少量</w:t>
                  </w:r>
                </w:p>
              </w:tc>
              <w:tc>
                <w:tcPr>
                  <w:tcW w:w="1604" w:type="dxa"/>
                  <w:noWrap/>
                  <w:vAlign w:val="center"/>
                </w:tcPr>
                <w:p w14:paraId="7697B1AD">
                  <w:pPr>
                    <w:widowControl/>
                    <w:jc w:val="center"/>
                    <w:textAlignment w:val="center"/>
                    <w:rPr>
                      <w:color w:val="000000"/>
                      <w:kern w:val="0"/>
                      <w:sz w:val="21"/>
                      <w:szCs w:val="21"/>
                      <w:lang w:bidi="ar"/>
                    </w:rPr>
                  </w:pPr>
                  <w:r>
                    <w:rPr>
                      <w:rFonts w:hint="eastAsia"/>
                      <w:color w:val="000000"/>
                      <w:kern w:val="0"/>
                      <w:sz w:val="21"/>
                      <w:szCs w:val="21"/>
                      <w:lang w:bidi="ar"/>
                    </w:rPr>
                    <w:t>少量</w:t>
                  </w:r>
                </w:p>
              </w:tc>
            </w:tr>
            <w:tr w14:paraId="621C80D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restart"/>
                  <w:noWrap/>
                  <w:vAlign w:val="center"/>
                </w:tcPr>
                <w:p w14:paraId="731F7AC6">
                  <w:pPr>
                    <w:jc w:val="center"/>
                    <w:rPr>
                      <w:rFonts w:hint="eastAsia"/>
                      <w:color w:val="000000"/>
                      <w:sz w:val="21"/>
                      <w:szCs w:val="21"/>
                    </w:rPr>
                  </w:pPr>
                  <w:r>
                    <w:rPr>
                      <w:rFonts w:hint="eastAsia"/>
                      <w:color w:val="000000"/>
                      <w:sz w:val="21"/>
                      <w:szCs w:val="21"/>
                    </w:rPr>
                    <w:t>排放量合计</w:t>
                  </w:r>
                </w:p>
              </w:tc>
              <w:tc>
                <w:tcPr>
                  <w:tcW w:w="1000" w:type="pct"/>
                  <w:noWrap/>
                  <w:vAlign w:val="center"/>
                </w:tcPr>
                <w:p w14:paraId="257970F5">
                  <w:pPr>
                    <w:widowControl/>
                    <w:jc w:val="center"/>
                    <w:textAlignment w:val="center"/>
                    <w:rPr>
                      <w:color w:val="000000"/>
                      <w:kern w:val="0"/>
                      <w:sz w:val="21"/>
                      <w:szCs w:val="21"/>
                      <w:lang w:bidi="ar"/>
                    </w:rPr>
                  </w:pPr>
                  <w:r>
                    <w:rPr>
                      <w:color w:val="000000"/>
                      <w:kern w:val="0"/>
                      <w:sz w:val="21"/>
                      <w:szCs w:val="21"/>
                      <w:lang w:bidi="ar"/>
                    </w:rPr>
                    <w:t>颗粒物</w:t>
                  </w:r>
                </w:p>
              </w:tc>
              <w:tc>
                <w:tcPr>
                  <w:tcW w:w="1968" w:type="dxa"/>
                  <w:noWrap/>
                  <w:vAlign w:val="center"/>
                </w:tcPr>
                <w:p w14:paraId="13134B73">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3D4BA299">
                  <w:pPr>
                    <w:widowControl/>
                    <w:jc w:val="center"/>
                    <w:textAlignment w:val="center"/>
                    <w:rPr>
                      <w:color w:val="000000"/>
                      <w:kern w:val="0"/>
                      <w:sz w:val="21"/>
                      <w:szCs w:val="21"/>
                      <w:lang w:bidi="ar"/>
                    </w:rPr>
                  </w:pPr>
                  <w:r>
                    <w:rPr>
                      <w:color w:val="000000"/>
                      <w:kern w:val="0"/>
                      <w:sz w:val="21"/>
                      <w:szCs w:val="21"/>
                      <w:lang w:bidi="ar"/>
                    </w:rPr>
                    <w:t>/</w:t>
                  </w:r>
                </w:p>
              </w:tc>
              <w:tc>
                <w:tcPr>
                  <w:tcW w:w="1604" w:type="dxa"/>
                  <w:noWrap/>
                  <w:vAlign w:val="center"/>
                </w:tcPr>
                <w:p w14:paraId="2C42668F">
                  <w:pPr>
                    <w:widowControl/>
                    <w:jc w:val="center"/>
                    <w:textAlignment w:val="center"/>
                    <w:rPr>
                      <w:color w:val="000000"/>
                      <w:kern w:val="0"/>
                      <w:sz w:val="21"/>
                      <w:szCs w:val="21"/>
                      <w:lang w:bidi="ar"/>
                    </w:rPr>
                  </w:pPr>
                  <w:r>
                    <w:rPr>
                      <w:color w:val="000000"/>
                      <w:kern w:val="0"/>
                      <w:sz w:val="21"/>
                      <w:szCs w:val="21"/>
                      <w:lang w:bidi="ar"/>
                    </w:rPr>
                    <w:t xml:space="preserve">2.456 </w:t>
                  </w:r>
                </w:p>
              </w:tc>
            </w:tr>
            <w:tr w14:paraId="412EC8E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24225D9F">
                  <w:pPr>
                    <w:jc w:val="center"/>
                    <w:rPr>
                      <w:color w:val="000000"/>
                      <w:sz w:val="21"/>
                      <w:szCs w:val="21"/>
                    </w:rPr>
                  </w:pPr>
                </w:p>
              </w:tc>
              <w:tc>
                <w:tcPr>
                  <w:tcW w:w="1000" w:type="pct"/>
                  <w:noWrap/>
                  <w:vAlign w:val="center"/>
                </w:tcPr>
                <w:p w14:paraId="46C85568">
                  <w:pPr>
                    <w:widowControl/>
                    <w:jc w:val="center"/>
                    <w:textAlignment w:val="center"/>
                    <w:rPr>
                      <w:color w:val="000000"/>
                      <w:kern w:val="0"/>
                      <w:sz w:val="21"/>
                      <w:szCs w:val="21"/>
                      <w:lang w:bidi="ar"/>
                    </w:rPr>
                  </w:pPr>
                  <w:r>
                    <w:rPr>
                      <w:color w:val="000000"/>
                      <w:kern w:val="0"/>
                      <w:sz w:val="21"/>
                      <w:szCs w:val="21"/>
                      <w:lang w:bidi="ar"/>
                    </w:rPr>
                    <w:t>非甲烷总烃</w:t>
                  </w:r>
                </w:p>
              </w:tc>
              <w:tc>
                <w:tcPr>
                  <w:tcW w:w="1968" w:type="dxa"/>
                  <w:noWrap/>
                  <w:vAlign w:val="center"/>
                </w:tcPr>
                <w:p w14:paraId="4E183C98">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53E3C3B1">
                  <w:pPr>
                    <w:widowControl/>
                    <w:jc w:val="center"/>
                    <w:textAlignment w:val="center"/>
                    <w:rPr>
                      <w:color w:val="000000"/>
                      <w:kern w:val="0"/>
                      <w:sz w:val="21"/>
                      <w:szCs w:val="21"/>
                      <w:lang w:bidi="ar"/>
                    </w:rPr>
                  </w:pPr>
                  <w:r>
                    <w:rPr>
                      <w:color w:val="000000"/>
                      <w:kern w:val="0"/>
                      <w:sz w:val="21"/>
                      <w:szCs w:val="21"/>
                      <w:lang w:bidi="ar"/>
                    </w:rPr>
                    <w:t>/</w:t>
                  </w:r>
                </w:p>
              </w:tc>
              <w:tc>
                <w:tcPr>
                  <w:tcW w:w="1604" w:type="dxa"/>
                  <w:noWrap/>
                  <w:vAlign w:val="center"/>
                </w:tcPr>
                <w:p w14:paraId="0EAE52E7">
                  <w:pPr>
                    <w:widowControl/>
                    <w:jc w:val="center"/>
                    <w:textAlignment w:val="center"/>
                    <w:rPr>
                      <w:color w:val="000000"/>
                      <w:kern w:val="0"/>
                      <w:sz w:val="21"/>
                      <w:szCs w:val="21"/>
                      <w:lang w:bidi="ar"/>
                    </w:rPr>
                  </w:pPr>
                  <w:r>
                    <w:rPr>
                      <w:color w:val="000000"/>
                      <w:kern w:val="0"/>
                      <w:sz w:val="21"/>
                      <w:szCs w:val="21"/>
                      <w:lang w:bidi="ar"/>
                    </w:rPr>
                    <w:t xml:space="preserve">2.646 </w:t>
                  </w:r>
                </w:p>
              </w:tc>
            </w:tr>
            <w:tr w14:paraId="6A43753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1" w:type="pct"/>
                  <w:vMerge w:val="continue"/>
                  <w:noWrap/>
                  <w:vAlign w:val="center"/>
                </w:tcPr>
                <w:p w14:paraId="0BD6D432">
                  <w:pPr>
                    <w:jc w:val="center"/>
                    <w:rPr>
                      <w:color w:val="000000"/>
                      <w:sz w:val="21"/>
                      <w:szCs w:val="21"/>
                    </w:rPr>
                  </w:pPr>
                </w:p>
              </w:tc>
              <w:tc>
                <w:tcPr>
                  <w:tcW w:w="1000" w:type="pct"/>
                  <w:noWrap/>
                  <w:vAlign w:val="center"/>
                </w:tcPr>
                <w:p w14:paraId="2917EF67">
                  <w:pPr>
                    <w:widowControl/>
                    <w:jc w:val="center"/>
                    <w:textAlignment w:val="center"/>
                    <w:rPr>
                      <w:color w:val="000000"/>
                      <w:kern w:val="0"/>
                      <w:sz w:val="21"/>
                      <w:szCs w:val="21"/>
                      <w:lang w:bidi="ar"/>
                    </w:rPr>
                  </w:pPr>
                  <w:r>
                    <w:rPr>
                      <w:color w:val="000000"/>
                      <w:kern w:val="0"/>
                      <w:sz w:val="21"/>
                      <w:szCs w:val="21"/>
                      <w:lang w:bidi="ar"/>
                    </w:rPr>
                    <w:t>氯化氢</w:t>
                  </w:r>
                </w:p>
              </w:tc>
              <w:tc>
                <w:tcPr>
                  <w:tcW w:w="1968" w:type="dxa"/>
                  <w:noWrap/>
                  <w:vAlign w:val="center"/>
                </w:tcPr>
                <w:p w14:paraId="66D7271E">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1C50533F">
                  <w:pPr>
                    <w:widowControl/>
                    <w:jc w:val="center"/>
                    <w:textAlignment w:val="center"/>
                    <w:rPr>
                      <w:color w:val="000000"/>
                      <w:kern w:val="0"/>
                      <w:sz w:val="21"/>
                      <w:szCs w:val="21"/>
                      <w:lang w:bidi="ar"/>
                    </w:rPr>
                  </w:pPr>
                  <w:r>
                    <w:rPr>
                      <w:color w:val="000000"/>
                      <w:kern w:val="0"/>
                      <w:sz w:val="21"/>
                      <w:szCs w:val="21"/>
                      <w:lang w:bidi="ar"/>
                    </w:rPr>
                    <w:t>/</w:t>
                  </w:r>
                </w:p>
              </w:tc>
              <w:tc>
                <w:tcPr>
                  <w:tcW w:w="1604" w:type="dxa"/>
                  <w:noWrap/>
                  <w:vAlign w:val="center"/>
                </w:tcPr>
                <w:p w14:paraId="02AEE0C1">
                  <w:pPr>
                    <w:widowControl/>
                    <w:jc w:val="center"/>
                    <w:textAlignment w:val="center"/>
                    <w:rPr>
                      <w:color w:val="000000"/>
                      <w:kern w:val="0"/>
                      <w:sz w:val="21"/>
                      <w:szCs w:val="21"/>
                      <w:lang w:bidi="ar"/>
                    </w:rPr>
                  </w:pPr>
                  <w:r>
                    <w:rPr>
                      <w:color w:val="000000"/>
                      <w:kern w:val="0"/>
                      <w:sz w:val="21"/>
                      <w:szCs w:val="21"/>
                      <w:lang w:bidi="ar"/>
                    </w:rPr>
                    <w:t xml:space="preserve">0.021 </w:t>
                  </w:r>
                </w:p>
              </w:tc>
            </w:tr>
            <w:tr w14:paraId="6DBF7DC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6BC68CA0">
                  <w:pPr>
                    <w:jc w:val="center"/>
                    <w:rPr>
                      <w:color w:val="000000"/>
                      <w:sz w:val="21"/>
                      <w:szCs w:val="21"/>
                    </w:rPr>
                  </w:pPr>
                </w:p>
              </w:tc>
              <w:tc>
                <w:tcPr>
                  <w:tcW w:w="1000" w:type="pct"/>
                  <w:noWrap/>
                  <w:vAlign w:val="center"/>
                </w:tcPr>
                <w:p w14:paraId="0FE93096">
                  <w:pPr>
                    <w:widowControl/>
                    <w:jc w:val="center"/>
                    <w:textAlignment w:val="center"/>
                    <w:rPr>
                      <w:color w:val="000000"/>
                      <w:kern w:val="0"/>
                      <w:sz w:val="21"/>
                      <w:szCs w:val="21"/>
                      <w:lang w:bidi="ar"/>
                    </w:rPr>
                  </w:pPr>
                  <w:r>
                    <w:rPr>
                      <w:color w:val="000000"/>
                      <w:kern w:val="0"/>
                      <w:sz w:val="21"/>
                      <w:szCs w:val="21"/>
                      <w:lang w:bidi="ar"/>
                    </w:rPr>
                    <w:t>氯乙烯</w:t>
                  </w:r>
                </w:p>
              </w:tc>
              <w:tc>
                <w:tcPr>
                  <w:tcW w:w="1968" w:type="dxa"/>
                  <w:noWrap/>
                  <w:vAlign w:val="center"/>
                </w:tcPr>
                <w:p w14:paraId="3529AE0E">
                  <w:pPr>
                    <w:widowControl/>
                    <w:jc w:val="center"/>
                    <w:textAlignment w:val="center"/>
                    <w:rPr>
                      <w:color w:val="000000"/>
                      <w:kern w:val="0"/>
                      <w:sz w:val="21"/>
                      <w:szCs w:val="21"/>
                      <w:lang w:bidi="ar"/>
                    </w:rPr>
                  </w:pPr>
                  <w:r>
                    <w:rPr>
                      <w:color w:val="000000"/>
                      <w:kern w:val="0"/>
                      <w:sz w:val="21"/>
                      <w:szCs w:val="21"/>
                      <w:lang w:bidi="ar"/>
                    </w:rPr>
                    <w:t>/</w:t>
                  </w:r>
                </w:p>
              </w:tc>
              <w:tc>
                <w:tcPr>
                  <w:tcW w:w="1864" w:type="dxa"/>
                  <w:noWrap/>
                  <w:vAlign w:val="center"/>
                </w:tcPr>
                <w:p w14:paraId="77A01C5D">
                  <w:pPr>
                    <w:widowControl/>
                    <w:jc w:val="center"/>
                    <w:textAlignment w:val="center"/>
                    <w:rPr>
                      <w:color w:val="000000"/>
                      <w:kern w:val="0"/>
                      <w:sz w:val="21"/>
                      <w:szCs w:val="21"/>
                      <w:lang w:bidi="ar"/>
                    </w:rPr>
                  </w:pPr>
                  <w:r>
                    <w:rPr>
                      <w:color w:val="000000"/>
                      <w:kern w:val="0"/>
                      <w:sz w:val="21"/>
                      <w:szCs w:val="21"/>
                      <w:lang w:bidi="ar"/>
                    </w:rPr>
                    <w:t>/</w:t>
                  </w:r>
                </w:p>
              </w:tc>
              <w:tc>
                <w:tcPr>
                  <w:tcW w:w="1604" w:type="dxa"/>
                  <w:noWrap/>
                  <w:vAlign w:val="center"/>
                </w:tcPr>
                <w:p w14:paraId="073F999F">
                  <w:pPr>
                    <w:widowControl/>
                    <w:jc w:val="center"/>
                    <w:textAlignment w:val="center"/>
                    <w:rPr>
                      <w:color w:val="000000"/>
                      <w:kern w:val="0"/>
                      <w:sz w:val="21"/>
                      <w:szCs w:val="21"/>
                      <w:lang w:bidi="ar"/>
                    </w:rPr>
                  </w:pPr>
                  <w:r>
                    <w:rPr>
                      <w:color w:val="000000"/>
                      <w:kern w:val="0"/>
                      <w:sz w:val="21"/>
                      <w:szCs w:val="21"/>
                      <w:lang w:bidi="ar"/>
                    </w:rPr>
                    <w:t xml:space="preserve">0.033 </w:t>
                  </w:r>
                </w:p>
              </w:tc>
            </w:tr>
            <w:tr w14:paraId="5B39BE2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1" w:type="pct"/>
                  <w:vMerge w:val="continue"/>
                  <w:noWrap/>
                  <w:vAlign w:val="center"/>
                </w:tcPr>
                <w:p w14:paraId="2AA72234">
                  <w:pPr>
                    <w:jc w:val="center"/>
                    <w:rPr>
                      <w:color w:val="000000"/>
                      <w:sz w:val="21"/>
                      <w:szCs w:val="21"/>
                    </w:rPr>
                  </w:pPr>
                </w:p>
              </w:tc>
              <w:tc>
                <w:tcPr>
                  <w:tcW w:w="1000" w:type="pct"/>
                  <w:noWrap/>
                  <w:vAlign w:val="center"/>
                </w:tcPr>
                <w:p w14:paraId="3A262097">
                  <w:pPr>
                    <w:widowControl/>
                    <w:jc w:val="center"/>
                    <w:textAlignment w:val="center"/>
                    <w:rPr>
                      <w:color w:val="000000"/>
                      <w:kern w:val="0"/>
                      <w:sz w:val="21"/>
                      <w:szCs w:val="21"/>
                      <w:lang w:bidi="ar"/>
                    </w:rPr>
                  </w:pPr>
                  <w:r>
                    <w:rPr>
                      <w:rFonts w:hint="eastAsia"/>
                      <w:color w:val="000000"/>
                      <w:kern w:val="0"/>
                      <w:sz w:val="21"/>
                      <w:szCs w:val="21"/>
                      <w:lang w:bidi="ar"/>
                    </w:rPr>
                    <w:t>臭气浓度</w:t>
                  </w:r>
                </w:p>
              </w:tc>
              <w:tc>
                <w:tcPr>
                  <w:tcW w:w="1968" w:type="dxa"/>
                  <w:noWrap/>
                  <w:vAlign w:val="center"/>
                </w:tcPr>
                <w:p w14:paraId="4628C1DA">
                  <w:pPr>
                    <w:widowControl/>
                    <w:jc w:val="center"/>
                    <w:textAlignment w:val="center"/>
                    <w:rPr>
                      <w:color w:val="000000"/>
                      <w:kern w:val="0"/>
                      <w:sz w:val="21"/>
                      <w:szCs w:val="21"/>
                      <w:lang w:bidi="ar"/>
                    </w:rPr>
                  </w:pPr>
                  <w:r>
                    <w:rPr>
                      <w:rFonts w:hint="eastAsia" w:ascii="宋体" w:hAnsi="宋体" w:cs="宋体"/>
                      <w:color w:val="000000"/>
                      <w:kern w:val="0"/>
                      <w:sz w:val="21"/>
                      <w:szCs w:val="21"/>
                      <w:lang w:bidi="ar"/>
                    </w:rPr>
                    <w:t>少量</w:t>
                  </w:r>
                </w:p>
              </w:tc>
              <w:tc>
                <w:tcPr>
                  <w:tcW w:w="1864" w:type="dxa"/>
                  <w:noWrap/>
                  <w:vAlign w:val="center"/>
                </w:tcPr>
                <w:p w14:paraId="5540D641">
                  <w:pPr>
                    <w:widowControl/>
                    <w:jc w:val="center"/>
                    <w:textAlignment w:val="center"/>
                    <w:rPr>
                      <w:color w:val="000000"/>
                      <w:kern w:val="0"/>
                      <w:sz w:val="21"/>
                      <w:szCs w:val="21"/>
                      <w:lang w:bidi="ar"/>
                    </w:rPr>
                  </w:pPr>
                  <w:r>
                    <w:rPr>
                      <w:rFonts w:hint="eastAsia" w:ascii="宋体" w:hAnsi="宋体" w:cs="宋体"/>
                      <w:color w:val="000000"/>
                      <w:kern w:val="0"/>
                      <w:sz w:val="21"/>
                      <w:szCs w:val="21"/>
                      <w:lang w:bidi="ar"/>
                    </w:rPr>
                    <w:t>少量</w:t>
                  </w:r>
                </w:p>
              </w:tc>
              <w:tc>
                <w:tcPr>
                  <w:tcW w:w="1604" w:type="dxa"/>
                  <w:noWrap/>
                  <w:vAlign w:val="center"/>
                </w:tcPr>
                <w:p w14:paraId="65A3A0B9">
                  <w:pPr>
                    <w:widowControl/>
                    <w:jc w:val="center"/>
                    <w:textAlignment w:val="center"/>
                    <w:rPr>
                      <w:color w:val="000000"/>
                      <w:kern w:val="0"/>
                      <w:sz w:val="21"/>
                      <w:szCs w:val="21"/>
                      <w:lang w:bidi="ar"/>
                    </w:rPr>
                  </w:pPr>
                  <w:r>
                    <w:rPr>
                      <w:rFonts w:hint="eastAsia" w:ascii="宋体" w:hAnsi="宋体" w:cs="宋体"/>
                      <w:color w:val="000000"/>
                      <w:kern w:val="0"/>
                      <w:sz w:val="21"/>
                      <w:szCs w:val="21"/>
                      <w:lang w:bidi="ar"/>
                    </w:rPr>
                    <w:t>少量</w:t>
                  </w:r>
                </w:p>
              </w:tc>
            </w:tr>
          </w:tbl>
          <w:p w14:paraId="6982421F">
            <w:pPr>
              <w:spacing w:line="360" w:lineRule="auto"/>
              <w:ind w:firstLine="465"/>
              <w:contextualSpacing/>
              <w:rPr>
                <w:color w:val="000000"/>
              </w:rPr>
            </w:pPr>
          </w:p>
        </w:tc>
      </w:tr>
    </w:tbl>
    <w:p w14:paraId="68D40990">
      <w:pPr>
        <w:tabs>
          <w:tab w:val="left" w:pos="3891"/>
        </w:tabs>
        <w:rPr>
          <w:color w:val="000000"/>
          <w:sz w:val="28"/>
          <w:szCs w:val="28"/>
        </w:rPr>
        <w:sectPr>
          <w:pgSz w:w="11905" w:h="16838"/>
          <w:pgMar w:top="1440" w:right="1531" w:bottom="1440" w:left="1531" w:header="851" w:footer="992" w:gutter="0"/>
          <w:cols w:space="720" w:num="1"/>
          <w:docGrid w:type="lines" w:linePitch="312" w:charSpace="0"/>
        </w:sectPr>
      </w:pPr>
    </w:p>
    <w:p w14:paraId="0AD61158">
      <w:pPr>
        <w:pStyle w:val="2"/>
        <w:ind w:left="0" w:firstLine="0"/>
        <w:jc w:val="center"/>
        <w:rPr>
          <w:rFonts w:hint="eastAsia" w:eastAsia="宋体" w:cs="宋体"/>
          <w:color w:val="000000"/>
          <w:sz w:val="28"/>
          <w:szCs w:val="28"/>
        </w:rPr>
      </w:pPr>
      <w:r>
        <w:rPr>
          <w:rFonts w:hint="eastAsia" w:eastAsia="宋体" w:cs="宋体"/>
          <w:color w:val="000000"/>
          <w:sz w:val="28"/>
          <w:szCs w:val="28"/>
        </w:rPr>
        <w:t>四、主要环境影响和保护措施</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636"/>
      </w:tblGrid>
      <w:tr w14:paraId="6E35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 w:type="pct"/>
            <w:noWrap w:val="0"/>
            <w:vAlign w:val="center"/>
          </w:tcPr>
          <w:p w14:paraId="7E0C2DF6">
            <w:pPr>
              <w:adjustRightInd w:val="0"/>
              <w:snapToGrid w:val="0"/>
              <w:jc w:val="center"/>
              <w:rPr>
                <w:bCs/>
                <w:color w:val="000000"/>
                <w:szCs w:val="21"/>
              </w:rPr>
            </w:pPr>
            <w:r>
              <w:rPr>
                <w:bCs/>
                <w:color w:val="000000"/>
                <w:szCs w:val="21"/>
              </w:rPr>
              <w:t>运</w:t>
            </w:r>
          </w:p>
          <w:p w14:paraId="766F791B">
            <w:pPr>
              <w:adjustRightInd w:val="0"/>
              <w:snapToGrid w:val="0"/>
              <w:jc w:val="center"/>
              <w:rPr>
                <w:bCs/>
                <w:color w:val="000000"/>
                <w:szCs w:val="21"/>
              </w:rPr>
            </w:pPr>
            <w:r>
              <w:rPr>
                <w:bCs/>
                <w:color w:val="000000"/>
                <w:szCs w:val="21"/>
              </w:rPr>
              <w:t>营</w:t>
            </w:r>
          </w:p>
          <w:p w14:paraId="4D7B7058">
            <w:pPr>
              <w:adjustRightInd w:val="0"/>
              <w:snapToGrid w:val="0"/>
              <w:jc w:val="center"/>
              <w:rPr>
                <w:bCs/>
                <w:color w:val="000000"/>
                <w:szCs w:val="21"/>
              </w:rPr>
            </w:pPr>
            <w:r>
              <w:rPr>
                <w:bCs/>
                <w:color w:val="000000"/>
                <w:szCs w:val="21"/>
              </w:rPr>
              <w:t>期</w:t>
            </w:r>
          </w:p>
          <w:p w14:paraId="430FE42F">
            <w:pPr>
              <w:adjustRightInd w:val="0"/>
              <w:snapToGrid w:val="0"/>
              <w:jc w:val="center"/>
              <w:rPr>
                <w:bCs/>
                <w:color w:val="000000"/>
                <w:szCs w:val="21"/>
              </w:rPr>
            </w:pPr>
            <w:r>
              <w:rPr>
                <w:bCs/>
                <w:color w:val="000000"/>
                <w:szCs w:val="21"/>
              </w:rPr>
              <w:t>环</w:t>
            </w:r>
          </w:p>
          <w:p w14:paraId="015E1410">
            <w:pPr>
              <w:adjustRightInd w:val="0"/>
              <w:snapToGrid w:val="0"/>
              <w:jc w:val="center"/>
              <w:rPr>
                <w:bCs/>
                <w:color w:val="000000"/>
                <w:szCs w:val="21"/>
              </w:rPr>
            </w:pPr>
            <w:r>
              <w:rPr>
                <w:bCs/>
                <w:color w:val="000000"/>
                <w:szCs w:val="21"/>
              </w:rPr>
              <w:t>境</w:t>
            </w:r>
          </w:p>
          <w:p w14:paraId="5567750F">
            <w:pPr>
              <w:adjustRightInd w:val="0"/>
              <w:snapToGrid w:val="0"/>
              <w:jc w:val="center"/>
              <w:rPr>
                <w:bCs/>
                <w:color w:val="000000"/>
                <w:szCs w:val="21"/>
              </w:rPr>
            </w:pPr>
            <w:r>
              <w:rPr>
                <w:bCs/>
                <w:color w:val="000000"/>
                <w:szCs w:val="21"/>
              </w:rPr>
              <w:t>影</w:t>
            </w:r>
          </w:p>
          <w:p w14:paraId="7F3A53E3">
            <w:pPr>
              <w:adjustRightInd w:val="0"/>
              <w:snapToGrid w:val="0"/>
              <w:jc w:val="center"/>
              <w:rPr>
                <w:bCs/>
                <w:color w:val="000000"/>
                <w:szCs w:val="21"/>
              </w:rPr>
            </w:pPr>
            <w:r>
              <w:rPr>
                <w:bCs/>
                <w:color w:val="000000"/>
                <w:szCs w:val="21"/>
              </w:rPr>
              <w:t>响</w:t>
            </w:r>
          </w:p>
          <w:p w14:paraId="6CA560E6">
            <w:pPr>
              <w:adjustRightInd w:val="0"/>
              <w:snapToGrid w:val="0"/>
              <w:jc w:val="center"/>
              <w:rPr>
                <w:bCs/>
                <w:color w:val="000000"/>
                <w:szCs w:val="21"/>
              </w:rPr>
            </w:pPr>
            <w:r>
              <w:rPr>
                <w:bCs/>
                <w:color w:val="000000"/>
                <w:szCs w:val="21"/>
              </w:rPr>
              <w:t>和</w:t>
            </w:r>
          </w:p>
          <w:p w14:paraId="28A3ED93">
            <w:pPr>
              <w:adjustRightInd w:val="0"/>
              <w:snapToGrid w:val="0"/>
              <w:jc w:val="center"/>
              <w:rPr>
                <w:bCs/>
                <w:color w:val="000000"/>
                <w:szCs w:val="21"/>
              </w:rPr>
            </w:pPr>
            <w:r>
              <w:rPr>
                <w:bCs/>
                <w:color w:val="000000"/>
                <w:szCs w:val="21"/>
              </w:rPr>
              <w:t>保</w:t>
            </w:r>
          </w:p>
          <w:p w14:paraId="06C6BEFE">
            <w:pPr>
              <w:adjustRightInd w:val="0"/>
              <w:snapToGrid w:val="0"/>
              <w:jc w:val="center"/>
              <w:rPr>
                <w:bCs/>
                <w:color w:val="000000"/>
                <w:szCs w:val="21"/>
              </w:rPr>
            </w:pPr>
            <w:r>
              <w:rPr>
                <w:bCs/>
                <w:color w:val="000000"/>
                <w:szCs w:val="21"/>
              </w:rPr>
              <w:t>护</w:t>
            </w:r>
          </w:p>
          <w:p w14:paraId="73445820">
            <w:pPr>
              <w:adjustRightInd w:val="0"/>
              <w:snapToGrid w:val="0"/>
              <w:jc w:val="center"/>
              <w:rPr>
                <w:bCs/>
                <w:color w:val="000000"/>
                <w:szCs w:val="21"/>
              </w:rPr>
            </w:pPr>
            <w:r>
              <w:rPr>
                <w:bCs/>
                <w:color w:val="000000"/>
                <w:szCs w:val="21"/>
              </w:rPr>
              <w:t>措</w:t>
            </w:r>
          </w:p>
          <w:p w14:paraId="4361BA2A">
            <w:pPr>
              <w:adjustRightInd w:val="0"/>
              <w:snapToGrid w:val="0"/>
              <w:jc w:val="center"/>
              <w:rPr>
                <w:color w:val="000000"/>
              </w:rPr>
            </w:pPr>
            <w:r>
              <w:rPr>
                <w:bCs/>
                <w:color w:val="000000"/>
                <w:szCs w:val="21"/>
              </w:rPr>
              <w:t>施</w:t>
            </w:r>
          </w:p>
        </w:tc>
        <w:tc>
          <w:tcPr>
            <w:tcW w:w="4795" w:type="pct"/>
            <w:noWrap w:val="0"/>
            <w:vAlign w:val="top"/>
          </w:tcPr>
          <w:p w14:paraId="1430EDD9">
            <w:pPr>
              <w:jc w:val="center"/>
              <w:rPr>
                <w:b/>
                <w:bCs/>
                <w:color w:val="000000"/>
                <w:szCs w:val="21"/>
              </w:rPr>
            </w:pPr>
            <w:bookmarkStart w:id="26" w:name="_Toc95902509"/>
            <w:bookmarkStart w:id="27" w:name="_Toc99551056"/>
            <w:r>
              <w:rPr>
                <w:b/>
                <w:bCs/>
                <w:color w:val="000000"/>
                <w:szCs w:val="21"/>
              </w:rPr>
              <w:t>表</w:t>
            </w:r>
            <w:r>
              <w:rPr>
                <w:rFonts w:hint="eastAsia"/>
                <w:b/>
                <w:bCs/>
                <w:color w:val="000000"/>
                <w:szCs w:val="21"/>
              </w:rPr>
              <w:t>4-12</w:t>
            </w:r>
            <w:r>
              <w:rPr>
                <w:b/>
                <w:bCs/>
                <w:color w:val="000000"/>
                <w:szCs w:val="21"/>
              </w:rPr>
              <w:t xml:space="preserve">  排放口情况一览表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603"/>
              <w:gridCol w:w="642"/>
              <w:gridCol w:w="866"/>
              <w:gridCol w:w="871"/>
              <w:gridCol w:w="948"/>
              <w:gridCol w:w="1676"/>
              <w:gridCol w:w="1560"/>
            </w:tblGrid>
            <w:tr w14:paraId="307A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restart"/>
                  <w:noWrap w:val="0"/>
                  <w:vAlign w:val="center"/>
                </w:tcPr>
                <w:p w14:paraId="26AA61BD">
                  <w:pPr>
                    <w:jc w:val="center"/>
                    <w:rPr>
                      <w:rFonts w:hint="eastAsia"/>
                      <w:color w:val="000000"/>
                      <w:sz w:val="21"/>
                      <w:szCs w:val="21"/>
                    </w:rPr>
                  </w:pPr>
                  <w:r>
                    <w:rPr>
                      <w:rFonts w:hint="eastAsia"/>
                      <w:color w:val="000000"/>
                      <w:sz w:val="21"/>
                      <w:szCs w:val="21"/>
                    </w:rPr>
                    <w:t>排气筒编号</w:t>
                  </w:r>
                </w:p>
              </w:tc>
              <w:tc>
                <w:tcPr>
                  <w:tcW w:w="389" w:type="pct"/>
                  <w:vMerge w:val="restart"/>
                  <w:noWrap w:val="0"/>
                  <w:vAlign w:val="center"/>
                </w:tcPr>
                <w:p w14:paraId="6CACF1E1">
                  <w:pPr>
                    <w:jc w:val="center"/>
                    <w:rPr>
                      <w:rFonts w:hint="eastAsia"/>
                      <w:color w:val="000000"/>
                      <w:sz w:val="21"/>
                      <w:szCs w:val="21"/>
                    </w:rPr>
                  </w:pPr>
                  <w:r>
                    <w:rPr>
                      <w:rFonts w:hint="eastAsia"/>
                      <w:color w:val="000000"/>
                      <w:sz w:val="21"/>
                      <w:szCs w:val="21"/>
                    </w:rPr>
                    <w:t>高度</w:t>
                  </w:r>
                </w:p>
                <w:p w14:paraId="1B986A51">
                  <w:pPr>
                    <w:jc w:val="center"/>
                    <w:rPr>
                      <w:rFonts w:hint="eastAsia"/>
                      <w:color w:val="000000"/>
                      <w:sz w:val="21"/>
                      <w:szCs w:val="21"/>
                    </w:rPr>
                  </w:pPr>
                  <w:r>
                    <w:rPr>
                      <w:rFonts w:hint="eastAsia"/>
                      <w:color w:val="000000"/>
                      <w:sz w:val="21"/>
                      <w:szCs w:val="21"/>
                    </w:rPr>
                    <w:t>m</w:t>
                  </w:r>
                </w:p>
              </w:tc>
              <w:tc>
                <w:tcPr>
                  <w:tcW w:w="412" w:type="pct"/>
                  <w:vMerge w:val="restart"/>
                  <w:noWrap w:val="0"/>
                  <w:vAlign w:val="center"/>
                </w:tcPr>
                <w:p w14:paraId="0E39AAF4">
                  <w:pPr>
                    <w:jc w:val="center"/>
                    <w:rPr>
                      <w:rFonts w:hint="eastAsia"/>
                      <w:color w:val="000000"/>
                      <w:sz w:val="21"/>
                      <w:szCs w:val="21"/>
                    </w:rPr>
                  </w:pPr>
                  <w:r>
                    <w:rPr>
                      <w:rFonts w:hint="eastAsia"/>
                      <w:color w:val="000000"/>
                      <w:sz w:val="21"/>
                      <w:szCs w:val="21"/>
                    </w:rPr>
                    <w:t>内径</w:t>
                  </w:r>
                </w:p>
                <w:p w14:paraId="24CFBE25">
                  <w:pPr>
                    <w:jc w:val="center"/>
                    <w:rPr>
                      <w:rFonts w:hint="eastAsia"/>
                      <w:color w:val="000000"/>
                      <w:sz w:val="21"/>
                      <w:szCs w:val="21"/>
                    </w:rPr>
                  </w:pPr>
                  <w:r>
                    <w:rPr>
                      <w:rFonts w:hint="eastAsia"/>
                      <w:color w:val="000000"/>
                      <w:sz w:val="21"/>
                      <w:szCs w:val="21"/>
                    </w:rPr>
                    <w:t>m</w:t>
                  </w:r>
                </w:p>
              </w:tc>
              <w:tc>
                <w:tcPr>
                  <w:tcW w:w="545" w:type="pct"/>
                  <w:vMerge w:val="restart"/>
                  <w:noWrap w:val="0"/>
                  <w:vAlign w:val="center"/>
                </w:tcPr>
                <w:p w14:paraId="0E6051E5">
                  <w:pPr>
                    <w:jc w:val="center"/>
                    <w:rPr>
                      <w:color w:val="000000"/>
                      <w:sz w:val="21"/>
                      <w:szCs w:val="21"/>
                    </w:rPr>
                  </w:pPr>
                  <w:r>
                    <w:rPr>
                      <w:rFonts w:hint="eastAsia"/>
                      <w:color w:val="000000"/>
                      <w:sz w:val="21"/>
                      <w:szCs w:val="21"/>
                    </w:rPr>
                    <w:t>风速m/s</w:t>
                  </w:r>
                </w:p>
              </w:tc>
              <w:tc>
                <w:tcPr>
                  <w:tcW w:w="548" w:type="pct"/>
                  <w:vMerge w:val="restart"/>
                  <w:noWrap w:val="0"/>
                  <w:vAlign w:val="center"/>
                </w:tcPr>
                <w:p w14:paraId="6490F4F3">
                  <w:pPr>
                    <w:jc w:val="center"/>
                    <w:rPr>
                      <w:rFonts w:hint="eastAsia"/>
                      <w:color w:val="000000"/>
                      <w:sz w:val="21"/>
                      <w:szCs w:val="21"/>
                    </w:rPr>
                  </w:pPr>
                  <w:r>
                    <w:rPr>
                      <w:rFonts w:hint="eastAsia"/>
                      <w:color w:val="000000"/>
                      <w:sz w:val="21"/>
                      <w:szCs w:val="21"/>
                    </w:rPr>
                    <w:t>温度℃</w:t>
                  </w:r>
                </w:p>
              </w:tc>
              <w:tc>
                <w:tcPr>
                  <w:tcW w:w="594" w:type="pct"/>
                  <w:vMerge w:val="restart"/>
                  <w:noWrap w:val="0"/>
                  <w:vAlign w:val="center"/>
                </w:tcPr>
                <w:p w14:paraId="0FC8B981">
                  <w:pPr>
                    <w:jc w:val="center"/>
                    <w:rPr>
                      <w:rFonts w:hint="eastAsia"/>
                      <w:color w:val="000000"/>
                      <w:sz w:val="21"/>
                      <w:szCs w:val="21"/>
                    </w:rPr>
                  </w:pPr>
                  <w:r>
                    <w:rPr>
                      <w:rFonts w:hint="eastAsia"/>
                      <w:color w:val="000000"/>
                      <w:sz w:val="21"/>
                      <w:szCs w:val="21"/>
                    </w:rPr>
                    <w:t>类型</w:t>
                  </w:r>
                </w:p>
              </w:tc>
              <w:tc>
                <w:tcPr>
                  <w:tcW w:w="1739" w:type="pct"/>
                  <w:gridSpan w:val="2"/>
                  <w:noWrap w:val="0"/>
                  <w:vAlign w:val="center"/>
                </w:tcPr>
                <w:p w14:paraId="259F5ABE">
                  <w:pPr>
                    <w:jc w:val="center"/>
                    <w:rPr>
                      <w:rFonts w:hint="eastAsia"/>
                      <w:color w:val="000000"/>
                      <w:sz w:val="21"/>
                      <w:szCs w:val="21"/>
                    </w:rPr>
                  </w:pPr>
                  <w:r>
                    <w:rPr>
                      <w:rFonts w:hint="eastAsia"/>
                      <w:color w:val="000000"/>
                      <w:sz w:val="21"/>
                      <w:szCs w:val="21"/>
                    </w:rPr>
                    <w:t>地理坐标</w:t>
                  </w:r>
                </w:p>
              </w:tc>
            </w:tr>
            <w:tr w14:paraId="70DB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noWrap w:val="0"/>
                  <w:vAlign w:val="center"/>
                </w:tcPr>
                <w:p w14:paraId="05A5C55A">
                  <w:pPr>
                    <w:jc w:val="center"/>
                    <w:rPr>
                      <w:rFonts w:hint="eastAsia"/>
                      <w:color w:val="000000"/>
                      <w:sz w:val="21"/>
                      <w:szCs w:val="21"/>
                    </w:rPr>
                  </w:pPr>
                </w:p>
              </w:tc>
              <w:tc>
                <w:tcPr>
                  <w:tcW w:w="389" w:type="pct"/>
                  <w:vMerge w:val="continue"/>
                  <w:noWrap w:val="0"/>
                  <w:vAlign w:val="center"/>
                </w:tcPr>
                <w:p w14:paraId="795171FB">
                  <w:pPr>
                    <w:jc w:val="center"/>
                    <w:rPr>
                      <w:rFonts w:hint="eastAsia"/>
                      <w:color w:val="000000"/>
                      <w:sz w:val="21"/>
                      <w:szCs w:val="21"/>
                    </w:rPr>
                  </w:pPr>
                </w:p>
              </w:tc>
              <w:tc>
                <w:tcPr>
                  <w:tcW w:w="412" w:type="pct"/>
                  <w:vMerge w:val="continue"/>
                  <w:noWrap w:val="0"/>
                  <w:vAlign w:val="center"/>
                </w:tcPr>
                <w:p w14:paraId="724717C2">
                  <w:pPr>
                    <w:jc w:val="center"/>
                    <w:rPr>
                      <w:rFonts w:hint="eastAsia"/>
                      <w:color w:val="000000"/>
                      <w:sz w:val="21"/>
                      <w:szCs w:val="21"/>
                    </w:rPr>
                  </w:pPr>
                </w:p>
              </w:tc>
              <w:tc>
                <w:tcPr>
                  <w:tcW w:w="545" w:type="pct"/>
                  <w:vMerge w:val="continue"/>
                  <w:noWrap w:val="0"/>
                  <w:vAlign w:val="center"/>
                </w:tcPr>
                <w:p w14:paraId="22F9C59A">
                  <w:pPr>
                    <w:jc w:val="center"/>
                    <w:rPr>
                      <w:rFonts w:hint="eastAsia"/>
                      <w:color w:val="000000"/>
                      <w:sz w:val="21"/>
                      <w:szCs w:val="21"/>
                    </w:rPr>
                  </w:pPr>
                </w:p>
              </w:tc>
              <w:tc>
                <w:tcPr>
                  <w:tcW w:w="548" w:type="pct"/>
                  <w:vMerge w:val="continue"/>
                  <w:noWrap w:val="0"/>
                  <w:vAlign w:val="center"/>
                </w:tcPr>
                <w:p w14:paraId="1375A948">
                  <w:pPr>
                    <w:jc w:val="center"/>
                    <w:rPr>
                      <w:rFonts w:hint="eastAsia"/>
                      <w:color w:val="000000"/>
                      <w:sz w:val="21"/>
                      <w:szCs w:val="21"/>
                    </w:rPr>
                  </w:pPr>
                </w:p>
              </w:tc>
              <w:tc>
                <w:tcPr>
                  <w:tcW w:w="594" w:type="pct"/>
                  <w:vMerge w:val="continue"/>
                  <w:noWrap w:val="0"/>
                  <w:vAlign w:val="center"/>
                </w:tcPr>
                <w:p w14:paraId="00BA0B08">
                  <w:pPr>
                    <w:jc w:val="center"/>
                    <w:rPr>
                      <w:rFonts w:hint="eastAsia"/>
                      <w:color w:val="000000"/>
                      <w:sz w:val="21"/>
                      <w:szCs w:val="21"/>
                    </w:rPr>
                  </w:pPr>
                </w:p>
              </w:tc>
              <w:tc>
                <w:tcPr>
                  <w:tcW w:w="909" w:type="pct"/>
                  <w:noWrap w:val="0"/>
                  <w:vAlign w:val="center"/>
                </w:tcPr>
                <w:p w14:paraId="64CA3E71">
                  <w:pPr>
                    <w:jc w:val="center"/>
                    <w:rPr>
                      <w:rFonts w:hint="eastAsia"/>
                      <w:color w:val="000000"/>
                      <w:sz w:val="21"/>
                      <w:szCs w:val="21"/>
                    </w:rPr>
                  </w:pPr>
                  <w:r>
                    <w:rPr>
                      <w:rFonts w:hint="eastAsia"/>
                      <w:color w:val="000000"/>
                      <w:sz w:val="21"/>
                      <w:szCs w:val="21"/>
                    </w:rPr>
                    <w:t>经度</w:t>
                  </w:r>
                </w:p>
              </w:tc>
              <w:tc>
                <w:tcPr>
                  <w:tcW w:w="830" w:type="pct"/>
                  <w:noWrap w:val="0"/>
                  <w:vAlign w:val="center"/>
                </w:tcPr>
                <w:p w14:paraId="42CFE86F">
                  <w:pPr>
                    <w:jc w:val="center"/>
                    <w:rPr>
                      <w:rFonts w:hint="eastAsia"/>
                      <w:color w:val="000000"/>
                      <w:sz w:val="21"/>
                      <w:szCs w:val="21"/>
                    </w:rPr>
                  </w:pPr>
                  <w:r>
                    <w:rPr>
                      <w:rFonts w:hint="eastAsia"/>
                      <w:color w:val="000000"/>
                      <w:sz w:val="21"/>
                      <w:szCs w:val="21"/>
                    </w:rPr>
                    <w:t>纬度</w:t>
                  </w:r>
                </w:p>
              </w:tc>
            </w:tr>
            <w:tr w14:paraId="623D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noWrap w:val="0"/>
                  <w:vAlign w:val="center"/>
                </w:tcPr>
                <w:p w14:paraId="7DA6CAB7">
                  <w:pPr>
                    <w:jc w:val="center"/>
                    <w:rPr>
                      <w:color w:val="000000"/>
                      <w:sz w:val="21"/>
                      <w:szCs w:val="21"/>
                    </w:rPr>
                  </w:pPr>
                  <w:r>
                    <w:rPr>
                      <w:rFonts w:hint="eastAsia"/>
                      <w:color w:val="000000"/>
                      <w:sz w:val="21"/>
                      <w:szCs w:val="21"/>
                    </w:rPr>
                    <w:t>DA001</w:t>
                  </w:r>
                </w:p>
              </w:tc>
              <w:tc>
                <w:tcPr>
                  <w:tcW w:w="389" w:type="pct"/>
                  <w:noWrap w:val="0"/>
                  <w:vAlign w:val="center"/>
                </w:tcPr>
                <w:p w14:paraId="19148392">
                  <w:pPr>
                    <w:jc w:val="center"/>
                    <w:rPr>
                      <w:color w:val="000000"/>
                      <w:sz w:val="21"/>
                      <w:szCs w:val="21"/>
                    </w:rPr>
                  </w:pPr>
                  <w:r>
                    <w:rPr>
                      <w:rFonts w:hint="eastAsia"/>
                      <w:color w:val="000000"/>
                      <w:sz w:val="21"/>
                      <w:szCs w:val="21"/>
                    </w:rPr>
                    <w:t>15</w:t>
                  </w:r>
                </w:p>
              </w:tc>
              <w:tc>
                <w:tcPr>
                  <w:tcW w:w="689" w:type="dxa"/>
                  <w:noWrap w:val="0"/>
                  <w:vAlign w:val="center"/>
                </w:tcPr>
                <w:p w14:paraId="79741E04">
                  <w:pPr>
                    <w:widowControl/>
                    <w:jc w:val="center"/>
                    <w:textAlignment w:val="center"/>
                    <w:rPr>
                      <w:color w:val="000000"/>
                      <w:sz w:val="21"/>
                      <w:szCs w:val="21"/>
                    </w:rPr>
                  </w:pPr>
                  <w:r>
                    <w:rPr>
                      <w:color w:val="000000"/>
                      <w:kern w:val="0"/>
                      <w:sz w:val="21"/>
                      <w:szCs w:val="21"/>
                      <w:lang w:bidi="ar"/>
                    </w:rPr>
                    <w:t>0.5</w:t>
                  </w:r>
                </w:p>
              </w:tc>
              <w:tc>
                <w:tcPr>
                  <w:tcW w:w="911" w:type="dxa"/>
                  <w:noWrap w:val="0"/>
                  <w:vAlign w:val="center"/>
                </w:tcPr>
                <w:p w14:paraId="5CCABA6A">
                  <w:pPr>
                    <w:widowControl/>
                    <w:jc w:val="center"/>
                    <w:textAlignment w:val="center"/>
                    <w:rPr>
                      <w:color w:val="000000"/>
                      <w:sz w:val="21"/>
                      <w:szCs w:val="21"/>
                    </w:rPr>
                  </w:pPr>
                  <w:r>
                    <w:rPr>
                      <w:color w:val="000000"/>
                      <w:kern w:val="0"/>
                      <w:sz w:val="21"/>
                      <w:szCs w:val="21"/>
                      <w:lang w:bidi="ar"/>
                    </w:rPr>
                    <w:t>16.1</w:t>
                  </w:r>
                </w:p>
              </w:tc>
              <w:tc>
                <w:tcPr>
                  <w:tcW w:w="916" w:type="dxa"/>
                  <w:noWrap w:val="0"/>
                  <w:vAlign w:val="center"/>
                </w:tcPr>
                <w:p w14:paraId="571E40CA">
                  <w:pPr>
                    <w:widowControl/>
                    <w:jc w:val="center"/>
                    <w:textAlignment w:val="center"/>
                    <w:rPr>
                      <w:color w:val="000000"/>
                      <w:sz w:val="21"/>
                      <w:szCs w:val="21"/>
                    </w:rPr>
                  </w:pPr>
                  <w:r>
                    <w:rPr>
                      <w:rFonts w:hint="eastAsia" w:ascii="宋体" w:hAnsi="宋体" w:cs="宋体"/>
                      <w:color w:val="000000"/>
                      <w:kern w:val="0"/>
                      <w:sz w:val="21"/>
                      <w:szCs w:val="21"/>
                      <w:lang w:bidi="ar"/>
                    </w:rPr>
                    <w:t>常温</w:t>
                  </w:r>
                </w:p>
              </w:tc>
              <w:tc>
                <w:tcPr>
                  <w:tcW w:w="993" w:type="dxa"/>
                  <w:noWrap w:val="0"/>
                  <w:vAlign w:val="center"/>
                </w:tcPr>
                <w:p w14:paraId="59D25BD8">
                  <w:pPr>
                    <w:widowControl/>
                    <w:jc w:val="center"/>
                    <w:textAlignment w:val="center"/>
                    <w:rPr>
                      <w:color w:val="000000"/>
                      <w:sz w:val="21"/>
                      <w:szCs w:val="21"/>
                    </w:rPr>
                  </w:pPr>
                  <w:r>
                    <w:rPr>
                      <w:rFonts w:hint="eastAsia" w:ascii="宋体" w:hAnsi="宋体" w:cs="宋体"/>
                      <w:color w:val="000000"/>
                      <w:kern w:val="0"/>
                      <w:sz w:val="21"/>
                      <w:szCs w:val="21"/>
                      <w:lang w:bidi="ar"/>
                    </w:rPr>
                    <w:t>一般排放口</w:t>
                  </w:r>
                </w:p>
              </w:tc>
              <w:tc>
                <w:tcPr>
                  <w:tcW w:w="909" w:type="pct"/>
                  <w:noWrap w:val="0"/>
                  <w:vAlign w:val="center"/>
                </w:tcPr>
                <w:p w14:paraId="11DDE279">
                  <w:pPr>
                    <w:jc w:val="center"/>
                    <w:rPr>
                      <w:color w:val="000000"/>
                      <w:sz w:val="21"/>
                      <w:szCs w:val="21"/>
                    </w:rPr>
                  </w:pPr>
                  <w:r>
                    <w:rPr>
                      <w:color w:val="000000"/>
                      <w:sz w:val="21"/>
                      <w:szCs w:val="21"/>
                    </w:rPr>
                    <w:t>106.319304783</w:t>
                  </w:r>
                </w:p>
              </w:tc>
              <w:tc>
                <w:tcPr>
                  <w:tcW w:w="830" w:type="pct"/>
                  <w:noWrap w:val="0"/>
                  <w:vAlign w:val="center"/>
                </w:tcPr>
                <w:p w14:paraId="577A9DD9">
                  <w:pPr>
                    <w:jc w:val="center"/>
                    <w:rPr>
                      <w:color w:val="000000"/>
                      <w:sz w:val="21"/>
                      <w:szCs w:val="21"/>
                    </w:rPr>
                  </w:pPr>
                  <w:r>
                    <w:rPr>
                      <w:color w:val="000000"/>
                      <w:sz w:val="21"/>
                      <w:szCs w:val="21"/>
                    </w:rPr>
                    <w:t>29.281311276</w:t>
                  </w:r>
                </w:p>
              </w:tc>
            </w:tr>
            <w:tr w14:paraId="6E00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noWrap w:val="0"/>
                  <w:vAlign w:val="center"/>
                </w:tcPr>
                <w:p w14:paraId="0E3C5DFC">
                  <w:pPr>
                    <w:jc w:val="center"/>
                    <w:rPr>
                      <w:color w:val="000000"/>
                      <w:sz w:val="21"/>
                      <w:szCs w:val="21"/>
                    </w:rPr>
                  </w:pPr>
                  <w:r>
                    <w:rPr>
                      <w:rFonts w:hint="eastAsia"/>
                      <w:color w:val="000000"/>
                      <w:sz w:val="21"/>
                      <w:szCs w:val="21"/>
                    </w:rPr>
                    <w:t>DA002</w:t>
                  </w:r>
                </w:p>
              </w:tc>
              <w:tc>
                <w:tcPr>
                  <w:tcW w:w="389" w:type="pct"/>
                  <w:noWrap w:val="0"/>
                  <w:vAlign w:val="center"/>
                </w:tcPr>
                <w:p w14:paraId="45A59886">
                  <w:pPr>
                    <w:jc w:val="center"/>
                    <w:rPr>
                      <w:color w:val="000000"/>
                      <w:sz w:val="21"/>
                      <w:szCs w:val="21"/>
                    </w:rPr>
                  </w:pPr>
                  <w:r>
                    <w:rPr>
                      <w:rFonts w:hint="eastAsia"/>
                      <w:color w:val="000000"/>
                      <w:sz w:val="21"/>
                      <w:szCs w:val="21"/>
                    </w:rPr>
                    <w:t>15</w:t>
                  </w:r>
                </w:p>
              </w:tc>
              <w:tc>
                <w:tcPr>
                  <w:tcW w:w="689" w:type="dxa"/>
                  <w:noWrap w:val="0"/>
                  <w:vAlign w:val="center"/>
                </w:tcPr>
                <w:p w14:paraId="0D9B10CD">
                  <w:pPr>
                    <w:widowControl/>
                    <w:jc w:val="center"/>
                    <w:textAlignment w:val="center"/>
                    <w:rPr>
                      <w:color w:val="000000"/>
                      <w:sz w:val="21"/>
                      <w:szCs w:val="21"/>
                    </w:rPr>
                  </w:pPr>
                  <w:r>
                    <w:rPr>
                      <w:color w:val="000000"/>
                      <w:kern w:val="0"/>
                      <w:sz w:val="21"/>
                      <w:szCs w:val="21"/>
                      <w:lang w:bidi="ar"/>
                    </w:rPr>
                    <w:t>0.3</w:t>
                  </w:r>
                </w:p>
              </w:tc>
              <w:tc>
                <w:tcPr>
                  <w:tcW w:w="911" w:type="dxa"/>
                  <w:noWrap w:val="0"/>
                  <w:vAlign w:val="center"/>
                </w:tcPr>
                <w:p w14:paraId="1ACDDD04">
                  <w:pPr>
                    <w:widowControl/>
                    <w:jc w:val="center"/>
                    <w:textAlignment w:val="center"/>
                    <w:rPr>
                      <w:color w:val="000000"/>
                    </w:rPr>
                  </w:pPr>
                  <w:r>
                    <w:rPr>
                      <w:color w:val="000000"/>
                      <w:kern w:val="0"/>
                      <w:sz w:val="21"/>
                      <w:szCs w:val="21"/>
                      <w:lang w:bidi="ar"/>
                    </w:rPr>
                    <w:t>15.7</w:t>
                  </w:r>
                </w:p>
              </w:tc>
              <w:tc>
                <w:tcPr>
                  <w:tcW w:w="916" w:type="dxa"/>
                  <w:noWrap w:val="0"/>
                  <w:vAlign w:val="center"/>
                </w:tcPr>
                <w:p w14:paraId="252D87DD">
                  <w:pPr>
                    <w:widowControl/>
                    <w:jc w:val="center"/>
                    <w:textAlignment w:val="center"/>
                    <w:rPr>
                      <w:color w:val="000000"/>
                      <w:sz w:val="21"/>
                      <w:szCs w:val="21"/>
                    </w:rPr>
                  </w:pPr>
                  <w:r>
                    <w:rPr>
                      <w:rFonts w:hint="eastAsia" w:ascii="宋体" w:hAnsi="宋体" w:cs="宋体"/>
                      <w:color w:val="000000"/>
                      <w:kern w:val="0"/>
                      <w:sz w:val="21"/>
                      <w:szCs w:val="21"/>
                      <w:lang w:bidi="ar"/>
                    </w:rPr>
                    <w:t>常温</w:t>
                  </w:r>
                </w:p>
              </w:tc>
              <w:tc>
                <w:tcPr>
                  <w:tcW w:w="993" w:type="dxa"/>
                  <w:noWrap w:val="0"/>
                  <w:vAlign w:val="center"/>
                </w:tcPr>
                <w:p w14:paraId="3DB7CFE7">
                  <w:pPr>
                    <w:widowControl/>
                    <w:jc w:val="center"/>
                    <w:textAlignment w:val="center"/>
                    <w:rPr>
                      <w:rFonts w:hint="eastAsia"/>
                      <w:color w:val="000000"/>
                      <w:sz w:val="21"/>
                      <w:szCs w:val="21"/>
                    </w:rPr>
                  </w:pPr>
                  <w:r>
                    <w:rPr>
                      <w:rFonts w:hint="eastAsia" w:ascii="宋体" w:hAnsi="宋体" w:cs="宋体"/>
                      <w:color w:val="000000"/>
                      <w:kern w:val="0"/>
                      <w:sz w:val="21"/>
                      <w:szCs w:val="21"/>
                      <w:lang w:bidi="ar"/>
                    </w:rPr>
                    <w:t>一般排放口</w:t>
                  </w:r>
                </w:p>
              </w:tc>
              <w:tc>
                <w:tcPr>
                  <w:tcW w:w="909" w:type="pct"/>
                  <w:noWrap w:val="0"/>
                  <w:vAlign w:val="center"/>
                </w:tcPr>
                <w:p w14:paraId="7E70932B">
                  <w:pPr>
                    <w:jc w:val="center"/>
                    <w:rPr>
                      <w:color w:val="000000"/>
                      <w:sz w:val="21"/>
                      <w:szCs w:val="21"/>
                    </w:rPr>
                  </w:pPr>
                  <w:r>
                    <w:rPr>
                      <w:color w:val="000000"/>
                      <w:sz w:val="21"/>
                      <w:szCs w:val="21"/>
                    </w:rPr>
                    <w:t>106.319398660</w:t>
                  </w:r>
                </w:p>
              </w:tc>
              <w:tc>
                <w:tcPr>
                  <w:tcW w:w="830" w:type="pct"/>
                  <w:noWrap w:val="0"/>
                  <w:vAlign w:val="center"/>
                </w:tcPr>
                <w:p w14:paraId="1E6B833D">
                  <w:pPr>
                    <w:jc w:val="center"/>
                    <w:rPr>
                      <w:rFonts w:hint="eastAsia"/>
                      <w:color w:val="000000"/>
                      <w:sz w:val="21"/>
                      <w:szCs w:val="21"/>
                    </w:rPr>
                  </w:pPr>
                  <w:r>
                    <w:rPr>
                      <w:color w:val="000000"/>
                      <w:sz w:val="21"/>
                      <w:szCs w:val="21"/>
                    </w:rPr>
                    <w:t>29.281040372</w:t>
                  </w:r>
                </w:p>
              </w:tc>
            </w:tr>
            <w:tr w14:paraId="6525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noWrap w:val="0"/>
                  <w:vAlign w:val="center"/>
                </w:tcPr>
                <w:p w14:paraId="6E8CC815">
                  <w:pPr>
                    <w:jc w:val="center"/>
                    <w:rPr>
                      <w:color w:val="000000"/>
                      <w:sz w:val="21"/>
                      <w:szCs w:val="21"/>
                    </w:rPr>
                  </w:pPr>
                  <w:r>
                    <w:rPr>
                      <w:rFonts w:hint="eastAsia"/>
                      <w:color w:val="000000"/>
                      <w:sz w:val="21"/>
                      <w:szCs w:val="21"/>
                    </w:rPr>
                    <w:t>DA003</w:t>
                  </w:r>
                </w:p>
              </w:tc>
              <w:tc>
                <w:tcPr>
                  <w:tcW w:w="389" w:type="pct"/>
                  <w:noWrap w:val="0"/>
                  <w:vAlign w:val="center"/>
                </w:tcPr>
                <w:p w14:paraId="19A5F335">
                  <w:pPr>
                    <w:jc w:val="center"/>
                    <w:rPr>
                      <w:rFonts w:hint="eastAsia"/>
                      <w:color w:val="000000"/>
                      <w:sz w:val="21"/>
                      <w:szCs w:val="21"/>
                    </w:rPr>
                  </w:pPr>
                  <w:r>
                    <w:rPr>
                      <w:rFonts w:hint="eastAsia"/>
                      <w:color w:val="000000"/>
                      <w:sz w:val="21"/>
                      <w:szCs w:val="21"/>
                    </w:rPr>
                    <w:t>15</w:t>
                  </w:r>
                </w:p>
              </w:tc>
              <w:tc>
                <w:tcPr>
                  <w:tcW w:w="689" w:type="dxa"/>
                  <w:noWrap w:val="0"/>
                  <w:vAlign w:val="center"/>
                </w:tcPr>
                <w:p w14:paraId="0B2BE070">
                  <w:pPr>
                    <w:widowControl/>
                    <w:jc w:val="center"/>
                    <w:textAlignment w:val="center"/>
                    <w:rPr>
                      <w:rFonts w:hint="eastAsia"/>
                      <w:color w:val="000000"/>
                      <w:kern w:val="0"/>
                      <w:sz w:val="21"/>
                      <w:szCs w:val="21"/>
                      <w:lang w:bidi="ar"/>
                    </w:rPr>
                  </w:pPr>
                  <w:r>
                    <w:rPr>
                      <w:rFonts w:hint="eastAsia"/>
                      <w:color w:val="000000"/>
                      <w:kern w:val="0"/>
                      <w:sz w:val="21"/>
                      <w:szCs w:val="21"/>
                      <w:lang w:bidi="ar"/>
                    </w:rPr>
                    <w:t>0.7</w:t>
                  </w:r>
                </w:p>
              </w:tc>
              <w:tc>
                <w:tcPr>
                  <w:tcW w:w="911" w:type="dxa"/>
                  <w:noWrap w:val="0"/>
                  <w:vAlign w:val="center"/>
                </w:tcPr>
                <w:p w14:paraId="1FBA6DA2">
                  <w:pPr>
                    <w:widowControl/>
                    <w:jc w:val="center"/>
                    <w:textAlignment w:val="center"/>
                    <w:rPr>
                      <w:color w:val="000000"/>
                      <w:kern w:val="0"/>
                      <w:sz w:val="21"/>
                      <w:szCs w:val="21"/>
                      <w:lang w:bidi="ar"/>
                    </w:rPr>
                  </w:pPr>
                  <w:r>
                    <w:rPr>
                      <w:color w:val="000000"/>
                      <w:kern w:val="0"/>
                      <w:sz w:val="21"/>
                      <w:szCs w:val="21"/>
                      <w:lang w:bidi="ar"/>
                    </w:rPr>
                    <w:t>15.6</w:t>
                  </w:r>
                </w:p>
              </w:tc>
              <w:tc>
                <w:tcPr>
                  <w:tcW w:w="916" w:type="dxa"/>
                  <w:noWrap w:val="0"/>
                  <w:vAlign w:val="center"/>
                </w:tcPr>
                <w:p w14:paraId="41C8D863">
                  <w:pPr>
                    <w:widowControl/>
                    <w:jc w:val="center"/>
                    <w:textAlignment w:val="center"/>
                    <w:rPr>
                      <w:rFonts w:hint="eastAsia"/>
                      <w:color w:val="000000"/>
                      <w:kern w:val="0"/>
                      <w:sz w:val="21"/>
                      <w:szCs w:val="21"/>
                      <w:lang w:bidi="ar"/>
                    </w:rPr>
                  </w:pPr>
                  <w:r>
                    <w:rPr>
                      <w:rFonts w:hint="eastAsia"/>
                      <w:color w:val="000000"/>
                      <w:kern w:val="0"/>
                      <w:sz w:val="21"/>
                      <w:szCs w:val="21"/>
                      <w:lang w:bidi="ar"/>
                    </w:rPr>
                    <w:t>常温</w:t>
                  </w:r>
                </w:p>
              </w:tc>
              <w:tc>
                <w:tcPr>
                  <w:tcW w:w="993" w:type="dxa"/>
                  <w:noWrap w:val="0"/>
                  <w:vAlign w:val="center"/>
                </w:tcPr>
                <w:p w14:paraId="5ADFF83A">
                  <w:pPr>
                    <w:widowControl/>
                    <w:jc w:val="center"/>
                    <w:textAlignment w:val="center"/>
                    <w:rPr>
                      <w:rFonts w:hint="eastAsia"/>
                      <w:color w:val="000000"/>
                      <w:kern w:val="0"/>
                      <w:sz w:val="21"/>
                      <w:szCs w:val="21"/>
                      <w:lang w:bidi="ar"/>
                    </w:rPr>
                  </w:pPr>
                  <w:r>
                    <w:rPr>
                      <w:rFonts w:hint="eastAsia"/>
                      <w:color w:val="000000"/>
                      <w:kern w:val="0"/>
                      <w:sz w:val="21"/>
                      <w:szCs w:val="21"/>
                      <w:lang w:bidi="ar"/>
                    </w:rPr>
                    <w:t>一般排放口</w:t>
                  </w:r>
                </w:p>
              </w:tc>
              <w:tc>
                <w:tcPr>
                  <w:tcW w:w="909" w:type="pct"/>
                  <w:noWrap w:val="0"/>
                  <w:vAlign w:val="center"/>
                </w:tcPr>
                <w:p w14:paraId="6AEE04EF">
                  <w:pPr>
                    <w:jc w:val="center"/>
                    <w:rPr>
                      <w:rFonts w:hint="eastAsia"/>
                      <w:color w:val="000000"/>
                      <w:sz w:val="21"/>
                      <w:szCs w:val="21"/>
                    </w:rPr>
                  </w:pPr>
                  <w:r>
                    <w:rPr>
                      <w:rFonts w:hint="eastAsia"/>
                      <w:color w:val="000000"/>
                      <w:sz w:val="21"/>
                      <w:szCs w:val="21"/>
                    </w:rPr>
                    <w:t>106.319371838</w:t>
                  </w:r>
                </w:p>
              </w:tc>
              <w:tc>
                <w:tcPr>
                  <w:tcW w:w="830" w:type="pct"/>
                  <w:noWrap w:val="0"/>
                  <w:vAlign w:val="center"/>
                </w:tcPr>
                <w:p w14:paraId="368D2842">
                  <w:pPr>
                    <w:jc w:val="center"/>
                    <w:rPr>
                      <w:rFonts w:hint="eastAsia"/>
                      <w:color w:val="000000"/>
                      <w:sz w:val="21"/>
                      <w:szCs w:val="21"/>
                    </w:rPr>
                  </w:pPr>
                  <w:r>
                    <w:rPr>
                      <w:rFonts w:hint="eastAsia"/>
                      <w:color w:val="000000"/>
                      <w:sz w:val="21"/>
                      <w:szCs w:val="21"/>
                    </w:rPr>
                    <w:t>29.280573668</w:t>
                  </w:r>
                </w:p>
              </w:tc>
            </w:tr>
            <w:tr w14:paraId="725F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noWrap w:val="0"/>
                  <w:vAlign w:val="center"/>
                </w:tcPr>
                <w:p w14:paraId="79CB5B21">
                  <w:pPr>
                    <w:jc w:val="center"/>
                    <w:rPr>
                      <w:color w:val="000000"/>
                      <w:sz w:val="21"/>
                      <w:szCs w:val="21"/>
                    </w:rPr>
                  </w:pPr>
                  <w:r>
                    <w:rPr>
                      <w:rFonts w:hint="eastAsia"/>
                      <w:color w:val="000000"/>
                      <w:sz w:val="21"/>
                      <w:szCs w:val="21"/>
                    </w:rPr>
                    <w:t>DA004</w:t>
                  </w:r>
                </w:p>
              </w:tc>
              <w:tc>
                <w:tcPr>
                  <w:tcW w:w="389" w:type="pct"/>
                  <w:noWrap w:val="0"/>
                  <w:vAlign w:val="center"/>
                </w:tcPr>
                <w:p w14:paraId="07571C77">
                  <w:pPr>
                    <w:jc w:val="center"/>
                    <w:rPr>
                      <w:rFonts w:hint="eastAsia"/>
                      <w:color w:val="000000"/>
                      <w:sz w:val="21"/>
                      <w:szCs w:val="21"/>
                    </w:rPr>
                  </w:pPr>
                  <w:r>
                    <w:rPr>
                      <w:rFonts w:hint="eastAsia"/>
                      <w:color w:val="000000"/>
                      <w:sz w:val="21"/>
                      <w:szCs w:val="21"/>
                    </w:rPr>
                    <w:t>15</w:t>
                  </w:r>
                </w:p>
              </w:tc>
              <w:tc>
                <w:tcPr>
                  <w:tcW w:w="689" w:type="dxa"/>
                  <w:noWrap w:val="0"/>
                  <w:vAlign w:val="center"/>
                </w:tcPr>
                <w:p w14:paraId="7BC40E01">
                  <w:pPr>
                    <w:widowControl/>
                    <w:jc w:val="center"/>
                    <w:textAlignment w:val="center"/>
                    <w:rPr>
                      <w:rFonts w:hint="eastAsia"/>
                      <w:color w:val="000000"/>
                      <w:kern w:val="0"/>
                      <w:sz w:val="21"/>
                      <w:szCs w:val="21"/>
                      <w:lang w:bidi="ar"/>
                    </w:rPr>
                  </w:pPr>
                  <w:r>
                    <w:rPr>
                      <w:rFonts w:hint="eastAsia"/>
                      <w:color w:val="000000"/>
                      <w:kern w:val="0"/>
                      <w:sz w:val="21"/>
                      <w:szCs w:val="21"/>
                      <w:lang w:bidi="ar"/>
                    </w:rPr>
                    <w:t>0.4</w:t>
                  </w:r>
                </w:p>
              </w:tc>
              <w:tc>
                <w:tcPr>
                  <w:tcW w:w="911" w:type="dxa"/>
                  <w:noWrap w:val="0"/>
                  <w:vAlign w:val="center"/>
                </w:tcPr>
                <w:p w14:paraId="70F8E64A">
                  <w:pPr>
                    <w:widowControl/>
                    <w:jc w:val="center"/>
                    <w:textAlignment w:val="center"/>
                    <w:rPr>
                      <w:rFonts w:hint="eastAsia"/>
                      <w:color w:val="000000"/>
                      <w:kern w:val="0"/>
                      <w:sz w:val="21"/>
                      <w:szCs w:val="21"/>
                      <w:lang w:bidi="ar"/>
                    </w:rPr>
                  </w:pPr>
                  <w:r>
                    <w:rPr>
                      <w:color w:val="000000"/>
                      <w:kern w:val="0"/>
                      <w:sz w:val="21"/>
                      <w:szCs w:val="21"/>
                      <w:lang w:bidi="ar"/>
                    </w:rPr>
                    <w:t>16.6</w:t>
                  </w:r>
                </w:p>
              </w:tc>
              <w:tc>
                <w:tcPr>
                  <w:tcW w:w="916" w:type="dxa"/>
                  <w:noWrap w:val="0"/>
                  <w:vAlign w:val="center"/>
                </w:tcPr>
                <w:p w14:paraId="277F98D2">
                  <w:pPr>
                    <w:widowControl/>
                    <w:jc w:val="center"/>
                    <w:textAlignment w:val="center"/>
                    <w:rPr>
                      <w:rFonts w:hint="eastAsia"/>
                      <w:color w:val="000000"/>
                      <w:kern w:val="0"/>
                      <w:sz w:val="21"/>
                      <w:szCs w:val="21"/>
                      <w:lang w:bidi="ar"/>
                    </w:rPr>
                  </w:pPr>
                  <w:r>
                    <w:rPr>
                      <w:rFonts w:hint="eastAsia"/>
                      <w:color w:val="000000"/>
                      <w:kern w:val="0"/>
                      <w:sz w:val="21"/>
                      <w:szCs w:val="21"/>
                      <w:lang w:bidi="ar"/>
                    </w:rPr>
                    <w:t>常温</w:t>
                  </w:r>
                </w:p>
              </w:tc>
              <w:tc>
                <w:tcPr>
                  <w:tcW w:w="993" w:type="dxa"/>
                  <w:noWrap w:val="0"/>
                  <w:vAlign w:val="center"/>
                </w:tcPr>
                <w:p w14:paraId="64C558F4">
                  <w:pPr>
                    <w:widowControl/>
                    <w:jc w:val="center"/>
                    <w:textAlignment w:val="center"/>
                    <w:rPr>
                      <w:rFonts w:hint="eastAsia"/>
                      <w:color w:val="000000"/>
                      <w:kern w:val="0"/>
                      <w:sz w:val="21"/>
                      <w:szCs w:val="21"/>
                      <w:lang w:bidi="ar"/>
                    </w:rPr>
                  </w:pPr>
                  <w:r>
                    <w:rPr>
                      <w:rFonts w:hint="eastAsia"/>
                      <w:color w:val="000000"/>
                      <w:kern w:val="0"/>
                      <w:sz w:val="21"/>
                      <w:szCs w:val="21"/>
                      <w:lang w:bidi="ar"/>
                    </w:rPr>
                    <w:t>一般排放口</w:t>
                  </w:r>
                </w:p>
              </w:tc>
              <w:tc>
                <w:tcPr>
                  <w:tcW w:w="909" w:type="pct"/>
                  <w:noWrap w:val="0"/>
                  <w:vAlign w:val="center"/>
                </w:tcPr>
                <w:p w14:paraId="0D6553D8">
                  <w:pPr>
                    <w:jc w:val="center"/>
                    <w:rPr>
                      <w:rFonts w:hint="eastAsia"/>
                      <w:color w:val="000000"/>
                      <w:sz w:val="21"/>
                      <w:szCs w:val="21"/>
                    </w:rPr>
                  </w:pPr>
                  <w:r>
                    <w:rPr>
                      <w:rFonts w:hint="eastAsia"/>
                      <w:color w:val="000000"/>
                      <w:sz w:val="21"/>
                      <w:szCs w:val="21"/>
                    </w:rPr>
                    <w:t>106.319441576</w:t>
                  </w:r>
                </w:p>
              </w:tc>
              <w:tc>
                <w:tcPr>
                  <w:tcW w:w="830" w:type="pct"/>
                  <w:noWrap w:val="0"/>
                  <w:vAlign w:val="center"/>
                </w:tcPr>
                <w:p w14:paraId="5C65C258">
                  <w:pPr>
                    <w:jc w:val="center"/>
                    <w:rPr>
                      <w:rFonts w:hint="eastAsia"/>
                      <w:color w:val="000000"/>
                      <w:sz w:val="21"/>
                      <w:szCs w:val="21"/>
                    </w:rPr>
                  </w:pPr>
                  <w:r>
                    <w:rPr>
                      <w:rFonts w:hint="eastAsia"/>
                      <w:color w:val="000000"/>
                      <w:sz w:val="21"/>
                      <w:szCs w:val="21"/>
                    </w:rPr>
                    <w:t>29.280900898</w:t>
                  </w:r>
                </w:p>
              </w:tc>
            </w:tr>
            <w:tr w14:paraId="5192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noWrap w:val="0"/>
                  <w:vAlign w:val="center"/>
                </w:tcPr>
                <w:p w14:paraId="5C8323FC">
                  <w:pPr>
                    <w:jc w:val="left"/>
                    <w:rPr>
                      <w:color w:val="000000"/>
                      <w:sz w:val="21"/>
                      <w:szCs w:val="21"/>
                    </w:rPr>
                  </w:pPr>
                  <w:r>
                    <w:rPr>
                      <w:rFonts w:hint="eastAsia"/>
                      <w:color w:val="000000"/>
                      <w:sz w:val="21"/>
                      <w:szCs w:val="21"/>
                    </w:rPr>
                    <w:t>注：排气筒风速符合《大气污染物治理工程技术导则》（</w:t>
                  </w:r>
                  <w:r>
                    <w:rPr>
                      <w:color w:val="000000"/>
                      <w:sz w:val="21"/>
                      <w:szCs w:val="21"/>
                    </w:rPr>
                    <w:t>HJ2000-2010</w:t>
                  </w:r>
                  <w:r>
                    <w:rPr>
                      <w:rFonts w:hint="eastAsia"/>
                      <w:color w:val="000000"/>
                      <w:sz w:val="21"/>
                      <w:szCs w:val="21"/>
                    </w:rPr>
                    <w:t>）中流速宜取</w:t>
                  </w:r>
                  <w:r>
                    <w:rPr>
                      <w:color w:val="000000"/>
                      <w:sz w:val="21"/>
                      <w:szCs w:val="21"/>
                    </w:rPr>
                    <w:t>15m/s</w:t>
                  </w:r>
                  <w:r>
                    <w:rPr>
                      <w:rFonts w:hint="eastAsia"/>
                      <w:color w:val="000000"/>
                      <w:sz w:val="21"/>
                      <w:szCs w:val="21"/>
                    </w:rPr>
                    <w:t>左右的要求。</w:t>
                  </w:r>
                </w:p>
              </w:tc>
            </w:tr>
          </w:tbl>
          <w:p w14:paraId="112768FE">
            <w:pPr>
              <w:pStyle w:val="35"/>
              <w:spacing w:line="360" w:lineRule="auto"/>
              <w:ind w:firstLine="482"/>
              <w:rPr>
                <w:rFonts w:hint="eastAsia"/>
                <w:b/>
                <w:bCs/>
                <w:color w:val="000000"/>
              </w:rPr>
            </w:pPr>
            <w:r>
              <w:rPr>
                <w:rFonts w:hint="eastAsia"/>
                <w:b/>
                <w:bCs/>
                <w:color w:val="000000"/>
              </w:rPr>
              <w:t>（4）污染措施可行性分析</w:t>
            </w:r>
          </w:p>
          <w:p w14:paraId="6382104E">
            <w:pPr>
              <w:pStyle w:val="35"/>
              <w:spacing w:line="360" w:lineRule="auto"/>
              <w:rPr>
                <w:rFonts w:hint="eastAsia" w:cs="Times New Roman"/>
                <w:color w:val="000000"/>
              </w:rPr>
            </w:pPr>
            <w:r>
              <w:rPr>
                <w:rFonts w:hint="eastAsia" w:cs="Times New Roman"/>
                <w:color w:val="000000"/>
              </w:rPr>
              <w:t>结合上面内容分析，本项目不同废气产生环节的治理措施如下：</w:t>
            </w:r>
          </w:p>
          <w:p w14:paraId="0394FE6B">
            <w:pPr>
              <w:pStyle w:val="35"/>
              <w:spacing w:line="360" w:lineRule="auto"/>
              <w:rPr>
                <w:rFonts w:cs="Times New Roman"/>
                <w:color w:val="000000"/>
              </w:rPr>
            </w:pPr>
            <w:r>
              <w:rPr>
                <w:rFonts w:hint="eastAsia"/>
                <w:color w:val="000000"/>
              </w:rPr>
              <w:t>PVC电缆生产线：</w:t>
            </w:r>
          </w:p>
          <w:p w14:paraId="0661D8D6">
            <w:pPr>
              <w:pStyle w:val="35"/>
              <w:spacing w:line="360" w:lineRule="auto"/>
              <w:rPr>
                <w:rFonts w:hint="eastAsia" w:cs="Times New Roman"/>
                <w:color w:val="000000"/>
              </w:rPr>
            </w:pPr>
          </w:p>
          <w:p w14:paraId="29667BFE">
            <w:pPr>
              <w:pStyle w:val="35"/>
              <w:spacing w:line="360" w:lineRule="auto"/>
              <w:rPr>
                <w:rFonts w:hint="eastAsia" w:cs="Times New Roman"/>
                <w:color w:val="000000"/>
              </w:rPr>
            </w:pPr>
            <w:r>
              <w:drawing>
                <wp:inline distT="0" distB="0" distL="114300" distR="114300">
                  <wp:extent cx="5153660" cy="1884045"/>
                  <wp:effectExtent l="0" t="0" r="8890" b="1905"/>
                  <wp:docPr id="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9"/>
                          <pic:cNvPicPr>
                            <a:picLocks noChangeAspect="1"/>
                          </pic:cNvPicPr>
                        </pic:nvPicPr>
                        <pic:blipFill>
                          <a:blip r:embed="rId20"/>
                          <a:stretch>
                            <a:fillRect/>
                          </a:stretch>
                        </pic:blipFill>
                        <pic:spPr>
                          <a:xfrm>
                            <a:off x="0" y="0"/>
                            <a:ext cx="5153660" cy="1884045"/>
                          </a:xfrm>
                          <a:prstGeom prst="rect">
                            <a:avLst/>
                          </a:prstGeom>
                          <a:noFill/>
                          <a:ln>
                            <a:noFill/>
                          </a:ln>
                        </pic:spPr>
                      </pic:pic>
                    </a:graphicData>
                  </a:graphic>
                </wp:inline>
              </w:drawing>
            </w:r>
          </w:p>
          <w:p w14:paraId="371703A2">
            <w:pPr>
              <w:pStyle w:val="35"/>
              <w:spacing w:line="360" w:lineRule="auto"/>
              <w:ind w:firstLine="0" w:firstLineChars="0"/>
              <w:jc w:val="center"/>
              <w:rPr>
                <w:b/>
                <w:bCs/>
                <w:color w:val="000000"/>
              </w:rPr>
            </w:pPr>
            <w:r>
              <w:rPr>
                <w:rFonts w:hint="eastAsia"/>
                <w:b/>
                <w:bCs/>
                <w:color w:val="000000"/>
              </w:rPr>
              <w:t>图4-1  PVC电缆生产线废气处理措施示意图</w:t>
            </w:r>
          </w:p>
          <w:p w14:paraId="2CE5512A">
            <w:pPr>
              <w:pStyle w:val="35"/>
              <w:spacing w:line="360" w:lineRule="auto"/>
              <w:rPr>
                <w:rFonts w:hint="eastAsia" w:cs="Times New Roman"/>
                <w:color w:val="000000"/>
              </w:rPr>
            </w:pPr>
            <w:r>
              <w:rPr>
                <w:rFonts w:hint="eastAsia"/>
                <w:color w:val="000000"/>
              </w:rPr>
              <w:t>低烟无卤电缆生产线：</w:t>
            </w:r>
          </w:p>
          <w:p w14:paraId="52CE1478">
            <w:pPr>
              <w:pStyle w:val="35"/>
              <w:spacing w:line="360" w:lineRule="auto"/>
              <w:rPr>
                <w:rFonts w:hint="eastAsia" w:cs="Times New Roman"/>
                <w:color w:val="000000"/>
              </w:rPr>
            </w:pPr>
            <w:r>
              <w:drawing>
                <wp:inline distT="0" distB="0" distL="114300" distR="114300">
                  <wp:extent cx="4965700" cy="1659890"/>
                  <wp:effectExtent l="0" t="0" r="6350" b="16510"/>
                  <wp:docPr id="6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0"/>
                          <pic:cNvPicPr>
                            <a:picLocks noChangeAspect="1"/>
                          </pic:cNvPicPr>
                        </pic:nvPicPr>
                        <pic:blipFill>
                          <a:blip r:embed="rId21"/>
                          <a:stretch>
                            <a:fillRect/>
                          </a:stretch>
                        </pic:blipFill>
                        <pic:spPr>
                          <a:xfrm>
                            <a:off x="0" y="0"/>
                            <a:ext cx="4965700" cy="1659890"/>
                          </a:xfrm>
                          <a:prstGeom prst="rect">
                            <a:avLst/>
                          </a:prstGeom>
                          <a:noFill/>
                          <a:ln>
                            <a:noFill/>
                          </a:ln>
                        </pic:spPr>
                      </pic:pic>
                    </a:graphicData>
                  </a:graphic>
                </wp:inline>
              </w:drawing>
            </w:r>
          </w:p>
          <w:p w14:paraId="5BDDAE58">
            <w:pPr>
              <w:pStyle w:val="35"/>
              <w:spacing w:line="360" w:lineRule="auto"/>
              <w:rPr>
                <w:rFonts w:hint="eastAsia" w:cs="Times New Roman"/>
                <w:color w:val="000000"/>
              </w:rPr>
            </w:pPr>
          </w:p>
          <w:p w14:paraId="578017E1">
            <w:pPr>
              <w:pStyle w:val="35"/>
              <w:spacing w:line="360" w:lineRule="auto"/>
              <w:ind w:firstLine="0" w:firstLineChars="0"/>
              <w:jc w:val="center"/>
              <w:rPr>
                <w:b/>
                <w:bCs/>
                <w:color w:val="000000"/>
              </w:rPr>
            </w:pPr>
            <w:r>
              <w:rPr>
                <w:rFonts w:hint="eastAsia"/>
                <w:b/>
                <w:bCs/>
                <w:color w:val="000000"/>
              </w:rPr>
              <w:t>图4-2  低烟无卤电缆生产线废气处理措施示意图</w:t>
            </w:r>
          </w:p>
          <w:p w14:paraId="3FBA7260">
            <w:pPr>
              <w:pStyle w:val="35"/>
              <w:spacing w:line="360" w:lineRule="auto"/>
              <w:rPr>
                <w:rFonts w:hint="eastAsia" w:cs="Times New Roman"/>
                <w:color w:val="000000"/>
              </w:rPr>
            </w:pPr>
            <w:r>
              <w:rPr>
                <w:rFonts w:hint="eastAsia" w:cs="Times New Roman"/>
                <w:color w:val="000000"/>
              </w:rPr>
              <w:t>根据《排污许可证申请与核发技术规范 橡胶和塑料制品工业》（</w:t>
            </w:r>
            <w:r>
              <w:rPr>
                <w:rFonts w:cs="Times New Roman"/>
                <w:color w:val="000000"/>
              </w:rPr>
              <w:t>HJ1122-2020</w:t>
            </w:r>
            <w:r>
              <w:rPr>
                <w:rFonts w:hint="eastAsia" w:cs="Times New Roman"/>
                <w:color w:val="000000"/>
              </w:rPr>
              <w:t>）及《排放源统计调查产排污核算方法和系数手册》废气防治可行技术参考，废气污染治理设施工艺：除尘（袋式除尘、旋风除尘、管式过滤、静电除尘等）、有机废气（喷淋、吸附、热力燃烧、催化燃烧、低温等离子体、</w:t>
            </w:r>
            <w:r>
              <w:rPr>
                <w:rFonts w:cs="Times New Roman"/>
                <w:color w:val="000000"/>
              </w:rPr>
              <w:t>UV</w:t>
            </w:r>
            <w:r>
              <w:rPr>
                <w:rFonts w:hint="eastAsia" w:cs="Times New Roman"/>
                <w:color w:val="000000"/>
              </w:rPr>
              <w:t>光氧化</w:t>
            </w:r>
            <w:r>
              <w:rPr>
                <w:rFonts w:cs="Times New Roman"/>
                <w:color w:val="000000"/>
              </w:rPr>
              <w:t>/</w:t>
            </w:r>
            <w:r>
              <w:rPr>
                <w:rFonts w:hint="eastAsia" w:cs="Times New Roman"/>
                <w:color w:val="000000"/>
              </w:rPr>
              <w:t>光催化、生物法以上组合技术）。本项目有机废气采取的“静电除油器+酸雾洗涤塔+除湿器+UV光氧催化+三级活性炭”废气污染治理设施，粉尘采取的“布袋除尘器”废气污染治理设施均为可行技术。</w:t>
            </w:r>
          </w:p>
          <w:p w14:paraId="1DAD4A4C">
            <w:pPr>
              <w:pStyle w:val="35"/>
              <w:spacing w:line="360" w:lineRule="auto"/>
              <w:rPr>
                <w:rFonts w:hint="eastAsia" w:cs="Times New Roman"/>
                <w:color w:val="000000"/>
              </w:rPr>
            </w:pPr>
            <w:r>
              <w:rPr>
                <w:rFonts w:hint="eastAsia" w:cs="Times New Roman"/>
                <w:color w:val="000000"/>
              </w:rPr>
              <w:t>静电除油器是一种利用静电原理油雾净化装置。油雾由风机吸入静电除油器，其中部分较大的油雾滴、油污颗粒在均流板上由于机械碰撞、阻留而被捕集。当气流进入高压静电场时，在高压电场的作用下，油雾气体电离，油雾荷电，大部分得以降解炭化；少部分微小油粒在吸附电场的电场力及气流作用下向电场的正负极板运动被收集在极板上并在自身重力的作用下流到集油盘，经排油通道排出，余下的微米级油雾被电场降解成二氧化碳和水，最终排出洁净空气；同时在高压发生器的作用下，电场内空气产生臭氧，除去了烟气中部分的臭味。</w:t>
            </w:r>
          </w:p>
          <w:p w14:paraId="1C41DD71">
            <w:pPr>
              <w:pStyle w:val="35"/>
              <w:spacing w:line="360" w:lineRule="auto"/>
              <w:rPr>
                <w:rFonts w:hint="eastAsia" w:cs="Times New Roman"/>
                <w:color w:val="000000"/>
              </w:rPr>
            </w:pPr>
            <w:r>
              <w:rPr>
                <w:rFonts w:hint="eastAsia" w:cs="Times New Roman"/>
                <w:color w:val="000000"/>
              </w:rPr>
              <w:t>本项目采取UV光氧催化措施目的为除臭，经查阅《国家污染防治技术指导目录》（环办科财函〔2025〕197号），UV光氧催化除臭用途不属于低效类技术。综上，本项目采用的废气治理措施可行。</w:t>
            </w:r>
          </w:p>
          <w:p w14:paraId="3C8BACDA">
            <w:pPr>
              <w:pStyle w:val="35"/>
              <w:spacing w:line="360" w:lineRule="auto"/>
              <w:ind w:firstLine="482"/>
              <w:rPr>
                <w:rFonts w:hint="eastAsia" w:cs="Times New Roman"/>
                <w:b/>
                <w:bCs/>
                <w:color w:val="000000"/>
              </w:rPr>
            </w:pPr>
            <w:r>
              <w:rPr>
                <w:rFonts w:hint="eastAsia" w:cs="Times New Roman"/>
                <w:b/>
                <w:bCs/>
                <w:color w:val="000000"/>
              </w:rPr>
              <w:t>废气治理设施相关要求：</w:t>
            </w:r>
          </w:p>
          <w:p w14:paraId="5C3A0A3B">
            <w:pPr>
              <w:pStyle w:val="35"/>
              <w:spacing w:line="360" w:lineRule="auto"/>
              <w:rPr>
                <w:rFonts w:hint="eastAsia" w:cs="Times New Roman"/>
                <w:color w:val="000000"/>
              </w:rPr>
            </w:pPr>
            <w:r>
              <w:rPr>
                <w:rFonts w:hint="eastAsia" w:cs="Times New Roman"/>
                <w:color w:val="000000"/>
              </w:rPr>
              <w:t>根据《2025年重庆市夏季空气质量提升工作方案》（渝环〔2025〕41号），本项目废气治理设施应满足以下要求：</w:t>
            </w:r>
          </w:p>
          <w:p w14:paraId="4845EB53">
            <w:pPr>
              <w:pStyle w:val="35"/>
              <w:spacing w:line="360" w:lineRule="auto"/>
              <w:rPr>
                <w:rFonts w:hint="eastAsia" w:cs="Times New Roman"/>
                <w:color w:val="000000"/>
              </w:rPr>
            </w:pPr>
            <w:r>
              <w:rPr>
                <w:rFonts w:hint="eastAsia" w:cs="Times New Roman"/>
                <w:color w:val="000000"/>
              </w:rPr>
              <w:t>1）总体要求</w:t>
            </w:r>
          </w:p>
          <w:p w14:paraId="6F5A92F6">
            <w:pPr>
              <w:pStyle w:val="35"/>
              <w:spacing w:line="360" w:lineRule="auto"/>
              <w:rPr>
                <w:rFonts w:hint="eastAsia" w:cs="Times New Roman"/>
                <w:color w:val="000000"/>
              </w:rPr>
            </w:pPr>
            <w:r>
              <w:rPr>
                <w:rFonts w:hint="eastAsia" w:cs="Times New Roman"/>
                <w:color w:val="000000"/>
              </w:rPr>
              <w:t>活性炭治理设施应设计合理、管理规范，填装活性炭应质量合格、足量添加、及时更换，废活性炭应妥善处置，相关要求应符合《重点行业挥发性有机物综合治理方案》（环大气〔2019〕53号）、《2020年挥发性有机物治理攻坚方案》（环大气〔2020〕33号）、《关于加快解决当前挥发性有机物治理突出问题的通知》（环大气〔2021〕65号）、《吸附法工业有机废气治理工程技术规范》（HJ 2026-2013）等标准、政策文件要求。</w:t>
            </w:r>
          </w:p>
          <w:p w14:paraId="65C0AA08">
            <w:pPr>
              <w:pStyle w:val="35"/>
              <w:spacing w:line="360" w:lineRule="auto"/>
              <w:rPr>
                <w:rFonts w:hint="eastAsia" w:cs="Times New Roman"/>
                <w:color w:val="000000"/>
              </w:rPr>
            </w:pPr>
            <w:r>
              <w:rPr>
                <w:rFonts w:hint="eastAsia" w:cs="Times New Roman"/>
                <w:color w:val="000000"/>
              </w:rPr>
              <w:t>2）设施风速控制要求</w:t>
            </w:r>
          </w:p>
          <w:p w14:paraId="2465764C">
            <w:pPr>
              <w:pStyle w:val="35"/>
              <w:spacing w:line="360" w:lineRule="auto"/>
              <w:rPr>
                <w:rFonts w:hint="eastAsia" w:cs="Times New Roman"/>
                <w:color w:val="000000"/>
              </w:rPr>
            </w:pPr>
            <w:r>
              <w:rPr>
                <w:rFonts w:hint="eastAsia" w:cs="Times New Roman"/>
                <w:color w:val="000000"/>
              </w:rPr>
              <w:t>产生VOCS的生产环节优先采用密闭设备、在密闭空间中操作或采用全密闭集气罩收集方式，并</w:t>
            </w:r>
            <w:r>
              <w:rPr>
                <w:rFonts w:hint="eastAsia" w:cs="Times New Roman"/>
                <w:color w:val="000000"/>
                <w:kern w:val="2"/>
              </w:rPr>
              <w:t>保持</w:t>
            </w:r>
            <w:r>
              <w:rPr>
                <w:rFonts w:hint="eastAsia" w:cs="Times New Roman"/>
                <w:color w:val="000000"/>
              </w:rPr>
              <w:t>负压运行。对采用局部收集方式的企业，距废气收集系统排风罩开口面最远处的VOCS无组织排放位置控制风速不应低于0.3m/s。</w:t>
            </w:r>
          </w:p>
          <w:p w14:paraId="7C43EA96">
            <w:pPr>
              <w:pStyle w:val="35"/>
              <w:spacing w:line="360" w:lineRule="auto"/>
              <w:rPr>
                <w:rFonts w:hint="eastAsia" w:cs="Times New Roman"/>
                <w:color w:val="000000"/>
              </w:rPr>
            </w:pPr>
            <w:r>
              <w:rPr>
                <w:rFonts w:hint="eastAsia" w:cs="Times New Roman"/>
                <w:color w:val="000000"/>
              </w:rPr>
              <w:t>废气收集系统的输送管道应密闭、无破损。活性炭应装填齐整，避免气流短路。采用颗粒活性炭时，气体流速宜低于0.60m/s；采用活性炭纤维时，气体流速宜低于0.15m/s；采用蜂窝活性炭时，气体流速宜低于1.20m/s。</w:t>
            </w:r>
          </w:p>
          <w:p w14:paraId="6FCEB867">
            <w:pPr>
              <w:pStyle w:val="35"/>
              <w:spacing w:line="360" w:lineRule="auto"/>
              <w:rPr>
                <w:rFonts w:hint="eastAsia" w:cs="Times New Roman"/>
                <w:color w:val="000000"/>
              </w:rPr>
            </w:pPr>
            <w:r>
              <w:rPr>
                <w:rFonts w:hint="eastAsia" w:cs="Times New Roman"/>
                <w:color w:val="000000"/>
              </w:rPr>
              <w:t>3）设施质量控制要求</w:t>
            </w:r>
          </w:p>
          <w:p w14:paraId="2027D3BB">
            <w:pPr>
              <w:pStyle w:val="35"/>
              <w:spacing w:line="360" w:lineRule="auto"/>
              <w:rPr>
                <w:rFonts w:hint="eastAsia" w:cs="Times New Roman"/>
                <w:color w:val="000000"/>
              </w:rPr>
            </w:pPr>
            <w:r>
              <w:rPr>
                <w:rFonts w:hint="eastAsia" w:cs="Times New Roman"/>
                <w:color w:val="000000"/>
              </w:rPr>
              <w:t>吸附装置内部结构应设计合理，气体流通顺畅、无短路、无死角。吸附装置及配套管道应密闭，主风机宜安装在吸附装置后端，使装置形成负压，泄漏检测值不应超过500μmol/mol，亦不应有感官可察觉泄漏。应按规范设置采样口，便于监督监测和日常监控活性炭吸附效率。</w:t>
            </w:r>
          </w:p>
          <w:p w14:paraId="677C244F">
            <w:pPr>
              <w:pStyle w:val="35"/>
              <w:spacing w:line="360" w:lineRule="auto"/>
              <w:rPr>
                <w:rFonts w:hint="eastAsia" w:cs="Times New Roman"/>
                <w:color w:val="000000"/>
              </w:rPr>
            </w:pPr>
            <w:r>
              <w:rPr>
                <w:rFonts w:hint="eastAsia" w:cs="Times New Roman"/>
                <w:color w:val="000000"/>
              </w:rPr>
              <w:t>4）废气预处理要求</w:t>
            </w:r>
          </w:p>
          <w:p w14:paraId="04EDF227">
            <w:pPr>
              <w:pStyle w:val="35"/>
              <w:spacing w:line="360" w:lineRule="auto"/>
              <w:rPr>
                <w:rFonts w:cs="Times New Roman"/>
                <w:color w:val="000000"/>
              </w:rPr>
            </w:pPr>
            <w:r>
              <w:rPr>
                <w:rFonts w:cs="Times New Roman"/>
                <w:color w:val="000000"/>
              </w:rPr>
              <w:t>产生含颗粒物的VOCs废气的</w:t>
            </w:r>
            <w:r>
              <w:rPr>
                <w:rFonts w:hint="eastAsia" w:cs="Times New Roman"/>
                <w:color w:val="000000"/>
              </w:rPr>
              <w:t>工艺</w:t>
            </w:r>
            <w:r>
              <w:rPr>
                <w:rFonts w:cs="Times New Roman"/>
                <w:color w:val="000000"/>
              </w:rPr>
              <w:t>，宜在活性炭吸附前端设置颗粒物捕集装置。进入吸附设备的废气颗粒物含量和温度分别低于1mg/m³和40℃，保障活性炭在低颗粒物、低含水率和适宜温度条件下使用。应将定期更换过滤材料相关内容纳入操作规程。活性炭对酸性废气吸附效果较差，且酸性气体易对设备本体造成腐蚀，应先采用洗涤进行预处理。采用洗涤进行预处理的，应采取措施保障进入吸附环节的废气湿度为70%以下。</w:t>
            </w:r>
          </w:p>
          <w:p w14:paraId="61868D1B">
            <w:pPr>
              <w:pStyle w:val="35"/>
              <w:spacing w:line="360" w:lineRule="auto"/>
              <w:rPr>
                <w:rFonts w:hint="eastAsia" w:cs="Times New Roman"/>
                <w:color w:val="000000"/>
              </w:rPr>
            </w:pPr>
            <w:r>
              <w:rPr>
                <w:rFonts w:hint="eastAsia" w:cs="Times New Roman"/>
                <w:color w:val="000000"/>
              </w:rPr>
              <w:t>5）活性炭装填控制要求</w:t>
            </w:r>
          </w:p>
          <w:p w14:paraId="369FAB5F">
            <w:pPr>
              <w:pStyle w:val="35"/>
              <w:spacing w:line="360" w:lineRule="auto"/>
              <w:rPr>
                <w:rFonts w:hint="eastAsia" w:cs="Times New Roman"/>
                <w:color w:val="000000"/>
              </w:rPr>
            </w:pPr>
            <w:r>
              <w:rPr>
                <w:rFonts w:hint="eastAsia" w:cs="Times New Roman"/>
                <w:color w:val="000000"/>
              </w:rPr>
              <w:t>颗粒活性炭碘吸附值≥800mg/g或四氯化碳吸附率≥45%；蜂窝活性炭碘吸附值≥650mg/g或四氯化碳吸附率≥35%；活性炭纤维比表面积应不低于1100m</w:t>
            </w:r>
            <w:r>
              <w:rPr>
                <w:rFonts w:hint="eastAsia" w:cs="Times New Roman"/>
                <w:color w:val="000000"/>
                <w:vertAlign w:val="superscript"/>
              </w:rPr>
              <w:t>2</w:t>
            </w:r>
            <w:r>
              <w:rPr>
                <w:rFonts w:hint="eastAsia" w:cs="Times New Roman"/>
                <w:color w:val="000000"/>
              </w:rPr>
              <w:t>/g（BET法）或四氯化碳吸附率≥65%。企业应备好所购活性炭厂家关于活性炭碘吸附值、四氯化碳吸附率、比表面积等相关检测报告等证明材料。</w:t>
            </w:r>
          </w:p>
          <w:p w14:paraId="0991F7E9">
            <w:pPr>
              <w:pStyle w:val="35"/>
              <w:spacing w:line="360" w:lineRule="auto"/>
              <w:rPr>
                <w:rFonts w:hint="eastAsia" w:cs="Times New Roman"/>
                <w:color w:val="000000"/>
              </w:rPr>
            </w:pPr>
            <w:r>
              <w:rPr>
                <w:rFonts w:hint="eastAsia" w:cs="Times New Roman"/>
                <w:color w:val="000000"/>
              </w:rPr>
              <w:t>应考虑VOCS产生量等因素科学</w:t>
            </w:r>
            <w:r>
              <w:rPr>
                <w:rFonts w:hint="eastAsia" w:cs="Times New Roman"/>
                <w:color w:val="000000"/>
                <w:kern w:val="2"/>
              </w:rPr>
              <w:t>合理</w:t>
            </w:r>
            <w:r>
              <w:rPr>
                <w:rFonts w:hint="eastAsia" w:cs="Times New Roman"/>
                <w:color w:val="000000"/>
              </w:rPr>
              <w:t>确定活性炭装填量及更换周期，并在操作规程中予以载明。采用一次性颗粒状活性炭处理VOCS废气，年活性炭使用量宜不应低于VOCS产生量的5倍，即1吨VOCS产生量，需5吨活性炭用于吸附。活性炭更换周期宜不超过累计运行500小时或3个月。</w:t>
            </w:r>
          </w:p>
          <w:p w14:paraId="1C4BAD14">
            <w:pPr>
              <w:pStyle w:val="35"/>
              <w:spacing w:line="360" w:lineRule="auto"/>
              <w:rPr>
                <w:rFonts w:hint="eastAsia" w:cs="Times New Roman"/>
                <w:color w:val="000000"/>
              </w:rPr>
            </w:pPr>
            <w:r>
              <w:rPr>
                <w:rFonts w:hint="eastAsia" w:cs="Times New Roman"/>
                <w:color w:val="000000"/>
              </w:rPr>
              <w:t>建立全过程管理台账，购入记录和质量规格应附发票、检测报告等关键支撑材料；应准确、及时填写更换记录并保存；废旧活性炭妥善贮存，贮存过程中产生的VOCS接入处理设施，将废旧活性炭交有资质的单位处理处置，在设施运维台账中记录更换时间和使用量。</w:t>
            </w:r>
          </w:p>
          <w:p w14:paraId="44A1E270">
            <w:pPr>
              <w:pStyle w:val="35"/>
              <w:spacing w:line="360" w:lineRule="auto"/>
              <w:rPr>
                <w:rFonts w:hint="eastAsia" w:cs="Times New Roman"/>
                <w:color w:val="000000"/>
              </w:rPr>
            </w:pPr>
            <w:r>
              <w:rPr>
                <w:rFonts w:hint="eastAsia" w:cs="Times New Roman"/>
                <w:color w:val="000000"/>
              </w:rPr>
              <w:t>VOCS处理涉及的吸附剂、吸收剂等治理设施耗材，企业应及时清理、更换，确保设施能够稳定高效运行；对于VOCS治理</w:t>
            </w:r>
            <w:r>
              <w:rPr>
                <w:rFonts w:hint="eastAsia" w:cs="Times New Roman"/>
                <w:color w:val="000000"/>
                <w:kern w:val="2"/>
              </w:rPr>
              <w:t>设施</w:t>
            </w:r>
            <w:r>
              <w:rPr>
                <w:rFonts w:hint="eastAsia" w:cs="Times New Roman"/>
                <w:color w:val="000000"/>
              </w:rPr>
              <w:t>产生的废过滤棉、废催化剂、废吸附剂等，企业应及时清运；属于危险废物的应及时处理处置。</w:t>
            </w:r>
          </w:p>
          <w:p w14:paraId="3AE6C68A">
            <w:pPr>
              <w:pStyle w:val="35"/>
              <w:spacing w:line="360" w:lineRule="auto"/>
              <w:ind w:firstLine="482"/>
              <w:rPr>
                <w:rFonts w:hint="eastAsia" w:cs="Times New Roman"/>
                <w:color w:val="000000"/>
              </w:rPr>
            </w:pPr>
            <w:r>
              <w:rPr>
                <w:rFonts w:hint="eastAsia" w:cs="Times New Roman"/>
                <w:b/>
                <w:bCs/>
                <w:color w:val="000000"/>
              </w:rPr>
              <w:t>活性炭更换期及装填量核算</w:t>
            </w:r>
            <w:r>
              <w:rPr>
                <w:rFonts w:hint="eastAsia" w:cs="Times New Roman"/>
                <w:color w:val="000000"/>
              </w:rPr>
              <w:t>：项目1#废气处理设施、3#废气处理设施均设置有活性炭装置。1#废气处理设施每年需要处理约5.8t废气，按500小时计算出每两个月（每天8小时）换一次活性炭，每年6次，每次需要吸附0.97t废气，按活性炭吸附比率20%计算，活性炭的装填密度取0.5kg/m³，需装填活性炭9.7m</w:t>
            </w:r>
            <w:r>
              <w:rPr>
                <w:rFonts w:hint="eastAsia" w:cs="Times New Roman"/>
                <w:color w:val="000000"/>
                <w:vertAlign w:val="superscript"/>
              </w:rPr>
              <w:t>3</w:t>
            </w:r>
            <w:r>
              <w:rPr>
                <w:rFonts w:hint="eastAsia" w:cs="Times New Roman"/>
                <w:color w:val="000000"/>
              </w:rPr>
              <w:t>，共三级活性炭，单级装填3.3m</w:t>
            </w:r>
            <w:r>
              <w:rPr>
                <w:rFonts w:hint="eastAsia" w:cs="Times New Roman"/>
                <w:color w:val="000000"/>
                <w:vertAlign w:val="superscript"/>
              </w:rPr>
              <w:t>3</w:t>
            </w:r>
            <w:r>
              <w:rPr>
                <w:rFonts w:hint="eastAsia" w:cs="Times New Roman"/>
                <w:color w:val="000000"/>
              </w:rPr>
              <w:t>活性炭。3#废气处理设施生产线每年需要处理约3.68t废气，按500小时计算出每两个月（每天8小时）换一次活性炭，每年6次，每次需要吸附0.62t废气，按活性炭吸附比率20%计算，活性炭的装填密度取0.5kg/m³，需装填活性炭6.2m</w:t>
            </w:r>
            <w:r>
              <w:rPr>
                <w:rFonts w:hint="eastAsia" w:cs="Times New Roman"/>
                <w:color w:val="000000"/>
                <w:vertAlign w:val="superscript"/>
              </w:rPr>
              <w:t>3</w:t>
            </w:r>
            <w:r>
              <w:rPr>
                <w:rFonts w:hint="eastAsia" w:cs="Times New Roman"/>
                <w:color w:val="000000"/>
              </w:rPr>
              <w:t>，共两级活性炭，单级装填3.1m</w:t>
            </w:r>
            <w:r>
              <w:rPr>
                <w:rFonts w:hint="eastAsia" w:cs="Times New Roman"/>
                <w:color w:val="000000"/>
                <w:vertAlign w:val="superscript"/>
              </w:rPr>
              <w:t>3</w:t>
            </w:r>
            <w:r>
              <w:rPr>
                <w:rFonts w:hint="eastAsia" w:cs="Times New Roman"/>
                <w:color w:val="000000"/>
              </w:rPr>
              <w:t>活性炭。</w:t>
            </w:r>
          </w:p>
          <w:p w14:paraId="54C5F04A">
            <w:pPr>
              <w:pStyle w:val="35"/>
              <w:spacing w:line="360" w:lineRule="auto"/>
              <w:rPr>
                <w:rFonts w:hint="eastAsia" w:cs="Times New Roman"/>
                <w:color w:val="000000"/>
              </w:rPr>
            </w:pPr>
            <w:r>
              <w:rPr>
                <w:rFonts w:hint="eastAsia" w:cs="Times New Roman"/>
                <w:color w:val="000000"/>
              </w:rPr>
              <w:t>综上，项目1#废气处理设施、3#废气处理设施活性炭更换周期均为两个月，单级活性炭装填量分别为3.3m</w:t>
            </w:r>
            <w:r>
              <w:rPr>
                <w:rFonts w:hint="eastAsia" w:cs="Times New Roman"/>
                <w:color w:val="000000"/>
                <w:vertAlign w:val="superscript"/>
              </w:rPr>
              <w:t>3</w:t>
            </w:r>
            <w:r>
              <w:rPr>
                <w:rFonts w:hint="eastAsia" w:cs="Times New Roman"/>
                <w:color w:val="000000"/>
              </w:rPr>
              <w:t>、3.1m</w:t>
            </w:r>
            <w:r>
              <w:rPr>
                <w:rFonts w:hint="eastAsia" w:cs="Times New Roman"/>
                <w:color w:val="000000"/>
                <w:vertAlign w:val="superscript"/>
              </w:rPr>
              <w:t>3</w:t>
            </w:r>
            <w:r>
              <w:rPr>
                <w:rFonts w:hint="eastAsia" w:cs="Times New Roman"/>
                <w:color w:val="000000"/>
              </w:rPr>
              <w:t>。</w:t>
            </w:r>
          </w:p>
          <w:p w14:paraId="2590CCD5">
            <w:pPr>
              <w:pStyle w:val="35"/>
              <w:spacing w:line="360" w:lineRule="auto"/>
              <w:ind w:firstLine="482"/>
              <w:rPr>
                <w:rFonts w:hint="eastAsia" w:cs="Times New Roman"/>
                <w:b/>
                <w:bCs/>
                <w:color w:val="000000"/>
              </w:rPr>
            </w:pPr>
            <w:r>
              <w:rPr>
                <w:rFonts w:hint="eastAsia" w:cs="Times New Roman"/>
                <w:b/>
                <w:bCs/>
                <w:color w:val="000000"/>
              </w:rPr>
              <w:t>（5）非正常工况</w:t>
            </w:r>
          </w:p>
          <w:p w14:paraId="59E586E3">
            <w:pPr>
              <w:pStyle w:val="35"/>
              <w:spacing w:line="360" w:lineRule="auto"/>
              <w:rPr>
                <w:color w:val="000000"/>
              </w:rPr>
            </w:pPr>
            <w:r>
              <w:rPr>
                <w:rFonts w:hint="eastAsia"/>
                <w:color w:val="000000"/>
              </w:rPr>
              <w:t>本项目</w:t>
            </w:r>
            <w:r>
              <w:rPr>
                <w:color w:val="000000"/>
              </w:rPr>
              <w:t>非正常工况主要为</w:t>
            </w:r>
            <w:r>
              <w:rPr>
                <w:rFonts w:hint="eastAsia"/>
                <w:color w:val="000000"/>
              </w:rPr>
              <w:t>生产线</w:t>
            </w:r>
            <w:r>
              <w:rPr>
                <w:color w:val="000000"/>
              </w:rPr>
              <w:t>环保设施的非正常运行</w:t>
            </w:r>
            <w:r>
              <w:rPr>
                <w:rFonts w:hint="eastAsia"/>
                <w:color w:val="000000"/>
              </w:rPr>
              <w:t>，</w:t>
            </w:r>
            <w:r>
              <w:rPr>
                <w:color w:val="000000"/>
              </w:rPr>
              <w:t>当废气处理设施发生故障</w:t>
            </w:r>
            <w:r>
              <w:rPr>
                <w:rFonts w:hint="eastAsia"/>
                <w:color w:val="000000"/>
              </w:rPr>
              <w:t>，如活性炭吸附失效等</w:t>
            </w:r>
            <w:r>
              <w:rPr>
                <w:color w:val="000000"/>
              </w:rPr>
              <w:t>，废气污染物</w:t>
            </w:r>
            <w:r>
              <w:rPr>
                <w:rFonts w:hint="eastAsia"/>
                <w:color w:val="000000"/>
              </w:rPr>
              <w:t>未得到有效</w:t>
            </w:r>
            <w:r>
              <w:rPr>
                <w:color w:val="000000"/>
              </w:rPr>
              <w:t>处理，通过排气筒直接排放到大气中</w:t>
            </w:r>
            <w:r>
              <w:rPr>
                <w:rFonts w:hint="eastAsia"/>
                <w:color w:val="000000"/>
              </w:rPr>
              <w:t>，对环境造成</w:t>
            </w:r>
            <w:r>
              <w:rPr>
                <w:rFonts w:hint="eastAsia" w:cs="Times New Roman"/>
                <w:color w:val="000000"/>
                <w:kern w:val="2"/>
              </w:rPr>
              <w:t>污染</w:t>
            </w:r>
            <w:r>
              <w:rPr>
                <w:color w:val="000000"/>
              </w:rPr>
              <w:t>。本项目非正常排放的源强</w:t>
            </w:r>
            <w:r>
              <w:rPr>
                <w:rFonts w:hint="eastAsia"/>
                <w:color w:val="000000"/>
              </w:rPr>
              <w:t>考虑布袋除尘器、活性炭吸附等设施处置效率为零的情况，非正常工况下有组织排放情况如下：</w:t>
            </w:r>
          </w:p>
          <w:p w14:paraId="72A96095">
            <w:pPr>
              <w:jc w:val="center"/>
              <w:rPr>
                <w:rFonts w:hint="eastAsia"/>
                <w:b/>
                <w:bCs/>
                <w:color w:val="000000"/>
              </w:rPr>
            </w:pPr>
            <w:r>
              <w:rPr>
                <w:b/>
                <w:bCs/>
                <w:color w:val="000000"/>
              </w:rPr>
              <w:t>表4-</w:t>
            </w:r>
            <w:r>
              <w:rPr>
                <w:rFonts w:hint="eastAsia"/>
                <w:b/>
                <w:bCs/>
                <w:color w:val="000000"/>
              </w:rPr>
              <w:t>13  非正常工况排放情况一览表</w:t>
            </w:r>
          </w:p>
          <w:tbl>
            <w:tblPr>
              <w:tblStyle w:val="16"/>
              <w:tblW w:w="838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53"/>
              <w:gridCol w:w="1403"/>
              <w:gridCol w:w="1086"/>
              <w:gridCol w:w="1113"/>
              <w:gridCol w:w="1304"/>
              <w:gridCol w:w="870"/>
              <w:gridCol w:w="1459"/>
            </w:tblGrid>
            <w:tr w14:paraId="3FC1ACD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noWrap/>
                  <w:vAlign w:val="center"/>
                </w:tcPr>
                <w:p w14:paraId="30FB64B9">
                  <w:pPr>
                    <w:widowControl/>
                    <w:adjustRightInd w:val="0"/>
                    <w:snapToGrid w:val="0"/>
                    <w:jc w:val="center"/>
                    <w:textAlignment w:val="center"/>
                    <w:rPr>
                      <w:color w:val="000000"/>
                      <w:sz w:val="21"/>
                      <w:szCs w:val="21"/>
                    </w:rPr>
                  </w:pPr>
                  <w:r>
                    <w:rPr>
                      <w:color w:val="000000"/>
                      <w:kern w:val="0"/>
                      <w:sz w:val="21"/>
                      <w:szCs w:val="21"/>
                      <w:lang w:bidi="ar"/>
                    </w:rPr>
                    <w:t>排气筒</w:t>
                  </w:r>
                </w:p>
              </w:tc>
              <w:tc>
                <w:tcPr>
                  <w:tcW w:w="1403" w:type="dxa"/>
                  <w:noWrap/>
                  <w:vAlign w:val="center"/>
                </w:tcPr>
                <w:p w14:paraId="4A894C9D">
                  <w:pPr>
                    <w:widowControl/>
                    <w:adjustRightInd w:val="0"/>
                    <w:snapToGrid w:val="0"/>
                    <w:jc w:val="center"/>
                    <w:textAlignment w:val="center"/>
                    <w:rPr>
                      <w:color w:val="000000"/>
                      <w:sz w:val="21"/>
                      <w:szCs w:val="21"/>
                    </w:rPr>
                  </w:pPr>
                  <w:r>
                    <w:rPr>
                      <w:color w:val="000000"/>
                      <w:kern w:val="0"/>
                      <w:sz w:val="21"/>
                      <w:szCs w:val="21"/>
                      <w:lang w:bidi="ar"/>
                    </w:rPr>
                    <w:t>污染物</w:t>
                  </w:r>
                </w:p>
              </w:tc>
              <w:tc>
                <w:tcPr>
                  <w:tcW w:w="1086" w:type="dxa"/>
                  <w:noWrap w:val="0"/>
                  <w:vAlign w:val="center"/>
                </w:tcPr>
                <w:p w14:paraId="1D4D06ED">
                  <w:pPr>
                    <w:widowControl/>
                    <w:adjustRightInd w:val="0"/>
                    <w:snapToGrid w:val="0"/>
                    <w:jc w:val="center"/>
                    <w:textAlignment w:val="center"/>
                    <w:rPr>
                      <w:color w:val="000000"/>
                      <w:kern w:val="0"/>
                      <w:sz w:val="21"/>
                      <w:szCs w:val="21"/>
                      <w:lang w:bidi="ar"/>
                    </w:rPr>
                  </w:pPr>
                  <w:r>
                    <w:rPr>
                      <w:color w:val="000000"/>
                      <w:kern w:val="0"/>
                      <w:sz w:val="21"/>
                      <w:szCs w:val="21"/>
                      <w:lang w:bidi="ar"/>
                    </w:rPr>
                    <w:t>排放浓度</w:t>
                  </w:r>
                </w:p>
                <w:p w14:paraId="32551F7E">
                  <w:pPr>
                    <w:widowControl/>
                    <w:adjustRightInd w:val="0"/>
                    <w:snapToGrid w:val="0"/>
                    <w:jc w:val="center"/>
                    <w:textAlignment w:val="center"/>
                    <w:rPr>
                      <w:color w:val="000000"/>
                      <w:sz w:val="21"/>
                      <w:szCs w:val="21"/>
                    </w:rPr>
                  </w:pPr>
                  <w:r>
                    <w:rPr>
                      <w:rFonts w:hint="eastAsia"/>
                      <w:color w:val="000000"/>
                      <w:kern w:val="0"/>
                      <w:sz w:val="21"/>
                      <w:szCs w:val="21"/>
                      <w:lang w:bidi="ar"/>
                    </w:rPr>
                    <w:t>mg/m</w:t>
                  </w:r>
                  <w:r>
                    <w:rPr>
                      <w:rFonts w:hint="eastAsia"/>
                      <w:color w:val="000000"/>
                      <w:kern w:val="0"/>
                      <w:sz w:val="21"/>
                      <w:szCs w:val="21"/>
                      <w:vertAlign w:val="superscript"/>
                      <w:lang w:bidi="ar"/>
                    </w:rPr>
                    <w:t>3</w:t>
                  </w:r>
                </w:p>
              </w:tc>
              <w:tc>
                <w:tcPr>
                  <w:tcW w:w="1113" w:type="dxa"/>
                  <w:noWrap w:val="0"/>
                  <w:vAlign w:val="center"/>
                </w:tcPr>
                <w:p w14:paraId="50A9D842">
                  <w:pPr>
                    <w:widowControl/>
                    <w:adjustRightInd w:val="0"/>
                    <w:snapToGrid w:val="0"/>
                    <w:jc w:val="center"/>
                    <w:textAlignment w:val="center"/>
                    <w:rPr>
                      <w:color w:val="000000"/>
                      <w:kern w:val="0"/>
                      <w:sz w:val="21"/>
                      <w:szCs w:val="21"/>
                      <w:lang w:bidi="ar"/>
                    </w:rPr>
                  </w:pPr>
                  <w:r>
                    <w:rPr>
                      <w:color w:val="000000"/>
                      <w:kern w:val="0"/>
                      <w:sz w:val="21"/>
                      <w:szCs w:val="21"/>
                      <w:lang w:bidi="ar"/>
                    </w:rPr>
                    <w:t>排放速率</w:t>
                  </w:r>
                </w:p>
                <w:p w14:paraId="3534E883">
                  <w:pPr>
                    <w:widowControl/>
                    <w:adjustRightInd w:val="0"/>
                    <w:snapToGrid w:val="0"/>
                    <w:jc w:val="center"/>
                    <w:textAlignment w:val="center"/>
                    <w:rPr>
                      <w:color w:val="000000"/>
                      <w:sz w:val="21"/>
                      <w:szCs w:val="21"/>
                    </w:rPr>
                  </w:pPr>
                  <w:r>
                    <w:rPr>
                      <w:rFonts w:hint="eastAsia"/>
                      <w:color w:val="000000"/>
                      <w:kern w:val="0"/>
                      <w:sz w:val="21"/>
                      <w:szCs w:val="21"/>
                      <w:lang w:bidi="ar"/>
                    </w:rPr>
                    <w:t>kg/h</w:t>
                  </w:r>
                </w:p>
              </w:tc>
              <w:tc>
                <w:tcPr>
                  <w:tcW w:w="1304" w:type="dxa"/>
                  <w:noWrap/>
                  <w:vAlign w:val="center"/>
                </w:tcPr>
                <w:p w14:paraId="7C5DDD9B">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事故原因</w:t>
                  </w:r>
                </w:p>
              </w:tc>
              <w:tc>
                <w:tcPr>
                  <w:tcW w:w="870" w:type="dxa"/>
                  <w:noWrap/>
                  <w:vAlign w:val="center"/>
                </w:tcPr>
                <w:p w14:paraId="548F5FBA">
                  <w:pPr>
                    <w:pStyle w:val="26"/>
                    <w:kinsoku w:val="0"/>
                    <w:adjustRightInd w:val="0"/>
                    <w:snapToGrid w:val="0"/>
                    <w:spacing w:before="31"/>
                    <w:rPr>
                      <w:rFonts w:hint="eastAsia" w:cs="Times New Roman"/>
                      <w:color w:val="000000"/>
                      <w:kern w:val="0"/>
                      <w:lang w:bidi="ar"/>
                    </w:rPr>
                  </w:pPr>
                  <w:r>
                    <w:rPr>
                      <w:rFonts w:hint="eastAsia"/>
                      <w:color w:val="000000"/>
                    </w:rPr>
                    <w:t>持续时间h</w:t>
                  </w:r>
                </w:p>
              </w:tc>
              <w:tc>
                <w:tcPr>
                  <w:tcW w:w="1459" w:type="dxa"/>
                  <w:noWrap/>
                  <w:vAlign w:val="center"/>
                </w:tcPr>
                <w:p w14:paraId="3A4AE398">
                  <w:pPr>
                    <w:pStyle w:val="26"/>
                    <w:kinsoku w:val="0"/>
                    <w:adjustRightInd w:val="0"/>
                    <w:snapToGrid w:val="0"/>
                    <w:spacing w:before="31"/>
                    <w:rPr>
                      <w:rFonts w:cs="Times New Roman"/>
                      <w:color w:val="000000"/>
                      <w:kern w:val="0"/>
                      <w:lang w:bidi="ar"/>
                    </w:rPr>
                  </w:pPr>
                  <w:r>
                    <w:rPr>
                      <w:rFonts w:hint="eastAsia" w:cs="Times New Roman"/>
                      <w:color w:val="000000"/>
                      <w:kern w:val="0"/>
                      <w:lang w:bidi="ar"/>
                    </w:rPr>
                    <w:t>应对措施</w:t>
                  </w:r>
                </w:p>
              </w:tc>
            </w:tr>
            <w:tr w14:paraId="3B3BAF4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restart"/>
                  <w:noWrap/>
                  <w:vAlign w:val="center"/>
                </w:tcPr>
                <w:p w14:paraId="78FA398E">
                  <w:pPr>
                    <w:widowControl/>
                    <w:adjustRightInd w:val="0"/>
                    <w:snapToGrid w:val="0"/>
                    <w:jc w:val="center"/>
                    <w:textAlignment w:val="center"/>
                    <w:rPr>
                      <w:color w:val="000000"/>
                      <w:sz w:val="21"/>
                      <w:szCs w:val="21"/>
                    </w:rPr>
                  </w:pPr>
                  <w:r>
                    <w:rPr>
                      <w:color w:val="000000"/>
                      <w:kern w:val="0"/>
                      <w:sz w:val="21"/>
                      <w:szCs w:val="21"/>
                      <w:lang w:bidi="ar"/>
                    </w:rPr>
                    <w:t>DA001</w:t>
                  </w:r>
                </w:p>
              </w:tc>
              <w:tc>
                <w:tcPr>
                  <w:tcW w:w="1403" w:type="dxa"/>
                  <w:noWrap/>
                  <w:vAlign w:val="center"/>
                </w:tcPr>
                <w:p w14:paraId="5EF1466E">
                  <w:pPr>
                    <w:widowControl/>
                    <w:adjustRightInd w:val="0"/>
                    <w:snapToGrid w:val="0"/>
                    <w:jc w:val="center"/>
                    <w:textAlignment w:val="center"/>
                    <w:rPr>
                      <w:color w:val="000000"/>
                      <w:sz w:val="21"/>
                      <w:szCs w:val="21"/>
                    </w:rPr>
                  </w:pPr>
                  <w:r>
                    <w:rPr>
                      <w:rFonts w:hint="eastAsia"/>
                      <w:color w:val="000000"/>
                      <w:sz w:val="21"/>
                      <w:szCs w:val="21"/>
                    </w:rPr>
                    <w:t>颗粒物</w:t>
                  </w:r>
                </w:p>
              </w:tc>
              <w:tc>
                <w:tcPr>
                  <w:tcW w:w="1086" w:type="dxa"/>
                  <w:noWrap/>
                  <w:vAlign w:val="center"/>
                </w:tcPr>
                <w:p w14:paraId="5F2BA325">
                  <w:pPr>
                    <w:widowControl/>
                    <w:jc w:val="center"/>
                    <w:textAlignment w:val="center"/>
                    <w:rPr>
                      <w:color w:val="000000"/>
                      <w:sz w:val="21"/>
                      <w:szCs w:val="21"/>
                    </w:rPr>
                  </w:pPr>
                  <w:r>
                    <w:rPr>
                      <w:rFonts w:hint="eastAsia"/>
                      <w:color w:val="000000"/>
                      <w:sz w:val="21"/>
                      <w:szCs w:val="21"/>
                    </w:rPr>
                    <w:t>86.4</w:t>
                  </w:r>
                </w:p>
              </w:tc>
              <w:tc>
                <w:tcPr>
                  <w:tcW w:w="1113" w:type="dxa"/>
                  <w:noWrap/>
                  <w:vAlign w:val="center"/>
                </w:tcPr>
                <w:p w14:paraId="246BB0F4">
                  <w:pPr>
                    <w:widowControl/>
                    <w:jc w:val="center"/>
                    <w:textAlignment w:val="center"/>
                    <w:rPr>
                      <w:color w:val="000000"/>
                      <w:sz w:val="21"/>
                      <w:szCs w:val="21"/>
                    </w:rPr>
                  </w:pPr>
                  <w:r>
                    <w:rPr>
                      <w:rFonts w:hint="eastAsia"/>
                      <w:color w:val="000000"/>
                      <w:sz w:val="21"/>
                      <w:szCs w:val="21"/>
                    </w:rPr>
                    <w:t>0.98</w:t>
                  </w:r>
                </w:p>
              </w:tc>
              <w:tc>
                <w:tcPr>
                  <w:tcW w:w="1304" w:type="dxa"/>
                  <w:vMerge w:val="restart"/>
                  <w:noWrap/>
                  <w:vAlign w:val="center"/>
                </w:tcPr>
                <w:p w14:paraId="4A6DBEF3">
                  <w:pPr>
                    <w:widowControl/>
                    <w:adjustRightInd w:val="0"/>
                    <w:snapToGrid w:val="0"/>
                    <w:jc w:val="center"/>
                    <w:textAlignment w:val="center"/>
                    <w:rPr>
                      <w:color w:val="000000"/>
                      <w:sz w:val="21"/>
                      <w:szCs w:val="21"/>
                    </w:rPr>
                  </w:pPr>
                  <w:r>
                    <w:rPr>
                      <w:color w:val="000000"/>
                      <w:sz w:val="21"/>
                      <w:szCs w:val="21"/>
                    </w:rPr>
                    <w:t>当废气处理设施发生故障</w:t>
                  </w:r>
                  <w:r>
                    <w:rPr>
                      <w:rFonts w:hint="eastAsia"/>
                      <w:color w:val="000000"/>
                      <w:sz w:val="21"/>
                      <w:szCs w:val="21"/>
                    </w:rPr>
                    <w:t>，如活性炭吸附失效等</w:t>
                  </w:r>
                  <w:r>
                    <w:rPr>
                      <w:color w:val="000000"/>
                      <w:sz w:val="21"/>
                      <w:szCs w:val="21"/>
                    </w:rPr>
                    <w:t>，废气污染物</w:t>
                  </w:r>
                  <w:r>
                    <w:rPr>
                      <w:rFonts w:hint="eastAsia"/>
                      <w:color w:val="000000"/>
                      <w:sz w:val="21"/>
                      <w:szCs w:val="21"/>
                    </w:rPr>
                    <w:t>未得到有效</w:t>
                  </w:r>
                  <w:r>
                    <w:rPr>
                      <w:color w:val="000000"/>
                      <w:sz w:val="21"/>
                      <w:szCs w:val="21"/>
                    </w:rPr>
                    <w:t>处理，通过排气筒直接排放到大气中</w:t>
                  </w:r>
                  <w:r>
                    <w:rPr>
                      <w:rFonts w:hint="eastAsia"/>
                      <w:color w:val="000000"/>
                      <w:sz w:val="21"/>
                      <w:szCs w:val="21"/>
                    </w:rPr>
                    <w:t>，对环境造成污染</w:t>
                  </w:r>
                  <w:r>
                    <w:rPr>
                      <w:color w:val="000000"/>
                      <w:sz w:val="21"/>
                      <w:szCs w:val="21"/>
                    </w:rPr>
                    <w:t>。</w:t>
                  </w:r>
                </w:p>
              </w:tc>
              <w:tc>
                <w:tcPr>
                  <w:tcW w:w="870" w:type="dxa"/>
                  <w:vMerge w:val="restart"/>
                  <w:noWrap/>
                  <w:vAlign w:val="center"/>
                </w:tcPr>
                <w:p w14:paraId="4DF48F9F">
                  <w:pPr>
                    <w:widowControl/>
                    <w:adjustRightInd w:val="0"/>
                    <w:snapToGrid w:val="0"/>
                    <w:jc w:val="center"/>
                    <w:textAlignment w:val="center"/>
                    <w:rPr>
                      <w:color w:val="000000"/>
                      <w:sz w:val="21"/>
                      <w:szCs w:val="21"/>
                    </w:rPr>
                  </w:pPr>
                  <w:r>
                    <w:rPr>
                      <w:rFonts w:hint="eastAsia"/>
                      <w:color w:val="000000"/>
                      <w:sz w:val="21"/>
                      <w:szCs w:val="21"/>
                    </w:rPr>
                    <w:t>1h</w:t>
                  </w:r>
                </w:p>
              </w:tc>
              <w:tc>
                <w:tcPr>
                  <w:tcW w:w="1459" w:type="dxa"/>
                  <w:vMerge w:val="restart"/>
                  <w:noWrap/>
                  <w:vAlign w:val="center"/>
                </w:tcPr>
                <w:p w14:paraId="35F5F6B3">
                  <w:pPr>
                    <w:widowControl/>
                    <w:adjustRightInd w:val="0"/>
                    <w:snapToGrid w:val="0"/>
                    <w:jc w:val="center"/>
                    <w:textAlignment w:val="center"/>
                    <w:rPr>
                      <w:color w:val="000000"/>
                      <w:sz w:val="21"/>
                      <w:szCs w:val="21"/>
                    </w:rPr>
                  </w:pPr>
                  <w:r>
                    <w:rPr>
                      <w:color w:val="000000"/>
                      <w:sz w:val="21"/>
                      <w:szCs w:val="21"/>
                    </w:rPr>
                    <w:t>生产启动前检查废气处理设施，发现故障后立即停止生产工作，安排检修。加强设备</w:t>
                  </w:r>
                  <w:r>
                    <w:rPr>
                      <w:rFonts w:hint="eastAsia"/>
                      <w:color w:val="000000"/>
                      <w:sz w:val="21"/>
                      <w:szCs w:val="21"/>
                    </w:rPr>
                    <w:t>维护。</w:t>
                  </w:r>
                </w:p>
              </w:tc>
            </w:tr>
            <w:tr w14:paraId="7CBD16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156A1B69">
                  <w:pPr>
                    <w:widowControl/>
                    <w:adjustRightInd w:val="0"/>
                    <w:snapToGrid w:val="0"/>
                    <w:jc w:val="center"/>
                    <w:textAlignment w:val="center"/>
                    <w:rPr>
                      <w:color w:val="000000"/>
                      <w:kern w:val="0"/>
                      <w:sz w:val="21"/>
                      <w:szCs w:val="21"/>
                      <w:lang w:bidi="ar"/>
                    </w:rPr>
                  </w:pPr>
                </w:p>
              </w:tc>
              <w:tc>
                <w:tcPr>
                  <w:tcW w:w="1403" w:type="dxa"/>
                  <w:noWrap/>
                  <w:vAlign w:val="center"/>
                </w:tcPr>
                <w:p w14:paraId="6BBA67D5">
                  <w:pPr>
                    <w:widowControl/>
                    <w:adjustRightInd w:val="0"/>
                    <w:snapToGrid w:val="0"/>
                    <w:jc w:val="center"/>
                    <w:textAlignment w:val="center"/>
                    <w:rPr>
                      <w:color w:val="000000"/>
                      <w:sz w:val="21"/>
                      <w:szCs w:val="21"/>
                    </w:rPr>
                  </w:pPr>
                  <w:r>
                    <w:rPr>
                      <w:color w:val="000000"/>
                      <w:kern w:val="0"/>
                      <w:sz w:val="21"/>
                      <w:szCs w:val="21"/>
                      <w:lang w:bidi="ar"/>
                    </w:rPr>
                    <w:t>非甲烷总烃</w:t>
                  </w:r>
                </w:p>
              </w:tc>
              <w:tc>
                <w:tcPr>
                  <w:tcW w:w="1086" w:type="dxa"/>
                  <w:noWrap/>
                  <w:vAlign w:val="center"/>
                </w:tcPr>
                <w:p w14:paraId="08E977C9">
                  <w:pPr>
                    <w:widowControl/>
                    <w:jc w:val="center"/>
                    <w:textAlignment w:val="center"/>
                    <w:rPr>
                      <w:color w:val="000000"/>
                      <w:sz w:val="21"/>
                      <w:szCs w:val="21"/>
                    </w:rPr>
                  </w:pPr>
                  <w:r>
                    <w:rPr>
                      <w:color w:val="000000"/>
                      <w:sz w:val="21"/>
                      <w:szCs w:val="21"/>
                    </w:rPr>
                    <w:t xml:space="preserve">229.3 </w:t>
                  </w:r>
                </w:p>
              </w:tc>
              <w:tc>
                <w:tcPr>
                  <w:tcW w:w="1113" w:type="dxa"/>
                  <w:noWrap/>
                  <w:vAlign w:val="center"/>
                </w:tcPr>
                <w:p w14:paraId="6C8EB08B">
                  <w:pPr>
                    <w:widowControl/>
                    <w:jc w:val="center"/>
                    <w:textAlignment w:val="center"/>
                    <w:rPr>
                      <w:color w:val="000000"/>
                      <w:sz w:val="21"/>
                      <w:szCs w:val="21"/>
                    </w:rPr>
                  </w:pPr>
                  <w:r>
                    <w:rPr>
                      <w:color w:val="000000"/>
                      <w:sz w:val="21"/>
                      <w:szCs w:val="21"/>
                    </w:rPr>
                    <w:t xml:space="preserve">2.61 </w:t>
                  </w:r>
                </w:p>
              </w:tc>
              <w:tc>
                <w:tcPr>
                  <w:tcW w:w="1304" w:type="dxa"/>
                  <w:vMerge w:val="continue"/>
                  <w:noWrap/>
                  <w:vAlign w:val="center"/>
                </w:tcPr>
                <w:p w14:paraId="06A28426">
                  <w:pPr>
                    <w:widowControl/>
                    <w:adjustRightInd w:val="0"/>
                    <w:snapToGrid w:val="0"/>
                    <w:jc w:val="center"/>
                    <w:textAlignment w:val="center"/>
                    <w:rPr>
                      <w:color w:val="000000"/>
                      <w:sz w:val="21"/>
                      <w:szCs w:val="21"/>
                    </w:rPr>
                  </w:pPr>
                </w:p>
              </w:tc>
              <w:tc>
                <w:tcPr>
                  <w:tcW w:w="870" w:type="dxa"/>
                  <w:vMerge w:val="continue"/>
                  <w:noWrap/>
                  <w:vAlign w:val="center"/>
                </w:tcPr>
                <w:p w14:paraId="6DB4A59D">
                  <w:pPr>
                    <w:widowControl/>
                    <w:adjustRightInd w:val="0"/>
                    <w:snapToGrid w:val="0"/>
                    <w:jc w:val="center"/>
                    <w:textAlignment w:val="center"/>
                    <w:rPr>
                      <w:rFonts w:hint="eastAsia"/>
                      <w:color w:val="000000"/>
                      <w:sz w:val="21"/>
                      <w:szCs w:val="21"/>
                    </w:rPr>
                  </w:pPr>
                </w:p>
              </w:tc>
              <w:tc>
                <w:tcPr>
                  <w:tcW w:w="1459" w:type="dxa"/>
                  <w:vMerge w:val="continue"/>
                  <w:noWrap/>
                  <w:vAlign w:val="center"/>
                </w:tcPr>
                <w:p w14:paraId="711CC7E0">
                  <w:pPr>
                    <w:widowControl/>
                    <w:adjustRightInd w:val="0"/>
                    <w:snapToGrid w:val="0"/>
                    <w:jc w:val="center"/>
                    <w:textAlignment w:val="center"/>
                    <w:rPr>
                      <w:color w:val="000000"/>
                      <w:sz w:val="21"/>
                      <w:szCs w:val="21"/>
                    </w:rPr>
                  </w:pPr>
                </w:p>
              </w:tc>
            </w:tr>
            <w:tr w14:paraId="583F36C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2B3E44E3">
                  <w:pPr>
                    <w:widowControl/>
                    <w:adjustRightInd w:val="0"/>
                    <w:snapToGrid w:val="0"/>
                    <w:jc w:val="center"/>
                    <w:rPr>
                      <w:color w:val="000000"/>
                      <w:sz w:val="21"/>
                      <w:szCs w:val="21"/>
                    </w:rPr>
                  </w:pPr>
                </w:p>
              </w:tc>
              <w:tc>
                <w:tcPr>
                  <w:tcW w:w="1403" w:type="dxa"/>
                  <w:noWrap/>
                  <w:vAlign w:val="center"/>
                </w:tcPr>
                <w:p w14:paraId="76C5B94C">
                  <w:pPr>
                    <w:widowControl/>
                    <w:adjustRightInd w:val="0"/>
                    <w:snapToGrid w:val="0"/>
                    <w:jc w:val="center"/>
                    <w:textAlignment w:val="center"/>
                    <w:rPr>
                      <w:color w:val="000000"/>
                      <w:sz w:val="21"/>
                      <w:szCs w:val="21"/>
                    </w:rPr>
                  </w:pPr>
                  <w:r>
                    <w:rPr>
                      <w:color w:val="000000"/>
                      <w:kern w:val="0"/>
                      <w:sz w:val="21"/>
                      <w:szCs w:val="21"/>
                      <w:lang w:bidi="ar"/>
                    </w:rPr>
                    <w:t>氯化氢</w:t>
                  </w:r>
                </w:p>
              </w:tc>
              <w:tc>
                <w:tcPr>
                  <w:tcW w:w="1086" w:type="dxa"/>
                  <w:noWrap/>
                  <w:vAlign w:val="center"/>
                </w:tcPr>
                <w:p w14:paraId="1C326875">
                  <w:pPr>
                    <w:widowControl/>
                    <w:jc w:val="center"/>
                    <w:textAlignment w:val="center"/>
                    <w:rPr>
                      <w:color w:val="000000"/>
                      <w:sz w:val="21"/>
                      <w:szCs w:val="21"/>
                    </w:rPr>
                  </w:pPr>
                  <w:r>
                    <w:rPr>
                      <w:color w:val="000000"/>
                      <w:kern w:val="0"/>
                      <w:sz w:val="21"/>
                      <w:szCs w:val="21"/>
                      <w:lang w:bidi="ar"/>
                    </w:rPr>
                    <w:t xml:space="preserve">2.1 </w:t>
                  </w:r>
                </w:p>
              </w:tc>
              <w:tc>
                <w:tcPr>
                  <w:tcW w:w="1113" w:type="dxa"/>
                  <w:noWrap/>
                  <w:vAlign w:val="center"/>
                </w:tcPr>
                <w:p w14:paraId="0864A2F2">
                  <w:pPr>
                    <w:widowControl/>
                    <w:jc w:val="center"/>
                    <w:textAlignment w:val="center"/>
                    <w:rPr>
                      <w:color w:val="000000"/>
                      <w:sz w:val="21"/>
                      <w:szCs w:val="21"/>
                    </w:rPr>
                  </w:pPr>
                  <w:r>
                    <w:rPr>
                      <w:color w:val="000000"/>
                      <w:kern w:val="0"/>
                      <w:sz w:val="21"/>
                      <w:szCs w:val="21"/>
                      <w:lang w:bidi="ar"/>
                    </w:rPr>
                    <w:t xml:space="preserve">0.02 </w:t>
                  </w:r>
                </w:p>
              </w:tc>
              <w:tc>
                <w:tcPr>
                  <w:tcW w:w="1304" w:type="dxa"/>
                  <w:vMerge w:val="continue"/>
                  <w:noWrap/>
                  <w:vAlign w:val="center"/>
                </w:tcPr>
                <w:p w14:paraId="7DF6C2AD">
                  <w:pPr>
                    <w:widowControl/>
                    <w:adjustRightInd w:val="0"/>
                    <w:snapToGrid w:val="0"/>
                    <w:jc w:val="center"/>
                    <w:textAlignment w:val="center"/>
                    <w:rPr>
                      <w:color w:val="000000"/>
                      <w:sz w:val="21"/>
                      <w:szCs w:val="21"/>
                    </w:rPr>
                  </w:pPr>
                </w:p>
              </w:tc>
              <w:tc>
                <w:tcPr>
                  <w:tcW w:w="870" w:type="dxa"/>
                  <w:vMerge w:val="continue"/>
                  <w:noWrap/>
                  <w:vAlign w:val="center"/>
                </w:tcPr>
                <w:p w14:paraId="1EFBF443">
                  <w:pPr>
                    <w:widowControl/>
                    <w:adjustRightInd w:val="0"/>
                    <w:snapToGrid w:val="0"/>
                    <w:jc w:val="center"/>
                    <w:textAlignment w:val="center"/>
                    <w:rPr>
                      <w:color w:val="000000"/>
                      <w:sz w:val="21"/>
                      <w:szCs w:val="21"/>
                    </w:rPr>
                  </w:pPr>
                </w:p>
              </w:tc>
              <w:tc>
                <w:tcPr>
                  <w:tcW w:w="1459" w:type="dxa"/>
                  <w:vMerge w:val="continue"/>
                  <w:noWrap/>
                  <w:vAlign w:val="center"/>
                </w:tcPr>
                <w:p w14:paraId="3C0E8477">
                  <w:pPr>
                    <w:widowControl/>
                    <w:adjustRightInd w:val="0"/>
                    <w:snapToGrid w:val="0"/>
                    <w:jc w:val="center"/>
                    <w:textAlignment w:val="center"/>
                    <w:rPr>
                      <w:color w:val="000000"/>
                      <w:sz w:val="21"/>
                      <w:szCs w:val="21"/>
                    </w:rPr>
                  </w:pPr>
                </w:p>
              </w:tc>
            </w:tr>
            <w:tr w14:paraId="3EA4028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2A522122">
                  <w:pPr>
                    <w:widowControl/>
                    <w:adjustRightInd w:val="0"/>
                    <w:snapToGrid w:val="0"/>
                    <w:jc w:val="center"/>
                    <w:rPr>
                      <w:color w:val="000000"/>
                      <w:sz w:val="21"/>
                      <w:szCs w:val="21"/>
                    </w:rPr>
                  </w:pPr>
                </w:p>
              </w:tc>
              <w:tc>
                <w:tcPr>
                  <w:tcW w:w="1403" w:type="dxa"/>
                  <w:noWrap/>
                  <w:vAlign w:val="center"/>
                </w:tcPr>
                <w:p w14:paraId="04628823">
                  <w:pPr>
                    <w:widowControl/>
                    <w:adjustRightInd w:val="0"/>
                    <w:snapToGrid w:val="0"/>
                    <w:jc w:val="center"/>
                    <w:textAlignment w:val="center"/>
                    <w:rPr>
                      <w:color w:val="000000"/>
                      <w:sz w:val="21"/>
                      <w:szCs w:val="21"/>
                    </w:rPr>
                  </w:pPr>
                  <w:r>
                    <w:rPr>
                      <w:color w:val="000000"/>
                      <w:kern w:val="0"/>
                      <w:sz w:val="21"/>
                      <w:szCs w:val="21"/>
                      <w:lang w:bidi="ar"/>
                    </w:rPr>
                    <w:t>氯乙烯</w:t>
                  </w:r>
                </w:p>
              </w:tc>
              <w:tc>
                <w:tcPr>
                  <w:tcW w:w="1086" w:type="dxa"/>
                  <w:noWrap/>
                  <w:vAlign w:val="center"/>
                </w:tcPr>
                <w:p w14:paraId="5E600BB5">
                  <w:pPr>
                    <w:widowControl/>
                    <w:jc w:val="center"/>
                    <w:textAlignment w:val="center"/>
                    <w:rPr>
                      <w:color w:val="000000"/>
                      <w:sz w:val="21"/>
                      <w:szCs w:val="21"/>
                    </w:rPr>
                  </w:pPr>
                  <w:r>
                    <w:rPr>
                      <w:color w:val="000000"/>
                      <w:kern w:val="0"/>
                      <w:sz w:val="21"/>
                      <w:szCs w:val="21"/>
                      <w:lang w:bidi="ar"/>
                    </w:rPr>
                    <w:t xml:space="preserve">3.8 </w:t>
                  </w:r>
                </w:p>
              </w:tc>
              <w:tc>
                <w:tcPr>
                  <w:tcW w:w="1113" w:type="dxa"/>
                  <w:noWrap/>
                  <w:vAlign w:val="center"/>
                </w:tcPr>
                <w:p w14:paraId="007868EC">
                  <w:pPr>
                    <w:widowControl/>
                    <w:jc w:val="center"/>
                    <w:textAlignment w:val="center"/>
                    <w:rPr>
                      <w:color w:val="000000"/>
                      <w:sz w:val="21"/>
                      <w:szCs w:val="21"/>
                    </w:rPr>
                  </w:pPr>
                  <w:r>
                    <w:rPr>
                      <w:color w:val="000000"/>
                      <w:kern w:val="0"/>
                      <w:sz w:val="21"/>
                      <w:szCs w:val="21"/>
                      <w:lang w:bidi="ar"/>
                    </w:rPr>
                    <w:t xml:space="preserve">0.04 </w:t>
                  </w:r>
                </w:p>
              </w:tc>
              <w:tc>
                <w:tcPr>
                  <w:tcW w:w="1304" w:type="dxa"/>
                  <w:vMerge w:val="continue"/>
                  <w:noWrap/>
                  <w:vAlign w:val="center"/>
                </w:tcPr>
                <w:p w14:paraId="111B1B70">
                  <w:pPr>
                    <w:jc w:val="center"/>
                    <w:rPr>
                      <w:color w:val="000000"/>
                      <w:sz w:val="21"/>
                      <w:szCs w:val="21"/>
                    </w:rPr>
                  </w:pPr>
                </w:p>
              </w:tc>
              <w:tc>
                <w:tcPr>
                  <w:tcW w:w="870" w:type="dxa"/>
                  <w:vMerge w:val="continue"/>
                  <w:noWrap/>
                  <w:vAlign w:val="center"/>
                </w:tcPr>
                <w:p w14:paraId="20ADDE8D">
                  <w:pPr>
                    <w:widowControl/>
                    <w:adjustRightInd w:val="0"/>
                    <w:snapToGrid w:val="0"/>
                    <w:jc w:val="center"/>
                    <w:textAlignment w:val="center"/>
                    <w:rPr>
                      <w:color w:val="000000"/>
                      <w:sz w:val="21"/>
                      <w:szCs w:val="21"/>
                    </w:rPr>
                  </w:pPr>
                </w:p>
              </w:tc>
              <w:tc>
                <w:tcPr>
                  <w:tcW w:w="1459" w:type="dxa"/>
                  <w:vMerge w:val="continue"/>
                  <w:noWrap/>
                  <w:vAlign w:val="center"/>
                </w:tcPr>
                <w:p w14:paraId="33815ABB">
                  <w:pPr>
                    <w:widowControl/>
                    <w:adjustRightInd w:val="0"/>
                    <w:snapToGrid w:val="0"/>
                    <w:jc w:val="center"/>
                    <w:textAlignment w:val="center"/>
                    <w:rPr>
                      <w:color w:val="000000"/>
                      <w:sz w:val="21"/>
                      <w:szCs w:val="21"/>
                    </w:rPr>
                  </w:pPr>
                </w:p>
              </w:tc>
            </w:tr>
            <w:tr w14:paraId="45643BE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0BB3D86C">
                  <w:pPr>
                    <w:widowControl/>
                    <w:adjustRightInd w:val="0"/>
                    <w:snapToGrid w:val="0"/>
                    <w:jc w:val="center"/>
                    <w:rPr>
                      <w:color w:val="000000"/>
                      <w:sz w:val="21"/>
                      <w:szCs w:val="21"/>
                    </w:rPr>
                  </w:pPr>
                </w:p>
              </w:tc>
              <w:tc>
                <w:tcPr>
                  <w:tcW w:w="1403" w:type="dxa"/>
                  <w:noWrap/>
                  <w:vAlign w:val="center"/>
                </w:tcPr>
                <w:p w14:paraId="23E4BBE4">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臭气浓度</w:t>
                  </w:r>
                </w:p>
              </w:tc>
              <w:tc>
                <w:tcPr>
                  <w:tcW w:w="1086" w:type="dxa"/>
                  <w:noWrap/>
                  <w:vAlign w:val="center"/>
                </w:tcPr>
                <w:p w14:paraId="18835837">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113" w:type="dxa"/>
                  <w:noWrap/>
                  <w:vAlign w:val="center"/>
                </w:tcPr>
                <w:p w14:paraId="1C62153A">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304" w:type="dxa"/>
                  <w:vMerge w:val="continue"/>
                  <w:noWrap/>
                  <w:vAlign w:val="center"/>
                </w:tcPr>
                <w:p w14:paraId="6CE5B76D">
                  <w:pPr>
                    <w:jc w:val="center"/>
                    <w:rPr>
                      <w:color w:val="000000"/>
                      <w:sz w:val="21"/>
                      <w:szCs w:val="21"/>
                    </w:rPr>
                  </w:pPr>
                </w:p>
              </w:tc>
              <w:tc>
                <w:tcPr>
                  <w:tcW w:w="870" w:type="dxa"/>
                  <w:vMerge w:val="continue"/>
                  <w:noWrap/>
                  <w:vAlign w:val="center"/>
                </w:tcPr>
                <w:p w14:paraId="5668B0E4">
                  <w:pPr>
                    <w:widowControl/>
                    <w:adjustRightInd w:val="0"/>
                    <w:snapToGrid w:val="0"/>
                    <w:jc w:val="center"/>
                    <w:textAlignment w:val="center"/>
                    <w:rPr>
                      <w:color w:val="000000"/>
                      <w:sz w:val="21"/>
                      <w:szCs w:val="21"/>
                    </w:rPr>
                  </w:pPr>
                </w:p>
              </w:tc>
              <w:tc>
                <w:tcPr>
                  <w:tcW w:w="1459" w:type="dxa"/>
                  <w:vMerge w:val="continue"/>
                  <w:noWrap/>
                  <w:vAlign w:val="center"/>
                </w:tcPr>
                <w:p w14:paraId="54EE8787">
                  <w:pPr>
                    <w:widowControl/>
                    <w:adjustRightInd w:val="0"/>
                    <w:snapToGrid w:val="0"/>
                    <w:jc w:val="center"/>
                    <w:textAlignment w:val="center"/>
                    <w:rPr>
                      <w:color w:val="000000"/>
                      <w:sz w:val="21"/>
                      <w:szCs w:val="21"/>
                    </w:rPr>
                  </w:pPr>
                </w:p>
              </w:tc>
            </w:tr>
            <w:tr w14:paraId="1D759B0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noWrap/>
                  <w:vAlign w:val="center"/>
                </w:tcPr>
                <w:p w14:paraId="713ED947">
                  <w:pPr>
                    <w:widowControl/>
                    <w:adjustRightInd w:val="0"/>
                    <w:snapToGrid w:val="0"/>
                    <w:jc w:val="center"/>
                    <w:rPr>
                      <w:color w:val="000000"/>
                      <w:sz w:val="21"/>
                      <w:szCs w:val="21"/>
                    </w:rPr>
                  </w:pPr>
                  <w:r>
                    <w:rPr>
                      <w:color w:val="000000"/>
                      <w:kern w:val="0"/>
                      <w:sz w:val="21"/>
                      <w:szCs w:val="21"/>
                      <w:lang w:bidi="ar"/>
                    </w:rPr>
                    <w:t>DA002</w:t>
                  </w:r>
                </w:p>
              </w:tc>
              <w:tc>
                <w:tcPr>
                  <w:tcW w:w="1403" w:type="dxa"/>
                  <w:noWrap/>
                  <w:vAlign w:val="center"/>
                </w:tcPr>
                <w:p w14:paraId="07FCBB5C">
                  <w:pPr>
                    <w:widowControl/>
                    <w:adjustRightInd w:val="0"/>
                    <w:snapToGrid w:val="0"/>
                    <w:jc w:val="center"/>
                    <w:textAlignment w:val="center"/>
                    <w:rPr>
                      <w:rFonts w:hint="eastAsia"/>
                      <w:color w:val="000000"/>
                      <w:kern w:val="0"/>
                      <w:sz w:val="21"/>
                      <w:szCs w:val="21"/>
                      <w:lang w:bidi="ar"/>
                    </w:rPr>
                  </w:pPr>
                  <w:r>
                    <w:rPr>
                      <w:color w:val="000000"/>
                      <w:kern w:val="0"/>
                      <w:sz w:val="21"/>
                      <w:szCs w:val="21"/>
                      <w:lang w:bidi="ar"/>
                    </w:rPr>
                    <w:t>颗粒物</w:t>
                  </w:r>
                </w:p>
              </w:tc>
              <w:tc>
                <w:tcPr>
                  <w:tcW w:w="1086" w:type="dxa"/>
                  <w:noWrap/>
                  <w:vAlign w:val="center"/>
                </w:tcPr>
                <w:p w14:paraId="534D3504">
                  <w:pPr>
                    <w:widowControl/>
                    <w:jc w:val="center"/>
                    <w:textAlignment w:val="center"/>
                    <w:rPr>
                      <w:rFonts w:hint="eastAsia"/>
                      <w:color w:val="000000"/>
                      <w:sz w:val="21"/>
                      <w:szCs w:val="21"/>
                    </w:rPr>
                  </w:pPr>
                  <w:r>
                    <w:rPr>
                      <w:color w:val="000000"/>
                      <w:sz w:val="21"/>
                      <w:szCs w:val="21"/>
                    </w:rPr>
                    <w:t>1121.6</w:t>
                  </w:r>
                </w:p>
              </w:tc>
              <w:tc>
                <w:tcPr>
                  <w:tcW w:w="1113" w:type="dxa"/>
                  <w:noWrap/>
                  <w:vAlign w:val="center"/>
                </w:tcPr>
                <w:p w14:paraId="168D696C">
                  <w:pPr>
                    <w:widowControl/>
                    <w:jc w:val="center"/>
                    <w:textAlignment w:val="center"/>
                    <w:rPr>
                      <w:rFonts w:hint="eastAsia"/>
                      <w:color w:val="000000"/>
                      <w:sz w:val="21"/>
                      <w:szCs w:val="21"/>
                    </w:rPr>
                  </w:pPr>
                  <w:r>
                    <w:rPr>
                      <w:color w:val="000000"/>
                      <w:sz w:val="21"/>
                      <w:szCs w:val="21"/>
                    </w:rPr>
                    <w:t xml:space="preserve">4.49 </w:t>
                  </w:r>
                </w:p>
              </w:tc>
              <w:tc>
                <w:tcPr>
                  <w:tcW w:w="1304" w:type="dxa"/>
                  <w:vMerge w:val="continue"/>
                  <w:noWrap/>
                  <w:vAlign w:val="center"/>
                </w:tcPr>
                <w:p w14:paraId="75ABFE0E">
                  <w:pPr>
                    <w:jc w:val="center"/>
                    <w:rPr>
                      <w:color w:val="000000"/>
                      <w:sz w:val="21"/>
                      <w:szCs w:val="21"/>
                    </w:rPr>
                  </w:pPr>
                </w:p>
              </w:tc>
              <w:tc>
                <w:tcPr>
                  <w:tcW w:w="870" w:type="dxa"/>
                  <w:vMerge w:val="continue"/>
                  <w:noWrap/>
                  <w:vAlign w:val="center"/>
                </w:tcPr>
                <w:p w14:paraId="528697AD">
                  <w:pPr>
                    <w:widowControl/>
                    <w:adjustRightInd w:val="0"/>
                    <w:snapToGrid w:val="0"/>
                    <w:jc w:val="center"/>
                    <w:textAlignment w:val="center"/>
                    <w:rPr>
                      <w:color w:val="000000"/>
                      <w:sz w:val="21"/>
                      <w:szCs w:val="21"/>
                    </w:rPr>
                  </w:pPr>
                </w:p>
              </w:tc>
              <w:tc>
                <w:tcPr>
                  <w:tcW w:w="1459" w:type="dxa"/>
                  <w:vMerge w:val="continue"/>
                  <w:noWrap/>
                  <w:vAlign w:val="center"/>
                </w:tcPr>
                <w:p w14:paraId="766E077E">
                  <w:pPr>
                    <w:widowControl/>
                    <w:adjustRightInd w:val="0"/>
                    <w:snapToGrid w:val="0"/>
                    <w:jc w:val="center"/>
                    <w:textAlignment w:val="center"/>
                    <w:rPr>
                      <w:color w:val="000000"/>
                      <w:sz w:val="21"/>
                      <w:szCs w:val="21"/>
                    </w:rPr>
                  </w:pPr>
                </w:p>
              </w:tc>
            </w:tr>
            <w:tr w14:paraId="075D151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restart"/>
                  <w:noWrap/>
                  <w:vAlign w:val="center"/>
                </w:tcPr>
                <w:p w14:paraId="229EB634">
                  <w:pPr>
                    <w:widowControl/>
                    <w:adjustRightInd w:val="0"/>
                    <w:snapToGrid w:val="0"/>
                    <w:jc w:val="center"/>
                    <w:textAlignment w:val="center"/>
                    <w:rPr>
                      <w:color w:val="000000"/>
                      <w:sz w:val="21"/>
                      <w:szCs w:val="21"/>
                    </w:rPr>
                  </w:pPr>
                  <w:r>
                    <w:rPr>
                      <w:color w:val="000000"/>
                      <w:kern w:val="0"/>
                      <w:sz w:val="21"/>
                      <w:szCs w:val="21"/>
                      <w:lang w:bidi="ar"/>
                    </w:rPr>
                    <w:t>DA00</w:t>
                  </w:r>
                  <w:r>
                    <w:rPr>
                      <w:rFonts w:hint="eastAsia"/>
                      <w:color w:val="000000"/>
                      <w:kern w:val="0"/>
                      <w:sz w:val="21"/>
                      <w:szCs w:val="21"/>
                      <w:lang w:bidi="ar"/>
                    </w:rPr>
                    <w:t>3</w:t>
                  </w:r>
                </w:p>
              </w:tc>
              <w:tc>
                <w:tcPr>
                  <w:tcW w:w="1403" w:type="dxa"/>
                  <w:noWrap/>
                  <w:vAlign w:val="center"/>
                </w:tcPr>
                <w:p w14:paraId="16D5F95E">
                  <w:pPr>
                    <w:widowControl/>
                    <w:adjustRightInd w:val="0"/>
                    <w:snapToGrid w:val="0"/>
                    <w:jc w:val="center"/>
                    <w:textAlignment w:val="center"/>
                    <w:rPr>
                      <w:color w:val="000000"/>
                      <w:sz w:val="21"/>
                      <w:szCs w:val="21"/>
                    </w:rPr>
                  </w:pPr>
                  <w:r>
                    <w:rPr>
                      <w:color w:val="000000"/>
                      <w:kern w:val="0"/>
                      <w:sz w:val="21"/>
                      <w:szCs w:val="21"/>
                      <w:lang w:bidi="ar"/>
                    </w:rPr>
                    <w:t>非甲烷总烃</w:t>
                  </w:r>
                </w:p>
              </w:tc>
              <w:tc>
                <w:tcPr>
                  <w:tcW w:w="1086" w:type="dxa"/>
                  <w:noWrap/>
                  <w:vAlign w:val="center"/>
                </w:tcPr>
                <w:p w14:paraId="4A90BBCA">
                  <w:pPr>
                    <w:widowControl/>
                    <w:jc w:val="center"/>
                    <w:textAlignment w:val="center"/>
                    <w:rPr>
                      <w:color w:val="000000"/>
                      <w:sz w:val="21"/>
                      <w:szCs w:val="21"/>
                    </w:rPr>
                  </w:pPr>
                  <w:r>
                    <w:rPr>
                      <w:color w:val="000000"/>
                      <w:sz w:val="21"/>
                      <w:szCs w:val="21"/>
                    </w:rPr>
                    <w:t xml:space="preserve">81.4 </w:t>
                  </w:r>
                </w:p>
              </w:tc>
              <w:tc>
                <w:tcPr>
                  <w:tcW w:w="1113" w:type="dxa"/>
                  <w:noWrap/>
                  <w:vAlign w:val="center"/>
                </w:tcPr>
                <w:p w14:paraId="2CDD5569">
                  <w:pPr>
                    <w:widowControl/>
                    <w:jc w:val="center"/>
                    <w:textAlignment w:val="center"/>
                    <w:rPr>
                      <w:color w:val="000000"/>
                      <w:sz w:val="21"/>
                      <w:szCs w:val="21"/>
                    </w:rPr>
                  </w:pPr>
                  <w:r>
                    <w:rPr>
                      <w:color w:val="000000"/>
                      <w:sz w:val="21"/>
                      <w:szCs w:val="21"/>
                    </w:rPr>
                    <w:t xml:space="preserve">1.76 </w:t>
                  </w:r>
                </w:p>
              </w:tc>
              <w:tc>
                <w:tcPr>
                  <w:tcW w:w="1304" w:type="dxa"/>
                  <w:vMerge w:val="continue"/>
                  <w:noWrap/>
                  <w:vAlign w:val="center"/>
                </w:tcPr>
                <w:p w14:paraId="50487CD7">
                  <w:pPr>
                    <w:widowControl/>
                    <w:adjustRightInd w:val="0"/>
                    <w:snapToGrid w:val="0"/>
                    <w:jc w:val="center"/>
                    <w:textAlignment w:val="center"/>
                    <w:rPr>
                      <w:color w:val="000000"/>
                      <w:sz w:val="21"/>
                      <w:szCs w:val="21"/>
                    </w:rPr>
                  </w:pPr>
                </w:p>
              </w:tc>
              <w:tc>
                <w:tcPr>
                  <w:tcW w:w="870" w:type="dxa"/>
                  <w:vMerge w:val="continue"/>
                  <w:noWrap/>
                  <w:vAlign w:val="center"/>
                </w:tcPr>
                <w:p w14:paraId="52771F71">
                  <w:pPr>
                    <w:widowControl/>
                    <w:adjustRightInd w:val="0"/>
                    <w:snapToGrid w:val="0"/>
                    <w:jc w:val="center"/>
                    <w:textAlignment w:val="center"/>
                    <w:rPr>
                      <w:color w:val="000000"/>
                      <w:sz w:val="21"/>
                      <w:szCs w:val="21"/>
                    </w:rPr>
                  </w:pPr>
                </w:p>
              </w:tc>
              <w:tc>
                <w:tcPr>
                  <w:tcW w:w="1459" w:type="dxa"/>
                  <w:vMerge w:val="continue"/>
                  <w:noWrap/>
                  <w:vAlign w:val="center"/>
                </w:tcPr>
                <w:p w14:paraId="757B9719">
                  <w:pPr>
                    <w:widowControl/>
                    <w:adjustRightInd w:val="0"/>
                    <w:snapToGrid w:val="0"/>
                    <w:jc w:val="center"/>
                    <w:textAlignment w:val="center"/>
                    <w:rPr>
                      <w:color w:val="000000"/>
                      <w:sz w:val="21"/>
                      <w:szCs w:val="21"/>
                    </w:rPr>
                  </w:pPr>
                </w:p>
              </w:tc>
            </w:tr>
            <w:tr w14:paraId="373A9DB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2D70DE11">
                  <w:pPr>
                    <w:widowControl/>
                    <w:adjustRightInd w:val="0"/>
                    <w:snapToGrid w:val="0"/>
                    <w:jc w:val="center"/>
                    <w:rPr>
                      <w:color w:val="000000"/>
                      <w:sz w:val="21"/>
                      <w:szCs w:val="21"/>
                    </w:rPr>
                  </w:pPr>
                </w:p>
              </w:tc>
              <w:tc>
                <w:tcPr>
                  <w:tcW w:w="1403" w:type="dxa"/>
                  <w:noWrap/>
                  <w:vAlign w:val="center"/>
                </w:tcPr>
                <w:p w14:paraId="008A0073">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臭气浓度</w:t>
                  </w:r>
                </w:p>
              </w:tc>
              <w:tc>
                <w:tcPr>
                  <w:tcW w:w="1086" w:type="dxa"/>
                  <w:noWrap/>
                  <w:vAlign w:val="center"/>
                </w:tcPr>
                <w:p w14:paraId="7FEDF4A6">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113" w:type="dxa"/>
                  <w:noWrap/>
                  <w:vAlign w:val="center"/>
                </w:tcPr>
                <w:p w14:paraId="19240D06">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304" w:type="dxa"/>
                  <w:vMerge w:val="continue"/>
                  <w:noWrap/>
                  <w:vAlign w:val="center"/>
                </w:tcPr>
                <w:p w14:paraId="7C5BE99C">
                  <w:pPr>
                    <w:widowControl/>
                    <w:adjustRightInd w:val="0"/>
                    <w:snapToGrid w:val="0"/>
                    <w:jc w:val="center"/>
                    <w:textAlignment w:val="center"/>
                    <w:rPr>
                      <w:color w:val="000000"/>
                      <w:sz w:val="21"/>
                      <w:szCs w:val="21"/>
                    </w:rPr>
                  </w:pPr>
                </w:p>
              </w:tc>
              <w:tc>
                <w:tcPr>
                  <w:tcW w:w="870" w:type="dxa"/>
                  <w:vMerge w:val="continue"/>
                  <w:noWrap/>
                  <w:vAlign w:val="center"/>
                </w:tcPr>
                <w:p w14:paraId="647D9EE1">
                  <w:pPr>
                    <w:widowControl/>
                    <w:adjustRightInd w:val="0"/>
                    <w:snapToGrid w:val="0"/>
                    <w:jc w:val="center"/>
                    <w:textAlignment w:val="center"/>
                    <w:rPr>
                      <w:color w:val="000000"/>
                      <w:sz w:val="21"/>
                      <w:szCs w:val="21"/>
                    </w:rPr>
                  </w:pPr>
                </w:p>
              </w:tc>
              <w:tc>
                <w:tcPr>
                  <w:tcW w:w="1459" w:type="dxa"/>
                  <w:vMerge w:val="continue"/>
                  <w:noWrap/>
                  <w:vAlign w:val="center"/>
                </w:tcPr>
                <w:p w14:paraId="647A9E13">
                  <w:pPr>
                    <w:widowControl/>
                    <w:adjustRightInd w:val="0"/>
                    <w:snapToGrid w:val="0"/>
                    <w:jc w:val="center"/>
                    <w:textAlignment w:val="center"/>
                    <w:rPr>
                      <w:color w:val="000000"/>
                      <w:sz w:val="21"/>
                      <w:szCs w:val="21"/>
                    </w:rPr>
                  </w:pPr>
                </w:p>
              </w:tc>
            </w:tr>
            <w:tr w14:paraId="3A3A30C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noWrap/>
                  <w:vAlign w:val="center"/>
                </w:tcPr>
                <w:p w14:paraId="5AC31B82">
                  <w:pPr>
                    <w:widowControl/>
                    <w:adjustRightInd w:val="0"/>
                    <w:snapToGrid w:val="0"/>
                    <w:jc w:val="center"/>
                    <w:rPr>
                      <w:color w:val="000000"/>
                      <w:sz w:val="21"/>
                      <w:szCs w:val="21"/>
                    </w:rPr>
                  </w:pPr>
                  <w:r>
                    <w:rPr>
                      <w:color w:val="000000"/>
                      <w:kern w:val="0"/>
                      <w:sz w:val="21"/>
                      <w:szCs w:val="21"/>
                      <w:lang w:bidi="ar"/>
                    </w:rPr>
                    <w:t>DA00</w:t>
                  </w:r>
                  <w:r>
                    <w:rPr>
                      <w:rFonts w:hint="eastAsia"/>
                      <w:color w:val="000000"/>
                      <w:kern w:val="0"/>
                      <w:sz w:val="21"/>
                      <w:szCs w:val="21"/>
                      <w:lang w:bidi="ar"/>
                    </w:rPr>
                    <w:t>4</w:t>
                  </w:r>
                </w:p>
              </w:tc>
              <w:tc>
                <w:tcPr>
                  <w:tcW w:w="1403" w:type="dxa"/>
                  <w:noWrap/>
                  <w:vAlign w:val="center"/>
                </w:tcPr>
                <w:p w14:paraId="313A0E0D">
                  <w:pPr>
                    <w:widowControl/>
                    <w:adjustRightInd w:val="0"/>
                    <w:snapToGrid w:val="0"/>
                    <w:jc w:val="center"/>
                    <w:textAlignment w:val="center"/>
                    <w:rPr>
                      <w:rFonts w:hint="eastAsia"/>
                      <w:color w:val="000000"/>
                      <w:kern w:val="0"/>
                      <w:sz w:val="21"/>
                      <w:szCs w:val="21"/>
                      <w:lang w:bidi="ar"/>
                    </w:rPr>
                  </w:pPr>
                  <w:r>
                    <w:rPr>
                      <w:color w:val="000000"/>
                      <w:kern w:val="0"/>
                      <w:sz w:val="21"/>
                      <w:szCs w:val="21"/>
                      <w:lang w:bidi="ar"/>
                    </w:rPr>
                    <w:t>颗粒物</w:t>
                  </w:r>
                </w:p>
              </w:tc>
              <w:tc>
                <w:tcPr>
                  <w:tcW w:w="1086" w:type="dxa"/>
                  <w:noWrap/>
                  <w:vAlign w:val="center"/>
                </w:tcPr>
                <w:p w14:paraId="19A51466">
                  <w:pPr>
                    <w:widowControl/>
                    <w:jc w:val="center"/>
                    <w:textAlignment w:val="center"/>
                    <w:rPr>
                      <w:rFonts w:hint="eastAsia"/>
                      <w:color w:val="000000"/>
                      <w:sz w:val="21"/>
                      <w:szCs w:val="21"/>
                    </w:rPr>
                  </w:pPr>
                  <w:r>
                    <w:rPr>
                      <w:color w:val="000000"/>
                      <w:sz w:val="21"/>
                      <w:szCs w:val="21"/>
                    </w:rPr>
                    <w:t xml:space="preserve">677.8 </w:t>
                  </w:r>
                </w:p>
              </w:tc>
              <w:tc>
                <w:tcPr>
                  <w:tcW w:w="1113" w:type="dxa"/>
                  <w:noWrap/>
                  <w:vAlign w:val="center"/>
                </w:tcPr>
                <w:p w14:paraId="731A0408">
                  <w:pPr>
                    <w:widowControl/>
                    <w:jc w:val="center"/>
                    <w:textAlignment w:val="center"/>
                    <w:rPr>
                      <w:rFonts w:hint="eastAsia"/>
                      <w:color w:val="000000"/>
                      <w:sz w:val="21"/>
                      <w:szCs w:val="21"/>
                    </w:rPr>
                  </w:pPr>
                  <w:r>
                    <w:rPr>
                      <w:color w:val="000000"/>
                      <w:sz w:val="21"/>
                      <w:szCs w:val="21"/>
                    </w:rPr>
                    <w:t xml:space="preserve">5.08 </w:t>
                  </w:r>
                </w:p>
              </w:tc>
              <w:tc>
                <w:tcPr>
                  <w:tcW w:w="1304" w:type="dxa"/>
                  <w:vMerge w:val="continue"/>
                  <w:noWrap/>
                  <w:vAlign w:val="center"/>
                </w:tcPr>
                <w:p w14:paraId="17B1A74C">
                  <w:pPr>
                    <w:jc w:val="center"/>
                    <w:rPr>
                      <w:rFonts w:hint="eastAsia"/>
                      <w:color w:val="000000"/>
                      <w:sz w:val="21"/>
                      <w:szCs w:val="21"/>
                    </w:rPr>
                  </w:pPr>
                </w:p>
              </w:tc>
              <w:tc>
                <w:tcPr>
                  <w:tcW w:w="870" w:type="dxa"/>
                  <w:vMerge w:val="continue"/>
                  <w:noWrap/>
                  <w:vAlign w:val="center"/>
                </w:tcPr>
                <w:p w14:paraId="2E556E47">
                  <w:pPr>
                    <w:widowControl/>
                    <w:adjustRightInd w:val="0"/>
                    <w:snapToGrid w:val="0"/>
                    <w:jc w:val="center"/>
                    <w:textAlignment w:val="center"/>
                    <w:rPr>
                      <w:color w:val="000000"/>
                      <w:sz w:val="21"/>
                      <w:szCs w:val="21"/>
                    </w:rPr>
                  </w:pPr>
                </w:p>
              </w:tc>
              <w:tc>
                <w:tcPr>
                  <w:tcW w:w="1459" w:type="dxa"/>
                  <w:vMerge w:val="continue"/>
                  <w:noWrap/>
                  <w:vAlign w:val="center"/>
                </w:tcPr>
                <w:p w14:paraId="044C98AF">
                  <w:pPr>
                    <w:widowControl/>
                    <w:adjustRightInd w:val="0"/>
                    <w:snapToGrid w:val="0"/>
                    <w:jc w:val="center"/>
                    <w:textAlignment w:val="center"/>
                    <w:rPr>
                      <w:color w:val="000000"/>
                      <w:sz w:val="21"/>
                      <w:szCs w:val="21"/>
                    </w:rPr>
                  </w:pPr>
                </w:p>
              </w:tc>
            </w:tr>
            <w:tr w14:paraId="44A62E4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restart"/>
                  <w:noWrap/>
                  <w:vAlign w:val="center"/>
                </w:tcPr>
                <w:p w14:paraId="39B6F3DA">
                  <w:pPr>
                    <w:widowControl/>
                    <w:adjustRightInd w:val="0"/>
                    <w:snapToGrid w:val="0"/>
                    <w:jc w:val="center"/>
                    <w:textAlignment w:val="center"/>
                    <w:rPr>
                      <w:color w:val="000000"/>
                      <w:sz w:val="21"/>
                      <w:szCs w:val="21"/>
                    </w:rPr>
                  </w:pPr>
                  <w:r>
                    <w:rPr>
                      <w:color w:val="000000"/>
                      <w:kern w:val="0"/>
                      <w:sz w:val="21"/>
                      <w:szCs w:val="21"/>
                      <w:lang w:bidi="ar"/>
                    </w:rPr>
                    <w:t>无组织排放</w:t>
                  </w:r>
                </w:p>
              </w:tc>
              <w:tc>
                <w:tcPr>
                  <w:tcW w:w="1403" w:type="dxa"/>
                  <w:noWrap/>
                  <w:vAlign w:val="center"/>
                </w:tcPr>
                <w:p w14:paraId="1D77C489">
                  <w:pPr>
                    <w:widowControl/>
                    <w:adjustRightInd w:val="0"/>
                    <w:snapToGrid w:val="0"/>
                    <w:jc w:val="center"/>
                    <w:textAlignment w:val="center"/>
                    <w:rPr>
                      <w:color w:val="000000"/>
                      <w:sz w:val="21"/>
                      <w:szCs w:val="21"/>
                    </w:rPr>
                  </w:pPr>
                  <w:r>
                    <w:rPr>
                      <w:color w:val="000000"/>
                      <w:kern w:val="0"/>
                      <w:sz w:val="21"/>
                      <w:szCs w:val="21"/>
                      <w:lang w:bidi="ar"/>
                    </w:rPr>
                    <w:t>颗粒物</w:t>
                  </w:r>
                </w:p>
              </w:tc>
              <w:tc>
                <w:tcPr>
                  <w:tcW w:w="1086" w:type="dxa"/>
                  <w:noWrap/>
                  <w:vAlign w:val="center"/>
                </w:tcPr>
                <w:p w14:paraId="0651CC78">
                  <w:pPr>
                    <w:widowControl/>
                    <w:jc w:val="center"/>
                    <w:textAlignment w:val="center"/>
                    <w:rPr>
                      <w:color w:val="000000"/>
                      <w:sz w:val="21"/>
                      <w:szCs w:val="21"/>
                    </w:rPr>
                  </w:pPr>
                  <w:r>
                    <w:rPr>
                      <w:color w:val="000000"/>
                      <w:sz w:val="21"/>
                      <w:szCs w:val="21"/>
                    </w:rPr>
                    <w:t>/</w:t>
                  </w:r>
                </w:p>
              </w:tc>
              <w:tc>
                <w:tcPr>
                  <w:tcW w:w="1113" w:type="dxa"/>
                  <w:noWrap/>
                  <w:vAlign w:val="center"/>
                </w:tcPr>
                <w:p w14:paraId="4114D3B2">
                  <w:pPr>
                    <w:widowControl/>
                    <w:jc w:val="center"/>
                    <w:textAlignment w:val="center"/>
                    <w:rPr>
                      <w:color w:val="000000"/>
                      <w:sz w:val="21"/>
                      <w:szCs w:val="21"/>
                    </w:rPr>
                  </w:pPr>
                  <w:r>
                    <w:rPr>
                      <w:color w:val="000000"/>
                      <w:sz w:val="21"/>
                      <w:szCs w:val="21"/>
                    </w:rPr>
                    <w:t xml:space="preserve">1.44 </w:t>
                  </w:r>
                </w:p>
              </w:tc>
              <w:tc>
                <w:tcPr>
                  <w:tcW w:w="1304" w:type="dxa"/>
                  <w:vMerge w:val="continue"/>
                  <w:noWrap/>
                  <w:vAlign w:val="center"/>
                </w:tcPr>
                <w:p w14:paraId="63AA4562">
                  <w:pPr>
                    <w:widowControl/>
                    <w:adjustRightInd w:val="0"/>
                    <w:snapToGrid w:val="0"/>
                    <w:jc w:val="center"/>
                    <w:textAlignment w:val="center"/>
                    <w:rPr>
                      <w:rFonts w:hint="eastAsia"/>
                      <w:color w:val="000000"/>
                      <w:sz w:val="21"/>
                      <w:szCs w:val="21"/>
                    </w:rPr>
                  </w:pPr>
                </w:p>
              </w:tc>
              <w:tc>
                <w:tcPr>
                  <w:tcW w:w="870" w:type="dxa"/>
                  <w:vMerge w:val="continue"/>
                  <w:noWrap/>
                  <w:vAlign w:val="center"/>
                </w:tcPr>
                <w:p w14:paraId="00D92873">
                  <w:pPr>
                    <w:widowControl/>
                    <w:adjustRightInd w:val="0"/>
                    <w:snapToGrid w:val="0"/>
                    <w:jc w:val="center"/>
                    <w:textAlignment w:val="center"/>
                    <w:rPr>
                      <w:color w:val="000000"/>
                      <w:sz w:val="21"/>
                      <w:szCs w:val="21"/>
                    </w:rPr>
                  </w:pPr>
                </w:p>
              </w:tc>
              <w:tc>
                <w:tcPr>
                  <w:tcW w:w="1459" w:type="dxa"/>
                  <w:vMerge w:val="continue"/>
                  <w:noWrap/>
                  <w:vAlign w:val="center"/>
                </w:tcPr>
                <w:p w14:paraId="04F090E8">
                  <w:pPr>
                    <w:widowControl/>
                    <w:adjustRightInd w:val="0"/>
                    <w:snapToGrid w:val="0"/>
                    <w:jc w:val="center"/>
                    <w:textAlignment w:val="center"/>
                    <w:rPr>
                      <w:color w:val="000000"/>
                      <w:sz w:val="21"/>
                      <w:szCs w:val="21"/>
                    </w:rPr>
                  </w:pPr>
                </w:p>
              </w:tc>
            </w:tr>
            <w:tr w14:paraId="0694A5C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0CCB4ABB">
                  <w:pPr>
                    <w:widowControl/>
                    <w:adjustRightInd w:val="0"/>
                    <w:snapToGrid w:val="0"/>
                    <w:jc w:val="center"/>
                    <w:rPr>
                      <w:color w:val="000000"/>
                      <w:sz w:val="21"/>
                      <w:szCs w:val="21"/>
                    </w:rPr>
                  </w:pPr>
                </w:p>
              </w:tc>
              <w:tc>
                <w:tcPr>
                  <w:tcW w:w="1403" w:type="dxa"/>
                  <w:noWrap/>
                  <w:vAlign w:val="center"/>
                </w:tcPr>
                <w:p w14:paraId="6F24BB82">
                  <w:pPr>
                    <w:widowControl/>
                    <w:adjustRightInd w:val="0"/>
                    <w:snapToGrid w:val="0"/>
                    <w:jc w:val="center"/>
                    <w:textAlignment w:val="center"/>
                    <w:rPr>
                      <w:color w:val="000000"/>
                      <w:sz w:val="21"/>
                      <w:szCs w:val="21"/>
                    </w:rPr>
                  </w:pPr>
                  <w:r>
                    <w:rPr>
                      <w:color w:val="000000"/>
                      <w:kern w:val="0"/>
                      <w:sz w:val="21"/>
                      <w:szCs w:val="21"/>
                      <w:lang w:bidi="ar"/>
                    </w:rPr>
                    <w:t>非甲烷总烃</w:t>
                  </w:r>
                </w:p>
              </w:tc>
              <w:tc>
                <w:tcPr>
                  <w:tcW w:w="1086" w:type="dxa"/>
                  <w:noWrap/>
                  <w:vAlign w:val="center"/>
                </w:tcPr>
                <w:p w14:paraId="579995BC">
                  <w:pPr>
                    <w:widowControl/>
                    <w:jc w:val="center"/>
                    <w:textAlignment w:val="center"/>
                    <w:rPr>
                      <w:color w:val="000000"/>
                      <w:sz w:val="21"/>
                      <w:szCs w:val="21"/>
                    </w:rPr>
                  </w:pPr>
                  <w:r>
                    <w:rPr>
                      <w:color w:val="000000"/>
                      <w:sz w:val="21"/>
                      <w:szCs w:val="21"/>
                    </w:rPr>
                    <w:t>/</w:t>
                  </w:r>
                </w:p>
              </w:tc>
              <w:tc>
                <w:tcPr>
                  <w:tcW w:w="1113" w:type="dxa"/>
                  <w:noWrap/>
                  <w:vAlign w:val="center"/>
                </w:tcPr>
                <w:p w14:paraId="3533F7FC">
                  <w:pPr>
                    <w:widowControl/>
                    <w:jc w:val="center"/>
                    <w:textAlignment w:val="center"/>
                    <w:rPr>
                      <w:color w:val="000000"/>
                      <w:sz w:val="21"/>
                      <w:szCs w:val="21"/>
                    </w:rPr>
                  </w:pPr>
                  <w:r>
                    <w:rPr>
                      <w:color w:val="000000"/>
                      <w:sz w:val="21"/>
                      <w:szCs w:val="21"/>
                    </w:rPr>
                    <w:t xml:space="preserve">1.31 </w:t>
                  </w:r>
                </w:p>
              </w:tc>
              <w:tc>
                <w:tcPr>
                  <w:tcW w:w="1304" w:type="dxa"/>
                  <w:vMerge w:val="continue"/>
                  <w:noWrap/>
                  <w:vAlign w:val="center"/>
                </w:tcPr>
                <w:p w14:paraId="7595988C">
                  <w:pPr>
                    <w:widowControl/>
                    <w:adjustRightInd w:val="0"/>
                    <w:snapToGrid w:val="0"/>
                    <w:jc w:val="center"/>
                    <w:textAlignment w:val="center"/>
                    <w:rPr>
                      <w:rFonts w:hint="eastAsia"/>
                      <w:color w:val="000000"/>
                      <w:sz w:val="21"/>
                      <w:szCs w:val="21"/>
                    </w:rPr>
                  </w:pPr>
                </w:p>
              </w:tc>
              <w:tc>
                <w:tcPr>
                  <w:tcW w:w="870" w:type="dxa"/>
                  <w:vMerge w:val="continue"/>
                  <w:noWrap/>
                  <w:vAlign w:val="center"/>
                </w:tcPr>
                <w:p w14:paraId="60340B51">
                  <w:pPr>
                    <w:widowControl/>
                    <w:adjustRightInd w:val="0"/>
                    <w:snapToGrid w:val="0"/>
                    <w:jc w:val="center"/>
                    <w:textAlignment w:val="center"/>
                    <w:rPr>
                      <w:color w:val="000000"/>
                      <w:sz w:val="21"/>
                      <w:szCs w:val="21"/>
                    </w:rPr>
                  </w:pPr>
                </w:p>
              </w:tc>
              <w:tc>
                <w:tcPr>
                  <w:tcW w:w="1459" w:type="dxa"/>
                  <w:vMerge w:val="continue"/>
                  <w:noWrap/>
                  <w:vAlign w:val="center"/>
                </w:tcPr>
                <w:p w14:paraId="34E2495D">
                  <w:pPr>
                    <w:widowControl/>
                    <w:adjustRightInd w:val="0"/>
                    <w:snapToGrid w:val="0"/>
                    <w:jc w:val="center"/>
                    <w:textAlignment w:val="center"/>
                    <w:rPr>
                      <w:color w:val="000000"/>
                      <w:sz w:val="21"/>
                      <w:szCs w:val="21"/>
                    </w:rPr>
                  </w:pPr>
                </w:p>
              </w:tc>
            </w:tr>
            <w:tr w14:paraId="39739C1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1425065D">
                  <w:pPr>
                    <w:widowControl/>
                    <w:adjustRightInd w:val="0"/>
                    <w:snapToGrid w:val="0"/>
                    <w:jc w:val="center"/>
                    <w:rPr>
                      <w:color w:val="000000"/>
                      <w:sz w:val="21"/>
                      <w:szCs w:val="21"/>
                    </w:rPr>
                  </w:pPr>
                </w:p>
              </w:tc>
              <w:tc>
                <w:tcPr>
                  <w:tcW w:w="1403" w:type="dxa"/>
                  <w:noWrap/>
                  <w:vAlign w:val="center"/>
                </w:tcPr>
                <w:p w14:paraId="73760002">
                  <w:pPr>
                    <w:widowControl/>
                    <w:adjustRightInd w:val="0"/>
                    <w:snapToGrid w:val="0"/>
                    <w:jc w:val="center"/>
                    <w:textAlignment w:val="center"/>
                    <w:rPr>
                      <w:color w:val="000000"/>
                      <w:sz w:val="21"/>
                      <w:szCs w:val="21"/>
                    </w:rPr>
                  </w:pPr>
                  <w:r>
                    <w:rPr>
                      <w:color w:val="000000"/>
                      <w:kern w:val="0"/>
                      <w:sz w:val="21"/>
                      <w:szCs w:val="21"/>
                      <w:lang w:bidi="ar"/>
                    </w:rPr>
                    <w:t>氯化氢</w:t>
                  </w:r>
                </w:p>
              </w:tc>
              <w:tc>
                <w:tcPr>
                  <w:tcW w:w="1086" w:type="dxa"/>
                  <w:noWrap/>
                  <w:vAlign w:val="center"/>
                </w:tcPr>
                <w:p w14:paraId="173400EE">
                  <w:pPr>
                    <w:widowControl/>
                    <w:jc w:val="center"/>
                    <w:textAlignment w:val="center"/>
                    <w:rPr>
                      <w:color w:val="000000"/>
                      <w:sz w:val="21"/>
                      <w:szCs w:val="21"/>
                    </w:rPr>
                  </w:pPr>
                  <w:r>
                    <w:rPr>
                      <w:color w:val="000000"/>
                      <w:sz w:val="21"/>
                      <w:szCs w:val="21"/>
                    </w:rPr>
                    <w:t>/</w:t>
                  </w:r>
                </w:p>
              </w:tc>
              <w:tc>
                <w:tcPr>
                  <w:tcW w:w="1113" w:type="dxa"/>
                  <w:noWrap/>
                  <w:vAlign w:val="center"/>
                </w:tcPr>
                <w:p w14:paraId="56697989">
                  <w:pPr>
                    <w:widowControl/>
                    <w:jc w:val="center"/>
                    <w:textAlignment w:val="center"/>
                    <w:rPr>
                      <w:color w:val="000000"/>
                      <w:sz w:val="21"/>
                      <w:szCs w:val="21"/>
                    </w:rPr>
                  </w:pPr>
                  <w:r>
                    <w:rPr>
                      <w:color w:val="000000"/>
                      <w:sz w:val="21"/>
                      <w:szCs w:val="21"/>
                    </w:rPr>
                    <w:t xml:space="preserve">0.01 </w:t>
                  </w:r>
                </w:p>
              </w:tc>
              <w:tc>
                <w:tcPr>
                  <w:tcW w:w="1304" w:type="dxa"/>
                  <w:vMerge w:val="continue"/>
                  <w:noWrap/>
                  <w:vAlign w:val="center"/>
                </w:tcPr>
                <w:p w14:paraId="6636263B">
                  <w:pPr>
                    <w:widowControl/>
                    <w:adjustRightInd w:val="0"/>
                    <w:snapToGrid w:val="0"/>
                    <w:jc w:val="center"/>
                    <w:textAlignment w:val="center"/>
                    <w:rPr>
                      <w:color w:val="000000"/>
                      <w:sz w:val="21"/>
                      <w:szCs w:val="21"/>
                    </w:rPr>
                  </w:pPr>
                </w:p>
              </w:tc>
              <w:tc>
                <w:tcPr>
                  <w:tcW w:w="870" w:type="dxa"/>
                  <w:vMerge w:val="continue"/>
                  <w:noWrap/>
                  <w:vAlign w:val="center"/>
                </w:tcPr>
                <w:p w14:paraId="35D647ED">
                  <w:pPr>
                    <w:widowControl/>
                    <w:adjustRightInd w:val="0"/>
                    <w:snapToGrid w:val="0"/>
                    <w:jc w:val="center"/>
                    <w:textAlignment w:val="center"/>
                    <w:rPr>
                      <w:color w:val="000000"/>
                      <w:sz w:val="21"/>
                      <w:szCs w:val="21"/>
                    </w:rPr>
                  </w:pPr>
                </w:p>
              </w:tc>
              <w:tc>
                <w:tcPr>
                  <w:tcW w:w="1459" w:type="dxa"/>
                  <w:vMerge w:val="continue"/>
                  <w:noWrap/>
                  <w:vAlign w:val="center"/>
                </w:tcPr>
                <w:p w14:paraId="5D76DDFC">
                  <w:pPr>
                    <w:widowControl/>
                    <w:adjustRightInd w:val="0"/>
                    <w:snapToGrid w:val="0"/>
                    <w:jc w:val="center"/>
                    <w:textAlignment w:val="center"/>
                    <w:rPr>
                      <w:color w:val="000000"/>
                      <w:sz w:val="21"/>
                      <w:szCs w:val="21"/>
                    </w:rPr>
                  </w:pPr>
                </w:p>
              </w:tc>
            </w:tr>
            <w:tr w14:paraId="7CBB532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10C0EC5A">
                  <w:pPr>
                    <w:widowControl/>
                    <w:adjustRightInd w:val="0"/>
                    <w:snapToGrid w:val="0"/>
                    <w:jc w:val="center"/>
                    <w:rPr>
                      <w:color w:val="000000"/>
                      <w:sz w:val="21"/>
                      <w:szCs w:val="21"/>
                    </w:rPr>
                  </w:pPr>
                </w:p>
              </w:tc>
              <w:tc>
                <w:tcPr>
                  <w:tcW w:w="1403" w:type="dxa"/>
                  <w:noWrap/>
                  <w:vAlign w:val="center"/>
                </w:tcPr>
                <w:p w14:paraId="1919A1F6">
                  <w:pPr>
                    <w:widowControl/>
                    <w:adjustRightInd w:val="0"/>
                    <w:snapToGrid w:val="0"/>
                    <w:jc w:val="center"/>
                    <w:textAlignment w:val="center"/>
                    <w:rPr>
                      <w:color w:val="000000"/>
                      <w:sz w:val="21"/>
                      <w:szCs w:val="21"/>
                    </w:rPr>
                  </w:pPr>
                  <w:r>
                    <w:rPr>
                      <w:color w:val="000000"/>
                      <w:kern w:val="0"/>
                      <w:sz w:val="21"/>
                      <w:szCs w:val="21"/>
                      <w:lang w:bidi="ar"/>
                    </w:rPr>
                    <w:t>氯乙烯</w:t>
                  </w:r>
                </w:p>
              </w:tc>
              <w:tc>
                <w:tcPr>
                  <w:tcW w:w="1086" w:type="dxa"/>
                  <w:noWrap/>
                  <w:vAlign w:val="center"/>
                </w:tcPr>
                <w:p w14:paraId="1E92067A">
                  <w:pPr>
                    <w:widowControl/>
                    <w:jc w:val="center"/>
                    <w:textAlignment w:val="center"/>
                    <w:rPr>
                      <w:color w:val="000000"/>
                      <w:sz w:val="21"/>
                      <w:szCs w:val="21"/>
                    </w:rPr>
                  </w:pPr>
                  <w:r>
                    <w:rPr>
                      <w:color w:val="000000"/>
                      <w:sz w:val="21"/>
                      <w:szCs w:val="21"/>
                    </w:rPr>
                    <w:t>/</w:t>
                  </w:r>
                </w:p>
              </w:tc>
              <w:tc>
                <w:tcPr>
                  <w:tcW w:w="1113" w:type="dxa"/>
                  <w:noWrap/>
                  <w:vAlign w:val="center"/>
                </w:tcPr>
                <w:p w14:paraId="3A2AE757">
                  <w:pPr>
                    <w:widowControl/>
                    <w:jc w:val="center"/>
                    <w:textAlignment w:val="center"/>
                    <w:rPr>
                      <w:color w:val="000000"/>
                      <w:sz w:val="21"/>
                      <w:szCs w:val="21"/>
                    </w:rPr>
                  </w:pPr>
                  <w:r>
                    <w:rPr>
                      <w:color w:val="000000"/>
                      <w:sz w:val="21"/>
                      <w:szCs w:val="21"/>
                    </w:rPr>
                    <w:t xml:space="preserve">0.01 </w:t>
                  </w:r>
                </w:p>
              </w:tc>
              <w:tc>
                <w:tcPr>
                  <w:tcW w:w="1304" w:type="dxa"/>
                  <w:vMerge w:val="continue"/>
                  <w:noWrap/>
                  <w:vAlign w:val="center"/>
                </w:tcPr>
                <w:p w14:paraId="7E22DD1B">
                  <w:pPr>
                    <w:widowControl/>
                    <w:adjustRightInd w:val="0"/>
                    <w:snapToGrid w:val="0"/>
                    <w:jc w:val="center"/>
                    <w:textAlignment w:val="center"/>
                    <w:rPr>
                      <w:color w:val="000000"/>
                      <w:sz w:val="21"/>
                      <w:szCs w:val="21"/>
                    </w:rPr>
                  </w:pPr>
                </w:p>
              </w:tc>
              <w:tc>
                <w:tcPr>
                  <w:tcW w:w="870" w:type="dxa"/>
                  <w:vMerge w:val="continue"/>
                  <w:noWrap/>
                  <w:vAlign w:val="center"/>
                </w:tcPr>
                <w:p w14:paraId="1994D1E8">
                  <w:pPr>
                    <w:widowControl/>
                    <w:adjustRightInd w:val="0"/>
                    <w:snapToGrid w:val="0"/>
                    <w:jc w:val="center"/>
                    <w:textAlignment w:val="center"/>
                    <w:rPr>
                      <w:color w:val="000000"/>
                      <w:sz w:val="21"/>
                      <w:szCs w:val="21"/>
                    </w:rPr>
                  </w:pPr>
                </w:p>
              </w:tc>
              <w:tc>
                <w:tcPr>
                  <w:tcW w:w="1459" w:type="dxa"/>
                  <w:vMerge w:val="continue"/>
                  <w:noWrap/>
                  <w:vAlign w:val="center"/>
                </w:tcPr>
                <w:p w14:paraId="77E3E6B8">
                  <w:pPr>
                    <w:widowControl/>
                    <w:adjustRightInd w:val="0"/>
                    <w:snapToGrid w:val="0"/>
                    <w:jc w:val="center"/>
                    <w:textAlignment w:val="center"/>
                    <w:rPr>
                      <w:color w:val="000000"/>
                      <w:sz w:val="21"/>
                      <w:szCs w:val="21"/>
                    </w:rPr>
                  </w:pPr>
                </w:p>
              </w:tc>
            </w:tr>
            <w:tr w14:paraId="296FBAB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153" w:type="dxa"/>
                  <w:vMerge w:val="continue"/>
                  <w:noWrap/>
                  <w:vAlign w:val="center"/>
                </w:tcPr>
                <w:p w14:paraId="7F87299E">
                  <w:pPr>
                    <w:widowControl/>
                    <w:adjustRightInd w:val="0"/>
                    <w:snapToGrid w:val="0"/>
                    <w:jc w:val="center"/>
                    <w:rPr>
                      <w:color w:val="000000"/>
                      <w:sz w:val="21"/>
                      <w:szCs w:val="21"/>
                    </w:rPr>
                  </w:pPr>
                </w:p>
              </w:tc>
              <w:tc>
                <w:tcPr>
                  <w:tcW w:w="1403" w:type="dxa"/>
                  <w:noWrap/>
                  <w:vAlign w:val="center"/>
                </w:tcPr>
                <w:p w14:paraId="572419B1">
                  <w:pPr>
                    <w:widowControl/>
                    <w:adjustRightInd w:val="0"/>
                    <w:snapToGrid w:val="0"/>
                    <w:jc w:val="center"/>
                    <w:textAlignment w:val="center"/>
                    <w:rPr>
                      <w:color w:val="000000"/>
                      <w:kern w:val="0"/>
                      <w:sz w:val="21"/>
                      <w:szCs w:val="21"/>
                      <w:lang w:bidi="ar"/>
                    </w:rPr>
                  </w:pPr>
                  <w:r>
                    <w:rPr>
                      <w:rFonts w:hint="eastAsia"/>
                      <w:color w:val="000000"/>
                      <w:kern w:val="0"/>
                      <w:sz w:val="21"/>
                      <w:szCs w:val="21"/>
                      <w:lang w:bidi="ar"/>
                    </w:rPr>
                    <w:t>臭气浓度</w:t>
                  </w:r>
                </w:p>
              </w:tc>
              <w:tc>
                <w:tcPr>
                  <w:tcW w:w="1086" w:type="dxa"/>
                  <w:noWrap/>
                  <w:vAlign w:val="center"/>
                </w:tcPr>
                <w:p w14:paraId="79335D20">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113" w:type="dxa"/>
                  <w:noWrap/>
                  <w:vAlign w:val="center"/>
                </w:tcPr>
                <w:p w14:paraId="0C0D8E9E">
                  <w:pPr>
                    <w:widowControl/>
                    <w:jc w:val="center"/>
                    <w:textAlignment w:val="center"/>
                    <w:rPr>
                      <w:color w:val="000000"/>
                      <w:kern w:val="0"/>
                      <w:sz w:val="21"/>
                      <w:szCs w:val="21"/>
                      <w:lang w:bidi="ar"/>
                    </w:rPr>
                  </w:pPr>
                  <w:r>
                    <w:rPr>
                      <w:rFonts w:hint="eastAsia" w:cs="宋体"/>
                      <w:color w:val="000000"/>
                      <w:kern w:val="0"/>
                      <w:sz w:val="21"/>
                      <w:szCs w:val="21"/>
                      <w:lang w:bidi="ar"/>
                    </w:rPr>
                    <w:t>少量</w:t>
                  </w:r>
                </w:p>
              </w:tc>
              <w:tc>
                <w:tcPr>
                  <w:tcW w:w="1304" w:type="dxa"/>
                  <w:vMerge w:val="continue"/>
                  <w:noWrap/>
                  <w:vAlign w:val="center"/>
                </w:tcPr>
                <w:p w14:paraId="7E7AEA0D">
                  <w:pPr>
                    <w:jc w:val="center"/>
                    <w:rPr>
                      <w:rFonts w:hint="eastAsia"/>
                      <w:color w:val="000000"/>
                      <w:sz w:val="21"/>
                      <w:szCs w:val="21"/>
                    </w:rPr>
                  </w:pPr>
                </w:p>
              </w:tc>
              <w:tc>
                <w:tcPr>
                  <w:tcW w:w="870" w:type="dxa"/>
                  <w:vMerge w:val="continue"/>
                  <w:noWrap/>
                  <w:vAlign w:val="center"/>
                </w:tcPr>
                <w:p w14:paraId="6E15C44D">
                  <w:pPr>
                    <w:widowControl/>
                    <w:adjustRightInd w:val="0"/>
                    <w:snapToGrid w:val="0"/>
                    <w:jc w:val="center"/>
                    <w:textAlignment w:val="center"/>
                    <w:rPr>
                      <w:color w:val="000000"/>
                      <w:sz w:val="21"/>
                      <w:szCs w:val="21"/>
                    </w:rPr>
                  </w:pPr>
                </w:p>
              </w:tc>
              <w:tc>
                <w:tcPr>
                  <w:tcW w:w="1459" w:type="dxa"/>
                  <w:vMerge w:val="continue"/>
                  <w:noWrap/>
                  <w:vAlign w:val="center"/>
                </w:tcPr>
                <w:p w14:paraId="6F1BA30C">
                  <w:pPr>
                    <w:widowControl/>
                    <w:adjustRightInd w:val="0"/>
                    <w:snapToGrid w:val="0"/>
                    <w:jc w:val="center"/>
                    <w:textAlignment w:val="center"/>
                    <w:rPr>
                      <w:color w:val="000000"/>
                      <w:sz w:val="21"/>
                      <w:szCs w:val="21"/>
                    </w:rPr>
                  </w:pPr>
                </w:p>
              </w:tc>
            </w:tr>
          </w:tbl>
          <w:p w14:paraId="7434AB10">
            <w:pPr>
              <w:pStyle w:val="35"/>
              <w:spacing w:line="360" w:lineRule="auto"/>
              <w:rPr>
                <w:rFonts w:hint="eastAsia" w:cs="Times New Roman"/>
                <w:color w:val="000000"/>
              </w:rPr>
            </w:pPr>
            <w:r>
              <w:rPr>
                <w:rFonts w:hint="eastAsia"/>
                <w:color w:val="000000"/>
              </w:rPr>
              <w:t>保证污染治理设施正常运行是建设单位的义务，企业需采取必要措施防止非正常工况的出现。建设单位应加强</w:t>
            </w:r>
            <w:r>
              <w:rPr>
                <w:rFonts w:hint="eastAsia" w:cs="Times New Roman"/>
                <w:color w:val="000000"/>
              </w:rPr>
              <w:t>废气</w:t>
            </w:r>
            <w:r>
              <w:rPr>
                <w:rFonts w:hint="eastAsia"/>
                <w:color w:val="000000"/>
              </w:rPr>
              <w:t>处理装置、设施的维修保养，及时发现处理设备的隐患，确保废气处理系统正常运行；及时更换活性炭，定期检查废气处理设施的处理效率，确保废气稳定达标排放；建立健全的环保机构，对管理人员和技术人员进行岗位培训；若出现非正常工况，建设单位必须立即停止生产，及时检修更换废气设施，避免污染物随大气扩散对周边环境空气造成不良影响。</w:t>
            </w:r>
          </w:p>
          <w:p w14:paraId="7B39D61C">
            <w:pPr>
              <w:pStyle w:val="35"/>
              <w:spacing w:line="360" w:lineRule="auto"/>
              <w:ind w:firstLine="482"/>
              <w:rPr>
                <w:rFonts w:hint="eastAsia" w:cs="Times New Roman"/>
                <w:b/>
                <w:bCs/>
                <w:color w:val="000000"/>
              </w:rPr>
            </w:pPr>
            <w:r>
              <w:rPr>
                <w:rFonts w:hint="eastAsia" w:cs="Times New Roman"/>
                <w:b/>
                <w:bCs/>
                <w:color w:val="000000"/>
              </w:rPr>
              <w:t>（6）大气环境影响分析</w:t>
            </w:r>
          </w:p>
          <w:p w14:paraId="32F51188">
            <w:pPr>
              <w:pStyle w:val="35"/>
              <w:spacing w:line="360" w:lineRule="auto"/>
              <w:rPr>
                <w:rFonts w:hint="eastAsia" w:cs="Times New Roman"/>
                <w:color w:val="000000"/>
              </w:rPr>
            </w:pPr>
            <w:r>
              <w:rPr>
                <w:rFonts w:hint="eastAsia" w:cs="Times New Roman"/>
                <w:color w:val="000000"/>
              </w:rPr>
              <w:t>根据项目所在区域环境空气现状监测数据以及2025年5月30日发布的《2024年重庆市生态环境状况公报》中九龙坡区环境空气质量现状数据，项目所在区域属空气质量达标区，空气质量较好。本项目生产过程中产生的废气经可行性技术措施治理后排放，排放浓度能够满足排放标准要求，本项目运营期排放的废气对环境影响较小。</w:t>
            </w:r>
          </w:p>
          <w:p w14:paraId="7A7E52D6">
            <w:pPr>
              <w:pStyle w:val="35"/>
              <w:spacing w:line="360" w:lineRule="auto"/>
              <w:ind w:firstLine="482"/>
              <w:rPr>
                <w:rFonts w:hint="eastAsia"/>
                <w:b/>
                <w:bCs/>
                <w:color w:val="000000"/>
              </w:rPr>
            </w:pPr>
            <w:r>
              <w:rPr>
                <w:rFonts w:hint="eastAsia"/>
                <w:b/>
                <w:bCs/>
                <w:color w:val="000000"/>
              </w:rPr>
              <w:t>（7）运营期监测</w:t>
            </w:r>
          </w:p>
          <w:p w14:paraId="22515470">
            <w:pPr>
              <w:pStyle w:val="35"/>
              <w:spacing w:line="360" w:lineRule="auto"/>
              <w:rPr>
                <w:color w:val="000000"/>
              </w:rPr>
            </w:pPr>
            <w:r>
              <w:rPr>
                <w:rFonts w:hint="eastAsia"/>
                <w:color w:val="000000"/>
              </w:rPr>
              <w:t>企业为非重点排污单位，企业</w:t>
            </w:r>
            <w:r>
              <w:rPr>
                <w:color w:val="000000"/>
              </w:rPr>
              <w:t>根据</w:t>
            </w:r>
            <w:r>
              <w:rPr>
                <w:rFonts w:hint="eastAsia"/>
                <w:color w:val="000000"/>
              </w:rPr>
              <w:t>《排污单位自行监测技术指南 总则》（HJ819-2017）、《排污单位自行监测技术指南 橡胶和塑料制品》（HJ 1207-2021）要求</w:t>
            </w:r>
            <w:r>
              <w:rPr>
                <w:color w:val="000000"/>
              </w:rPr>
              <w:t>，</w:t>
            </w:r>
            <w:r>
              <w:rPr>
                <w:rFonts w:hint="eastAsia"/>
                <w:color w:val="000000"/>
              </w:rPr>
              <w:t>制定出运营期废气监测</w:t>
            </w:r>
            <w:r>
              <w:rPr>
                <w:rFonts w:hint="eastAsia" w:cs="Times New Roman"/>
                <w:color w:val="000000"/>
                <w:kern w:val="2"/>
              </w:rPr>
              <w:t>计划</w:t>
            </w:r>
            <w:r>
              <w:rPr>
                <w:rFonts w:hint="eastAsia"/>
                <w:color w:val="000000"/>
              </w:rPr>
              <w:t>，详见下表</w:t>
            </w:r>
            <w:r>
              <w:rPr>
                <w:color w:val="000000"/>
              </w:rPr>
              <w:t>：</w:t>
            </w:r>
          </w:p>
          <w:p w14:paraId="295FC6FB">
            <w:pPr>
              <w:jc w:val="center"/>
              <w:rPr>
                <w:b/>
                <w:bCs/>
                <w:color w:val="000000"/>
              </w:rPr>
            </w:pPr>
            <w:r>
              <w:rPr>
                <w:b/>
                <w:bCs/>
                <w:color w:val="000000"/>
              </w:rPr>
              <w:t>表</w:t>
            </w:r>
            <w:r>
              <w:rPr>
                <w:rFonts w:hint="eastAsia"/>
                <w:b/>
                <w:bCs/>
                <w:color w:val="000000"/>
              </w:rPr>
              <w:t>4-14</w:t>
            </w:r>
            <w:r>
              <w:rPr>
                <w:b/>
                <w:bCs/>
                <w:color w:val="000000"/>
              </w:rPr>
              <w:t xml:space="preserve">  运营期大气监测计划</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1071"/>
              <w:gridCol w:w="1106"/>
              <w:gridCol w:w="2024"/>
              <w:gridCol w:w="1659"/>
              <w:gridCol w:w="2557"/>
            </w:tblGrid>
            <w:tr w14:paraId="092823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noWrap w:val="0"/>
                  <w:vAlign w:val="center"/>
                </w:tcPr>
                <w:p w14:paraId="5B43C52D">
                  <w:pPr>
                    <w:widowControl/>
                    <w:jc w:val="center"/>
                    <w:textAlignment w:val="center"/>
                    <w:rPr>
                      <w:color w:val="000000"/>
                      <w:kern w:val="0"/>
                      <w:sz w:val="21"/>
                      <w:szCs w:val="21"/>
                      <w:lang w:bidi="ar"/>
                    </w:rPr>
                  </w:pPr>
                  <w:r>
                    <w:rPr>
                      <w:color w:val="000000"/>
                      <w:kern w:val="0"/>
                      <w:sz w:val="21"/>
                      <w:szCs w:val="21"/>
                      <w:lang w:bidi="ar"/>
                    </w:rPr>
                    <w:t>污染源</w:t>
                  </w:r>
                </w:p>
              </w:tc>
              <w:tc>
                <w:tcPr>
                  <w:tcW w:w="657" w:type="pct"/>
                  <w:noWrap w:val="0"/>
                  <w:vAlign w:val="center"/>
                </w:tcPr>
                <w:p w14:paraId="5909621A">
                  <w:pPr>
                    <w:widowControl/>
                    <w:jc w:val="center"/>
                    <w:textAlignment w:val="center"/>
                    <w:rPr>
                      <w:color w:val="000000"/>
                      <w:kern w:val="0"/>
                      <w:sz w:val="21"/>
                      <w:szCs w:val="21"/>
                      <w:lang w:bidi="ar"/>
                    </w:rPr>
                  </w:pPr>
                  <w:r>
                    <w:rPr>
                      <w:color w:val="000000"/>
                      <w:kern w:val="0"/>
                      <w:sz w:val="21"/>
                      <w:szCs w:val="21"/>
                      <w:lang w:bidi="ar"/>
                    </w:rPr>
                    <w:t>采样点</w:t>
                  </w:r>
                </w:p>
              </w:tc>
              <w:tc>
                <w:tcPr>
                  <w:tcW w:w="1202" w:type="pct"/>
                  <w:noWrap w:val="0"/>
                  <w:vAlign w:val="center"/>
                </w:tcPr>
                <w:p w14:paraId="6933CEEE">
                  <w:pPr>
                    <w:widowControl/>
                    <w:jc w:val="center"/>
                    <w:textAlignment w:val="center"/>
                    <w:rPr>
                      <w:color w:val="000000"/>
                      <w:kern w:val="0"/>
                      <w:sz w:val="21"/>
                      <w:szCs w:val="21"/>
                      <w:lang w:bidi="ar"/>
                    </w:rPr>
                  </w:pPr>
                  <w:r>
                    <w:rPr>
                      <w:color w:val="000000"/>
                      <w:kern w:val="0"/>
                      <w:sz w:val="21"/>
                      <w:szCs w:val="21"/>
                      <w:lang w:bidi="ar"/>
                    </w:rPr>
                    <w:t>监测因子</w:t>
                  </w:r>
                </w:p>
              </w:tc>
              <w:tc>
                <w:tcPr>
                  <w:tcW w:w="985" w:type="pct"/>
                  <w:noWrap w:val="0"/>
                  <w:vAlign w:val="center"/>
                </w:tcPr>
                <w:p w14:paraId="17042DB9">
                  <w:pPr>
                    <w:jc w:val="center"/>
                    <w:rPr>
                      <w:color w:val="000000"/>
                      <w:kern w:val="0"/>
                      <w:sz w:val="21"/>
                      <w:szCs w:val="21"/>
                      <w:lang w:bidi="ar"/>
                    </w:rPr>
                  </w:pPr>
                  <w:r>
                    <w:rPr>
                      <w:color w:val="000000"/>
                      <w:sz w:val="21"/>
                      <w:szCs w:val="21"/>
                    </w:rPr>
                    <w:t>监测频率</w:t>
                  </w:r>
                </w:p>
              </w:tc>
              <w:tc>
                <w:tcPr>
                  <w:tcW w:w="1518" w:type="pct"/>
                  <w:noWrap w:val="0"/>
                  <w:vAlign w:val="center"/>
                </w:tcPr>
                <w:p w14:paraId="617F35E5">
                  <w:pPr>
                    <w:jc w:val="center"/>
                    <w:rPr>
                      <w:color w:val="000000"/>
                      <w:kern w:val="0"/>
                      <w:sz w:val="21"/>
                      <w:szCs w:val="21"/>
                      <w:lang w:bidi="ar"/>
                    </w:rPr>
                  </w:pPr>
                  <w:r>
                    <w:rPr>
                      <w:color w:val="000000"/>
                      <w:sz w:val="21"/>
                      <w:szCs w:val="21"/>
                    </w:rPr>
                    <w:t>执行标准</w:t>
                  </w:r>
                </w:p>
              </w:tc>
            </w:tr>
            <w:tr w14:paraId="0FF461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vMerge w:val="restart"/>
                  <w:noWrap w:val="0"/>
                  <w:vAlign w:val="center"/>
                </w:tcPr>
                <w:p w14:paraId="762F28A8">
                  <w:pPr>
                    <w:widowControl/>
                    <w:jc w:val="center"/>
                    <w:textAlignment w:val="center"/>
                    <w:rPr>
                      <w:color w:val="000000"/>
                      <w:sz w:val="21"/>
                      <w:szCs w:val="21"/>
                    </w:rPr>
                  </w:pPr>
                  <w:r>
                    <w:rPr>
                      <w:color w:val="000000"/>
                      <w:kern w:val="0"/>
                      <w:sz w:val="21"/>
                      <w:szCs w:val="21"/>
                      <w:lang w:bidi="ar"/>
                    </w:rPr>
                    <w:t>DA001</w:t>
                  </w:r>
                </w:p>
              </w:tc>
              <w:tc>
                <w:tcPr>
                  <w:tcW w:w="657" w:type="pct"/>
                  <w:vMerge w:val="restart"/>
                  <w:noWrap w:val="0"/>
                  <w:vAlign w:val="center"/>
                </w:tcPr>
                <w:p w14:paraId="55F30824">
                  <w:pPr>
                    <w:widowControl/>
                    <w:jc w:val="center"/>
                    <w:textAlignment w:val="center"/>
                    <w:rPr>
                      <w:color w:val="000000"/>
                      <w:kern w:val="0"/>
                      <w:sz w:val="21"/>
                      <w:szCs w:val="21"/>
                      <w:lang w:bidi="ar"/>
                    </w:rPr>
                  </w:pPr>
                  <w:r>
                    <w:rPr>
                      <w:color w:val="000000"/>
                      <w:kern w:val="0"/>
                      <w:sz w:val="21"/>
                      <w:szCs w:val="21"/>
                      <w:lang w:bidi="ar"/>
                    </w:rPr>
                    <w:t>排气筒出口</w:t>
                  </w:r>
                </w:p>
              </w:tc>
              <w:tc>
                <w:tcPr>
                  <w:tcW w:w="1202" w:type="pct"/>
                  <w:noWrap w:val="0"/>
                  <w:vAlign w:val="center"/>
                </w:tcPr>
                <w:p w14:paraId="7D505B90">
                  <w:pPr>
                    <w:widowControl/>
                    <w:jc w:val="center"/>
                    <w:textAlignment w:val="center"/>
                    <w:rPr>
                      <w:color w:val="000000"/>
                      <w:kern w:val="0"/>
                      <w:sz w:val="21"/>
                      <w:szCs w:val="21"/>
                      <w:lang w:bidi="ar"/>
                    </w:rPr>
                  </w:pPr>
                  <w:r>
                    <w:rPr>
                      <w:rFonts w:hint="eastAsia"/>
                      <w:color w:val="000000"/>
                      <w:kern w:val="0"/>
                      <w:sz w:val="21"/>
                      <w:szCs w:val="21"/>
                      <w:lang w:bidi="ar"/>
                    </w:rPr>
                    <w:t>颗粒物、氯化氢、氯乙烯、臭气浓度</w:t>
                  </w:r>
                </w:p>
              </w:tc>
              <w:tc>
                <w:tcPr>
                  <w:tcW w:w="985" w:type="pct"/>
                  <w:noWrap w:val="0"/>
                  <w:vAlign w:val="center"/>
                </w:tcPr>
                <w:p w14:paraId="49018B37">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验收时一次，以后1次/年</w:t>
                  </w:r>
                </w:p>
              </w:tc>
              <w:tc>
                <w:tcPr>
                  <w:tcW w:w="1518" w:type="pct"/>
                  <w:noWrap w:val="0"/>
                  <w:vAlign w:val="center"/>
                </w:tcPr>
                <w:p w14:paraId="7177A5F8">
                  <w:pPr>
                    <w:adjustRightInd w:val="0"/>
                    <w:snapToGrid w:val="0"/>
                    <w:jc w:val="center"/>
                    <w:rPr>
                      <w:rFonts w:hint="eastAsia"/>
                      <w:color w:val="000000"/>
                      <w:sz w:val="21"/>
                      <w:szCs w:val="21"/>
                    </w:rPr>
                  </w:pPr>
                  <w:r>
                    <w:rPr>
                      <w:rFonts w:hint="eastAsia"/>
                      <w:color w:val="000000"/>
                      <w:sz w:val="21"/>
                      <w:szCs w:val="21"/>
                    </w:rPr>
                    <w:t>《恶臭污染物排放标准》（GB14554-93）</w:t>
                  </w:r>
                </w:p>
                <w:p w14:paraId="62839A90">
                  <w:pPr>
                    <w:adjustRightInd w:val="0"/>
                    <w:snapToGrid w:val="0"/>
                    <w:jc w:val="center"/>
                    <w:rPr>
                      <w:rFonts w:hint="eastAsia"/>
                      <w:color w:val="000000"/>
                      <w:sz w:val="21"/>
                      <w:szCs w:val="21"/>
                    </w:rPr>
                  </w:pPr>
                  <w:r>
                    <w:rPr>
                      <w:rFonts w:hint="eastAsia"/>
                      <w:color w:val="000000"/>
                      <w:sz w:val="21"/>
                      <w:szCs w:val="21"/>
                    </w:rPr>
                    <w:t>《大气污染物综合排放标准》（DB50/418-2016）</w:t>
                  </w:r>
                </w:p>
              </w:tc>
            </w:tr>
            <w:tr w14:paraId="205F1A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vMerge w:val="continue"/>
                  <w:noWrap w:val="0"/>
                  <w:vAlign w:val="center"/>
                </w:tcPr>
                <w:p w14:paraId="55CED9C3">
                  <w:pPr>
                    <w:widowControl/>
                    <w:jc w:val="center"/>
                    <w:textAlignment w:val="center"/>
                    <w:rPr>
                      <w:color w:val="000000"/>
                      <w:kern w:val="0"/>
                      <w:sz w:val="21"/>
                      <w:szCs w:val="21"/>
                      <w:lang w:bidi="ar"/>
                    </w:rPr>
                  </w:pPr>
                </w:p>
              </w:tc>
              <w:tc>
                <w:tcPr>
                  <w:tcW w:w="657" w:type="pct"/>
                  <w:vMerge w:val="continue"/>
                  <w:noWrap w:val="0"/>
                  <w:vAlign w:val="center"/>
                </w:tcPr>
                <w:p w14:paraId="60518A44">
                  <w:pPr>
                    <w:widowControl/>
                    <w:jc w:val="center"/>
                    <w:textAlignment w:val="center"/>
                    <w:rPr>
                      <w:color w:val="000000"/>
                      <w:kern w:val="0"/>
                      <w:sz w:val="21"/>
                      <w:szCs w:val="21"/>
                      <w:lang w:bidi="ar"/>
                    </w:rPr>
                  </w:pPr>
                </w:p>
              </w:tc>
              <w:tc>
                <w:tcPr>
                  <w:tcW w:w="1202" w:type="pct"/>
                  <w:noWrap w:val="0"/>
                  <w:vAlign w:val="center"/>
                </w:tcPr>
                <w:p w14:paraId="5BF93BD4">
                  <w:pPr>
                    <w:widowControl/>
                    <w:jc w:val="center"/>
                    <w:textAlignment w:val="center"/>
                    <w:rPr>
                      <w:rFonts w:hint="eastAsia"/>
                      <w:color w:val="000000"/>
                      <w:kern w:val="0"/>
                      <w:sz w:val="21"/>
                      <w:szCs w:val="21"/>
                      <w:lang w:bidi="ar"/>
                    </w:rPr>
                  </w:pPr>
                  <w:r>
                    <w:rPr>
                      <w:rFonts w:hint="eastAsia"/>
                      <w:color w:val="000000"/>
                      <w:kern w:val="0"/>
                      <w:sz w:val="21"/>
                      <w:szCs w:val="21"/>
                      <w:lang w:bidi="ar"/>
                    </w:rPr>
                    <w:t>非甲烷总烃</w:t>
                  </w:r>
                </w:p>
              </w:tc>
              <w:tc>
                <w:tcPr>
                  <w:tcW w:w="985" w:type="pct"/>
                  <w:noWrap w:val="0"/>
                  <w:vAlign w:val="center"/>
                </w:tcPr>
                <w:p w14:paraId="1E00AA85">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验收时一次，以后1次/半年</w:t>
                  </w:r>
                </w:p>
              </w:tc>
              <w:tc>
                <w:tcPr>
                  <w:tcW w:w="1518" w:type="pct"/>
                  <w:noWrap w:val="0"/>
                  <w:vAlign w:val="center"/>
                </w:tcPr>
                <w:p w14:paraId="6C1FF191">
                  <w:pPr>
                    <w:adjustRightInd w:val="0"/>
                    <w:snapToGrid w:val="0"/>
                    <w:jc w:val="center"/>
                    <w:rPr>
                      <w:rFonts w:hint="eastAsia"/>
                      <w:color w:val="000000"/>
                      <w:sz w:val="21"/>
                      <w:szCs w:val="21"/>
                    </w:rPr>
                  </w:pPr>
                  <w:r>
                    <w:rPr>
                      <w:rFonts w:hint="eastAsia"/>
                      <w:color w:val="000000"/>
                      <w:sz w:val="21"/>
                      <w:szCs w:val="21"/>
                    </w:rPr>
                    <w:t>《大气污染物综合排放标准》（DB50/418-2016）</w:t>
                  </w:r>
                </w:p>
              </w:tc>
            </w:tr>
            <w:tr w14:paraId="0D263B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noWrap w:val="0"/>
                  <w:vAlign w:val="center"/>
                </w:tcPr>
                <w:p w14:paraId="40DA0F7F">
                  <w:pPr>
                    <w:widowControl/>
                    <w:jc w:val="center"/>
                    <w:textAlignment w:val="center"/>
                    <w:rPr>
                      <w:color w:val="000000"/>
                      <w:kern w:val="0"/>
                      <w:sz w:val="21"/>
                      <w:szCs w:val="21"/>
                      <w:lang w:bidi="ar"/>
                    </w:rPr>
                  </w:pPr>
                  <w:r>
                    <w:rPr>
                      <w:color w:val="000000"/>
                      <w:kern w:val="0"/>
                      <w:sz w:val="21"/>
                      <w:szCs w:val="21"/>
                      <w:lang w:bidi="ar"/>
                    </w:rPr>
                    <w:t>DA002</w:t>
                  </w:r>
                </w:p>
              </w:tc>
              <w:tc>
                <w:tcPr>
                  <w:tcW w:w="657" w:type="pct"/>
                  <w:noWrap w:val="0"/>
                  <w:vAlign w:val="center"/>
                </w:tcPr>
                <w:p w14:paraId="0E115152">
                  <w:pPr>
                    <w:widowControl/>
                    <w:jc w:val="center"/>
                    <w:textAlignment w:val="center"/>
                    <w:rPr>
                      <w:color w:val="000000"/>
                      <w:kern w:val="0"/>
                      <w:sz w:val="21"/>
                      <w:szCs w:val="21"/>
                      <w:lang w:bidi="ar"/>
                    </w:rPr>
                  </w:pPr>
                  <w:r>
                    <w:rPr>
                      <w:color w:val="000000"/>
                      <w:kern w:val="0"/>
                      <w:sz w:val="21"/>
                      <w:szCs w:val="21"/>
                      <w:lang w:bidi="ar"/>
                    </w:rPr>
                    <w:t>排气筒出口</w:t>
                  </w:r>
                </w:p>
              </w:tc>
              <w:tc>
                <w:tcPr>
                  <w:tcW w:w="1202" w:type="pct"/>
                  <w:noWrap w:val="0"/>
                  <w:vAlign w:val="center"/>
                </w:tcPr>
                <w:p w14:paraId="7B26EFBC">
                  <w:pPr>
                    <w:widowControl/>
                    <w:jc w:val="center"/>
                    <w:textAlignment w:val="center"/>
                    <w:rPr>
                      <w:rFonts w:hint="eastAsia"/>
                      <w:color w:val="000000"/>
                      <w:kern w:val="0"/>
                      <w:sz w:val="21"/>
                      <w:szCs w:val="21"/>
                      <w:lang w:bidi="ar"/>
                    </w:rPr>
                  </w:pPr>
                  <w:r>
                    <w:rPr>
                      <w:rFonts w:hint="eastAsia"/>
                      <w:color w:val="000000"/>
                      <w:kern w:val="0"/>
                      <w:sz w:val="21"/>
                      <w:szCs w:val="21"/>
                      <w:lang w:bidi="ar"/>
                    </w:rPr>
                    <w:t>颗粒物</w:t>
                  </w:r>
                </w:p>
              </w:tc>
              <w:tc>
                <w:tcPr>
                  <w:tcW w:w="985" w:type="pct"/>
                  <w:noWrap w:val="0"/>
                  <w:vAlign w:val="center"/>
                </w:tcPr>
                <w:p w14:paraId="596BF882">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验收时一次，以后1次/年</w:t>
                  </w:r>
                </w:p>
              </w:tc>
              <w:tc>
                <w:tcPr>
                  <w:tcW w:w="1518" w:type="pct"/>
                  <w:noWrap w:val="0"/>
                  <w:vAlign w:val="center"/>
                </w:tcPr>
                <w:p w14:paraId="3D118EF1">
                  <w:pPr>
                    <w:adjustRightInd w:val="0"/>
                    <w:snapToGrid w:val="0"/>
                    <w:jc w:val="center"/>
                    <w:rPr>
                      <w:rFonts w:hint="eastAsia"/>
                      <w:color w:val="000000"/>
                      <w:sz w:val="21"/>
                      <w:szCs w:val="21"/>
                    </w:rPr>
                  </w:pPr>
                  <w:r>
                    <w:rPr>
                      <w:rFonts w:hint="eastAsia"/>
                      <w:color w:val="000000"/>
                      <w:sz w:val="21"/>
                      <w:szCs w:val="21"/>
                    </w:rPr>
                    <w:t>《大气污染物综合排放标准》（DB50/418-2016）</w:t>
                  </w:r>
                </w:p>
              </w:tc>
            </w:tr>
            <w:tr w14:paraId="17BC56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vMerge w:val="restart"/>
                  <w:noWrap w:val="0"/>
                  <w:vAlign w:val="center"/>
                </w:tcPr>
                <w:p w14:paraId="3D0937D1">
                  <w:pPr>
                    <w:widowControl/>
                    <w:jc w:val="center"/>
                    <w:textAlignment w:val="center"/>
                    <w:rPr>
                      <w:color w:val="000000"/>
                      <w:sz w:val="21"/>
                      <w:szCs w:val="21"/>
                    </w:rPr>
                  </w:pPr>
                  <w:r>
                    <w:rPr>
                      <w:color w:val="000000"/>
                      <w:kern w:val="0"/>
                      <w:sz w:val="21"/>
                      <w:szCs w:val="21"/>
                      <w:lang w:bidi="ar"/>
                    </w:rPr>
                    <w:t>DA00</w:t>
                  </w:r>
                  <w:r>
                    <w:rPr>
                      <w:rFonts w:hint="eastAsia"/>
                      <w:color w:val="000000"/>
                      <w:kern w:val="0"/>
                      <w:sz w:val="21"/>
                      <w:szCs w:val="21"/>
                      <w:lang w:bidi="ar"/>
                    </w:rPr>
                    <w:t>4</w:t>
                  </w:r>
                </w:p>
              </w:tc>
              <w:tc>
                <w:tcPr>
                  <w:tcW w:w="657" w:type="pct"/>
                  <w:vMerge w:val="restart"/>
                  <w:noWrap w:val="0"/>
                  <w:vAlign w:val="center"/>
                </w:tcPr>
                <w:p w14:paraId="016D415C">
                  <w:pPr>
                    <w:widowControl/>
                    <w:jc w:val="center"/>
                    <w:textAlignment w:val="center"/>
                    <w:rPr>
                      <w:color w:val="000000"/>
                      <w:kern w:val="0"/>
                      <w:sz w:val="21"/>
                      <w:szCs w:val="21"/>
                      <w:lang w:bidi="ar"/>
                    </w:rPr>
                  </w:pPr>
                  <w:r>
                    <w:rPr>
                      <w:color w:val="000000"/>
                      <w:kern w:val="0"/>
                      <w:sz w:val="21"/>
                      <w:szCs w:val="21"/>
                      <w:lang w:bidi="ar"/>
                    </w:rPr>
                    <w:t>排气筒出口</w:t>
                  </w:r>
                </w:p>
              </w:tc>
              <w:tc>
                <w:tcPr>
                  <w:tcW w:w="1202" w:type="pct"/>
                  <w:noWrap w:val="0"/>
                  <w:vAlign w:val="center"/>
                </w:tcPr>
                <w:p w14:paraId="11C7170A">
                  <w:pPr>
                    <w:widowControl/>
                    <w:jc w:val="center"/>
                    <w:textAlignment w:val="center"/>
                    <w:rPr>
                      <w:color w:val="000000"/>
                      <w:kern w:val="0"/>
                      <w:sz w:val="21"/>
                      <w:szCs w:val="21"/>
                      <w:lang w:bidi="ar"/>
                    </w:rPr>
                  </w:pPr>
                  <w:r>
                    <w:rPr>
                      <w:rFonts w:hint="eastAsia"/>
                      <w:color w:val="000000"/>
                      <w:kern w:val="0"/>
                      <w:sz w:val="21"/>
                      <w:szCs w:val="21"/>
                      <w:lang w:bidi="ar"/>
                    </w:rPr>
                    <w:t>臭气浓度</w:t>
                  </w:r>
                </w:p>
              </w:tc>
              <w:tc>
                <w:tcPr>
                  <w:tcW w:w="985" w:type="pct"/>
                  <w:noWrap w:val="0"/>
                  <w:vAlign w:val="center"/>
                </w:tcPr>
                <w:p w14:paraId="55E5A150">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验收时一次，以后1次/年</w:t>
                  </w:r>
                </w:p>
              </w:tc>
              <w:tc>
                <w:tcPr>
                  <w:tcW w:w="1518" w:type="pct"/>
                  <w:noWrap w:val="0"/>
                  <w:vAlign w:val="center"/>
                </w:tcPr>
                <w:p w14:paraId="0DAA841A">
                  <w:pPr>
                    <w:adjustRightInd w:val="0"/>
                    <w:snapToGrid w:val="0"/>
                    <w:jc w:val="center"/>
                    <w:rPr>
                      <w:rFonts w:hint="eastAsia"/>
                      <w:color w:val="000000"/>
                      <w:sz w:val="21"/>
                      <w:szCs w:val="21"/>
                    </w:rPr>
                  </w:pPr>
                  <w:r>
                    <w:rPr>
                      <w:rFonts w:hint="eastAsia"/>
                      <w:color w:val="000000"/>
                      <w:sz w:val="21"/>
                      <w:szCs w:val="21"/>
                    </w:rPr>
                    <w:t>《恶臭污染物排放标准》（GB14554-93）</w:t>
                  </w:r>
                </w:p>
              </w:tc>
            </w:tr>
            <w:tr w14:paraId="00486F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vMerge w:val="continue"/>
                  <w:noWrap w:val="0"/>
                  <w:vAlign w:val="center"/>
                </w:tcPr>
                <w:p w14:paraId="54842DFC">
                  <w:pPr>
                    <w:widowControl/>
                    <w:jc w:val="center"/>
                    <w:textAlignment w:val="center"/>
                    <w:rPr>
                      <w:color w:val="000000"/>
                      <w:kern w:val="0"/>
                      <w:sz w:val="21"/>
                      <w:szCs w:val="21"/>
                      <w:lang w:bidi="ar"/>
                    </w:rPr>
                  </w:pPr>
                </w:p>
              </w:tc>
              <w:tc>
                <w:tcPr>
                  <w:tcW w:w="657" w:type="pct"/>
                  <w:vMerge w:val="continue"/>
                  <w:noWrap w:val="0"/>
                  <w:vAlign w:val="center"/>
                </w:tcPr>
                <w:p w14:paraId="16246397">
                  <w:pPr>
                    <w:widowControl/>
                    <w:jc w:val="center"/>
                    <w:textAlignment w:val="center"/>
                    <w:rPr>
                      <w:color w:val="000000"/>
                      <w:kern w:val="0"/>
                      <w:sz w:val="21"/>
                      <w:szCs w:val="21"/>
                      <w:lang w:bidi="ar"/>
                    </w:rPr>
                  </w:pPr>
                </w:p>
              </w:tc>
              <w:tc>
                <w:tcPr>
                  <w:tcW w:w="1202" w:type="pct"/>
                  <w:noWrap w:val="0"/>
                  <w:vAlign w:val="center"/>
                </w:tcPr>
                <w:p w14:paraId="57E5679F">
                  <w:pPr>
                    <w:widowControl/>
                    <w:jc w:val="center"/>
                    <w:textAlignment w:val="center"/>
                    <w:rPr>
                      <w:rFonts w:hint="eastAsia"/>
                      <w:color w:val="000000"/>
                      <w:kern w:val="0"/>
                      <w:sz w:val="21"/>
                      <w:szCs w:val="21"/>
                      <w:lang w:bidi="ar"/>
                    </w:rPr>
                  </w:pPr>
                  <w:r>
                    <w:rPr>
                      <w:rFonts w:hint="eastAsia"/>
                      <w:color w:val="000000"/>
                      <w:kern w:val="0"/>
                      <w:sz w:val="21"/>
                      <w:szCs w:val="21"/>
                      <w:lang w:bidi="ar"/>
                    </w:rPr>
                    <w:t>非甲烷总烃</w:t>
                  </w:r>
                </w:p>
              </w:tc>
              <w:tc>
                <w:tcPr>
                  <w:tcW w:w="985" w:type="pct"/>
                  <w:noWrap w:val="0"/>
                  <w:vAlign w:val="center"/>
                </w:tcPr>
                <w:p w14:paraId="382C5C3B">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验收时一次，以后1次/半年</w:t>
                  </w:r>
                </w:p>
              </w:tc>
              <w:tc>
                <w:tcPr>
                  <w:tcW w:w="1518" w:type="pct"/>
                  <w:noWrap w:val="0"/>
                  <w:vAlign w:val="center"/>
                </w:tcPr>
                <w:p w14:paraId="2955C7A3">
                  <w:pPr>
                    <w:adjustRightInd w:val="0"/>
                    <w:snapToGrid w:val="0"/>
                    <w:jc w:val="center"/>
                    <w:rPr>
                      <w:rFonts w:hint="eastAsia"/>
                      <w:color w:val="000000"/>
                      <w:sz w:val="21"/>
                      <w:szCs w:val="21"/>
                    </w:rPr>
                  </w:pPr>
                  <w:r>
                    <w:rPr>
                      <w:rFonts w:hint="eastAsia"/>
                      <w:color w:val="000000"/>
                      <w:sz w:val="21"/>
                      <w:szCs w:val="21"/>
                    </w:rPr>
                    <w:t>《合成树脂工业污染物排放标准》（GB31572-2015，含2024年修改单）中表5特别排放限值</w:t>
                  </w:r>
                </w:p>
              </w:tc>
            </w:tr>
            <w:tr w14:paraId="17B9CB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636" w:type="pct"/>
                  <w:noWrap w:val="0"/>
                  <w:vAlign w:val="center"/>
                </w:tcPr>
                <w:p w14:paraId="2691ECEC">
                  <w:pPr>
                    <w:widowControl/>
                    <w:jc w:val="center"/>
                    <w:textAlignment w:val="center"/>
                    <w:rPr>
                      <w:color w:val="000000"/>
                      <w:kern w:val="0"/>
                      <w:sz w:val="21"/>
                      <w:szCs w:val="21"/>
                      <w:lang w:bidi="ar"/>
                    </w:rPr>
                  </w:pPr>
                  <w:r>
                    <w:rPr>
                      <w:color w:val="000000"/>
                      <w:kern w:val="0"/>
                      <w:sz w:val="21"/>
                      <w:szCs w:val="21"/>
                      <w:lang w:bidi="ar"/>
                    </w:rPr>
                    <w:t>DA00</w:t>
                  </w:r>
                  <w:r>
                    <w:rPr>
                      <w:rFonts w:hint="eastAsia"/>
                      <w:color w:val="000000"/>
                      <w:kern w:val="0"/>
                      <w:sz w:val="21"/>
                      <w:szCs w:val="21"/>
                      <w:lang w:bidi="ar"/>
                    </w:rPr>
                    <w:t>4</w:t>
                  </w:r>
                </w:p>
              </w:tc>
              <w:tc>
                <w:tcPr>
                  <w:tcW w:w="657" w:type="pct"/>
                  <w:noWrap w:val="0"/>
                  <w:vAlign w:val="center"/>
                </w:tcPr>
                <w:p w14:paraId="66564BD5">
                  <w:pPr>
                    <w:widowControl/>
                    <w:jc w:val="center"/>
                    <w:textAlignment w:val="center"/>
                    <w:rPr>
                      <w:color w:val="000000"/>
                      <w:kern w:val="0"/>
                      <w:sz w:val="21"/>
                      <w:szCs w:val="21"/>
                      <w:lang w:bidi="ar"/>
                    </w:rPr>
                  </w:pPr>
                  <w:r>
                    <w:rPr>
                      <w:color w:val="000000"/>
                      <w:kern w:val="0"/>
                      <w:sz w:val="21"/>
                      <w:szCs w:val="21"/>
                      <w:lang w:bidi="ar"/>
                    </w:rPr>
                    <w:t>排气筒出口</w:t>
                  </w:r>
                </w:p>
              </w:tc>
              <w:tc>
                <w:tcPr>
                  <w:tcW w:w="1202" w:type="pct"/>
                  <w:noWrap w:val="0"/>
                  <w:vAlign w:val="center"/>
                </w:tcPr>
                <w:p w14:paraId="3C08DDEA">
                  <w:pPr>
                    <w:widowControl/>
                    <w:jc w:val="center"/>
                    <w:textAlignment w:val="center"/>
                    <w:rPr>
                      <w:rFonts w:hint="eastAsia"/>
                      <w:color w:val="000000"/>
                      <w:kern w:val="0"/>
                      <w:sz w:val="21"/>
                      <w:szCs w:val="21"/>
                      <w:lang w:bidi="ar"/>
                    </w:rPr>
                  </w:pPr>
                  <w:r>
                    <w:rPr>
                      <w:rFonts w:hint="eastAsia"/>
                      <w:color w:val="000000"/>
                      <w:kern w:val="0"/>
                      <w:sz w:val="21"/>
                      <w:szCs w:val="21"/>
                      <w:lang w:bidi="ar"/>
                    </w:rPr>
                    <w:t>颗粒物</w:t>
                  </w:r>
                </w:p>
              </w:tc>
              <w:tc>
                <w:tcPr>
                  <w:tcW w:w="985" w:type="pct"/>
                  <w:noWrap w:val="0"/>
                  <w:vAlign w:val="center"/>
                </w:tcPr>
                <w:p w14:paraId="3D31F86B">
                  <w:pPr>
                    <w:widowControl/>
                    <w:jc w:val="center"/>
                    <w:textAlignment w:val="center"/>
                    <w:rPr>
                      <w:rFonts w:hint="eastAsia"/>
                      <w:color w:val="000000"/>
                      <w:kern w:val="0"/>
                      <w:sz w:val="21"/>
                      <w:szCs w:val="21"/>
                      <w:lang w:bidi="ar"/>
                    </w:rPr>
                  </w:pPr>
                  <w:r>
                    <w:rPr>
                      <w:rFonts w:hint="eastAsia"/>
                      <w:color w:val="000000"/>
                      <w:kern w:val="0"/>
                      <w:sz w:val="21"/>
                      <w:szCs w:val="21"/>
                      <w:lang w:bidi="ar"/>
                    </w:rPr>
                    <w:t>验收时一次，以后1次/年</w:t>
                  </w:r>
                </w:p>
              </w:tc>
              <w:tc>
                <w:tcPr>
                  <w:tcW w:w="1518" w:type="pct"/>
                  <w:noWrap w:val="0"/>
                  <w:vAlign w:val="center"/>
                </w:tcPr>
                <w:p w14:paraId="2BB32040">
                  <w:pPr>
                    <w:adjustRightInd w:val="0"/>
                    <w:snapToGrid w:val="0"/>
                    <w:jc w:val="center"/>
                    <w:rPr>
                      <w:rFonts w:hint="eastAsia"/>
                      <w:color w:val="000000"/>
                      <w:sz w:val="21"/>
                      <w:szCs w:val="21"/>
                    </w:rPr>
                  </w:pPr>
                  <w:r>
                    <w:rPr>
                      <w:rFonts w:hint="eastAsia"/>
                      <w:color w:val="000000"/>
                      <w:sz w:val="21"/>
                      <w:szCs w:val="21"/>
                    </w:rPr>
                    <w:t>《合成树脂工业污染物排放标准》（GB31572-2015，含2024年修改单）中表5特别排放限值</w:t>
                  </w:r>
                </w:p>
              </w:tc>
            </w:tr>
            <w:tr w14:paraId="24ACDF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1293" w:type="pct"/>
                  <w:gridSpan w:val="2"/>
                  <w:noWrap w:val="0"/>
                  <w:vAlign w:val="center"/>
                </w:tcPr>
                <w:p w14:paraId="56C9EBA6">
                  <w:pPr>
                    <w:widowControl/>
                    <w:jc w:val="center"/>
                    <w:textAlignment w:val="center"/>
                    <w:rPr>
                      <w:color w:val="000000"/>
                      <w:kern w:val="0"/>
                      <w:sz w:val="21"/>
                      <w:szCs w:val="21"/>
                      <w:lang w:bidi="ar"/>
                    </w:rPr>
                  </w:pPr>
                  <w:r>
                    <w:rPr>
                      <w:rFonts w:hint="eastAsia"/>
                      <w:color w:val="000000"/>
                      <w:kern w:val="0"/>
                      <w:sz w:val="21"/>
                      <w:szCs w:val="21"/>
                      <w:lang w:bidi="ar"/>
                    </w:rPr>
                    <w:t>厂房外</w:t>
                  </w:r>
                </w:p>
              </w:tc>
              <w:tc>
                <w:tcPr>
                  <w:tcW w:w="1202" w:type="pct"/>
                  <w:noWrap w:val="0"/>
                  <w:vAlign w:val="center"/>
                </w:tcPr>
                <w:p w14:paraId="3806A857">
                  <w:pPr>
                    <w:widowControl/>
                    <w:jc w:val="center"/>
                    <w:textAlignment w:val="center"/>
                    <w:rPr>
                      <w:color w:val="000000"/>
                      <w:kern w:val="0"/>
                      <w:sz w:val="21"/>
                      <w:szCs w:val="21"/>
                      <w:lang w:bidi="ar"/>
                    </w:rPr>
                  </w:pPr>
                  <w:r>
                    <w:rPr>
                      <w:rFonts w:hint="eastAsia"/>
                      <w:color w:val="000000"/>
                      <w:kern w:val="0"/>
                      <w:sz w:val="21"/>
                      <w:szCs w:val="21"/>
                      <w:lang w:bidi="ar"/>
                    </w:rPr>
                    <w:t>非甲烷总烃</w:t>
                  </w:r>
                </w:p>
              </w:tc>
              <w:tc>
                <w:tcPr>
                  <w:tcW w:w="1669" w:type="dxa"/>
                  <w:noWrap w:val="0"/>
                  <w:vAlign w:val="center"/>
                </w:tcPr>
                <w:p w14:paraId="63C5D830">
                  <w:pPr>
                    <w:pStyle w:val="26"/>
                    <w:spacing w:before="31"/>
                    <w:rPr>
                      <w:rFonts w:hint="eastAsia" w:cs="Times New Roman"/>
                      <w:color w:val="000000"/>
                      <w:kern w:val="0"/>
                      <w:lang w:bidi="ar"/>
                    </w:rPr>
                  </w:pPr>
                  <w:r>
                    <w:rPr>
                      <w:color w:val="000000"/>
                    </w:rPr>
                    <w:t>1次/年</w:t>
                  </w:r>
                </w:p>
              </w:tc>
              <w:tc>
                <w:tcPr>
                  <w:tcW w:w="2573" w:type="dxa"/>
                  <w:noWrap w:val="0"/>
                  <w:vAlign w:val="center"/>
                </w:tcPr>
                <w:p w14:paraId="2D0D9E68">
                  <w:pPr>
                    <w:pStyle w:val="26"/>
                    <w:spacing w:before="31"/>
                    <w:rPr>
                      <w:rFonts w:hint="eastAsia" w:cs="Times New Roman"/>
                      <w:color w:val="000000"/>
                    </w:rPr>
                  </w:pPr>
                  <w:r>
                    <w:rPr>
                      <w:rFonts w:hint="eastAsia"/>
                      <w:color w:val="000000"/>
                    </w:rPr>
                    <w:t>《挥发性有机物无组织排放控制标准》（GB 37822-2019）</w:t>
                  </w:r>
                </w:p>
              </w:tc>
            </w:tr>
            <w:tr w14:paraId="1517B9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jc w:val="center"/>
              </w:trPr>
              <w:tc>
                <w:tcPr>
                  <w:tcW w:w="1293" w:type="pct"/>
                  <w:gridSpan w:val="2"/>
                  <w:noWrap w:val="0"/>
                  <w:vAlign w:val="center"/>
                </w:tcPr>
                <w:p w14:paraId="0B211500">
                  <w:pPr>
                    <w:widowControl/>
                    <w:jc w:val="center"/>
                    <w:textAlignment w:val="center"/>
                    <w:rPr>
                      <w:rFonts w:hint="eastAsia"/>
                      <w:color w:val="000000"/>
                      <w:kern w:val="0"/>
                      <w:sz w:val="21"/>
                      <w:szCs w:val="21"/>
                      <w:lang w:bidi="ar"/>
                    </w:rPr>
                  </w:pPr>
                  <w:r>
                    <w:rPr>
                      <w:rFonts w:hint="eastAsia"/>
                      <w:color w:val="000000"/>
                      <w:kern w:val="0"/>
                      <w:sz w:val="21"/>
                      <w:szCs w:val="21"/>
                      <w:lang w:bidi="ar"/>
                    </w:rPr>
                    <w:t>厂区下风向边界处</w:t>
                  </w:r>
                </w:p>
              </w:tc>
              <w:tc>
                <w:tcPr>
                  <w:tcW w:w="1202" w:type="pct"/>
                  <w:noWrap w:val="0"/>
                  <w:vAlign w:val="center"/>
                </w:tcPr>
                <w:p w14:paraId="5E983592">
                  <w:pPr>
                    <w:widowControl/>
                    <w:jc w:val="center"/>
                    <w:textAlignment w:val="center"/>
                    <w:rPr>
                      <w:rFonts w:hint="eastAsia"/>
                      <w:color w:val="000000"/>
                      <w:kern w:val="0"/>
                      <w:sz w:val="21"/>
                      <w:szCs w:val="21"/>
                      <w:lang w:bidi="ar"/>
                    </w:rPr>
                  </w:pPr>
                  <w:r>
                    <w:rPr>
                      <w:rFonts w:hint="eastAsia"/>
                      <w:color w:val="000000"/>
                      <w:kern w:val="0"/>
                      <w:sz w:val="21"/>
                      <w:szCs w:val="21"/>
                      <w:lang w:bidi="ar"/>
                    </w:rPr>
                    <w:t>氯化氢、氯乙烯、非甲烷总烃、颗粒物、臭气浓度</w:t>
                  </w:r>
                </w:p>
              </w:tc>
              <w:tc>
                <w:tcPr>
                  <w:tcW w:w="985" w:type="pct"/>
                  <w:noWrap w:val="0"/>
                  <w:vAlign w:val="center"/>
                </w:tcPr>
                <w:p w14:paraId="20D0D85E">
                  <w:pPr>
                    <w:widowControl/>
                    <w:jc w:val="center"/>
                    <w:textAlignment w:val="center"/>
                    <w:rPr>
                      <w:color w:val="000000"/>
                      <w:kern w:val="0"/>
                      <w:sz w:val="21"/>
                      <w:szCs w:val="21"/>
                      <w:lang w:bidi="ar"/>
                    </w:rPr>
                  </w:pPr>
                  <w:r>
                    <w:rPr>
                      <w:rFonts w:hint="eastAsia"/>
                      <w:color w:val="000000"/>
                      <w:kern w:val="0"/>
                      <w:sz w:val="21"/>
                      <w:szCs w:val="21"/>
                      <w:lang w:bidi="ar"/>
                    </w:rPr>
                    <w:t>验收时一次，以后1次/年</w:t>
                  </w:r>
                </w:p>
              </w:tc>
              <w:tc>
                <w:tcPr>
                  <w:tcW w:w="1518" w:type="pct"/>
                  <w:noWrap w:val="0"/>
                  <w:vAlign w:val="center"/>
                </w:tcPr>
                <w:p w14:paraId="502A6CEC">
                  <w:pPr>
                    <w:widowControl/>
                    <w:jc w:val="center"/>
                    <w:textAlignment w:val="center"/>
                    <w:rPr>
                      <w:rFonts w:hint="eastAsia"/>
                      <w:color w:val="000000"/>
                      <w:kern w:val="0"/>
                      <w:sz w:val="21"/>
                      <w:szCs w:val="21"/>
                      <w:lang w:bidi="ar"/>
                    </w:rPr>
                  </w:pPr>
                  <w:r>
                    <w:rPr>
                      <w:rFonts w:hint="eastAsia"/>
                      <w:color w:val="000000"/>
                      <w:sz w:val="21"/>
                      <w:szCs w:val="21"/>
                    </w:rPr>
                    <w:t>《合成树脂工业污染物排放标准》（GB31572-2015，含2024年修改单）、《大气污染物综合排放标准》（DB50/418-2016）、《恶臭污染物排放标准》（GB14554-93）</w:t>
                  </w:r>
                </w:p>
              </w:tc>
            </w:tr>
          </w:tbl>
          <w:p w14:paraId="41CEB9A0">
            <w:pPr>
              <w:keepNext/>
              <w:keepLines/>
              <w:adjustRightInd w:val="0"/>
              <w:snapToGrid w:val="0"/>
              <w:spacing w:line="360" w:lineRule="auto"/>
              <w:jc w:val="left"/>
              <w:outlineLvl w:val="1"/>
              <w:rPr>
                <w:b/>
                <w:bCs/>
                <w:color w:val="000000"/>
              </w:rPr>
            </w:pPr>
            <w:r>
              <w:rPr>
                <w:b/>
                <w:bCs/>
                <w:color w:val="000000"/>
              </w:rPr>
              <w:t>4.2.2废水</w:t>
            </w:r>
            <w:bookmarkEnd w:id="26"/>
            <w:bookmarkEnd w:id="27"/>
          </w:p>
          <w:p w14:paraId="58F6CF67">
            <w:pPr>
              <w:spacing w:line="360" w:lineRule="auto"/>
              <w:contextualSpacing/>
              <w:rPr>
                <w:rFonts w:hint="eastAsia"/>
                <w:b/>
                <w:bCs/>
                <w:color w:val="000000"/>
              </w:rPr>
            </w:pPr>
            <w:r>
              <w:rPr>
                <w:rFonts w:hint="eastAsia"/>
                <w:b/>
                <w:bCs/>
                <w:color w:val="000000"/>
              </w:rPr>
              <w:t>4.2.2.1废水污染源核算结果及相关参数</w:t>
            </w:r>
          </w:p>
          <w:p w14:paraId="39AC146E">
            <w:pPr>
              <w:pStyle w:val="35"/>
              <w:spacing w:line="360" w:lineRule="auto"/>
              <w:rPr>
                <w:rFonts w:hint="eastAsia" w:cs="Times New Roman"/>
                <w:color w:val="000000"/>
              </w:rPr>
            </w:pPr>
            <w:r>
              <w:rPr>
                <w:rFonts w:hint="eastAsia" w:cs="Times New Roman"/>
                <w:color w:val="000000"/>
              </w:rPr>
              <w:t>本项目产生</w:t>
            </w:r>
            <w:r>
              <w:rPr>
                <w:rFonts w:hint="eastAsia"/>
                <w:color w:val="000000"/>
              </w:rPr>
              <w:t>生活污水、地面清洁废水、冷却塔排水、空压机排水、酸雾洗涤塔废水等。质检室进行物理指标检验，不产生废水，项目不进行设备清洗、原料罐清洗等。</w:t>
            </w:r>
            <w:r>
              <w:rPr>
                <w:rFonts w:hint="eastAsia" w:cs="Times New Roman"/>
                <w:color w:val="000000"/>
              </w:rPr>
              <w:t>主要污染物为pH、COD、BOD</w:t>
            </w:r>
            <w:r>
              <w:rPr>
                <w:rFonts w:hint="eastAsia" w:cs="Times New Roman"/>
                <w:color w:val="000000"/>
                <w:vertAlign w:val="subscript"/>
              </w:rPr>
              <w:t>5</w:t>
            </w:r>
            <w:r>
              <w:rPr>
                <w:rFonts w:hint="eastAsia" w:cs="Times New Roman"/>
                <w:color w:val="000000"/>
              </w:rPr>
              <w:t>、SS、氨氮、TP、石油类等。</w:t>
            </w:r>
          </w:p>
          <w:p w14:paraId="2E7C7483">
            <w:pPr>
              <w:pStyle w:val="35"/>
              <w:spacing w:line="360" w:lineRule="auto"/>
              <w:rPr>
                <w:rFonts w:hint="eastAsia"/>
                <w:color w:val="000000"/>
              </w:rPr>
            </w:pPr>
            <w:r>
              <w:rPr>
                <w:rFonts w:hint="eastAsia" w:cs="Times New Roman"/>
                <w:color w:val="000000"/>
              </w:rPr>
              <w:t>项目地面清洁废水、冷却塔排水、空压机含油废水和酸雾洗涤塔废水经新建的废水预处理设施（隔油+沉淀）预处理，处理规模为12m</w:t>
            </w:r>
            <w:r>
              <w:rPr>
                <w:rFonts w:hint="eastAsia" w:cs="Times New Roman"/>
                <w:color w:val="000000"/>
                <w:vertAlign w:val="superscript"/>
              </w:rPr>
              <w:t>3</w:t>
            </w:r>
            <w:r>
              <w:rPr>
                <w:rFonts w:hint="eastAsia" w:cs="Times New Roman"/>
                <w:color w:val="000000"/>
              </w:rPr>
              <w:t>/d，与生活污水一起进入现有生化池处理，处理规模为30m</w:t>
            </w:r>
            <w:r>
              <w:rPr>
                <w:rFonts w:hint="eastAsia" w:cs="Times New Roman"/>
                <w:color w:val="000000"/>
                <w:vertAlign w:val="superscript"/>
              </w:rPr>
              <w:t>3</w:t>
            </w:r>
            <w:r>
              <w:rPr>
                <w:rFonts w:hint="eastAsia" w:cs="Times New Roman"/>
                <w:color w:val="000000"/>
              </w:rPr>
              <w:t>/d，处理达《污水综合排放标准》（GB8978-1996）三级标准后，排入市政污水管网，排入市政污水管网，进入西彭工业园区污水处理厂</w:t>
            </w:r>
            <w:r>
              <w:rPr>
                <w:rFonts w:hint="eastAsia" w:cs="Times New Roman"/>
                <w:color w:val="000000"/>
                <w:kern w:val="2"/>
              </w:rPr>
              <w:t>进一步</w:t>
            </w:r>
            <w:r>
              <w:rPr>
                <w:rFonts w:hint="eastAsia" w:cs="Times New Roman"/>
                <w:color w:val="000000"/>
              </w:rPr>
              <w:t>处理达《污水综合排放标准》（GB8978-1996）一级标准后，经过桥头河排入长江。类比调查同类项目的废水污染物种类及浓度，废水污染物产</w:t>
            </w:r>
            <w:r>
              <w:rPr>
                <w:rFonts w:hint="eastAsia"/>
                <w:color w:val="000000"/>
              </w:rPr>
              <w:t>生及排放情况如下：</w:t>
            </w:r>
          </w:p>
          <w:p w14:paraId="3ACBC37C">
            <w:pPr>
              <w:pStyle w:val="8"/>
              <w:spacing w:after="0" w:line="360" w:lineRule="auto"/>
              <w:ind w:left="0" w:leftChars="0" w:firstLine="480" w:firstLineChars="200"/>
              <w:jc w:val="left"/>
              <w:rPr>
                <w:color w:val="000000"/>
              </w:rPr>
            </w:pPr>
          </w:p>
        </w:tc>
      </w:tr>
    </w:tbl>
    <w:p w14:paraId="3C9D92E4">
      <w:pPr>
        <w:pStyle w:val="15"/>
        <w:ind w:left="0" w:leftChars="0" w:firstLine="0" w:firstLineChars="0"/>
        <w:rPr>
          <w:color w:val="000000"/>
        </w:rPr>
        <w:sectPr>
          <w:pgSz w:w="11905" w:h="16838"/>
          <w:pgMar w:top="1440" w:right="1531" w:bottom="1440" w:left="1531" w:header="851" w:footer="992" w:gutter="0"/>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7"/>
      </w:tblGrid>
      <w:tr w14:paraId="2881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7" w:type="dxa"/>
            <w:noWrap w:val="0"/>
            <w:vAlign w:val="top"/>
          </w:tcPr>
          <w:p w14:paraId="3E047F95">
            <w:pPr>
              <w:pStyle w:val="36"/>
              <w:spacing w:before="156"/>
              <w:rPr>
                <w:rFonts w:eastAsia="宋体"/>
                <w:b/>
                <w:bCs/>
                <w:color w:val="000000"/>
              </w:rPr>
            </w:pPr>
            <w:bookmarkStart w:id="28" w:name="_Ref20833"/>
            <w:bookmarkStart w:id="29" w:name="_Ref28237"/>
            <w:r>
              <w:rPr>
                <w:rFonts w:eastAsia="宋体"/>
                <w:b/>
                <w:bCs/>
                <w:color w:val="000000"/>
              </w:rPr>
              <w:t>表4-</w:t>
            </w:r>
            <w:bookmarkEnd w:id="28"/>
            <w:r>
              <w:rPr>
                <w:rFonts w:eastAsia="宋体"/>
                <w:b/>
                <w:bCs/>
                <w:color w:val="000000"/>
              </w:rPr>
              <w:t>1</w:t>
            </w:r>
            <w:r>
              <w:rPr>
                <w:rFonts w:hint="eastAsia" w:eastAsia="宋体"/>
                <w:b/>
                <w:bCs/>
                <w:color w:val="000000"/>
              </w:rPr>
              <w:t>5</w:t>
            </w:r>
            <w:r>
              <w:rPr>
                <w:rFonts w:eastAsia="宋体"/>
                <w:b/>
                <w:bCs/>
                <w:color w:val="000000"/>
              </w:rPr>
              <w:t xml:space="preserve">  项目废水污染源强核算结果及相关参数一览表</w:t>
            </w:r>
            <w:bookmarkEnd w:id="29"/>
          </w:p>
          <w:tbl>
            <w:tblPr>
              <w:tblStyle w:val="16"/>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53"/>
              <w:gridCol w:w="966"/>
              <w:gridCol w:w="1156"/>
              <w:gridCol w:w="977"/>
              <w:gridCol w:w="1009"/>
              <w:gridCol w:w="940"/>
              <w:gridCol w:w="1384"/>
              <w:gridCol w:w="1381"/>
              <w:gridCol w:w="1384"/>
              <w:gridCol w:w="460"/>
              <w:gridCol w:w="961"/>
              <w:gridCol w:w="1005"/>
            </w:tblGrid>
            <w:tr w14:paraId="60CECFC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6C9BA13A">
                  <w:pPr>
                    <w:widowControl/>
                    <w:adjustRightInd w:val="0"/>
                    <w:snapToGrid w:val="0"/>
                    <w:jc w:val="center"/>
                    <w:textAlignment w:val="center"/>
                    <w:rPr>
                      <w:b/>
                      <w:bCs/>
                      <w:color w:val="000000"/>
                      <w:sz w:val="18"/>
                      <w:szCs w:val="18"/>
                    </w:rPr>
                  </w:pPr>
                  <w:r>
                    <w:rPr>
                      <w:b/>
                      <w:bCs/>
                      <w:color w:val="000000"/>
                      <w:kern w:val="0"/>
                      <w:sz w:val="18"/>
                      <w:szCs w:val="18"/>
                      <w:lang w:bidi="ar"/>
                    </w:rPr>
                    <w:t>类别</w:t>
                  </w:r>
                </w:p>
              </w:tc>
              <w:tc>
                <w:tcPr>
                  <w:tcW w:w="361" w:type="pct"/>
                  <w:vMerge w:val="restart"/>
                  <w:noWrap w:val="0"/>
                  <w:vAlign w:val="center"/>
                </w:tcPr>
                <w:p w14:paraId="44C2A9B9">
                  <w:pPr>
                    <w:widowControl/>
                    <w:adjustRightInd w:val="0"/>
                    <w:snapToGrid w:val="0"/>
                    <w:jc w:val="center"/>
                    <w:textAlignment w:val="center"/>
                    <w:rPr>
                      <w:b/>
                      <w:bCs/>
                      <w:color w:val="000000"/>
                      <w:sz w:val="18"/>
                      <w:szCs w:val="18"/>
                    </w:rPr>
                  </w:pPr>
                  <w:r>
                    <w:rPr>
                      <w:b/>
                      <w:bCs/>
                      <w:color w:val="000000"/>
                      <w:kern w:val="0"/>
                      <w:sz w:val="18"/>
                      <w:szCs w:val="18"/>
                      <w:lang w:bidi="ar"/>
                    </w:rPr>
                    <w:t>废水量t/a</w:t>
                  </w:r>
                </w:p>
              </w:tc>
              <w:tc>
                <w:tcPr>
                  <w:tcW w:w="1174" w:type="pct"/>
                  <w:gridSpan w:val="3"/>
                  <w:noWrap w:val="0"/>
                  <w:vAlign w:val="center"/>
                </w:tcPr>
                <w:p w14:paraId="7B801723">
                  <w:pPr>
                    <w:widowControl/>
                    <w:adjustRightInd w:val="0"/>
                    <w:snapToGrid w:val="0"/>
                    <w:jc w:val="center"/>
                    <w:textAlignment w:val="center"/>
                    <w:rPr>
                      <w:b/>
                      <w:bCs/>
                      <w:color w:val="000000"/>
                      <w:sz w:val="18"/>
                      <w:szCs w:val="18"/>
                    </w:rPr>
                  </w:pPr>
                  <w:r>
                    <w:rPr>
                      <w:b/>
                      <w:bCs/>
                      <w:color w:val="000000"/>
                      <w:kern w:val="0"/>
                      <w:sz w:val="18"/>
                      <w:szCs w:val="18"/>
                      <w:lang w:bidi="ar"/>
                    </w:rPr>
                    <w:t>产生情况</w:t>
                  </w:r>
                </w:p>
              </w:tc>
              <w:tc>
                <w:tcPr>
                  <w:tcW w:w="351" w:type="pct"/>
                  <w:noWrap w:val="0"/>
                  <w:vAlign w:val="center"/>
                </w:tcPr>
                <w:p w14:paraId="271787A9">
                  <w:pPr>
                    <w:widowControl/>
                    <w:adjustRightInd w:val="0"/>
                    <w:snapToGrid w:val="0"/>
                    <w:jc w:val="center"/>
                    <w:textAlignment w:val="center"/>
                    <w:rPr>
                      <w:b/>
                      <w:bCs/>
                      <w:color w:val="000000"/>
                      <w:sz w:val="18"/>
                      <w:szCs w:val="18"/>
                    </w:rPr>
                  </w:pPr>
                  <w:r>
                    <w:rPr>
                      <w:b/>
                      <w:bCs/>
                      <w:color w:val="000000"/>
                      <w:kern w:val="0"/>
                      <w:sz w:val="18"/>
                      <w:szCs w:val="18"/>
                      <w:lang w:bidi="ar"/>
                    </w:rPr>
                    <w:t>治理设施</w:t>
                  </w:r>
                </w:p>
              </w:tc>
              <w:tc>
                <w:tcPr>
                  <w:tcW w:w="1722" w:type="pct"/>
                  <w:gridSpan w:val="4"/>
                  <w:noWrap w:val="0"/>
                  <w:vAlign w:val="center"/>
                </w:tcPr>
                <w:p w14:paraId="19F383BD">
                  <w:pPr>
                    <w:widowControl/>
                    <w:adjustRightInd w:val="0"/>
                    <w:snapToGrid w:val="0"/>
                    <w:jc w:val="center"/>
                    <w:textAlignment w:val="center"/>
                    <w:rPr>
                      <w:b/>
                      <w:bCs/>
                      <w:color w:val="000000"/>
                      <w:sz w:val="18"/>
                      <w:szCs w:val="18"/>
                    </w:rPr>
                  </w:pPr>
                  <w:r>
                    <w:rPr>
                      <w:b/>
                      <w:bCs/>
                      <w:color w:val="000000"/>
                      <w:kern w:val="0"/>
                      <w:sz w:val="18"/>
                      <w:szCs w:val="18"/>
                      <w:lang w:bidi="ar"/>
                    </w:rPr>
                    <w:t>排放情况</w:t>
                  </w:r>
                </w:p>
              </w:tc>
              <w:tc>
                <w:tcPr>
                  <w:tcW w:w="734" w:type="pct"/>
                  <w:gridSpan w:val="2"/>
                  <w:noWrap w:val="0"/>
                  <w:vAlign w:val="center"/>
                </w:tcPr>
                <w:p w14:paraId="629A572A">
                  <w:pPr>
                    <w:widowControl/>
                    <w:adjustRightInd w:val="0"/>
                    <w:snapToGrid w:val="0"/>
                    <w:jc w:val="center"/>
                    <w:textAlignment w:val="center"/>
                    <w:rPr>
                      <w:b/>
                      <w:bCs/>
                      <w:color w:val="000000"/>
                      <w:kern w:val="0"/>
                      <w:sz w:val="18"/>
                      <w:szCs w:val="18"/>
                      <w:lang w:bidi="ar"/>
                    </w:rPr>
                  </w:pPr>
                  <w:r>
                    <w:rPr>
                      <w:rFonts w:hint="eastAsia"/>
                      <w:b/>
                      <w:bCs/>
                      <w:color w:val="000000"/>
                      <w:kern w:val="0"/>
                      <w:sz w:val="18"/>
                      <w:szCs w:val="18"/>
                      <w:lang w:bidi="ar"/>
                    </w:rPr>
                    <w:t>园区</w:t>
                  </w:r>
                  <w:r>
                    <w:rPr>
                      <w:b/>
                      <w:bCs/>
                      <w:color w:val="000000"/>
                      <w:kern w:val="0"/>
                      <w:sz w:val="18"/>
                      <w:szCs w:val="18"/>
                      <w:lang w:bidi="ar"/>
                    </w:rPr>
                    <w:t>污水处理厂</w:t>
                  </w:r>
                </w:p>
                <w:p w14:paraId="49AF5F39">
                  <w:pPr>
                    <w:widowControl/>
                    <w:adjustRightInd w:val="0"/>
                    <w:snapToGrid w:val="0"/>
                    <w:jc w:val="center"/>
                    <w:textAlignment w:val="center"/>
                    <w:rPr>
                      <w:b/>
                      <w:bCs/>
                      <w:color w:val="000000"/>
                      <w:sz w:val="18"/>
                      <w:szCs w:val="18"/>
                    </w:rPr>
                  </w:pPr>
                  <w:r>
                    <w:rPr>
                      <w:b/>
                      <w:bCs/>
                      <w:color w:val="000000"/>
                      <w:kern w:val="0"/>
                      <w:sz w:val="18"/>
                      <w:szCs w:val="18"/>
                      <w:lang w:bidi="ar"/>
                    </w:rPr>
                    <w:t>排放情况</w:t>
                  </w:r>
                </w:p>
              </w:tc>
            </w:tr>
            <w:tr w14:paraId="3B4018C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76F9D83A">
                  <w:pPr>
                    <w:widowControl/>
                    <w:adjustRightInd w:val="0"/>
                    <w:snapToGrid w:val="0"/>
                    <w:jc w:val="center"/>
                    <w:rPr>
                      <w:b/>
                      <w:bCs/>
                      <w:color w:val="000000"/>
                      <w:sz w:val="18"/>
                      <w:szCs w:val="18"/>
                    </w:rPr>
                  </w:pPr>
                </w:p>
              </w:tc>
              <w:tc>
                <w:tcPr>
                  <w:tcW w:w="361" w:type="pct"/>
                  <w:vMerge w:val="continue"/>
                  <w:noWrap w:val="0"/>
                  <w:vAlign w:val="center"/>
                </w:tcPr>
                <w:p w14:paraId="3A6832DF">
                  <w:pPr>
                    <w:widowControl/>
                    <w:adjustRightInd w:val="0"/>
                    <w:snapToGrid w:val="0"/>
                    <w:jc w:val="center"/>
                    <w:rPr>
                      <w:b/>
                      <w:bCs/>
                      <w:color w:val="000000"/>
                      <w:sz w:val="18"/>
                      <w:szCs w:val="18"/>
                    </w:rPr>
                  </w:pPr>
                </w:p>
              </w:tc>
              <w:tc>
                <w:tcPr>
                  <w:tcW w:w="432" w:type="pct"/>
                  <w:noWrap w:val="0"/>
                  <w:vAlign w:val="center"/>
                </w:tcPr>
                <w:p w14:paraId="4718D943">
                  <w:pPr>
                    <w:widowControl/>
                    <w:adjustRightInd w:val="0"/>
                    <w:snapToGrid w:val="0"/>
                    <w:jc w:val="center"/>
                    <w:textAlignment w:val="center"/>
                    <w:rPr>
                      <w:b/>
                      <w:bCs/>
                      <w:color w:val="000000"/>
                      <w:sz w:val="18"/>
                      <w:szCs w:val="18"/>
                    </w:rPr>
                  </w:pPr>
                  <w:r>
                    <w:rPr>
                      <w:b/>
                      <w:bCs/>
                      <w:color w:val="000000"/>
                      <w:kern w:val="0"/>
                      <w:sz w:val="18"/>
                      <w:szCs w:val="18"/>
                      <w:lang w:bidi="ar"/>
                    </w:rPr>
                    <w:t>污染物指标</w:t>
                  </w:r>
                </w:p>
              </w:tc>
              <w:tc>
                <w:tcPr>
                  <w:tcW w:w="365" w:type="pct"/>
                  <w:noWrap w:val="0"/>
                  <w:vAlign w:val="center"/>
                </w:tcPr>
                <w:p w14:paraId="68B253F8">
                  <w:pPr>
                    <w:widowControl/>
                    <w:adjustRightInd w:val="0"/>
                    <w:snapToGrid w:val="0"/>
                    <w:jc w:val="center"/>
                    <w:textAlignment w:val="center"/>
                    <w:rPr>
                      <w:b/>
                      <w:bCs/>
                      <w:color w:val="000000"/>
                      <w:sz w:val="18"/>
                      <w:szCs w:val="18"/>
                    </w:rPr>
                  </w:pPr>
                  <w:r>
                    <w:rPr>
                      <w:b/>
                      <w:bCs/>
                      <w:color w:val="000000"/>
                      <w:kern w:val="0"/>
                      <w:sz w:val="18"/>
                      <w:szCs w:val="18"/>
                      <w:lang w:bidi="ar"/>
                    </w:rPr>
                    <w:t>产生浓度mg/L</w:t>
                  </w:r>
                </w:p>
              </w:tc>
              <w:tc>
                <w:tcPr>
                  <w:tcW w:w="377" w:type="pct"/>
                  <w:noWrap w:val="0"/>
                  <w:vAlign w:val="center"/>
                </w:tcPr>
                <w:p w14:paraId="4821B5E9">
                  <w:pPr>
                    <w:widowControl/>
                    <w:adjustRightInd w:val="0"/>
                    <w:snapToGrid w:val="0"/>
                    <w:jc w:val="center"/>
                    <w:textAlignment w:val="center"/>
                    <w:rPr>
                      <w:b/>
                      <w:bCs/>
                      <w:color w:val="000000"/>
                      <w:sz w:val="18"/>
                      <w:szCs w:val="18"/>
                    </w:rPr>
                  </w:pPr>
                  <w:r>
                    <w:rPr>
                      <w:b/>
                      <w:bCs/>
                      <w:color w:val="000000"/>
                      <w:kern w:val="0"/>
                      <w:sz w:val="18"/>
                      <w:szCs w:val="18"/>
                      <w:lang w:bidi="ar"/>
                    </w:rPr>
                    <w:t>产生量t/a</w:t>
                  </w:r>
                </w:p>
              </w:tc>
              <w:tc>
                <w:tcPr>
                  <w:tcW w:w="351" w:type="pct"/>
                  <w:noWrap w:val="0"/>
                  <w:vAlign w:val="center"/>
                </w:tcPr>
                <w:p w14:paraId="3BA2A7CB">
                  <w:pPr>
                    <w:widowControl/>
                    <w:adjustRightInd w:val="0"/>
                    <w:snapToGrid w:val="0"/>
                    <w:jc w:val="center"/>
                    <w:textAlignment w:val="center"/>
                    <w:rPr>
                      <w:b/>
                      <w:bCs/>
                      <w:color w:val="000000"/>
                      <w:sz w:val="18"/>
                      <w:szCs w:val="18"/>
                    </w:rPr>
                  </w:pPr>
                  <w:r>
                    <w:rPr>
                      <w:b/>
                      <w:bCs/>
                      <w:color w:val="000000"/>
                      <w:kern w:val="0"/>
                      <w:sz w:val="18"/>
                      <w:szCs w:val="18"/>
                      <w:lang w:bidi="ar"/>
                    </w:rPr>
                    <w:t>治理工艺</w:t>
                  </w:r>
                </w:p>
              </w:tc>
              <w:tc>
                <w:tcPr>
                  <w:tcW w:w="517" w:type="pct"/>
                  <w:noWrap w:val="0"/>
                  <w:vAlign w:val="center"/>
                </w:tcPr>
                <w:p w14:paraId="11FD1054">
                  <w:pPr>
                    <w:widowControl/>
                    <w:adjustRightInd w:val="0"/>
                    <w:snapToGrid w:val="0"/>
                    <w:jc w:val="center"/>
                    <w:textAlignment w:val="center"/>
                    <w:rPr>
                      <w:b/>
                      <w:bCs/>
                      <w:color w:val="000000"/>
                      <w:sz w:val="18"/>
                      <w:szCs w:val="18"/>
                    </w:rPr>
                  </w:pPr>
                  <w:r>
                    <w:rPr>
                      <w:b/>
                      <w:bCs/>
                      <w:color w:val="000000"/>
                      <w:kern w:val="0"/>
                      <w:sz w:val="18"/>
                      <w:szCs w:val="18"/>
                      <w:lang w:bidi="ar"/>
                    </w:rPr>
                    <w:t>浓度mg/L</w:t>
                  </w:r>
                </w:p>
              </w:tc>
              <w:tc>
                <w:tcPr>
                  <w:tcW w:w="516" w:type="pct"/>
                  <w:noWrap w:val="0"/>
                  <w:vAlign w:val="center"/>
                </w:tcPr>
                <w:p w14:paraId="2CC9CDC6">
                  <w:pPr>
                    <w:widowControl/>
                    <w:adjustRightInd w:val="0"/>
                    <w:snapToGrid w:val="0"/>
                    <w:jc w:val="center"/>
                    <w:textAlignment w:val="center"/>
                    <w:rPr>
                      <w:b/>
                      <w:bCs/>
                      <w:color w:val="000000"/>
                      <w:sz w:val="18"/>
                      <w:szCs w:val="18"/>
                    </w:rPr>
                  </w:pPr>
                  <w:r>
                    <w:rPr>
                      <w:b/>
                      <w:bCs/>
                      <w:color w:val="000000"/>
                      <w:kern w:val="0"/>
                      <w:sz w:val="18"/>
                      <w:szCs w:val="18"/>
                      <w:lang w:bidi="ar"/>
                    </w:rPr>
                    <w:t>排放量t/a</w:t>
                  </w:r>
                </w:p>
              </w:tc>
              <w:tc>
                <w:tcPr>
                  <w:tcW w:w="517" w:type="pct"/>
                  <w:noWrap w:val="0"/>
                  <w:vAlign w:val="center"/>
                </w:tcPr>
                <w:p w14:paraId="13B49E82">
                  <w:pPr>
                    <w:widowControl/>
                    <w:adjustRightInd w:val="0"/>
                    <w:snapToGrid w:val="0"/>
                    <w:jc w:val="center"/>
                    <w:textAlignment w:val="center"/>
                    <w:rPr>
                      <w:b/>
                      <w:bCs/>
                      <w:color w:val="000000"/>
                      <w:sz w:val="18"/>
                      <w:szCs w:val="18"/>
                    </w:rPr>
                  </w:pPr>
                  <w:r>
                    <w:rPr>
                      <w:b/>
                      <w:bCs/>
                      <w:color w:val="000000"/>
                      <w:kern w:val="0"/>
                      <w:sz w:val="18"/>
                      <w:szCs w:val="18"/>
                      <w:lang w:bidi="ar"/>
                    </w:rPr>
                    <w:t>执行标准mg/L</w:t>
                  </w:r>
                </w:p>
              </w:tc>
              <w:tc>
                <w:tcPr>
                  <w:tcW w:w="171" w:type="pct"/>
                  <w:noWrap w:val="0"/>
                  <w:vAlign w:val="center"/>
                </w:tcPr>
                <w:p w14:paraId="06FC976A">
                  <w:pPr>
                    <w:widowControl/>
                    <w:adjustRightInd w:val="0"/>
                    <w:snapToGrid w:val="0"/>
                    <w:jc w:val="center"/>
                    <w:textAlignment w:val="center"/>
                    <w:rPr>
                      <w:b/>
                      <w:bCs/>
                      <w:color w:val="000000"/>
                      <w:sz w:val="18"/>
                      <w:szCs w:val="18"/>
                    </w:rPr>
                  </w:pPr>
                  <w:r>
                    <w:rPr>
                      <w:b/>
                      <w:bCs/>
                      <w:color w:val="000000"/>
                      <w:kern w:val="0"/>
                      <w:sz w:val="18"/>
                      <w:szCs w:val="18"/>
                      <w:lang w:bidi="ar"/>
                    </w:rPr>
                    <w:t>达标分析</w:t>
                  </w:r>
                </w:p>
              </w:tc>
              <w:tc>
                <w:tcPr>
                  <w:tcW w:w="359" w:type="pct"/>
                  <w:noWrap w:val="0"/>
                  <w:vAlign w:val="center"/>
                </w:tcPr>
                <w:p w14:paraId="49FBA3FA">
                  <w:pPr>
                    <w:widowControl/>
                    <w:adjustRightInd w:val="0"/>
                    <w:snapToGrid w:val="0"/>
                    <w:jc w:val="center"/>
                    <w:textAlignment w:val="center"/>
                    <w:rPr>
                      <w:b/>
                      <w:bCs/>
                      <w:color w:val="000000"/>
                      <w:sz w:val="18"/>
                      <w:szCs w:val="18"/>
                    </w:rPr>
                  </w:pPr>
                  <w:r>
                    <w:rPr>
                      <w:b/>
                      <w:bCs/>
                      <w:color w:val="000000"/>
                      <w:kern w:val="0"/>
                      <w:sz w:val="18"/>
                      <w:szCs w:val="18"/>
                      <w:lang w:bidi="ar"/>
                    </w:rPr>
                    <w:t>浓度mg/L</w:t>
                  </w:r>
                </w:p>
              </w:tc>
              <w:tc>
                <w:tcPr>
                  <w:tcW w:w="375" w:type="pct"/>
                  <w:noWrap w:val="0"/>
                  <w:vAlign w:val="center"/>
                </w:tcPr>
                <w:p w14:paraId="165D7371">
                  <w:pPr>
                    <w:widowControl/>
                    <w:adjustRightInd w:val="0"/>
                    <w:snapToGrid w:val="0"/>
                    <w:jc w:val="center"/>
                    <w:textAlignment w:val="center"/>
                    <w:rPr>
                      <w:b/>
                      <w:bCs/>
                      <w:color w:val="000000"/>
                      <w:sz w:val="18"/>
                      <w:szCs w:val="18"/>
                    </w:rPr>
                  </w:pPr>
                  <w:r>
                    <w:rPr>
                      <w:b/>
                      <w:bCs/>
                      <w:color w:val="000000"/>
                      <w:kern w:val="0"/>
                      <w:sz w:val="18"/>
                      <w:szCs w:val="18"/>
                      <w:lang w:bidi="ar"/>
                    </w:rPr>
                    <w:t>排放量t/a</w:t>
                  </w:r>
                </w:p>
              </w:tc>
            </w:tr>
            <w:tr w14:paraId="669B866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3D9678FF">
                  <w:pPr>
                    <w:widowControl/>
                    <w:adjustRightInd w:val="0"/>
                    <w:snapToGrid w:val="0"/>
                    <w:jc w:val="center"/>
                    <w:textAlignment w:val="center"/>
                    <w:rPr>
                      <w:color w:val="000000"/>
                      <w:sz w:val="18"/>
                      <w:szCs w:val="18"/>
                    </w:rPr>
                  </w:pPr>
                  <w:r>
                    <w:rPr>
                      <w:color w:val="000000"/>
                      <w:kern w:val="0"/>
                      <w:sz w:val="18"/>
                      <w:szCs w:val="18"/>
                      <w:lang w:bidi="ar"/>
                    </w:rPr>
                    <w:t>生活污水</w:t>
                  </w:r>
                </w:p>
              </w:tc>
              <w:tc>
                <w:tcPr>
                  <w:tcW w:w="361" w:type="pct"/>
                  <w:vMerge w:val="restart"/>
                  <w:noWrap w:val="0"/>
                  <w:vAlign w:val="center"/>
                </w:tcPr>
                <w:p w14:paraId="6BD05C93">
                  <w:pPr>
                    <w:widowControl/>
                    <w:adjustRightInd w:val="0"/>
                    <w:snapToGrid w:val="0"/>
                    <w:jc w:val="center"/>
                    <w:textAlignment w:val="center"/>
                    <w:rPr>
                      <w:color w:val="000000"/>
                      <w:sz w:val="18"/>
                      <w:szCs w:val="18"/>
                    </w:rPr>
                  </w:pPr>
                  <w:r>
                    <w:rPr>
                      <w:color w:val="000000"/>
                      <w:kern w:val="0"/>
                      <w:sz w:val="18"/>
                      <w:szCs w:val="18"/>
                      <w:lang w:bidi="ar"/>
                    </w:rPr>
                    <w:t>675</w:t>
                  </w:r>
                </w:p>
              </w:tc>
              <w:tc>
                <w:tcPr>
                  <w:tcW w:w="432" w:type="pct"/>
                  <w:noWrap w:val="0"/>
                  <w:vAlign w:val="center"/>
                </w:tcPr>
                <w:p w14:paraId="463385E4">
                  <w:pPr>
                    <w:widowControl/>
                    <w:adjustRightInd w:val="0"/>
                    <w:snapToGrid w:val="0"/>
                    <w:jc w:val="center"/>
                    <w:textAlignment w:val="center"/>
                    <w:rPr>
                      <w:color w:val="000000"/>
                      <w:sz w:val="18"/>
                      <w:szCs w:val="18"/>
                    </w:rPr>
                  </w:pPr>
                  <w:r>
                    <w:rPr>
                      <w:color w:val="000000"/>
                      <w:kern w:val="0"/>
                      <w:sz w:val="18"/>
                      <w:szCs w:val="18"/>
                      <w:lang w:bidi="ar"/>
                    </w:rPr>
                    <w:t>pH（无量纲）</w:t>
                  </w:r>
                </w:p>
              </w:tc>
              <w:tc>
                <w:tcPr>
                  <w:tcW w:w="365" w:type="pct"/>
                  <w:noWrap w:val="0"/>
                  <w:vAlign w:val="center"/>
                </w:tcPr>
                <w:p w14:paraId="74655536">
                  <w:pPr>
                    <w:widowControl/>
                    <w:adjustRightInd w:val="0"/>
                    <w:snapToGrid w:val="0"/>
                    <w:jc w:val="center"/>
                    <w:textAlignment w:val="center"/>
                    <w:rPr>
                      <w:color w:val="000000"/>
                      <w:sz w:val="18"/>
                      <w:szCs w:val="18"/>
                    </w:rPr>
                  </w:pPr>
                  <w:r>
                    <w:rPr>
                      <w:color w:val="000000"/>
                      <w:kern w:val="0"/>
                      <w:sz w:val="18"/>
                      <w:szCs w:val="18"/>
                      <w:lang w:bidi="ar"/>
                    </w:rPr>
                    <w:t>/</w:t>
                  </w:r>
                </w:p>
              </w:tc>
              <w:tc>
                <w:tcPr>
                  <w:tcW w:w="377" w:type="pct"/>
                  <w:noWrap w:val="0"/>
                  <w:vAlign w:val="center"/>
                </w:tcPr>
                <w:p w14:paraId="06E82BF3">
                  <w:pPr>
                    <w:widowControl/>
                    <w:adjustRightInd w:val="0"/>
                    <w:snapToGrid w:val="0"/>
                    <w:jc w:val="center"/>
                    <w:textAlignment w:val="center"/>
                    <w:rPr>
                      <w:color w:val="000000"/>
                      <w:sz w:val="18"/>
                      <w:szCs w:val="18"/>
                    </w:rPr>
                  </w:pPr>
                  <w:r>
                    <w:rPr>
                      <w:color w:val="000000"/>
                      <w:kern w:val="0"/>
                      <w:sz w:val="18"/>
                      <w:szCs w:val="18"/>
                      <w:lang w:bidi="ar"/>
                    </w:rPr>
                    <w:t>/</w:t>
                  </w:r>
                </w:p>
              </w:tc>
              <w:tc>
                <w:tcPr>
                  <w:tcW w:w="351" w:type="pct"/>
                  <w:vMerge w:val="restart"/>
                  <w:noWrap w:val="0"/>
                  <w:vAlign w:val="center"/>
                </w:tcPr>
                <w:p w14:paraId="38FA3F03">
                  <w:pPr>
                    <w:widowControl/>
                    <w:adjustRightInd w:val="0"/>
                    <w:snapToGrid w:val="0"/>
                    <w:jc w:val="center"/>
                    <w:textAlignment w:val="center"/>
                    <w:rPr>
                      <w:color w:val="000000"/>
                      <w:sz w:val="18"/>
                      <w:szCs w:val="18"/>
                    </w:rPr>
                  </w:pPr>
                  <w:r>
                    <w:rPr>
                      <w:color w:val="000000"/>
                      <w:kern w:val="0"/>
                      <w:sz w:val="18"/>
                      <w:szCs w:val="18"/>
                      <w:lang w:bidi="ar"/>
                    </w:rPr>
                    <w:t>生化池</w:t>
                  </w:r>
                </w:p>
              </w:tc>
              <w:tc>
                <w:tcPr>
                  <w:tcW w:w="517" w:type="pct"/>
                  <w:noWrap w:val="0"/>
                  <w:vAlign w:val="center"/>
                </w:tcPr>
                <w:p w14:paraId="567610E5">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1AA420C1">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39C669AB">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4F9C6197">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5D0B8020">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58C9E15E">
                  <w:pPr>
                    <w:widowControl/>
                    <w:adjustRightInd w:val="0"/>
                    <w:snapToGrid w:val="0"/>
                    <w:jc w:val="center"/>
                    <w:textAlignment w:val="center"/>
                    <w:rPr>
                      <w:color w:val="000000"/>
                      <w:sz w:val="18"/>
                      <w:szCs w:val="18"/>
                    </w:rPr>
                  </w:pPr>
                  <w:r>
                    <w:rPr>
                      <w:color w:val="000000"/>
                      <w:kern w:val="0"/>
                      <w:sz w:val="18"/>
                      <w:szCs w:val="18"/>
                      <w:lang w:bidi="ar"/>
                    </w:rPr>
                    <w:t>/</w:t>
                  </w:r>
                </w:p>
              </w:tc>
            </w:tr>
            <w:tr w14:paraId="33AFA38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22634B51">
                  <w:pPr>
                    <w:widowControl/>
                    <w:adjustRightInd w:val="0"/>
                    <w:snapToGrid w:val="0"/>
                    <w:jc w:val="center"/>
                    <w:rPr>
                      <w:color w:val="000000"/>
                      <w:sz w:val="18"/>
                      <w:szCs w:val="18"/>
                    </w:rPr>
                  </w:pPr>
                </w:p>
              </w:tc>
              <w:tc>
                <w:tcPr>
                  <w:tcW w:w="361" w:type="pct"/>
                  <w:vMerge w:val="continue"/>
                  <w:noWrap w:val="0"/>
                  <w:vAlign w:val="center"/>
                </w:tcPr>
                <w:p w14:paraId="00489936">
                  <w:pPr>
                    <w:widowControl/>
                    <w:adjustRightInd w:val="0"/>
                    <w:snapToGrid w:val="0"/>
                    <w:jc w:val="center"/>
                    <w:rPr>
                      <w:color w:val="000000"/>
                      <w:sz w:val="18"/>
                      <w:szCs w:val="18"/>
                    </w:rPr>
                  </w:pPr>
                </w:p>
              </w:tc>
              <w:tc>
                <w:tcPr>
                  <w:tcW w:w="432" w:type="pct"/>
                  <w:noWrap w:val="0"/>
                  <w:vAlign w:val="center"/>
                </w:tcPr>
                <w:p w14:paraId="3B2EACAB">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7E3573F2">
                  <w:pPr>
                    <w:widowControl/>
                    <w:adjustRightInd w:val="0"/>
                    <w:snapToGrid w:val="0"/>
                    <w:jc w:val="center"/>
                    <w:textAlignment w:val="center"/>
                    <w:rPr>
                      <w:color w:val="000000"/>
                      <w:sz w:val="18"/>
                      <w:szCs w:val="18"/>
                    </w:rPr>
                  </w:pPr>
                  <w:r>
                    <w:rPr>
                      <w:color w:val="000000"/>
                      <w:kern w:val="0"/>
                      <w:sz w:val="18"/>
                      <w:szCs w:val="18"/>
                      <w:lang w:bidi="ar"/>
                    </w:rPr>
                    <w:t>500</w:t>
                  </w:r>
                </w:p>
              </w:tc>
              <w:tc>
                <w:tcPr>
                  <w:tcW w:w="377" w:type="pct"/>
                  <w:noWrap w:val="0"/>
                  <w:vAlign w:val="center"/>
                </w:tcPr>
                <w:p w14:paraId="4DEAB588">
                  <w:pPr>
                    <w:widowControl/>
                    <w:adjustRightInd w:val="0"/>
                    <w:snapToGrid w:val="0"/>
                    <w:jc w:val="center"/>
                    <w:textAlignment w:val="center"/>
                    <w:rPr>
                      <w:color w:val="000000"/>
                      <w:sz w:val="18"/>
                      <w:szCs w:val="18"/>
                    </w:rPr>
                  </w:pPr>
                  <w:r>
                    <w:rPr>
                      <w:color w:val="000000"/>
                      <w:kern w:val="0"/>
                      <w:sz w:val="18"/>
                      <w:szCs w:val="18"/>
                      <w:lang w:bidi="ar"/>
                    </w:rPr>
                    <w:t xml:space="preserve">0.338 </w:t>
                  </w:r>
                </w:p>
              </w:tc>
              <w:tc>
                <w:tcPr>
                  <w:tcW w:w="351" w:type="pct"/>
                  <w:vMerge w:val="continue"/>
                  <w:noWrap w:val="0"/>
                  <w:vAlign w:val="center"/>
                </w:tcPr>
                <w:p w14:paraId="2868A8E4">
                  <w:pPr>
                    <w:widowControl/>
                    <w:adjustRightInd w:val="0"/>
                    <w:snapToGrid w:val="0"/>
                    <w:jc w:val="center"/>
                    <w:rPr>
                      <w:color w:val="000000"/>
                      <w:sz w:val="18"/>
                      <w:szCs w:val="18"/>
                    </w:rPr>
                  </w:pPr>
                </w:p>
              </w:tc>
              <w:tc>
                <w:tcPr>
                  <w:tcW w:w="517" w:type="pct"/>
                  <w:noWrap w:val="0"/>
                  <w:vAlign w:val="center"/>
                </w:tcPr>
                <w:p w14:paraId="544180BA">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43C3348D">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02D2D905">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63AC33C">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0C3B19A2">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23C886CE">
                  <w:pPr>
                    <w:widowControl/>
                    <w:adjustRightInd w:val="0"/>
                    <w:snapToGrid w:val="0"/>
                    <w:jc w:val="center"/>
                    <w:textAlignment w:val="center"/>
                    <w:rPr>
                      <w:color w:val="000000"/>
                      <w:sz w:val="18"/>
                      <w:szCs w:val="18"/>
                    </w:rPr>
                  </w:pPr>
                  <w:r>
                    <w:rPr>
                      <w:color w:val="000000"/>
                      <w:kern w:val="0"/>
                      <w:sz w:val="18"/>
                      <w:szCs w:val="18"/>
                      <w:lang w:bidi="ar"/>
                    </w:rPr>
                    <w:t>/</w:t>
                  </w:r>
                </w:p>
              </w:tc>
            </w:tr>
            <w:tr w14:paraId="489B84E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35C77EDA">
                  <w:pPr>
                    <w:widowControl/>
                    <w:adjustRightInd w:val="0"/>
                    <w:snapToGrid w:val="0"/>
                    <w:jc w:val="center"/>
                    <w:rPr>
                      <w:color w:val="000000"/>
                      <w:sz w:val="18"/>
                      <w:szCs w:val="18"/>
                    </w:rPr>
                  </w:pPr>
                </w:p>
              </w:tc>
              <w:tc>
                <w:tcPr>
                  <w:tcW w:w="361" w:type="pct"/>
                  <w:vMerge w:val="continue"/>
                  <w:noWrap w:val="0"/>
                  <w:vAlign w:val="center"/>
                </w:tcPr>
                <w:p w14:paraId="1AF71D97">
                  <w:pPr>
                    <w:widowControl/>
                    <w:adjustRightInd w:val="0"/>
                    <w:snapToGrid w:val="0"/>
                    <w:jc w:val="center"/>
                    <w:rPr>
                      <w:color w:val="000000"/>
                      <w:sz w:val="18"/>
                      <w:szCs w:val="18"/>
                    </w:rPr>
                  </w:pPr>
                </w:p>
              </w:tc>
              <w:tc>
                <w:tcPr>
                  <w:tcW w:w="432" w:type="pct"/>
                  <w:noWrap w:val="0"/>
                  <w:vAlign w:val="center"/>
                </w:tcPr>
                <w:p w14:paraId="49665867">
                  <w:pPr>
                    <w:widowControl/>
                    <w:adjustRightInd w:val="0"/>
                    <w:snapToGrid w:val="0"/>
                    <w:jc w:val="center"/>
                    <w:textAlignment w:val="center"/>
                    <w:rPr>
                      <w:color w:val="000000"/>
                      <w:sz w:val="18"/>
                      <w:szCs w:val="18"/>
                    </w:rPr>
                  </w:pPr>
                  <w:r>
                    <w:rPr>
                      <w:color w:val="000000"/>
                      <w:kern w:val="0"/>
                      <w:sz w:val="18"/>
                      <w:szCs w:val="18"/>
                      <w:lang w:bidi="ar"/>
                    </w:rPr>
                    <w:t>BOD</w:t>
                  </w:r>
                  <w:r>
                    <w:rPr>
                      <w:color w:val="000000"/>
                      <w:kern w:val="0"/>
                      <w:sz w:val="18"/>
                      <w:szCs w:val="18"/>
                      <w:vertAlign w:val="subscript"/>
                      <w:lang w:bidi="ar"/>
                    </w:rPr>
                    <w:t>5</w:t>
                  </w:r>
                </w:p>
              </w:tc>
              <w:tc>
                <w:tcPr>
                  <w:tcW w:w="365" w:type="pct"/>
                  <w:noWrap w:val="0"/>
                  <w:vAlign w:val="center"/>
                </w:tcPr>
                <w:p w14:paraId="47B57179">
                  <w:pPr>
                    <w:widowControl/>
                    <w:adjustRightInd w:val="0"/>
                    <w:snapToGrid w:val="0"/>
                    <w:jc w:val="center"/>
                    <w:textAlignment w:val="center"/>
                    <w:rPr>
                      <w:color w:val="000000"/>
                      <w:sz w:val="18"/>
                      <w:szCs w:val="18"/>
                    </w:rPr>
                  </w:pPr>
                  <w:r>
                    <w:rPr>
                      <w:color w:val="000000"/>
                      <w:kern w:val="0"/>
                      <w:sz w:val="18"/>
                      <w:szCs w:val="18"/>
                      <w:lang w:bidi="ar"/>
                    </w:rPr>
                    <w:t>300</w:t>
                  </w:r>
                </w:p>
              </w:tc>
              <w:tc>
                <w:tcPr>
                  <w:tcW w:w="377" w:type="pct"/>
                  <w:noWrap w:val="0"/>
                  <w:vAlign w:val="center"/>
                </w:tcPr>
                <w:p w14:paraId="7A6D17D5">
                  <w:pPr>
                    <w:widowControl/>
                    <w:adjustRightInd w:val="0"/>
                    <w:snapToGrid w:val="0"/>
                    <w:jc w:val="center"/>
                    <w:textAlignment w:val="center"/>
                    <w:rPr>
                      <w:color w:val="000000"/>
                      <w:sz w:val="18"/>
                      <w:szCs w:val="18"/>
                    </w:rPr>
                  </w:pPr>
                  <w:r>
                    <w:rPr>
                      <w:color w:val="000000"/>
                      <w:kern w:val="0"/>
                      <w:sz w:val="18"/>
                      <w:szCs w:val="18"/>
                      <w:lang w:bidi="ar"/>
                    </w:rPr>
                    <w:t xml:space="preserve">0.203 </w:t>
                  </w:r>
                </w:p>
              </w:tc>
              <w:tc>
                <w:tcPr>
                  <w:tcW w:w="351" w:type="pct"/>
                  <w:vMerge w:val="continue"/>
                  <w:noWrap w:val="0"/>
                  <w:vAlign w:val="center"/>
                </w:tcPr>
                <w:p w14:paraId="3585965B">
                  <w:pPr>
                    <w:widowControl/>
                    <w:adjustRightInd w:val="0"/>
                    <w:snapToGrid w:val="0"/>
                    <w:jc w:val="center"/>
                    <w:rPr>
                      <w:color w:val="000000"/>
                      <w:sz w:val="18"/>
                      <w:szCs w:val="18"/>
                    </w:rPr>
                  </w:pPr>
                </w:p>
              </w:tc>
              <w:tc>
                <w:tcPr>
                  <w:tcW w:w="517" w:type="pct"/>
                  <w:noWrap w:val="0"/>
                  <w:vAlign w:val="center"/>
                </w:tcPr>
                <w:p w14:paraId="4C6CFE0A">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362D4675">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1708B312">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0C29C971">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3434928E">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5F6583F0">
                  <w:pPr>
                    <w:widowControl/>
                    <w:adjustRightInd w:val="0"/>
                    <w:snapToGrid w:val="0"/>
                    <w:jc w:val="center"/>
                    <w:textAlignment w:val="center"/>
                    <w:rPr>
                      <w:color w:val="000000"/>
                      <w:sz w:val="18"/>
                      <w:szCs w:val="18"/>
                    </w:rPr>
                  </w:pPr>
                  <w:r>
                    <w:rPr>
                      <w:color w:val="000000"/>
                      <w:kern w:val="0"/>
                      <w:sz w:val="18"/>
                      <w:szCs w:val="18"/>
                      <w:lang w:bidi="ar"/>
                    </w:rPr>
                    <w:t>/</w:t>
                  </w:r>
                </w:p>
              </w:tc>
            </w:tr>
            <w:tr w14:paraId="3543BF8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498DC933">
                  <w:pPr>
                    <w:widowControl/>
                    <w:adjustRightInd w:val="0"/>
                    <w:snapToGrid w:val="0"/>
                    <w:jc w:val="center"/>
                    <w:rPr>
                      <w:color w:val="000000"/>
                      <w:sz w:val="18"/>
                      <w:szCs w:val="18"/>
                    </w:rPr>
                  </w:pPr>
                </w:p>
              </w:tc>
              <w:tc>
                <w:tcPr>
                  <w:tcW w:w="361" w:type="pct"/>
                  <w:vMerge w:val="continue"/>
                  <w:noWrap w:val="0"/>
                  <w:vAlign w:val="center"/>
                </w:tcPr>
                <w:p w14:paraId="72516736">
                  <w:pPr>
                    <w:widowControl/>
                    <w:adjustRightInd w:val="0"/>
                    <w:snapToGrid w:val="0"/>
                    <w:jc w:val="center"/>
                    <w:rPr>
                      <w:color w:val="000000"/>
                      <w:sz w:val="18"/>
                      <w:szCs w:val="18"/>
                    </w:rPr>
                  </w:pPr>
                </w:p>
              </w:tc>
              <w:tc>
                <w:tcPr>
                  <w:tcW w:w="432" w:type="pct"/>
                  <w:noWrap w:val="0"/>
                  <w:vAlign w:val="center"/>
                </w:tcPr>
                <w:p w14:paraId="3E4B7696">
                  <w:pPr>
                    <w:widowControl/>
                    <w:adjustRightInd w:val="0"/>
                    <w:snapToGrid w:val="0"/>
                    <w:jc w:val="center"/>
                    <w:textAlignment w:val="center"/>
                    <w:rPr>
                      <w:color w:val="000000"/>
                      <w:sz w:val="18"/>
                      <w:szCs w:val="18"/>
                    </w:rPr>
                  </w:pPr>
                  <w:r>
                    <w:rPr>
                      <w:color w:val="000000"/>
                      <w:kern w:val="0"/>
                      <w:sz w:val="18"/>
                      <w:szCs w:val="18"/>
                      <w:lang w:bidi="ar"/>
                    </w:rPr>
                    <w:t>SS</w:t>
                  </w:r>
                </w:p>
              </w:tc>
              <w:tc>
                <w:tcPr>
                  <w:tcW w:w="365" w:type="pct"/>
                  <w:noWrap w:val="0"/>
                  <w:vAlign w:val="center"/>
                </w:tcPr>
                <w:p w14:paraId="66806A63">
                  <w:pPr>
                    <w:widowControl/>
                    <w:adjustRightInd w:val="0"/>
                    <w:snapToGrid w:val="0"/>
                    <w:jc w:val="center"/>
                    <w:textAlignment w:val="center"/>
                    <w:rPr>
                      <w:color w:val="000000"/>
                      <w:sz w:val="18"/>
                      <w:szCs w:val="18"/>
                    </w:rPr>
                  </w:pPr>
                  <w:r>
                    <w:rPr>
                      <w:color w:val="000000"/>
                      <w:kern w:val="0"/>
                      <w:sz w:val="18"/>
                      <w:szCs w:val="18"/>
                      <w:lang w:bidi="ar"/>
                    </w:rPr>
                    <w:t>350</w:t>
                  </w:r>
                </w:p>
              </w:tc>
              <w:tc>
                <w:tcPr>
                  <w:tcW w:w="377" w:type="pct"/>
                  <w:noWrap w:val="0"/>
                  <w:vAlign w:val="center"/>
                </w:tcPr>
                <w:p w14:paraId="6F54ADD6">
                  <w:pPr>
                    <w:widowControl/>
                    <w:adjustRightInd w:val="0"/>
                    <w:snapToGrid w:val="0"/>
                    <w:jc w:val="center"/>
                    <w:textAlignment w:val="center"/>
                    <w:rPr>
                      <w:color w:val="000000"/>
                      <w:sz w:val="18"/>
                      <w:szCs w:val="18"/>
                    </w:rPr>
                  </w:pPr>
                  <w:r>
                    <w:rPr>
                      <w:color w:val="000000"/>
                      <w:kern w:val="0"/>
                      <w:sz w:val="18"/>
                      <w:szCs w:val="18"/>
                      <w:lang w:bidi="ar"/>
                    </w:rPr>
                    <w:t xml:space="preserve">0.236 </w:t>
                  </w:r>
                </w:p>
              </w:tc>
              <w:tc>
                <w:tcPr>
                  <w:tcW w:w="351" w:type="pct"/>
                  <w:vMerge w:val="continue"/>
                  <w:noWrap w:val="0"/>
                  <w:vAlign w:val="center"/>
                </w:tcPr>
                <w:p w14:paraId="5B77661D">
                  <w:pPr>
                    <w:widowControl/>
                    <w:adjustRightInd w:val="0"/>
                    <w:snapToGrid w:val="0"/>
                    <w:jc w:val="center"/>
                    <w:rPr>
                      <w:color w:val="000000"/>
                      <w:sz w:val="18"/>
                      <w:szCs w:val="18"/>
                    </w:rPr>
                  </w:pPr>
                </w:p>
              </w:tc>
              <w:tc>
                <w:tcPr>
                  <w:tcW w:w="517" w:type="pct"/>
                  <w:noWrap w:val="0"/>
                  <w:vAlign w:val="center"/>
                </w:tcPr>
                <w:p w14:paraId="0498FDF4">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10DB8D5F">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690FE5EE">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7650DD6D">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0399573B">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04EE6BA3">
                  <w:pPr>
                    <w:widowControl/>
                    <w:adjustRightInd w:val="0"/>
                    <w:snapToGrid w:val="0"/>
                    <w:jc w:val="center"/>
                    <w:textAlignment w:val="center"/>
                    <w:rPr>
                      <w:color w:val="000000"/>
                      <w:sz w:val="18"/>
                      <w:szCs w:val="18"/>
                    </w:rPr>
                  </w:pPr>
                  <w:r>
                    <w:rPr>
                      <w:color w:val="000000"/>
                      <w:kern w:val="0"/>
                      <w:sz w:val="18"/>
                      <w:szCs w:val="18"/>
                      <w:lang w:bidi="ar"/>
                    </w:rPr>
                    <w:t>/</w:t>
                  </w:r>
                </w:p>
              </w:tc>
            </w:tr>
            <w:tr w14:paraId="2C3D8B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13EBC52E">
                  <w:pPr>
                    <w:widowControl/>
                    <w:adjustRightInd w:val="0"/>
                    <w:snapToGrid w:val="0"/>
                    <w:jc w:val="center"/>
                    <w:rPr>
                      <w:color w:val="000000"/>
                      <w:sz w:val="18"/>
                      <w:szCs w:val="18"/>
                    </w:rPr>
                  </w:pPr>
                </w:p>
              </w:tc>
              <w:tc>
                <w:tcPr>
                  <w:tcW w:w="361" w:type="pct"/>
                  <w:vMerge w:val="continue"/>
                  <w:noWrap w:val="0"/>
                  <w:vAlign w:val="center"/>
                </w:tcPr>
                <w:p w14:paraId="0F2B11B3">
                  <w:pPr>
                    <w:widowControl/>
                    <w:adjustRightInd w:val="0"/>
                    <w:snapToGrid w:val="0"/>
                    <w:jc w:val="center"/>
                    <w:rPr>
                      <w:color w:val="000000"/>
                      <w:sz w:val="18"/>
                      <w:szCs w:val="18"/>
                    </w:rPr>
                  </w:pPr>
                </w:p>
              </w:tc>
              <w:tc>
                <w:tcPr>
                  <w:tcW w:w="432" w:type="pct"/>
                  <w:noWrap w:val="0"/>
                  <w:vAlign w:val="center"/>
                </w:tcPr>
                <w:p w14:paraId="3EC0F292">
                  <w:pPr>
                    <w:widowControl/>
                    <w:adjustRightInd w:val="0"/>
                    <w:snapToGrid w:val="0"/>
                    <w:jc w:val="center"/>
                    <w:textAlignment w:val="center"/>
                    <w:rPr>
                      <w:color w:val="000000"/>
                      <w:sz w:val="18"/>
                      <w:szCs w:val="18"/>
                    </w:rPr>
                  </w:pPr>
                  <w:r>
                    <w:rPr>
                      <w:color w:val="000000"/>
                      <w:kern w:val="0"/>
                      <w:sz w:val="18"/>
                      <w:szCs w:val="18"/>
                      <w:lang w:bidi="ar"/>
                    </w:rPr>
                    <w:t>氨氮</w:t>
                  </w:r>
                </w:p>
              </w:tc>
              <w:tc>
                <w:tcPr>
                  <w:tcW w:w="365" w:type="pct"/>
                  <w:noWrap w:val="0"/>
                  <w:vAlign w:val="center"/>
                </w:tcPr>
                <w:p w14:paraId="7451BF54">
                  <w:pPr>
                    <w:widowControl/>
                    <w:adjustRightInd w:val="0"/>
                    <w:snapToGrid w:val="0"/>
                    <w:jc w:val="center"/>
                    <w:textAlignment w:val="center"/>
                    <w:rPr>
                      <w:color w:val="000000"/>
                      <w:sz w:val="18"/>
                      <w:szCs w:val="18"/>
                    </w:rPr>
                  </w:pPr>
                  <w:r>
                    <w:rPr>
                      <w:color w:val="000000"/>
                      <w:kern w:val="0"/>
                      <w:sz w:val="18"/>
                      <w:szCs w:val="18"/>
                      <w:lang w:bidi="ar"/>
                    </w:rPr>
                    <w:t>40</w:t>
                  </w:r>
                </w:p>
              </w:tc>
              <w:tc>
                <w:tcPr>
                  <w:tcW w:w="377" w:type="pct"/>
                  <w:noWrap w:val="0"/>
                  <w:vAlign w:val="center"/>
                </w:tcPr>
                <w:p w14:paraId="0A788A08">
                  <w:pPr>
                    <w:widowControl/>
                    <w:adjustRightInd w:val="0"/>
                    <w:snapToGrid w:val="0"/>
                    <w:jc w:val="center"/>
                    <w:textAlignment w:val="center"/>
                    <w:rPr>
                      <w:color w:val="000000"/>
                      <w:sz w:val="18"/>
                      <w:szCs w:val="18"/>
                    </w:rPr>
                  </w:pPr>
                  <w:r>
                    <w:rPr>
                      <w:color w:val="000000"/>
                      <w:kern w:val="0"/>
                      <w:sz w:val="18"/>
                      <w:szCs w:val="18"/>
                      <w:lang w:bidi="ar"/>
                    </w:rPr>
                    <w:t xml:space="preserve">0.027 </w:t>
                  </w:r>
                </w:p>
              </w:tc>
              <w:tc>
                <w:tcPr>
                  <w:tcW w:w="351" w:type="pct"/>
                  <w:vMerge w:val="continue"/>
                  <w:noWrap w:val="0"/>
                  <w:vAlign w:val="center"/>
                </w:tcPr>
                <w:p w14:paraId="6B025D50">
                  <w:pPr>
                    <w:widowControl/>
                    <w:adjustRightInd w:val="0"/>
                    <w:snapToGrid w:val="0"/>
                    <w:jc w:val="center"/>
                    <w:rPr>
                      <w:color w:val="000000"/>
                      <w:sz w:val="18"/>
                      <w:szCs w:val="18"/>
                    </w:rPr>
                  </w:pPr>
                </w:p>
              </w:tc>
              <w:tc>
                <w:tcPr>
                  <w:tcW w:w="517" w:type="pct"/>
                  <w:noWrap w:val="0"/>
                  <w:vAlign w:val="center"/>
                </w:tcPr>
                <w:p w14:paraId="44D1B8A1">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60F220DE">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5A26776A">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6A51CAE">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5C66DC9E">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35F62AC8">
                  <w:pPr>
                    <w:widowControl/>
                    <w:adjustRightInd w:val="0"/>
                    <w:snapToGrid w:val="0"/>
                    <w:jc w:val="center"/>
                    <w:textAlignment w:val="center"/>
                    <w:rPr>
                      <w:color w:val="000000"/>
                      <w:sz w:val="18"/>
                      <w:szCs w:val="18"/>
                    </w:rPr>
                  </w:pPr>
                  <w:r>
                    <w:rPr>
                      <w:color w:val="000000"/>
                      <w:kern w:val="0"/>
                      <w:sz w:val="18"/>
                      <w:szCs w:val="18"/>
                      <w:lang w:bidi="ar"/>
                    </w:rPr>
                    <w:t>/</w:t>
                  </w:r>
                </w:p>
              </w:tc>
            </w:tr>
            <w:tr w14:paraId="4CC603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1B8FF111">
                  <w:pPr>
                    <w:widowControl/>
                    <w:adjustRightInd w:val="0"/>
                    <w:snapToGrid w:val="0"/>
                    <w:jc w:val="center"/>
                    <w:rPr>
                      <w:color w:val="000000"/>
                      <w:sz w:val="18"/>
                      <w:szCs w:val="18"/>
                    </w:rPr>
                  </w:pPr>
                </w:p>
              </w:tc>
              <w:tc>
                <w:tcPr>
                  <w:tcW w:w="361" w:type="pct"/>
                  <w:vMerge w:val="continue"/>
                  <w:noWrap w:val="0"/>
                  <w:vAlign w:val="center"/>
                </w:tcPr>
                <w:p w14:paraId="2212217F">
                  <w:pPr>
                    <w:widowControl/>
                    <w:adjustRightInd w:val="0"/>
                    <w:snapToGrid w:val="0"/>
                    <w:jc w:val="center"/>
                    <w:rPr>
                      <w:color w:val="000000"/>
                      <w:sz w:val="18"/>
                      <w:szCs w:val="18"/>
                    </w:rPr>
                  </w:pPr>
                </w:p>
              </w:tc>
              <w:tc>
                <w:tcPr>
                  <w:tcW w:w="432" w:type="pct"/>
                  <w:noWrap w:val="0"/>
                  <w:vAlign w:val="center"/>
                </w:tcPr>
                <w:p w14:paraId="0279B5D8">
                  <w:pPr>
                    <w:widowControl/>
                    <w:adjustRightInd w:val="0"/>
                    <w:snapToGrid w:val="0"/>
                    <w:jc w:val="center"/>
                    <w:textAlignment w:val="center"/>
                    <w:rPr>
                      <w:color w:val="000000"/>
                      <w:sz w:val="18"/>
                      <w:szCs w:val="18"/>
                    </w:rPr>
                  </w:pPr>
                  <w:r>
                    <w:rPr>
                      <w:color w:val="000000"/>
                      <w:kern w:val="0"/>
                      <w:sz w:val="18"/>
                      <w:szCs w:val="18"/>
                      <w:lang w:bidi="ar"/>
                    </w:rPr>
                    <w:t>TP</w:t>
                  </w:r>
                </w:p>
              </w:tc>
              <w:tc>
                <w:tcPr>
                  <w:tcW w:w="365" w:type="pct"/>
                  <w:noWrap w:val="0"/>
                  <w:vAlign w:val="center"/>
                </w:tcPr>
                <w:p w14:paraId="0C1E93DA">
                  <w:pPr>
                    <w:widowControl/>
                    <w:adjustRightInd w:val="0"/>
                    <w:snapToGrid w:val="0"/>
                    <w:jc w:val="center"/>
                    <w:textAlignment w:val="center"/>
                    <w:rPr>
                      <w:color w:val="000000"/>
                      <w:sz w:val="18"/>
                      <w:szCs w:val="18"/>
                    </w:rPr>
                  </w:pPr>
                  <w:r>
                    <w:rPr>
                      <w:color w:val="000000"/>
                      <w:kern w:val="0"/>
                      <w:sz w:val="18"/>
                      <w:szCs w:val="18"/>
                      <w:lang w:bidi="ar"/>
                    </w:rPr>
                    <w:t>10</w:t>
                  </w:r>
                </w:p>
              </w:tc>
              <w:tc>
                <w:tcPr>
                  <w:tcW w:w="377" w:type="pct"/>
                  <w:noWrap w:val="0"/>
                  <w:vAlign w:val="center"/>
                </w:tcPr>
                <w:p w14:paraId="31C4767D">
                  <w:pPr>
                    <w:widowControl/>
                    <w:adjustRightInd w:val="0"/>
                    <w:snapToGrid w:val="0"/>
                    <w:jc w:val="center"/>
                    <w:textAlignment w:val="center"/>
                    <w:rPr>
                      <w:color w:val="000000"/>
                      <w:sz w:val="18"/>
                      <w:szCs w:val="18"/>
                    </w:rPr>
                  </w:pPr>
                  <w:r>
                    <w:rPr>
                      <w:color w:val="000000"/>
                      <w:kern w:val="0"/>
                      <w:sz w:val="18"/>
                      <w:szCs w:val="18"/>
                      <w:lang w:bidi="ar"/>
                    </w:rPr>
                    <w:t xml:space="preserve">0.007 </w:t>
                  </w:r>
                </w:p>
              </w:tc>
              <w:tc>
                <w:tcPr>
                  <w:tcW w:w="351" w:type="pct"/>
                  <w:vMerge w:val="continue"/>
                  <w:noWrap w:val="0"/>
                  <w:vAlign w:val="center"/>
                </w:tcPr>
                <w:p w14:paraId="2A4AA0DF">
                  <w:pPr>
                    <w:widowControl/>
                    <w:adjustRightInd w:val="0"/>
                    <w:snapToGrid w:val="0"/>
                    <w:jc w:val="center"/>
                    <w:rPr>
                      <w:color w:val="000000"/>
                      <w:sz w:val="18"/>
                      <w:szCs w:val="18"/>
                    </w:rPr>
                  </w:pPr>
                </w:p>
              </w:tc>
              <w:tc>
                <w:tcPr>
                  <w:tcW w:w="517" w:type="pct"/>
                  <w:noWrap w:val="0"/>
                  <w:vAlign w:val="center"/>
                </w:tcPr>
                <w:p w14:paraId="159442AC">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57E81CF6">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11009C68">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08202156">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400F5577">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7CD5ABDA">
                  <w:pPr>
                    <w:widowControl/>
                    <w:adjustRightInd w:val="0"/>
                    <w:snapToGrid w:val="0"/>
                    <w:jc w:val="center"/>
                    <w:textAlignment w:val="center"/>
                    <w:rPr>
                      <w:color w:val="000000"/>
                      <w:sz w:val="18"/>
                      <w:szCs w:val="18"/>
                    </w:rPr>
                  </w:pPr>
                  <w:r>
                    <w:rPr>
                      <w:color w:val="000000"/>
                      <w:kern w:val="0"/>
                      <w:sz w:val="18"/>
                      <w:szCs w:val="18"/>
                      <w:lang w:bidi="ar"/>
                    </w:rPr>
                    <w:t>/</w:t>
                  </w:r>
                </w:p>
              </w:tc>
            </w:tr>
            <w:tr w14:paraId="6C6717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2FD5A737">
                  <w:pPr>
                    <w:widowControl/>
                    <w:adjustRightInd w:val="0"/>
                    <w:snapToGrid w:val="0"/>
                    <w:jc w:val="center"/>
                    <w:textAlignment w:val="center"/>
                    <w:rPr>
                      <w:color w:val="000000"/>
                      <w:sz w:val="18"/>
                      <w:szCs w:val="18"/>
                    </w:rPr>
                  </w:pPr>
                  <w:r>
                    <w:rPr>
                      <w:color w:val="000000"/>
                      <w:kern w:val="0"/>
                      <w:sz w:val="18"/>
                      <w:szCs w:val="18"/>
                      <w:lang w:bidi="ar"/>
                    </w:rPr>
                    <w:t>地面清洁废水</w:t>
                  </w:r>
                </w:p>
              </w:tc>
              <w:tc>
                <w:tcPr>
                  <w:tcW w:w="361" w:type="pct"/>
                  <w:vMerge w:val="restart"/>
                  <w:noWrap w:val="0"/>
                  <w:vAlign w:val="center"/>
                </w:tcPr>
                <w:p w14:paraId="12A11829">
                  <w:pPr>
                    <w:widowControl/>
                    <w:adjustRightInd w:val="0"/>
                    <w:snapToGrid w:val="0"/>
                    <w:jc w:val="center"/>
                    <w:textAlignment w:val="center"/>
                    <w:rPr>
                      <w:color w:val="000000"/>
                      <w:sz w:val="18"/>
                      <w:szCs w:val="18"/>
                    </w:rPr>
                  </w:pPr>
                  <w:r>
                    <w:rPr>
                      <w:color w:val="000000"/>
                      <w:kern w:val="0"/>
                      <w:sz w:val="18"/>
                      <w:szCs w:val="18"/>
                      <w:lang w:bidi="ar"/>
                    </w:rPr>
                    <w:t>180.85</w:t>
                  </w:r>
                </w:p>
              </w:tc>
              <w:tc>
                <w:tcPr>
                  <w:tcW w:w="432" w:type="pct"/>
                  <w:noWrap w:val="0"/>
                  <w:vAlign w:val="center"/>
                </w:tcPr>
                <w:p w14:paraId="76ADAC8A">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3D77D80E">
                  <w:pPr>
                    <w:widowControl/>
                    <w:adjustRightInd w:val="0"/>
                    <w:snapToGrid w:val="0"/>
                    <w:jc w:val="center"/>
                    <w:textAlignment w:val="center"/>
                    <w:rPr>
                      <w:color w:val="000000"/>
                      <w:sz w:val="18"/>
                      <w:szCs w:val="18"/>
                    </w:rPr>
                  </w:pPr>
                  <w:r>
                    <w:rPr>
                      <w:color w:val="000000"/>
                      <w:kern w:val="0"/>
                      <w:sz w:val="18"/>
                      <w:szCs w:val="18"/>
                      <w:lang w:bidi="ar"/>
                    </w:rPr>
                    <w:t>600</w:t>
                  </w:r>
                </w:p>
              </w:tc>
              <w:tc>
                <w:tcPr>
                  <w:tcW w:w="377" w:type="pct"/>
                  <w:noWrap w:val="0"/>
                  <w:vAlign w:val="center"/>
                </w:tcPr>
                <w:p w14:paraId="2953DC01">
                  <w:pPr>
                    <w:widowControl/>
                    <w:adjustRightInd w:val="0"/>
                    <w:snapToGrid w:val="0"/>
                    <w:jc w:val="center"/>
                    <w:textAlignment w:val="center"/>
                    <w:rPr>
                      <w:color w:val="000000"/>
                      <w:sz w:val="18"/>
                      <w:szCs w:val="18"/>
                    </w:rPr>
                  </w:pPr>
                  <w:r>
                    <w:rPr>
                      <w:color w:val="000000"/>
                      <w:kern w:val="0"/>
                      <w:sz w:val="18"/>
                      <w:szCs w:val="18"/>
                      <w:lang w:bidi="ar"/>
                    </w:rPr>
                    <w:t xml:space="preserve">0.109 </w:t>
                  </w:r>
                </w:p>
              </w:tc>
              <w:tc>
                <w:tcPr>
                  <w:tcW w:w="351" w:type="pct"/>
                  <w:vMerge w:val="restart"/>
                  <w:noWrap w:val="0"/>
                  <w:vAlign w:val="center"/>
                </w:tcPr>
                <w:p w14:paraId="2B97D057">
                  <w:pPr>
                    <w:widowControl/>
                    <w:adjustRightInd w:val="0"/>
                    <w:snapToGrid w:val="0"/>
                    <w:jc w:val="center"/>
                    <w:textAlignment w:val="center"/>
                    <w:rPr>
                      <w:color w:val="000000"/>
                      <w:sz w:val="18"/>
                      <w:szCs w:val="18"/>
                    </w:rPr>
                  </w:pPr>
                  <w:r>
                    <w:rPr>
                      <w:color w:val="000000"/>
                      <w:kern w:val="0"/>
                      <w:sz w:val="18"/>
                      <w:szCs w:val="18"/>
                      <w:lang w:bidi="ar"/>
                    </w:rPr>
                    <w:t>废水预处理设施+生化池</w:t>
                  </w:r>
                </w:p>
              </w:tc>
              <w:tc>
                <w:tcPr>
                  <w:tcW w:w="517" w:type="pct"/>
                  <w:noWrap w:val="0"/>
                  <w:vAlign w:val="center"/>
                </w:tcPr>
                <w:p w14:paraId="16F6C031">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26499B78">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D692893">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1CD3EE6F">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70CB77E5">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01C5E6B6">
                  <w:pPr>
                    <w:widowControl/>
                    <w:adjustRightInd w:val="0"/>
                    <w:snapToGrid w:val="0"/>
                    <w:jc w:val="center"/>
                    <w:textAlignment w:val="center"/>
                    <w:rPr>
                      <w:color w:val="000000"/>
                      <w:sz w:val="18"/>
                      <w:szCs w:val="18"/>
                    </w:rPr>
                  </w:pPr>
                  <w:r>
                    <w:rPr>
                      <w:color w:val="000000"/>
                      <w:kern w:val="0"/>
                      <w:sz w:val="18"/>
                      <w:szCs w:val="18"/>
                      <w:lang w:bidi="ar"/>
                    </w:rPr>
                    <w:t>/</w:t>
                  </w:r>
                </w:p>
              </w:tc>
            </w:tr>
            <w:tr w14:paraId="596CDD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487F6101">
                  <w:pPr>
                    <w:widowControl/>
                    <w:adjustRightInd w:val="0"/>
                    <w:snapToGrid w:val="0"/>
                    <w:jc w:val="center"/>
                    <w:rPr>
                      <w:color w:val="000000"/>
                      <w:sz w:val="18"/>
                      <w:szCs w:val="18"/>
                    </w:rPr>
                  </w:pPr>
                </w:p>
              </w:tc>
              <w:tc>
                <w:tcPr>
                  <w:tcW w:w="361" w:type="pct"/>
                  <w:vMerge w:val="continue"/>
                  <w:noWrap w:val="0"/>
                  <w:vAlign w:val="center"/>
                </w:tcPr>
                <w:p w14:paraId="5A27E8AB">
                  <w:pPr>
                    <w:widowControl/>
                    <w:adjustRightInd w:val="0"/>
                    <w:snapToGrid w:val="0"/>
                    <w:jc w:val="center"/>
                    <w:rPr>
                      <w:color w:val="000000"/>
                      <w:sz w:val="18"/>
                      <w:szCs w:val="18"/>
                    </w:rPr>
                  </w:pPr>
                </w:p>
              </w:tc>
              <w:tc>
                <w:tcPr>
                  <w:tcW w:w="432" w:type="pct"/>
                  <w:noWrap w:val="0"/>
                  <w:vAlign w:val="center"/>
                </w:tcPr>
                <w:p w14:paraId="68885CF9">
                  <w:pPr>
                    <w:widowControl/>
                    <w:adjustRightInd w:val="0"/>
                    <w:snapToGrid w:val="0"/>
                    <w:jc w:val="center"/>
                    <w:textAlignment w:val="center"/>
                    <w:rPr>
                      <w:color w:val="000000"/>
                      <w:sz w:val="18"/>
                      <w:szCs w:val="18"/>
                    </w:rPr>
                  </w:pPr>
                  <w:r>
                    <w:rPr>
                      <w:color w:val="000000"/>
                      <w:kern w:val="0"/>
                      <w:sz w:val="18"/>
                      <w:szCs w:val="18"/>
                      <w:lang w:bidi="ar"/>
                    </w:rPr>
                    <w:t>BOD</w:t>
                  </w:r>
                  <w:r>
                    <w:rPr>
                      <w:color w:val="000000"/>
                      <w:kern w:val="0"/>
                      <w:sz w:val="18"/>
                      <w:szCs w:val="18"/>
                      <w:vertAlign w:val="subscript"/>
                      <w:lang w:bidi="ar"/>
                    </w:rPr>
                    <w:t>5</w:t>
                  </w:r>
                </w:p>
              </w:tc>
              <w:tc>
                <w:tcPr>
                  <w:tcW w:w="365" w:type="pct"/>
                  <w:noWrap w:val="0"/>
                  <w:vAlign w:val="center"/>
                </w:tcPr>
                <w:p w14:paraId="3F97936D">
                  <w:pPr>
                    <w:widowControl/>
                    <w:adjustRightInd w:val="0"/>
                    <w:snapToGrid w:val="0"/>
                    <w:jc w:val="center"/>
                    <w:textAlignment w:val="center"/>
                    <w:rPr>
                      <w:color w:val="000000"/>
                      <w:sz w:val="18"/>
                      <w:szCs w:val="18"/>
                    </w:rPr>
                  </w:pPr>
                  <w:r>
                    <w:rPr>
                      <w:color w:val="000000"/>
                      <w:kern w:val="0"/>
                      <w:sz w:val="18"/>
                      <w:szCs w:val="18"/>
                      <w:lang w:bidi="ar"/>
                    </w:rPr>
                    <w:t>300</w:t>
                  </w:r>
                </w:p>
              </w:tc>
              <w:tc>
                <w:tcPr>
                  <w:tcW w:w="377" w:type="pct"/>
                  <w:noWrap w:val="0"/>
                  <w:vAlign w:val="center"/>
                </w:tcPr>
                <w:p w14:paraId="31924A24">
                  <w:pPr>
                    <w:widowControl/>
                    <w:adjustRightInd w:val="0"/>
                    <w:snapToGrid w:val="0"/>
                    <w:jc w:val="center"/>
                    <w:textAlignment w:val="center"/>
                    <w:rPr>
                      <w:color w:val="000000"/>
                      <w:sz w:val="18"/>
                      <w:szCs w:val="18"/>
                    </w:rPr>
                  </w:pPr>
                  <w:r>
                    <w:rPr>
                      <w:color w:val="000000"/>
                      <w:kern w:val="0"/>
                      <w:sz w:val="18"/>
                      <w:szCs w:val="18"/>
                      <w:lang w:bidi="ar"/>
                    </w:rPr>
                    <w:t xml:space="preserve">0.054 </w:t>
                  </w:r>
                </w:p>
              </w:tc>
              <w:tc>
                <w:tcPr>
                  <w:tcW w:w="351" w:type="pct"/>
                  <w:vMerge w:val="continue"/>
                  <w:noWrap w:val="0"/>
                  <w:vAlign w:val="center"/>
                </w:tcPr>
                <w:p w14:paraId="79AC1450">
                  <w:pPr>
                    <w:widowControl/>
                    <w:adjustRightInd w:val="0"/>
                    <w:snapToGrid w:val="0"/>
                    <w:jc w:val="center"/>
                    <w:rPr>
                      <w:color w:val="000000"/>
                      <w:sz w:val="18"/>
                      <w:szCs w:val="18"/>
                    </w:rPr>
                  </w:pPr>
                </w:p>
              </w:tc>
              <w:tc>
                <w:tcPr>
                  <w:tcW w:w="517" w:type="pct"/>
                  <w:noWrap w:val="0"/>
                  <w:vAlign w:val="center"/>
                </w:tcPr>
                <w:p w14:paraId="52FCEDAD">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2A82D0B0">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E79E984">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067DB49D">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184AD239">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63727756">
                  <w:pPr>
                    <w:widowControl/>
                    <w:adjustRightInd w:val="0"/>
                    <w:snapToGrid w:val="0"/>
                    <w:jc w:val="center"/>
                    <w:textAlignment w:val="center"/>
                    <w:rPr>
                      <w:color w:val="000000"/>
                      <w:sz w:val="18"/>
                      <w:szCs w:val="18"/>
                    </w:rPr>
                  </w:pPr>
                  <w:r>
                    <w:rPr>
                      <w:color w:val="000000"/>
                      <w:kern w:val="0"/>
                      <w:sz w:val="18"/>
                      <w:szCs w:val="18"/>
                      <w:lang w:bidi="ar"/>
                    </w:rPr>
                    <w:t>/</w:t>
                  </w:r>
                </w:p>
              </w:tc>
            </w:tr>
            <w:tr w14:paraId="52D9F83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5CF8A01A">
                  <w:pPr>
                    <w:widowControl/>
                    <w:adjustRightInd w:val="0"/>
                    <w:snapToGrid w:val="0"/>
                    <w:jc w:val="center"/>
                    <w:rPr>
                      <w:color w:val="000000"/>
                      <w:sz w:val="18"/>
                      <w:szCs w:val="18"/>
                    </w:rPr>
                  </w:pPr>
                </w:p>
              </w:tc>
              <w:tc>
                <w:tcPr>
                  <w:tcW w:w="361" w:type="pct"/>
                  <w:vMerge w:val="continue"/>
                  <w:noWrap w:val="0"/>
                  <w:vAlign w:val="center"/>
                </w:tcPr>
                <w:p w14:paraId="0DC233E7">
                  <w:pPr>
                    <w:widowControl/>
                    <w:adjustRightInd w:val="0"/>
                    <w:snapToGrid w:val="0"/>
                    <w:jc w:val="center"/>
                    <w:rPr>
                      <w:color w:val="000000"/>
                      <w:sz w:val="18"/>
                      <w:szCs w:val="18"/>
                    </w:rPr>
                  </w:pPr>
                </w:p>
              </w:tc>
              <w:tc>
                <w:tcPr>
                  <w:tcW w:w="432" w:type="pct"/>
                  <w:noWrap w:val="0"/>
                  <w:vAlign w:val="center"/>
                </w:tcPr>
                <w:p w14:paraId="662B88B8">
                  <w:pPr>
                    <w:widowControl/>
                    <w:adjustRightInd w:val="0"/>
                    <w:snapToGrid w:val="0"/>
                    <w:jc w:val="center"/>
                    <w:textAlignment w:val="center"/>
                    <w:rPr>
                      <w:color w:val="000000"/>
                      <w:sz w:val="18"/>
                      <w:szCs w:val="18"/>
                    </w:rPr>
                  </w:pPr>
                  <w:r>
                    <w:rPr>
                      <w:color w:val="000000"/>
                      <w:kern w:val="0"/>
                      <w:sz w:val="18"/>
                      <w:szCs w:val="18"/>
                      <w:lang w:bidi="ar"/>
                    </w:rPr>
                    <w:t>SS</w:t>
                  </w:r>
                </w:p>
              </w:tc>
              <w:tc>
                <w:tcPr>
                  <w:tcW w:w="365" w:type="pct"/>
                  <w:noWrap w:val="0"/>
                  <w:vAlign w:val="center"/>
                </w:tcPr>
                <w:p w14:paraId="37095279">
                  <w:pPr>
                    <w:widowControl/>
                    <w:adjustRightInd w:val="0"/>
                    <w:snapToGrid w:val="0"/>
                    <w:jc w:val="center"/>
                    <w:textAlignment w:val="center"/>
                    <w:rPr>
                      <w:color w:val="000000"/>
                      <w:sz w:val="18"/>
                      <w:szCs w:val="18"/>
                    </w:rPr>
                  </w:pPr>
                  <w:r>
                    <w:rPr>
                      <w:color w:val="000000"/>
                      <w:kern w:val="0"/>
                      <w:sz w:val="18"/>
                      <w:szCs w:val="18"/>
                      <w:lang w:bidi="ar"/>
                    </w:rPr>
                    <w:t>500</w:t>
                  </w:r>
                </w:p>
              </w:tc>
              <w:tc>
                <w:tcPr>
                  <w:tcW w:w="377" w:type="pct"/>
                  <w:noWrap w:val="0"/>
                  <w:vAlign w:val="center"/>
                </w:tcPr>
                <w:p w14:paraId="00C5A59A">
                  <w:pPr>
                    <w:widowControl/>
                    <w:adjustRightInd w:val="0"/>
                    <w:snapToGrid w:val="0"/>
                    <w:jc w:val="center"/>
                    <w:textAlignment w:val="center"/>
                    <w:rPr>
                      <w:color w:val="000000"/>
                      <w:sz w:val="18"/>
                      <w:szCs w:val="18"/>
                    </w:rPr>
                  </w:pPr>
                  <w:r>
                    <w:rPr>
                      <w:color w:val="000000"/>
                      <w:kern w:val="0"/>
                      <w:sz w:val="18"/>
                      <w:szCs w:val="18"/>
                      <w:lang w:bidi="ar"/>
                    </w:rPr>
                    <w:t xml:space="preserve">0.090 </w:t>
                  </w:r>
                </w:p>
              </w:tc>
              <w:tc>
                <w:tcPr>
                  <w:tcW w:w="351" w:type="pct"/>
                  <w:vMerge w:val="continue"/>
                  <w:noWrap w:val="0"/>
                  <w:vAlign w:val="center"/>
                </w:tcPr>
                <w:p w14:paraId="4A3F9CCF">
                  <w:pPr>
                    <w:widowControl/>
                    <w:adjustRightInd w:val="0"/>
                    <w:snapToGrid w:val="0"/>
                    <w:jc w:val="center"/>
                    <w:rPr>
                      <w:color w:val="000000"/>
                      <w:sz w:val="18"/>
                      <w:szCs w:val="18"/>
                    </w:rPr>
                  </w:pPr>
                </w:p>
              </w:tc>
              <w:tc>
                <w:tcPr>
                  <w:tcW w:w="517" w:type="pct"/>
                  <w:noWrap w:val="0"/>
                  <w:vAlign w:val="center"/>
                </w:tcPr>
                <w:p w14:paraId="1BE030F9">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73D11680">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611EB8E">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D88343B">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41A8D515">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65C307E8">
                  <w:pPr>
                    <w:widowControl/>
                    <w:adjustRightInd w:val="0"/>
                    <w:snapToGrid w:val="0"/>
                    <w:jc w:val="center"/>
                    <w:textAlignment w:val="center"/>
                    <w:rPr>
                      <w:color w:val="000000"/>
                      <w:sz w:val="18"/>
                      <w:szCs w:val="18"/>
                    </w:rPr>
                  </w:pPr>
                  <w:r>
                    <w:rPr>
                      <w:color w:val="000000"/>
                      <w:kern w:val="0"/>
                      <w:sz w:val="18"/>
                      <w:szCs w:val="18"/>
                      <w:lang w:bidi="ar"/>
                    </w:rPr>
                    <w:t>/</w:t>
                  </w:r>
                </w:p>
              </w:tc>
            </w:tr>
            <w:tr w14:paraId="79E6246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5B5258AF">
                  <w:pPr>
                    <w:widowControl/>
                    <w:adjustRightInd w:val="0"/>
                    <w:snapToGrid w:val="0"/>
                    <w:jc w:val="center"/>
                    <w:rPr>
                      <w:color w:val="000000"/>
                      <w:sz w:val="18"/>
                      <w:szCs w:val="18"/>
                    </w:rPr>
                  </w:pPr>
                </w:p>
              </w:tc>
              <w:tc>
                <w:tcPr>
                  <w:tcW w:w="361" w:type="pct"/>
                  <w:vMerge w:val="continue"/>
                  <w:noWrap w:val="0"/>
                  <w:vAlign w:val="center"/>
                </w:tcPr>
                <w:p w14:paraId="0180E96B">
                  <w:pPr>
                    <w:widowControl/>
                    <w:adjustRightInd w:val="0"/>
                    <w:snapToGrid w:val="0"/>
                    <w:jc w:val="center"/>
                    <w:rPr>
                      <w:color w:val="000000"/>
                      <w:sz w:val="18"/>
                      <w:szCs w:val="18"/>
                    </w:rPr>
                  </w:pPr>
                </w:p>
              </w:tc>
              <w:tc>
                <w:tcPr>
                  <w:tcW w:w="432" w:type="pct"/>
                  <w:noWrap w:val="0"/>
                  <w:vAlign w:val="center"/>
                </w:tcPr>
                <w:p w14:paraId="5147D709">
                  <w:pPr>
                    <w:widowControl/>
                    <w:adjustRightInd w:val="0"/>
                    <w:snapToGrid w:val="0"/>
                    <w:jc w:val="center"/>
                    <w:textAlignment w:val="center"/>
                    <w:rPr>
                      <w:color w:val="000000"/>
                      <w:sz w:val="18"/>
                      <w:szCs w:val="18"/>
                    </w:rPr>
                  </w:pPr>
                  <w:r>
                    <w:rPr>
                      <w:color w:val="000000"/>
                      <w:kern w:val="0"/>
                      <w:sz w:val="18"/>
                      <w:szCs w:val="18"/>
                      <w:lang w:bidi="ar"/>
                    </w:rPr>
                    <w:t>石油类</w:t>
                  </w:r>
                </w:p>
              </w:tc>
              <w:tc>
                <w:tcPr>
                  <w:tcW w:w="365" w:type="pct"/>
                  <w:noWrap w:val="0"/>
                  <w:vAlign w:val="center"/>
                </w:tcPr>
                <w:p w14:paraId="7101A11D">
                  <w:pPr>
                    <w:widowControl/>
                    <w:adjustRightInd w:val="0"/>
                    <w:snapToGrid w:val="0"/>
                    <w:jc w:val="center"/>
                    <w:textAlignment w:val="center"/>
                    <w:rPr>
                      <w:color w:val="000000"/>
                      <w:sz w:val="18"/>
                      <w:szCs w:val="18"/>
                    </w:rPr>
                  </w:pPr>
                  <w:r>
                    <w:rPr>
                      <w:color w:val="000000"/>
                      <w:kern w:val="0"/>
                      <w:sz w:val="18"/>
                      <w:szCs w:val="18"/>
                      <w:lang w:bidi="ar"/>
                    </w:rPr>
                    <w:t>40</w:t>
                  </w:r>
                </w:p>
              </w:tc>
              <w:tc>
                <w:tcPr>
                  <w:tcW w:w="377" w:type="pct"/>
                  <w:noWrap w:val="0"/>
                  <w:vAlign w:val="center"/>
                </w:tcPr>
                <w:p w14:paraId="38F759C4">
                  <w:pPr>
                    <w:widowControl/>
                    <w:adjustRightInd w:val="0"/>
                    <w:snapToGrid w:val="0"/>
                    <w:jc w:val="center"/>
                    <w:textAlignment w:val="center"/>
                    <w:rPr>
                      <w:color w:val="000000"/>
                      <w:sz w:val="18"/>
                      <w:szCs w:val="18"/>
                    </w:rPr>
                  </w:pPr>
                  <w:r>
                    <w:rPr>
                      <w:color w:val="000000"/>
                      <w:kern w:val="0"/>
                      <w:sz w:val="18"/>
                      <w:szCs w:val="18"/>
                      <w:lang w:bidi="ar"/>
                    </w:rPr>
                    <w:t xml:space="preserve">0.007 </w:t>
                  </w:r>
                </w:p>
              </w:tc>
              <w:tc>
                <w:tcPr>
                  <w:tcW w:w="351" w:type="pct"/>
                  <w:vMerge w:val="continue"/>
                  <w:noWrap w:val="0"/>
                  <w:vAlign w:val="center"/>
                </w:tcPr>
                <w:p w14:paraId="125640E3">
                  <w:pPr>
                    <w:widowControl/>
                    <w:adjustRightInd w:val="0"/>
                    <w:snapToGrid w:val="0"/>
                    <w:jc w:val="center"/>
                    <w:rPr>
                      <w:color w:val="000000"/>
                      <w:sz w:val="18"/>
                      <w:szCs w:val="18"/>
                    </w:rPr>
                  </w:pPr>
                </w:p>
              </w:tc>
              <w:tc>
                <w:tcPr>
                  <w:tcW w:w="517" w:type="pct"/>
                  <w:noWrap w:val="0"/>
                  <w:vAlign w:val="center"/>
                </w:tcPr>
                <w:p w14:paraId="415EF4DE">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03CE56E9">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08135D5A">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5075D7B8">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6EE588CE">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7F8C55E6">
                  <w:pPr>
                    <w:widowControl/>
                    <w:adjustRightInd w:val="0"/>
                    <w:snapToGrid w:val="0"/>
                    <w:jc w:val="center"/>
                    <w:textAlignment w:val="center"/>
                    <w:rPr>
                      <w:color w:val="000000"/>
                      <w:sz w:val="18"/>
                      <w:szCs w:val="18"/>
                    </w:rPr>
                  </w:pPr>
                  <w:r>
                    <w:rPr>
                      <w:color w:val="000000"/>
                      <w:kern w:val="0"/>
                      <w:sz w:val="18"/>
                      <w:szCs w:val="18"/>
                      <w:lang w:bidi="ar"/>
                    </w:rPr>
                    <w:t>/</w:t>
                  </w:r>
                </w:p>
              </w:tc>
            </w:tr>
            <w:tr w14:paraId="5528521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0F16A17E">
                  <w:pPr>
                    <w:widowControl/>
                    <w:adjustRightInd w:val="0"/>
                    <w:snapToGrid w:val="0"/>
                    <w:jc w:val="center"/>
                    <w:textAlignment w:val="center"/>
                    <w:rPr>
                      <w:color w:val="000000"/>
                      <w:sz w:val="18"/>
                      <w:szCs w:val="18"/>
                    </w:rPr>
                  </w:pPr>
                  <w:r>
                    <w:rPr>
                      <w:color w:val="000000"/>
                      <w:kern w:val="0"/>
                      <w:sz w:val="18"/>
                      <w:szCs w:val="18"/>
                      <w:lang w:bidi="ar"/>
                    </w:rPr>
                    <w:t>冷却塔排水</w:t>
                  </w:r>
                </w:p>
              </w:tc>
              <w:tc>
                <w:tcPr>
                  <w:tcW w:w="361" w:type="pct"/>
                  <w:vMerge w:val="restart"/>
                  <w:noWrap w:val="0"/>
                  <w:vAlign w:val="center"/>
                </w:tcPr>
                <w:p w14:paraId="7CA6C5D3">
                  <w:pPr>
                    <w:widowControl/>
                    <w:adjustRightInd w:val="0"/>
                    <w:snapToGrid w:val="0"/>
                    <w:jc w:val="center"/>
                    <w:textAlignment w:val="center"/>
                    <w:rPr>
                      <w:color w:val="000000"/>
                      <w:sz w:val="18"/>
                      <w:szCs w:val="18"/>
                    </w:rPr>
                  </w:pPr>
                  <w:r>
                    <w:rPr>
                      <w:color w:val="000000"/>
                      <w:kern w:val="0"/>
                      <w:sz w:val="18"/>
                      <w:szCs w:val="18"/>
                      <w:lang w:bidi="ar"/>
                    </w:rPr>
                    <w:t>10</w:t>
                  </w:r>
                </w:p>
              </w:tc>
              <w:tc>
                <w:tcPr>
                  <w:tcW w:w="432" w:type="pct"/>
                  <w:noWrap w:val="0"/>
                  <w:vAlign w:val="center"/>
                </w:tcPr>
                <w:p w14:paraId="79FDE624">
                  <w:pPr>
                    <w:widowControl/>
                    <w:adjustRightInd w:val="0"/>
                    <w:snapToGrid w:val="0"/>
                    <w:jc w:val="center"/>
                    <w:textAlignment w:val="center"/>
                    <w:rPr>
                      <w:color w:val="000000"/>
                      <w:sz w:val="18"/>
                      <w:szCs w:val="18"/>
                    </w:rPr>
                  </w:pPr>
                  <w:r>
                    <w:rPr>
                      <w:color w:val="000000"/>
                      <w:kern w:val="0"/>
                      <w:sz w:val="18"/>
                      <w:szCs w:val="18"/>
                      <w:lang w:bidi="ar"/>
                    </w:rPr>
                    <w:t>pH（无量纲）</w:t>
                  </w:r>
                </w:p>
              </w:tc>
              <w:tc>
                <w:tcPr>
                  <w:tcW w:w="365" w:type="pct"/>
                  <w:noWrap w:val="0"/>
                  <w:vAlign w:val="center"/>
                </w:tcPr>
                <w:p w14:paraId="338E017C">
                  <w:pPr>
                    <w:widowControl/>
                    <w:adjustRightInd w:val="0"/>
                    <w:snapToGrid w:val="0"/>
                    <w:jc w:val="center"/>
                    <w:textAlignment w:val="center"/>
                    <w:rPr>
                      <w:color w:val="000000"/>
                      <w:sz w:val="18"/>
                      <w:szCs w:val="18"/>
                    </w:rPr>
                  </w:pPr>
                  <w:r>
                    <w:rPr>
                      <w:color w:val="000000"/>
                      <w:kern w:val="0"/>
                      <w:sz w:val="18"/>
                      <w:szCs w:val="18"/>
                      <w:lang w:bidi="ar"/>
                    </w:rPr>
                    <w:t>/</w:t>
                  </w:r>
                </w:p>
              </w:tc>
              <w:tc>
                <w:tcPr>
                  <w:tcW w:w="377" w:type="pct"/>
                  <w:noWrap w:val="0"/>
                  <w:vAlign w:val="center"/>
                </w:tcPr>
                <w:p w14:paraId="33F29B7C">
                  <w:pPr>
                    <w:widowControl/>
                    <w:adjustRightInd w:val="0"/>
                    <w:snapToGrid w:val="0"/>
                    <w:jc w:val="center"/>
                    <w:textAlignment w:val="center"/>
                    <w:rPr>
                      <w:color w:val="000000"/>
                      <w:sz w:val="18"/>
                      <w:szCs w:val="18"/>
                    </w:rPr>
                  </w:pPr>
                  <w:r>
                    <w:rPr>
                      <w:color w:val="000000"/>
                      <w:kern w:val="0"/>
                      <w:sz w:val="18"/>
                      <w:szCs w:val="18"/>
                      <w:lang w:bidi="ar"/>
                    </w:rPr>
                    <w:t>/</w:t>
                  </w:r>
                </w:p>
              </w:tc>
              <w:tc>
                <w:tcPr>
                  <w:tcW w:w="351" w:type="pct"/>
                  <w:vMerge w:val="continue"/>
                  <w:noWrap w:val="0"/>
                  <w:vAlign w:val="center"/>
                </w:tcPr>
                <w:p w14:paraId="16BE6A47">
                  <w:pPr>
                    <w:widowControl/>
                    <w:adjustRightInd w:val="0"/>
                    <w:snapToGrid w:val="0"/>
                    <w:jc w:val="center"/>
                    <w:rPr>
                      <w:color w:val="000000"/>
                      <w:sz w:val="18"/>
                      <w:szCs w:val="18"/>
                    </w:rPr>
                  </w:pPr>
                </w:p>
              </w:tc>
              <w:tc>
                <w:tcPr>
                  <w:tcW w:w="517" w:type="pct"/>
                  <w:noWrap w:val="0"/>
                  <w:vAlign w:val="center"/>
                </w:tcPr>
                <w:p w14:paraId="0128E354">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2B26F17D">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C38AEBA">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381B5156">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7F62302B">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1AFD9FC6">
                  <w:pPr>
                    <w:widowControl/>
                    <w:adjustRightInd w:val="0"/>
                    <w:snapToGrid w:val="0"/>
                    <w:jc w:val="center"/>
                    <w:textAlignment w:val="center"/>
                    <w:rPr>
                      <w:color w:val="000000"/>
                      <w:sz w:val="18"/>
                      <w:szCs w:val="18"/>
                    </w:rPr>
                  </w:pPr>
                  <w:r>
                    <w:rPr>
                      <w:color w:val="000000"/>
                      <w:kern w:val="0"/>
                      <w:sz w:val="18"/>
                      <w:szCs w:val="18"/>
                      <w:lang w:bidi="ar"/>
                    </w:rPr>
                    <w:t>/</w:t>
                  </w:r>
                </w:p>
              </w:tc>
            </w:tr>
            <w:tr w14:paraId="281DD5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088C5DAC">
                  <w:pPr>
                    <w:widowControl/>
                    <w:adjustRightInd w:val="0"/>
                    <w:snapToGrid w:val="0"/>
                    <w:jc w:val="center"/>
                    <w:rPr>
                      <w:color w:val="000000"/>
                      <w:sz w:val="18"/>
                      <w:szCs w:val="18"/>
                    </w:rPr>
                  </w:pPr>
                </w:p>
              </w:tc>
              <w:tc>
                <w:tcPr>
                  <w:tcW w:w="361" w:type="pct"/>
                  <w:vMerge w:val="continue"/>
                  <w:noWrap w:val="0"/>
                  <w:vAlign w:val="center"/>
                </w:tcPr>
                <w:p w14:paraId="01DAD5B3">
                  <w:pPr>
                    <w:widowControl/>
                    <w:adjustRightInd w:val="0"/>
                    <w:snapToGrid w:val="0"/>
                    <w:jc w:val="center"/>
                    <w:rPr>
                      <w:color w:val="000000"/>
                      <w:sz w:val="18"/>
                      <w:szCs w:val="18"/>
                    </w:rPr>
                  </w:pPr>
                </w:p>
              </w:tc>
              <w:tc>
                <w:tcPr>
                  <w:tcW w:w="432" w:type="pct"/>
                  <w:noWrap w:val="0"/>
                  <w:vAlign w:val="center"/>
                </w:tcPr>
                <w:p w14:paraId="537F599F">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44821C7F">
                  <w:pPr>
                    <w:widowControl/>
                    <w:adjustRightInd w:val="0"/>
                    <w:snapToGrid w:val="0"/>
                    <w:jc w:val="center"/>
                    <w:textAlignment w:val="center"/>
                    <w:rPr>
                      <w:color w:val="000000"/>
                      <w:sz w:val="18"/>
                      <w:szCs w:val="18"/>
                    </w:rPr>
                  </w:pPr>
                  <w:r>
                    <w:rPr>
                      <w:color w:val="000000"/>
                      <w:kern w:val="0"/>
                      <w:sz w:val="18"/>
                      <w:szCs w:val="18"/>
                      <w:lang w:bidi="ar"/>
                    </w:rPr>
                    <w:t>40</w:t>
                  </w:r>
                </w:p>
              </w:tc>
              <w:tc>
                <w:tcPr>
                  <w:tcW w:w="377" w:type="pct"/>
                  <w:noWrap w:val="0"/>
                  <w:vAlign w:val="center"/>
                </w:tcPr>
                <w:p w14:paraId="6F4D50B9">
                  <w:pPr>
                    <w:widowControl/>
                    <w:adjustRightInd w:val="0"/>
                    <w:snapToGrid w:val="0"/>
                    <w:jc w:val="center"/>
                    <w:textAlignment w:val="center"/>
                    <w:rPr>
                      <w:color w:val="000000"/>
                      <w:sz w:val="18"/>
                      <w:szCs w:val="18"/>
                    </w:rPr>
                  </w:pPr>
                  <w:r>
                    <w:rPr>
                      <w:color w:val="000000"/>
                      <w:kern w:val="0"/>
                      <w:sz w:val="18"/>
                      <w:szCs w:val="18"/>
                      <w:lang w:bidi="ar"/>
                    </w:rPr>
                    <w:t xml:space="preserve">0.0004 </w:t>
                  </w:r>
                </w:p>
              </w:tc>
              <w:tc>
                <w:tcPr>
                  <w:tcW w:w="351" w:type="pct"/>
                  <w:vMerge w:val="continue"/>
                  <w:noWrap w:val="0"/>
                  <w:vAlign w:val="center"/>
                </w:tcPr>
                <w:p w14:paraId="34427E0D">
                  <w:pPr>
                    <w:widowControl/>
                    <w:adjustRightInd w:val="0"/>
                    <w:snapToGrid w:val="0"/>
                    <w:jc w:val="center"/>
                    <w:rPr>
                      <w:color w:val="000000"/>
                      <w:sz w:val="18"/>
                      <w:szCs w:val="18"/>
                    </w:rPr>
                  </w:pPr>
                </w:p>
              </w:tc>
              <w:tc>
                <w:tcPr>
                  <w:tcW w:w="517" w:type="pct"/>
                  <w:noWrap w:val="0"/>
                  <w:vAlign w:val="center"/>
                </w:tcPr>
                <w:p w14:paraId="5761D2BB">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1F08190D">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2FB4B3AC">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266A614">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5DB735C1">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7CA96B7E">
                  <w:pPr>
                    <w:widowControl/>
                    <w:adjustRightInd w:val="0"/>
                    <w:snapToGrid w:val="0"/>
                    <w:jc w:val="center"/>
                    <w:textAlignment w:val="center"/>
                    <w:rPr>
                      <w:color w:val="000000"/>
                      <w:sz w:val="18"/>
                      <w:szCs w:val="18"/>
                    </w:rPr>
                  </w:pPr>
                  <w:r>
                    <w:rPr>
                      <w:color w:val="000000"/>
                      <w:kern w:val="0"/>
                      <w:sz w:val="18"/>
                      <w:szCs w:val="18"/>
                      <w:lang w:bidi="ar"/>
                    </w:rPr>
                    <w:t>/</w:t>
                  </w:r>
                </w:p>
              </w:tc>
            </w:tr>
            <w:tr w14:paraId="23BC7FC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536121F4">
                  <w:pPr>
                    <w:widowControl/>
                    <w:adjustRightInd w:val="0"/>
                    <w:snapToGrid w:val="0"/>
                    <w:jc w:val="center"/>
                    <w:rPr>
                      <w:color w:val="000000"/>
                      <w:sz w:val="18"/>
                      <w:szCs w:val="18"/>
                    </w:rPr>
                  </w:pPr>
                </w:p>
              </w:tc>
              <w:tc>
                <w:tcPr>
                  <w:tcW w:w="361" w:type="pct"/>
                  <w:vMerge w:val="continue"/>
                  <w:noWrap w:val="0"/>
                  <w:vAlign w:val="center"/>
                </w:tcPr>
                <w:p w14:paraId="29F32F00">
                  <w:pPr>
                    <w:widowControl/>
                    <w:adjustRightInd w:val="0"/>
                    <w:snapToGrid w:val="0"/>
                    <w:jc w:val="center"/>
                    <w:rPr>
                      <w:color w:val="000000"/>
                      <w:sz w:val="18"/>
                      <w:szCs w:val="18"/>
                    </w:rPr>
                  </w:pPr>
                </w:p>
              </w:tc>
              <w:tc>
                <w:tcPr>
                  <w:tcW w:w="432" w:type="pct"/>
                  <w:noWrap w:val="0"/>
                  <w:vAlign w:val="center"/>
                </w:tcPr>
                <w:p w14:paraId="23A38A00">
                  <w:pPr>
                    <w:widowControl/>
                    <w:adjustRightInd w:val="0"/>
                    <w:snapToGrid w:val="0"/>
                    <w:jc w:val="center"/>
                    <w:textAlignment w:val="center"/>
                    <w:rPr>
                      <w:color w:val="000000"/>
                      <w:sz w:val="18"/>
                      <w:szCs w:val="18"/>
                    </w:rPr>
                  </w:pPr>
                  <w:r>
                    <w:rPr>
                      <w:color w:val="000000"/>
                      <w:kern w:val="0"/>
                      <w:sz w:val="18"/>
                      <w:szCs w:val="18"/>
                      <w:lang w:bidi="ar"/>
                    </w:rPr>
                    <w:t>SS</w:t>
                  </w:r>
                </w:p>
              </w:tc>
              <w:tc>
                <w:tcPr>
                  <w:tcW w:w="365" w:type="pct"/>
                  <w:noWrap w:val="0"/>
                  <w:vAlign w:val="center"/>
                </w:tcPr>
                <w:p w14:paraId="2D6A38BD">
                  <w:pPr>
                    <w:widowControl/>
                    <w:adjustRightInd w:val="0"/>
                    <w:snapToGrid w:val="0"/>
                    <w:jc w:val="center"/>
                    <w:textAlignment w:val="center"/>
                    <w:rPr>
                      <w:color w:val="000000"/>
                      <w:sz w:val="18"/>
                      <w:szCs w:val="18"/>
                    </w:rPr>
                  </w:pPr>
                  <w:r>
                    <w:rPr>
                      <w:color w:val="000000"/>
                      <w:kern w:val="0"/>
                      <w:sz w:val="18"/>
                      <w:szCs w:val="18"/>
                      <w:lang w:bidi="ar"/>
                    </w:rPr>
                    <w:t>30</w:t>
                  </w:r>
                </w:p>
              </w:tc>
              <w:tc>
                <w:tcPr>
                  <w:tcW w:w="377" w:type="pct"/>
                  <w:noWrap w:val="0"/>
                  <w:vAlign w:val="center"/>
                </w:tcPr>
                <w:p w14:paraId="0ED31AEF">
                  <w:pPr>
                    <w:widowControl/>
                    <w:adjustRightInd w:val="0"/>
                    <w:snapToGrid w:val="0"/>
                    <w:jc w:val="center"/>
                    <w:textAlignment w:val="center"/>
                    <w:rPr>
                      <w:color w:val="000000"/>
                      <w:sz w:val="18"/>
                      <w:szCs w:val="18"/>
                    </w:rPr>
                  </w:pPr>
                  <w:r>
                    <w:rPr>
                      <w:color w:val="000000"/>
                      <w:kern w:val="0"/>
                      <w:sz w:val="18"/>
                      <w:szCs w:val="18"/>
                      <w:lang w:bidi="ar"/>
                    </w:rPr>
                    <w:t xml:space="preserve">0.0003 </w:t>
                  </w:r>
                </w:p>
              </w:tc>
              <w:tc>
                <w:tcPr>
                  <w:tcW w:w="351" w:type="pct"/>
                  <w:vMerge w:val="continue"/>
                  <w:noWrap w:val="0"/>
                  <w:vAlign w:val="center"/>
                </w:tcPr>
                <w:p w14:paraId="3674698A">
                  <w:pPr>
                    <w:widowControl/>
                    <w:adjustRightInd w:val="0"/>
                    <w:snapToGrid w:val="0"/>
                    <w:jc w:val="center"/>
                    <w:rPr>
                      <w:color w:val="000000"/>
                      <w:sz w:val="18"/>
                      <w:szCs w:val="18"/>
                    </w:rPr>
                  </w:pPr>
                </w:p>
              </w:tc>
              <w:tc>
                <w:tcPr>
                  <w:tcW w:w="517" w:type="pct"/>
                  <w:noWrap w:val="0"/>
                  <w:vAlign w:val="center"/>
                </w:tcPr>
                <w:p w14:paraId="02AEF7F0">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274AE47F">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0BE64CE7">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681C390">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6362CA53">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3CC5987A">
                  <w:pPr>
                    <w:widowControl/>
                    <w:adjustRightInd w:val="0"/>
                    <w:snapToGrid w:val="0"/>
                    <w:jc w:val="center"/>
                    <w:textAlignment w:val="center"/>
                    <w:rPr>
                      <w:color w:val="000000"/>
                      <w:sz w:val="18"/>
                      <w:szCs w:val="18"/>
                    </w:rPr>
                  </w:pPr>
                  <w:r>
                    <w:rPr>
                      <w:color w:val="000000"/>
                      <w:kern w:val="0"/>
                      <w:sz w:val="18"/>
                      <w:szCs w:val="18"/>
                      <w:lang w:bidi="ar"/>
                    </w:rPr>
                    <w:t>/</w:t>
                  </w:r>
                </w:p>
              </w:tc>
            </w:tr>
            <w:tr w14:paraId="57DF5D0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67F139C2">
                  <w:pPr>
                    <w:widowControl/>
                    <w:adjustRightInd w:val="0"/>
                    <w:snapToGrid w:val="0"/>
                    <w:jc w:val="center"/>
                    <w:textAlignment w:val="center"/>
                    <w:rPr>
                      <w:color w:val="000000"/>
                      <w:sz w:val="18"/>
                      <w:szCs w:val="18"/>
                    </w:rPr>
                  </w:pPr>
                  <w:r>
                    <w:rPr>
                      <w:color w:val="000000"/>
                      <w:kern w:val="0"/>
                      <w:sz w:val="18"/>
                      <w:szCs w:val="18"/>
                      <w:lang w:bidi="ar"/>
                    </w:rPr>
                    <w:t>含油废水</w:t>
                  </w:r>
                </w:p>
              </w:tc>
              <w:tc>
                <w:tcPr>
                  <w:tcW w:w="361" w:type="pct"/>
                  <w:vMerge w:val="restart"/>
                  <w:noWrap w:val="0"/>
                  <w:vAlign w:val="center"/>
                </w:tcPr>
                <w:p w14:paraId="49631524">
                  <w:pPr>
                    <w:widowControl/>
                    <w:adjustRightInd w:val="0"/>
                    <w:snapToGrid w:val="0"/>
                    <w:jc w:val="center"/>
                    <w:textAlignment w:val="center"/>
                    <w:rPr>
                      <w:color w:val="000000"/>
                      <w:sz w:val="18"/>
                      <w:szCs w:val="18"/>
                    </w:rPr>
                  </w:pPr>
                  <w:r>
                    <w:rPr>
                      <w:color w:val="000000"/>
                      <w:kern w:val="0"/>
                      <w:sz w:val="18"/>
                      <w:szCs w:val="18"/>
                      <w:lang w:bidi="ar"/>
                    </w:rPr>
                    <w:t>16.8</w:t>
                  </w:r>
                </w:p>
              </w:tc>
              <w:tc>
                <w:tcPr>
                  <w:tcW w:w="432" w:type="pct"/>
                  <w:noWrap w:val="0"/>
                  <w:vAlign w:val="center"/>
                </w:tcPr>
                <w:p w14:paraId="1525E1C8">
                  <w:pPr>
                    <w:widowControl/>
                    <w:adjustRightInd w:val="0"/>
                    <w:snapToGrid w:val="0"/>
                    <w:jc w:val="center"/>
                    <w:textAlignment w:val="center"/>
                    <w:rPr>
                      <w:color w:val="000000"/>
                      <w:sz w:val="18"/>
                      <w:szCs w:val="18"/>
                    </w:rPr>
                  </w:pPr>
                  <w:r>
                    <w:rPr>
                      <w:color w:val="000000"/>
                      <w:kern w:val="0"/>
                      <w:sz w:val="18"/>
                      <w:szCs w:val="18"/>
                      <w:lang w:bidi="ar"/>
                    </w:rPr>
                    <w:t>pH（无量纲）</w:t>
                  </w:r>
                </w:p>
              </w:tc>
              <w:tc>
                <w:tcPr>
                  <w:tcW w:w="365" w:type="pct"/>
                  <w:noWrap w:val="0"/>
                  <w:vAlign w:val="center"/>
                </w:tcPr>
                <w:p w14:paraId="3FC3B325">
                  <w:pPr>
                    <w:widowControl/>
                    <w:adjustRightInd w:val="0"/>
                    <w:snapToGrid w:val="0"/>
                    <w:jc w:val="center"/>
                    <w:textAlignment w:val="center"/>
                    <w:rPr>
                      <w:color w:val="000000"/>
                      <w:sz w:val="18"/>
                      <w:szCs w:val="18"/>
                    </w:rPr>
                  </w:pPr>
                  <w:r>
                    <w:rPr>
                      <w:color w:val="000000"/>
                      <w:kern w:val="0"/>
                      <w:sz w:val="18"/>
                      <w:szCs w:val="18"/>
                      <w:lang w:bidi="ar"/>
                    </w:rPr>
                    <w:t>/</w:t>
                  </w:r>
                </w:p>
              </w:tc>
              <w:tc>
                <w:tcPr>
                  <w:tcW w:w="377" w:type="pct"/>
                  <w:noWrap w:val="0"/>
                  <w:vAlign w:val="center"/>
                </w:tcPr>
                <w:p w14:paraId="5C31F00A">
                  <w:pPr>
                    <w:widowControl/>
                    <w:adjustRightInd w:val="0"/>
                    <w:snapToGrid w:val="0"/>
                    <w:jc w:val="center"/>
                    <w:textAlignment w:val="center"/>
                    <w:rPr>
                      <w:color w:val="000000"/>
                      <w:sz w:val="18"/>
                      <w:szCs w:val="18"/>
                    </w:rPr>
                  </w:pPr>
                  <w:r>
                    <w:rPr>
                      <w:color w:val="000000"/>
                      <w:kern w:val="0"/>
                      <w:sz w:val="18"/>
                      <w:szCs w:val="18"/>
                      <w:lang w:bidi="ar"/>
                    </w:rPr>
                    <w:t>/</w:t>
                  </w:r>
                </w:p>
              </w:tc>
              <w:tc>
                <w:tcPr>
                  <w:tcW w:w="351" w:type="pct"/>
                  <w:vMerge w:val="continue"/>
                  <w:noWrap w:val="0"/>
                  <w:vAlign w:val="center"/>
                </w:tcPr>
                <w:p w14:paraId="08EA869E">
                  <w:pPr>
                    <w:widowControl/>
                    <w:adjustRightInd w:val="0"/>
                    <w:snapToGrid w:val="0"/>
                    <w:jc w:val="center"/>
                    <w:rPr>
                      <w:color w:val="000000"/>
                      <w:sz w:val="18"/>
                      <w:szCs w:val="18"/>
                    </w:rPr>
                  </w:pPr>
                </w:p>
              </w:tc>
              <w:tc>
                <w:tcPr>
                  <w:tcW w:w="517" w:type="pct"/>
                  <w:noWrap w:val="0"/>
                  <w:vAlign w:val="center"/>
                </w:tcPr>
                <w:p w14:paraId="2F107E62">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443536DE">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21512FEA">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14E466E5">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2A36092A">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05D23DA5">
                  <w:pPr>
                    <w:widowControl/>
                    <w:adjustRightInd w:val="0"/>
                    <w:snapToGrid w:val="0"/>
                    <w:jc w:val="center"/>
                    <w:textAlignment w:val="center"/>
                    <w:rPr>
                      <w:color w:val="000000"/>
                      <w:sz w:val="18"/>
                      <w:szCs w:val="18"/>
                    </w:rPr>
                  </w:pPr>
                  <w:r>
                    <w:rPr>
                      <w:color w:val="000000"/>
                      <w:kern w:val="0"/>
                      <w:sz w:val="18"/>
                      <w:szCs w:val="18"/>
                      <w:lang w:bidi="ar"/>
                    </w:rPr>
                    <w:t>/</w:t>
                  </w:r>
                </w:p>
              </w:tc>
            </w:tr>
            <w:tr w14:paraId="38A6EC8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799C02A3">
                  <w:pPr>
                    <w:widowControl/>
                    <w:adjustRightInd w:val="0"/>
                    <w:snapToGrid w:val="0"/>
                    <w:jc w:val="center"/>
                    <w:rPr>
                      <w:color w:val="000000"/>
                      <w:sz w:val="18"/>
                      <w:szCs w:val="18"/>
                    </w:rPr>
                  </w:pPr>
                </w:p>
              </w:tc>
              <w:tc>
                <w:tcPr>
                  <w:tcW w:w="361" w:type="pct"/>
                  <w:vMerge w:val="continue"/>
                  <w:noWrap w:val="0"/>
                  <w:vAlign w:val="center"/>
                </w:tcPr>
                <w:p w14:paraId="4C73CB3E">
                  <w:pPr>
                    <w:widowControl/>
                    <w:adjustRightInd w:val="0"/>
                    <w:snapToGrid w:val="0"/>
                    <w:jc w:val="center"/>
                    <w:rPr>
                      <w:color w:val="000000"/>
                      <w:sz w:val="18"/>
                      <w:szCs w:val="18"/>
                    </w:rPr>
                  </w:pPr>
                </w:p>
              </w:tc>
              <w:tc>
                <w:tcPr>
                  <w:tcW w:w="432" w:type="pct"/>
                  <w:noWrap w:val="0"/>
                  <w:vAlign w:val="center"/>
                </w:tcPr>
                <w:p w14:paraId="309D389A">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3C0C5AF4">
                  <w:pPr>
                    <w:widowControl/>
                    <w:adjustRightInd w:val="0"/>
                    <w:snapToGrid w:val="0"/>
                    <w:jc w:val="center"/>
                    <w:textAlignment w:val="center"/>
                    <w:rPr>
                      <w:color w:val="000000"/>
                      <w:sz w:val="18"/>
                      <w:szCs w:val="18"/>
                    </w:rPr>
                  </w:pPr>
                  <w:r>
                    <w:rPr>
                      <w:color w:val="000000"/>
                      <w:kern w:val="0"/>
                      <w:sz w:val="18"/>
                      <w:szCs w:val="18"/>
                      <w:lang w:bidi="ar"/>
                    </w:rPr>
                    <w:t>300</w:t>
                  </w:r>
                </w:p>
              </w:tc>
              <w:tc>
                <w:tcPr>
                  <w:tcW w:w="377" w:type="pct"/>
                  <w:noWrap w:val="0"/>
                  <w:vAlign w:val="center"/>
                </w:tcPr>
                <w:p w14:paraId="04B975FA">
                  <w:pPr>
                    <w:widowControl/>
                    <w:adjustRightInd w:val="0"/>
                    <w:snapToGrid w:val="0"/>
                    <w:jc w:val="center"/>
                    <w:textAlignment w:val="center"/>
                    <w:rPr>
                      <w:color w:val="000000"/>
                      <w:sz w:val="18"/>
                      <w:szCs w:val="18"/>
                    </w:rPr>
                  </w:pPr>
                  <w:r>
                    <w:rPr>
                      <w:color w:val="000000"/>
                      <w:kern w:val="0"/>
                      <w:sz w:val="18"/>
                      <w:szCs w:val="18"/>
                      <w:lang w:bidi="ar"/>
                    </w:rPr>
                    <w:t xml:space="preserve">0.005 </w:t>
                  </w:r>
                </w:p>
              </w:tc>
              <w:tc>
                <w:tcPr>
                  <w:tcW w:w="351" w:type="pct"/>
                  <w:vMerge w:val="continue"/>
                  <w:noWrap w:val="0"/>
                  <w:vAlign w:val="center"/>
                </w:tcPr>
                <w:p w14:paraId="765DD3B5">
                  <w:pPr>
                    <w:widowControl/>
                    <w:adjustRightInd w:val="0"/>
                    <w:snapToGrid w:val="0"/>
                    <w:jc w:val="center"/>
                    <w:rPr>
                      <w:color w:val="000000"/>
                      <w:sz w:val="18"/>
                      <w:szCs w:val="18"/>
                    </w:rPr>
                  </w:pPr>
                </w:p>
              </w:tc>
              <w:tc>
                <w:tcPr>
                  <w:tcW w:w="517" w:type="pct"/>
                  <w:noWrap w:val="0"/>
                  <w:vAlign w:val="center"/>
                </w:tcPr>
                <w:p w14:paraId="5BFD5FFF">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2216C129">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854D636">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14EC860F">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19CF115B">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00874580">
                  <w:pPr>
                    <w:widowControl/>
                    <w:adjustRightInd w:val="0"/>
                    <w:snapToGrid w:val="0"/>
                    <w:jc w:val="center"/>
                    <w:textAlignment w:val="center"/>
                    <w:rPr>
                      <w:color w:val="000000"/>
                      <w:sz w:val="18"/>
                      <w:szCs w:val="18"/>
                    </w:rPr>
                  </w:pPr>
                  <w:r>
                    <w:rPr>
                      <w:color w:val="000000"/>
                      <w:kern w:val="0"/>
                      <w:sz w:val="18"/>
                      <w:szCs w:val="18"/>
                      <w:lang w:bidi="ar"/>
                    </w:rPr>
                    <w:t>/</w:t>
                  </w:r>
                </w:p>
              </w:tc>
            </w:tr>
            <w:tr w14:paraId="3DD5854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170" w:hRule="atLeast"/>
                <w:jc w:val="center"/>
              </w:trPr>
              <w:tc>
                <w:tcPr>
                  <w:tcW w:w="655" w:type="pct"/>
                  <w:vMerge w:val="continue"/>
                  <w:noWrap w:val="0"/>
                  <w:vAlign w:val="center"/>
                </w:tcPr>
                <w:p w14:paraId="2AAC9517">
                  <w:pPr>
                    <w:widowControl/>
                    <w:adjustRightInd w:val="0"/>
                    <w:snapToGrid w:val="0"/>
                    <w:jc w:val="center"/>
                    <w:rPr>
                      <w:color w:val="000000"/>
                      <w:sz w:val="18"/>
                      <w:szCs w:val="18"/>
                    </w:rPr>
                  </w:pPr>
                </w:p>
              </w:tc>
              <w:tc>
                <w:tcPr>
                  <w:tcW w:w="361" w:type="pct"/>
                  <w:vMerge w:val="continue"/>
                  <w:noWrap w:val="0"/>
                  <w:vAlign w:val="center"/>
                </w:tcPr>
                <w:p w14:paraId="68447D2D">
                  <w:pPr>
                    <w:widowControl/>
                    <w:adjustRightInd w:val="0"/>
                    <w:snapToGrid w:val="0"/>
                    <w:jc w:val="center"/>
                    <w:rPr>
                      <w:color w:val="000000"/>
                      <w:sz w:val="18"/>
                      <w:szCs w:val="18"/>
                    </w:rPr>
                  </w:pPr>
                </w:p>
              </w:tc>
              <w:tc>
                <w:tcPr>
                  <w:tcW w:w="432" w:type="pct"/>
                  <w:noWrap w:val="0"/>
                  <w:vAlign w:val="center"/>
                </w:tcPr>
                <w:p w14:paraId="00F89880">
                  <w:pPr>
                    <w:widowControl/>
                    <w:adjustRightInd w:val="0"/>
                    <w:snapToGrid w:val="0"/>
                    <w:jc w:val="center"/>
                    <w:textAlignment w:val="center"/>
                    <w:rPr>
                      <w:color w:val="000000"/>
                      <w:sz w:val="18"/>
                      <w:szCs w:val="18"/>
                    </w:rPr>
                  </w:pPr>
                  <w:r>
                    <w:rPr>
                      <w:color w:val="000000"/>
                      <w:kern w:val="0"/>
                      <w:sz w:val="18"/>
                      <w:szCs w:val="18"/>
                      <w:lang w:bidi="ar"/>
                    </w:rPr>
                    <w:t>石油类</w:t>
                  </w:r>
                </w:p>
              </w:tc>
              <w:tc>
                <w:tcPr>
                  <w:tcW w:w="365" w:type="pct"/>
                  <w:noWrap w:val="0"/>
                  <w:vAlign w:val="center"/>
                </w:tcPr>
                <w:p w14:paraId="69861282">
                  <w:pPr>
                    <w:widowControl/>
                    <w:adjustRightInd w:val="0"/>
                    <w:snapToGrid w:val="0"/>
                    <w:jc w:val="center"/>
                    <w:textAlignment w:val="center"/>
                    <w:rPr>
                      <w:color w:val="000000"/>
                      <w:sz w:val="18"/>
                      <w:szCs w:val="18"/>
                    </w:rPr>
                  </w:pPr>
                  <w:r>
                    <w:rPr>
                      <w:color w:val="000000"/>
                      <w:kern w:val="0"/>
                      <w:sz w:val="18"/>
                      <w:szCs w:val="18"/>
                      <w:lang w:bidi="ar"/>
                    </w:rPr>
                    <w:t>500</w:t>
                  </w:r>
                </w:p>
              </w:tc>
              <w:tc>
                <w:tcPr>
                  <w:tcW w:w="377" w:type="pct"/>
                  <w:noWrap w:val="0"/>
                  <w:vAlign w:val="center"/>
                </w:tcPr>
                <w:p w14:paraId="69BAD3D9">
                  <w:pPr>
                    <w:widowControl/>
                    <w:adjustRightInd w:val="0"/>
                    <w:snapToGrid w:val="0"/>
                    <w:jc w:val="center"/>
                    <w:textAlignment w:val="center"/>
                    <w:rPr>
                      <w:color w:val="000000"/>
                      <w:sz w:val="18"/>
                      <w:szCs w:val="18"/>
                    </w:rPr>
                  </w:pPr>
                  <w:r>
                    <w:rPr>
                      <w:color w:val="000000"/>
                      <w:kern w:val="0"/>
                      <w:sz w:val="18"/>
                      <w:szCs w:val="18"/>
                      <w:lang w:bidi="ar"/>
                    </w:rPr>
                    <w:t xml:space="preserve">0.008 </w:t>
                  </w:r>
                </w:p>
              </w:tc>
              <w:tc>
                <w:tcPr>
                  <w:tcW w:w="351" w:type="pct"/>
                  <w:vMerge w:val="continue"/>
                  <w:noWrap w:val="0"/>
                  <w:vAlign w:val="center"/>
                </w:tcPr>
                <w:p w14:paraId="02F55D35">
                  <w:pPr>
                    <w:widowControl/>
                    <w:adjustRightInd w:val="0"/>
                    <w:snapToGrid w:val="0"/>
                    <w:jc w:val="center"/>
                    <w:rPr>
                      <w:color w:val="000000"/>
                      <w:sz w:val="18"/>
                      <w:szCs w:val="18"/>
                    </w:rPr>
                  </w:pPr>
                </w:p>
              </w:tc>
              <w:tc>
                <w:tcPr>
                  <w:tcW w:w="517" w:type="pct"/>
                  <w:noWrap w:val="0"/>
                  <w:vAlign w:val="center"/>
                </w:tcPr>
                <w:p w14:paraId="7C1B6DD6">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0"/>
                  <w:vAlign w:val="center"/>
                </w:tcPr>
                <w:p w14:paraId="73F23276">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0B638D75">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0"/>
                  <w:vAlign w:val="center"/>
                </w:tcPr>
                <w:p w14:paraId="20F55769">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0"/>
                  <w:vAlign w:val="center"/>
                </w:tcPr>
                <w:p w14:paraId="12D669F3">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0"/>
                  <w:vAlign w:val="center"/>
                </w:tcPr>
                <w:p w14:paraId="11B8C6C4">
                  <w:pPr>
                    <w:widowControl/>
                    <w:adjustRightInd w:val="0"/>
                    <w:snapToGrid w:val="0"/>
                    <w:jc w:val="center"/>
                    <w:textAlignment w:val="center"/>
                    <w:rPr>
                      <w:color w:val="000000"/>
                      <w:sz w:val="18"/>
                      <w:szCs w:val="18"/>
                    </w:rPr>
                  </w:pPr>
                  <w:r>
                    <w:rPr>
                      <w:color w:val="000000"/>
                      <w:kern w:val="0"/>
                      <w:sz w:val="18"/>
                      <w:szCs w:val="18"/>
                      <w:lang w:bidi="ar"/>
                    </w:rPr>
                    <w:t>/</w:t>
                  </w:r>
                </w:p>
              </w:tc>
            </w:tr>
            <w:tr w14:paraId="3DE51A6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ign w:val="center"/>
                </w:tcPr>
                <w:p w14:paraId="195ADF9F">
                  <w:pPr>
                    <w:widowControl/>
                    <w:adjustRightInd w:val="0"/>
                    <w:snapToGrid w:val="0"/>
                    <w:jc w:val="center"/>
                    <w:textAlignment w:val="center"/>
                    <w:rPr>
                      <w:color w:val="000000"/>
                      <w:sz w:val="18"/>
                      <w:szCs w:val="18"/>
                    </w:rPr>
                  </w:pPr>
                  <w:r>
                    <w:rPr>
                      <w:color w:val="000000"/>
                      <w:kern w:val="0"/>
                      <w:sz w:val="18"/>
                      <w:szCs w:val="18"/>
                      <w:lang w:bidi="ar"/>
                    </w:rPr>
                    <w:t>酸雾洗涤塔废水</w:t>
                  </w:r>
                </w:p>
              </w:tc>
              <w:tc>
                <w:tcPr>
                  <w:tcW w:w="361" w:type="pct"/>
                  <w:vMerge w:val="restart"/>
                  <w:noWrap/>
                  <w:vAlign w:val="center"/>
                </w:tcPr>
                <w:p w14:paraId="6BC856DF">
                  <w:pPr>
                    <w:widowControl/>
                    <w:adjustRightInd w:val="0"/>
                    <w:snapToGrid w:val="0"/>
                    <w:jc w:val="center"/>
                    <w:textAlignment w:val="center"/>
                    <w:rPr>
                      <w:color w:val="000000"/>
                      <w:sz w:val="18"/>
                      <w:szCs w:val="18"/>
                    </w:rPr>
                  </w:pPr>
                  <w:r>
                    <w:rPr>
                      <w:color w:val="000000"/>
                      <w:kern w:val="0"/>
                      <w:sz w:val="18"/>
                      <w:szCs w:val="18"/>
                      <w:lang w:bidi="ar"/>
                    </w:rPr>
                    <w:t>6</w:t>
                  </w:r>
                </w:p>
              </w:tc>
              <w:tc>
                <w:tcPr>
                  <w:tcW w:w="432" w:type="pct"/>
                  <w:noWrap w:val="0"/>
                  <w:vAlign w:val="center"/>
                </w:tcPr>
                <w:p w14:paraId="55387537">
                  <w:pPr>
                    <w:widowControl/>
                    <w:adjustRightInd w:val="0"/>
                    <w:snapToGrid w:val="0"/>
                    <w:jc w:val="center"/>
                    <w:textAlignment w:val="center"/>
                    <w:rPr>
                      <w:color w:val="000000"/>
                      <w:sz w:val="18"/>
                      <w:szCs w:val="18"/>
                    </w:rPr>
                  </w:pPr>
                  <w:r>
                    <w:rPr>
                      <w:color w:val="000000"/>
                      <w:kern w:val="0"/>
                      <w:sz w:val="18"/>
                      <w:szCs w:val="18"/>
                      <w:lang w:bidi="ar"/>
                    </w:rPr>
                    <w:t>pH（无量纲）</w:t>
                  </w:r>
                </w:p>
              </w:tc>
              <w:tc>
                <w:tcPr>
                  <w:tcW w:w="365" w:type="pct"/>
                  <w:noWrap w:val="0"/>
                  <w:vAlign w:val="center"/>
                </w:tcPr>
                <w:p w14:paraId="255DF8D5">
                  <w:pPr>
                    <w:widowControl/>
                    <w:adjustRightInd w:val="0"/>
                    <w:snapToGrid w:val="0"/>
                    <w:jc w:val="center"/>
                    <w:textAlignment w:val="center"/>
                    <w:rPr>
                      <w:color w:val="000000"/>
                      <w:sz w:val="18"/>
                      <w:szCs w:val="18"/>
                    </w:rPr>
                  </w:pPr>
                  <w:r>
                    <w:rPr>
                      <w:color w:val="000000"/>
                      <w:kern w:val="0"/>
                      <w:sz w:val="18"/>
                      <w:szCs w:val="18"/>
                      <w:lang w:bidi="ar"/>
                    </w:rPr>
                    <w:t>9~11</w:t>
                  </w:r>
                </w:p>
              </w:tc>
              <w:tc>
                <w:tcPr>
                  <w:tcW w:w="377" w:type="pct"/>
                  <w:noWrap/>
                  <w:vAlign w:val="center"/>
                </w:tcPr>
                <w:p w14:paraId="3C37B2A7">
                  <w:pPr>
                    <w:widowControl/>
                    <w:adjustRightInd w:val="0"/>
                    <w:snapToGrid w:val="0"/>
                    <w:jc w:val="center"/>
                    <w:textAlignment w:val="center"/>
                    <w:rPr>
                      <w:color w:val="000000"/>
                      <w:sz w:val="18"/>
                      <w:szCs w:val="18"/>
                    </w:rPr>
                  </w:pPr>
                  <w:r>
                    <w:rPr>
                      <w:color w:val="000000"/>
                      <w:sz w:val="18"/>
                      <w:szCs w:val="18"/>
                    </w:rPr>
                    <w:t>/</w:t>
                  </w:r>
                </w:p>
              </w:tc>
              <w:tc>
                <w:tcPr>
                  <w:tcW w:w="351" w:type="pct"/>
                  <w:vMerge w:val="continue"/>
                  <w:noWrap w:val="0"/>
                  <w:vAlign w:val="center"/>
                </w:tcPr>
                <w:p w14:paraId="176D8A41">
                  <w:pPr>
                    <w:widowControl/>
                    <w:adjustRightInd w:val="0"/>
                    <w:snapToGrid w:val="0"/>
                    <w:jc w:val="center"/>
                    <w:rPr>
                      <w:color w:val="000000"/>
                      <w:sz w:val="18"/>
                      <w:szCs w:val="18"/>
                    </w:rPr>
                  </w:pPr>
                </w:p>
              </w:tc>
              <w:tc>
                <w:tcPr>
                  <w:tcW w:w="517" w:type="pct"/>
                  <w:noWrap/>
                  <w:vAlign w:val="center"/>
                </w:tcPr>
                <w:p w14:paraId="3DAD93EB">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ign w:val="center"/>
                </w:tcPr>
                <w:p w14:paraId="60F5CB92">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ign w:val="center"/>
                </w:tcPr>
                <w:p w14:paraId="3A1ABFE4">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ign w:val="center"/>
                </w:tcPr>
                <w:p w14:paraId="0E1554EA">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ign w:val="center"/>
                </w:tcPr>
                <w:p w14:paraId="4BF6BCB2">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ign w:val="center"/>
                </w:tcPr>
                <w:p w14:paraId="432914B3">
                  <w:pPr>
                    <w:widowControl/>
                    <w:adjustRightInd w:val="0"/>
                    <w:snapToGrid w:val="0"/>
                    <w:jc w:val="center"/>
                    <w:textAlignment w:val="center"/>
                    <w:rPr>
                      <w:color w:val="000000"/>
                      <w:sz w:val="18"/>
                      <w:szCs w:val="18"/>
                    </w:rPr>
                  </w:pPr>
                  <w:r>
                    <w:rPr>
                      <w:color w:val="000000"/>
                      <w:kern w:val="0"/>
                      <w:sz w:val="18"/>
                      <w:szCs w:val="18"/>
                      <w:lang w:bidi="ar"/>
                    </w:rPr>
                    <w:t>/</w:t>
                  </w:r>
                </w:p>
              </w:tc>
            </w:tr>
            <w:tr w14:paraId="1244E01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ign w:val="center"/>
                </w:tcPr>
                <w:p w14:paraId="6DF1D9F7">
                  <w:pPr>
                    <w:widowControl/>
                    <w:adjustRightInd w:val="0"/>
                    <w:snapToGrid w:val="0"/>
                    <w:jc w:val="center"/>
                    <w:rPr>
                      <w:color w:val="000000"/>
                      <w:sz w:val="18"/>
                      <w:szCs w:val="18"/>
                    </w:rPr>
                  </w:pPr>
                </w:p>
              </w:tc>
              <w:tc>
                <w:tcPr>
                  <w:tcW w:w="361" w:type="pct"/>
                  <w:vMerge w:val="continue"/>
                  <w:noWrap/>
                  <w:vAlign w:val="center"/>
                </w:tcPr>
                <w:p w14:paraId="339211C6">
                  <w:pPr>
                    <w:widowControl/>
                    <w:adjustRightInd w:val="0"/>
                    <w:snapToGrid w:val="0"/>
                    <w:jc w:val="center"/>
                    <w:rPr>
                      <w:color w:val="000000"/>
                      <w:sz w:val="18"/>
                      <w:szCs w:val="18"/>
                    </w:rPr>
                  </w:pPr>
                </w:p>
              </w:tc>
              <w:tc>
                <w:tcPr>
                  <w:tcW w:w="432" w:type="pct"/>
                  <w:noWrap w:val="0"/>
                  <w:vAlign w:val="center"/>
                </w:tcPr>
                <w:p w14:paraId="068D1F5F">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68BCE632">
                  <w:pPr>
                    <w:widowControl/>
                    <w:adjustRightInd w:val="0"/>
                    <w:snapToGrid w:val="0"/>
                    <w:jc w:val="center"/>
                    <w:textAlignment w:val="center"/>
                    <w:rPr>
                      <w:color w:val="000000"/>
                      <w:sz w:val="18"/>
                      <w:szCs w:val="18"/>
                    </w:rPr>
                  </w:pPr>
                  <w:r>
                    <w:rPr>
                      <w:color w:val="000000"/>
                      <w:kern w:val="0"/>
                      <w:sz w:val="18"/>
                      <w:szCs w:val="18"/>
                      <w:lang w:bidi="ar"/>
                    </w:rPr>
                    <w:t>40</w:t>
                  </w:r>
                </w:p>
              </w:tc>
              <w:tc>
                <w:tcPr>
                  <w:tcW w:w="377" w:type="pct"/>
                  <w:noWrap w:val="0"/>
                  <w:vAlign w:val="center"/>
                </w:tcPr>
                <w:p w14:paraId="0668259F">
                  <w:pPr>
                    <w:widowControl/>
                    <w:adjustRightInd w:val="0"/>
                    <w:snapToGrid w:val="0"/>
                    <w:jc w:val="center"/>
                    <w:textAlignment w:val="center"/>
                    <w:rPr>
                      <w:color w:val="000000"/>
                      <w:sz w:val="18"/>
                      <w:szCs w:val="18"/>
                    </w:rPr>
                  </w:pPr>
                  <w:r>
                    <w:rPr>
                      <w:color w:val="000000"/>
                      <w:kern w:val="0"/>
                      <w:sz w:val="18"/>
                      <w:szCs w:val="18"/>
                      <w:lang w:bidi="ar"/>
                    </w:rPr>
                    <w:t xml:space="preserve">0.0002 </w:t>
                  </w:r>
                </w:p>
              </w:tc>
              <w:tc>
                <w:tcPr>
                  <w:tcW w:w="351" w:type="pct"/>
                  <w:vMerge w:val="continue"/>
                  <w:noWrap w:val="0"/>
                  <w:vAlign w:val="center"/>
                </w:tcPr>
                <w:p w14:paraId="24A26117">
                  <w:pPr>
                    <w:widowControl/>
                    <w:adjustRightInd w:val="0"/>
                    <w:snapToGrid w:val="0"/>
                    <w:jc w:val="center"/>
                    <w:rPr>
                      <w:color w:val="000000"/>
                      <w:sz w:val="18"/>
                      <w:szCs w:val="18"/>
                    </w:rPr>
                  </w:pPr>
                </w:p>
              </w:tc>
              <w:tc>
                <w:tcPr>
                  <w:tcW w:w="517" w:type="pct"/>
                  <w:noWrap/>
                  <w:vAlign w:val="center"/>
                </w:tcPr>
                <w:p w14:paraId="49B998B3">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ign w:val="center"/>
                </w:tcPr>
                <w:p w14:paraId="7660B94F">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ign w:val="center"/>
                </w:tcPr>
                <w:p w14:paraId="0874DE14">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ign w:val="center"/>
                </w:tcPr>
                <w:p w14:paraId="7D16886D">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ign w:val="center"/>
                </w:tcPr>
                <w:p w14:paraId="2DA8E251">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ign w:val="center"/>
                </w:tcPr>
                <w:p w14:paraId="7FE81367">
                  <w:pPr>
                    <w:widowControl/>
                    <w:adjustRightInd w:val="0"/>
                    <w:snapToGrid w:val="0"/>
                    <w:jc w:val="center"/>
                    <w:textAlignment w:val="center"/>
                    <w:rPr>
                      <w:color w:val="000000"/>
                      <w:sz w:val="18"/>
                      <w:szCs w:val="18"/>
                    </w:rPr>
                  </w:pPr>
                  <w:r>
                    <w:rPr>
                      <w:color w:val="000000"/>
                      <w:kern w:val="0"/>
                      <w:sz w:val="18"/>
                      <w:szCs w:val="18"/>
                      <w:lang w:bidi="ar"/>
                    </w:rPr>
                    <w:t>/</w:t>
                  </w:r>
                </w:p>
              </w:tc>
            </w:tr>
            <w:tr w14:paraId="456A327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ign w:val="center"/>
                </w:tcPr>
                <w:p w14:paraId="62F96D8C">
                  <w:pPr>
                    <w:widowControl/>
                    <w:adjustRightInd w:val="0"/>
                    <w:snapToGrid w:val="0"/>
                    <w:jc w:val="center"/>
                    <w:rPr>
                      <w:color w:val="000000"/>
                      <w:sz w:val="18"/>
                      <w:szCs w:val="18"/>
                    </w:rPr>
                  </w:pPr>
                </w:p>
              </w:tc>
              <w:tc>
                <w:tcPr>
                  <w:tcW w:w="361" w:type="pct"/>
                  <w:vMerge w:val="continue"/>
                  <w:noWrap/>
                  <w:vAlign w:val="center"/>
                </w:tcPr>
                <w:p w14:paraId="4621DFC3">
                  <w:pPr>
                    <w:widowControl/>
                    <w:adjustRightInd w:val="0"/>
                    <w:snapToGrid w:val="0"/>
                    <w:jc w:val="center"/>
                    <w:rPr>
                      <w:color w:val="000000"/>
                      <w:sz w:val="18"/>
                      <w:szCs w:val="18"/>
                    </w:rPr>
                  </w:pPr>
                </w:p>
              </w:tc>
              <w:tc>
                <w:tcPr>
                  <w:tcW w:w="432" w:type="pct"/>
                  <w:noWrap w:val="0"/>
                  <w:vAlign w:val="center"/>
                </w:tcPr>
                <w:p w14:paraId="5BB1ED2F">
                  <w:pPr>
                    <w:widowControl/>
                    <w:adjustRightInd w:val="0"/>
                    <w:snapToGrid w:val="0"/>
                    <w:jc w:val="center"/>
                    <w:textAlignment w:val="center"/>
                    <w:rPr>
                      <w:color w:val="000000"/>
                      <w:sz w:val="18"/>
                      <w:szCs w:val="18"/>
                    </w:rPr>
                  </w:pPr>
                  <w:r>
                    <w:rPr>
                      <w:color w:val="000000"/>
                      <w:kern w:val="0"/>
                      <w:sz w:val="18"/>
                      <w:szCs w:val="18"/>
                      <w:lang w:bidi="ar"/>
                    </w:rPr>
                    <w:t>SS</w:t>
                  </w:r>
                </w:p>
              </w:tc>
              <w:tc>
                <w:tcPr>
                  <w:tcW w:w="365" w:type="pct"/>
                  <w:noWrap w:val="0"/>
                  <w:vAlign w:val="center"/>
                </w:tcPr>
                <w:p w14:paraId="0C5DD2D1">
                  <w:pPr>
                    <w:widowControl/>
                    <w:adjustRightInd w:val="0"/>
                    <w:snapToGrid w:val="0"/>
                    <w:jc w:val="center"/>
                    <w:textAlignment w:val="center"/>
                    <w:rPr>
                      <w:color w:val="000000"/>
                      <w:sz w:val="18"/>
                      <w:szCs w:val="18"/>
                    </w:rPr>
                  </w:pPr>
                  <w:r>
                    <w:rPr>
                      <w:color w:val="000000"/>
                      <w:kern w:val="0"/>
                      <w:sz w:val="18"/>
                      <w:szCs w:val="18"/>
                      <w:lang w:bidi="ar"/>
                    </w:rPr>
                    <w:t>30</w:t>
                  </w:r>
                </w:p>
              </w:tc>
              <w:tc>
                <w:tcPr>
                  <w:tcW w:w="377" w:type="pct"/>
                  <w:noWrap w:val="0"/>
                  <w:vAlign w:val="center"/>
                </w:tcPr>
                <w:p w14:paraId="1895564C">
                  <w:pPr>
                    <w:widowControl/>
                    <w:adjustRightInd w:val="0"/>
                    <w:snapToGrid w:val="0"/>
                    <w:jc w:val="center"/>
                    <w:textAlignment w:val="center"/>
                    <w:rPr>
                      <w:color w:val="000000"/>
                      <w:sz w:val="18"/>
                      <w:szCs w:val="18"/>
                    </w:rPr>
                  </w:pPr>
                  <w:r>
                    <w:rPr>
                      <w:color w:val="000000"/>
                      <w:kern w:val="0"/>
                      <w:sz w:val="18"/>
                      <w:szCs w:val="18"/>
                      <w:lang w:bidi="ar"/>
                    </w:rPr>
                    <w:t xml:space="preserve">0.0002 </w:t>
                  </w:r>
                </w:p>
              </w:tc>
              <w:tc>
                <w:tcPr>
                  <w:tcW w:w="351" w:type="pct"/>
                  <w:vMerge w:val="continue"/>
                  <w:noWrap w:val="0"/>
                  <w:vAlign w:val="center"/>
                </w:tcPr>
                <w:p w14:paraId="421470AA">
                  <w:pPr>
                    <w:widowControl/>
                    <w:adjustRightInd w:val="0"/>
                    <w:snapToGrid w:val="0"/>
                    <w:jc w:val="center"/>
                    <w:rPr>
                      <w:color w:val="000000"/>
                      <w:sz w:val="18"/>
                      <w:szCs w:val="18"/>
                    </w:rPr>
                  </w:pPr>
                </w:p>
              </w:tc>
              <w:tc>
                <w:tcPr>
                  <w:tcW w:w="517" w:type="pct"/>
                  <w:noWrap/>
                  <w:vAlign w:val="center"/>
                </w:tcPr>
                <w:p w14:paraId="1FC3E9E2">
                  <w:pPr>
                    <w:widowControl/>
                    <w:adjustRightInd w:val="0"/>
                    <w:snapToGrid w:val="0"/>
                    <w:jc w:val="center"/>
                    <w:textAlignment w:val="center"/>
                    <w:rPr>
                      <w:color w:val="000000"/>
                      <w:sz w:val="18"/>
                      <w:szCs w:val="18"/>
                    </w:rPr>
                  </w:pPr>
                  <w:r>
                    <w:rPr>
                      <w:color w:val="000000"/>
                      <w:kern w:val="0"/>
                      <w:sz w:val="18"/>
                      <w:szCs w:val="18"/>
                      <w:lang w:bidi="ar"/>
                    </w:rPr>
                    <w:t>/</w:t>
                  </w:r>
                </w:p>
              </w:tc>
              <w:tc>
                <w:tcPr>
                  <w:tcW w:w="516" w:type="pct"/>
                  <w:noWrap/>
                  <w:vAlign w:val="center"/>
                </w:tcPr>
                <w:p w14:paraId="1ED0E65A">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ign w:val="center"/>
                </w:tcPr>
                <w:p w14:paraId="1F9CC8F2">
                  <w:pPr>
                    <w:widowControl/>
                    <w:adjustRightInd w:val="0"/>
                    <w:snapToGrid w:val="0"/>
                    <w:jc w:val="center"/>
                    <w:textAlignment w:val="center"/>
                    <w:rPr>
                      <w:color w:val="000000"/>
                      <w:sz w:val="18"/>
                      <w:szCs w:val="18"/>
                    </w:rPr>
                  </w:pPr>
                  <w:r>
                    <w:rPr>
                      <w:color w:val="000000"/>
                      <w:kern w:val="0"/>
                      <w:sz w:val="18"/>
                      <w:szCs w:val="18"/>
                      <w:lang w:bidi="ar"/>
                    </w:rPr>
                    <w:t>/</w:t>
                  </w:r>
                </w:p>
              </w:tc>
              <w:tc>
                <w:tcPr>
                  <w:tcW w:w="171" w:type="pct"/>
                  <w:noWrap/>
                  <w:vAlign w:val="center"/>
                </w:tcPr>
                <w:p w14:paraId="71C404F6">
                  <w:pPr>
                    <w:widowControl/>
                    <w:adjustRightInd w:val="0"/>
                    <w:snapToGrid w:val="0"/>
                    <w:jc w:val="center"/>
                    <w:textAlignment w:val="center"/>
                    <w:rPr>
                      <w:color w:val="000000"/>
                      <w:sz w:val="18"/>
                      <w:szCs w:val="18"/>
                    </w:rPr>
                  </w:pPr>
                  <w:r>
                    <w:rPr>
                      <w:color w:val="000000"/>
                      <w:kern w:val="0"/>
                      <w:sz w:val="18"/>
                      <w:szCs w:val="18"/>
                      <w:lang w:bidi="ar"/>
                    </w:rPr>
                    <w:t>/</w:t>
                  </w:r>
                </w:p>
              </w:tc>
              <w:tc>
                <w:tcPr>
                  <w:tcW w:w="359" w:type="pct"/>
                  <w:noWrap/>
                  <w:vAlign w:val="center"/>
                </w:tcPr>
                <w:p w14:paraId="14AAC8E4">
                  <w:pPr>
                    <w:widowControl/>
                    <w:adjustRightInd w:val="0"/>
                    <w:snapToGrid w:val="0"/>
                    <w:jc w:val="center"/>
                    <w:textAlignment w:val="center"/>
                    <w:rPr>
                      <w:color w:val="000000"/>
                      <w:sz w:val="18"/>
                      <w:szCs w:val="18"/>
                    </w:rPr>
                  </w:pPr>
                  <w:r>
                    <w:rPr>
                      <w:color w:val="000000"/>
                      <w:kern w:val="0"/>
                      <w:sz w:val="18"/>
                      <w:szCs w:val="18"/>
                      <w:lang w:bidi="ar"/>
                    </w:rPr>
                    <w:t>/</w:t>
                  </w:r>
                </w:p>
              </w:tc>
              <w:tc>
                <w:tcPr>
                  <w:tcW w:w="375" w:type="pct"/>
                  <w:noWrap/>
                  <w:vAlign w:val="center"/>
                </w:tcPr>
                <w:p w14:paraId="57AD359E">
                  <w:pPr>
                    <w:widowControl/>
                    <w:adjustRightInd w:val="0"/>
                    <w:snapToGrid w:val="0"/>
                    <w:jc w:val="center"/>
                    <w:textAlignment w:val="center"/>
                    <w:rPr>
                      <w:color w:val="000000"/>
                      <w:sz w:val="18"/>
                      <w:szCs w:val="18"/>
                    </w:rPr>
                  </w:pPr>
                  <w:r>
                    <w:rPr>
                      <w:color w:val="000000"/>
                      <w:kern w:val="0"/>
                      <w:sz w:val="18"/>
                      <w:szCs w:val="18"/>
                      <w:lang w:bidi="ar"/>
                    </w:rPr>
                    <w:t>/</w:t>
                  </w:r>
                </w:p>
              </w:tc>
            </w:tr>
            <w:tr w14:paraId="527D2A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ign w:val="center"/>
                </w:tcPr>
                <w:p w14:paraId="75FED4AB">
                  <w:pPr>
                    <w:widowControl/>
                    <w:adjustRightInd w:val="0"/>
                    <w:snapToGrid w:val="0"/>
                    <w:jc w:val="center"/>
                    <w:rPr>
                      <w:color w:val="000000"/>
                      <w:sz w:val="18"/>
                      <w:szCs w:val="18"/>
                    </w:rPr>
                  </w:pPr>
                </w:p>
              </w:tc>
              <w:tc>
                <w:tcPr>
                  <w:tcW w:w="361" w:type="pct"/>
                  <w:vMerge w:val="continue"/>
                  <w:noWrap/>
                  <w:vAlign w:val="center"/>
                </w:tcPr>
                <w:p w14:paraId="7131D08B">
                  <w:pPr>
                    <w:widowControl/>
                    <w:adjustRightInd w:val="0"/>
                    <w:snapToGrid w:val="0"/>
                    <w:jc w:val="center"/>
                    <w:rPr>
                      <w:color w:val="000000"/>
                      <w:sz w:val="18"/>
                      <w:szCs w:val="18"/>
                    </w:rPr>
                  </w:pPr>
                </w:p>
              </w:tc>
              <w:tc>
                <w:tcPr>
                  <w:tcW w:w="432" w:type="pct"/>
                  <w:noWrap w:val="0"/>
                  <w:vAlign w:val="center"/>
                </w:tcPr>
                <w:p w14:paraId="43C0C23E">
                  <w:pPr>
                    <w:widowControl/>
                    <w:adjustRightInd w:val="0"/>
                    <w:snapToGrid w:val="0"/>
                    <w:jc w:val="center"/>
                    <w:textAlignment w:val="center"/>
                    <w:rPr>
                      <w:rFonts w:hint="eastAsia" w:eastAsia="宋体"/>
                      <w:color w:val="000000"/>
                      <w:kern w:val="0"/>
                      <w:sz w:val="18"/>
                      <w:szCs w:val="18"/>
                      <w:lang w:val="en-US" w:eastAsia="zh-CN" w:bidi="ar"/>
                    </w:rPr>
                  </w:pPr>
                  <w:r>
                    <w:rPr>
                      <w:rFonts w:hint="eastAsia"/>
                      <w:color w:val="000000"/>
                      <w:kern w:val="0"/>
                      <w:sz w:val="18"/>
                      <w:szCs w:val="18"/>
                      <w:lang w:val="en-US" w:eastAsia="zh-CN" w:bidi="ar"/>
                    </w:rPr>
                    <w:t>石油类</w:t>
                  </w:r>
                </w:p>
              </w:tc>
              <w:tc>
                <w:tcPr>
                  <w:tcW w:w="365" w:type="pct"/>
                  <w:noWrap w:val="0"/>
                  <w:vAlign w:val="center"/>
                </w:tcPr>
                <w:p w14:paraId="542ACDBA">
                  <w:pPr>
                    <w:widowControl/>
                    <w:adjustRightInd w:val="0"/>
                    <w:snapToGrid w:val="0"/>
                    <w:jc w:val="center"/>
                    <w:textAlignment w:val="center"/>
                    <w:rPr>
                      <w:rFonts w:hint="default" w:eastAsia="宋体"/>
                      <w:color w:val="000000"/>
                      <w:kern w:val="0"/>
                      <w:sz w:val="18"/>
                      <w:szCs w:val="18"/>
                      <w:lang w:val="en-US" w:eastAsia="zh-CN" w:bidi="ar"/>
                    </w:rPr>
                  </w:pPr>
                  <w:r>
                    <w:rPr>
                      <w:rFonts w:hint="eastAsia"/>
                      <w:color w:val="000000"/>
                      <w:kern w:val="0"/>
                      <w:sz w:val="18"/>
                      <w:szCs w:val="18"/>
                      <w:lang w:val="en-US" w:eastAsia="zh-CN" w:bidi="ar"/>
                    </w:rPr>
                    <w:t>150</w:t>
                  </w:r>
                </w:p>
              </w:tc>
              <w:tc>
                <w:tcPr>
                  <w:tcW w:w="377" w:type="pct"/>
                  <w:noWrap w:val="0"/>
                  <w:vAlign w:val="center"/>
                </w:tcPr>
                <w:p w14:paraId="41398497">
                  <w:pPr>
                    <w:widowControl/>
                    <w:adjustRightInd w:val="0"/>
                    <w:snapToGrid w:val="0"/>
                    <w:jc w:val="center"/>
                    <w:textAlignment w:val="center"/>
                    <w:rPr>
                      <w:rFonts w:hint="default" w:eastAsia="宋体"/>
                      <w:color w:val="000000"/>
                      <w:kern w:val="0"/>
                      <w:sz w:val="18"/>
                      <w:szCs w:val="18"/>
                      <w:lang w:val="en-US" w:eastAsia="zh-CN" w:bidi="ar"/>
                    </w:rPr>
                  </w:pPr>
                  <w:r>
                    <w:rPr>
                      <w:rFonts w:hint="eastAsia"/>
                      <w:color w:val="000000"/>
                      <w:kern w:val="0"/>
                      <w:sz w:val="18"/>
                      <w:szCs w:val="18"/>
                      <w:lang w:val="en-US" w:eastAsia="zh-CN" w:bidi="ar"/>
                    </w:rPr>
                    <w:t>0.0009</w:t>
                  </w:r>
                </w:p>
              </w:tc>
              <w:tc>
                <w:tcPr>
                  <w:tcW w:w="351" w:type="pct"/>
                  <w:noWrap w:val="0"/>
                  <w:vAlign w:val="center"/>
                </w:tcPr>
                <w:p w14:paraId="06FE51AB">
                  <w:pPr>
                    <w:widowControl/>
                    <w:adjustRightInd w:val="0"/>
                    <w:snapToGrid w:val="0"/>
                    <w:jc w:val="center"/>
                    <w:rPr>
                      <w:color w:val="000000"/>
                      <w:sz w:val="18"/>
                      <w:szCs w:val="18"/>
                    </w:rPr>
                  </w:pPr>
                </w:p>
              </w:tc>
              <w:tc>
                <w:tcPr>
                  <w:tcW w:w="517" w:type="pct"/>
                  <w:noWrap/>
                  <w:vAlign w:val="center"/>
                </w:tcPr>
                <w:p w14:paraId="2DCCF416">
                  <w:pPr>
                    <w:widowControl/>
                    <w:adjustRightInd w:val="0"/>
                    <w:snapToGrid w:val="0"/>
                    <w:jc w:val="center"/>
                    <w:textAlignment w:val="center"/>
                    <w:rPr>
                      <w:color w:val="000000"/>
                      <w:kern w:val="0"/>
                      <w:sz w:val="18"/>
                      <w:szCs w:val="18"/>
                      <w:lang w:bidi="ar"/>
                    </w:rPr>
                  </w:pPr>
                </w:p>
              </w:tc>
              <w:tc>
                <w:tcPr>
                  <w:tcW w:w="516" w:type="pct"/>
                  <w:noWrap/>
                  <w:vAlign w:val="center"/>
                </w:tcPr>
                <w:p w14:paraId="05142C89">
                  <w:pPr>
                    <w:widowControl/>
                    <w:adjustRightInd w:val="0"/>
                    <w:snapToGrid w:val="0"/>
                    <w:jc w:val="center"/>
                    <w:textAlignment w:val="center"/>
                    <w:rPr>
                      <w:color w:val="000000"/>
                      <w:kern w:val="0"/>
                      <w:sz w:val="18"/>
                      <w:szCs w:val="18"/>
                      <w:lang w:bidi="ar"/>
                    </w:rPr>
                  </w:pPr>
                </w:p>
              </w:tc>
              <w:tc>
                <w:tcPr>
                  <w:tcW w:w="517" w:type="pct"/>
                  <w:noWrap/>
                  <w:vAlign w:val="center"/>
                </w:tcPr>
                <w:p w14:paraId="1A4B00EF">
                  <w:pPr>
                    <w:widowControl/>
                    <w:adjustRightInd w:val="0"/>
                    <w:snapToGrid w:val="0"/>
                    <w:jc w:val="center"/>
                    <w:textAlignment w:val="center"/>
                    <w:rPr>
                      <w:color w:val="000000"/>
                      <w:kern w:val="0"/>
                      <w:sz w:val="18"/>
                      <w:szCs w:val="18"/>
                      <w:lang w:bidi="ar"/>
                    </w:rPr>
                  </w:pPr>
                </w:p>
              </w:tc>
              <w:tc>
                <w:tcPr>
                  <w:tcW w:w="171" w:type="pct"/>
                  <w:noWrap/>
                  <w:vAlign w:val="center"/>
                </w:tcPr>
                <w:p w14:paraId="0E69620C">
                  <w:pPr>
                    <w:widowControl/>
                    <w:adjustRightInd w:val="0"/>
                    <w:snapToGrid w:val="0"/>
                    <w:jc w:val="center"/>
                    <w:textAlignment w:val="center"/>
                    <w:rPr>
                      <w:color w:val="000000"/>
                      <w:kern w:val="0"/>
                      <w:sz w:val="18"/>
                      <w:szCs w:val="18"/>
                      <w:lang w:bidi="ar"/>
                    </w:rPr>
                  </w:pPr>
                </w:p>
              </w:tc>
              <w:tc>
                <w:tcPr>
                  <w:tcW w:w="359" w:type="pct"/>
                  <w:noWrap/>
                  <w:vAlign w:val="center"/>
                </w:tcPr>
                <w:p w14:paraId="671B8916">
                  <w:pPr>
                    <w:widowControl/>
                    <w:adjustRightInd w:val="0"/>
                    <w:snapToGrid w:val="0"/>
                    <w:jc w:val="center"/>
                    <w:textAlignment w:val="center"/>
                    <w:rPr>
                      <w:color w:val="000000"/>
                      <w:kern w:val="0"/>
                      <w:sz w:val="18"/>
                      <w:szCs w:val="18"/>
                      <w:lang w:bidi="ar"/>
                    </w:rPr>
                  </w:pPr>
                </w:p>
              </w:tc>
              <w:tc>
                <w:tcPr>
                  <w:tcW w:w="375" w:type="pct"/>
                  <w:noWrap/>
                  <w:vAlign w:val="center"/>
                </w:tcPr>
                <w:p w14:paraId="1B31D172">
                  <w:pPr>
                    <w:widowControl/>
                    <w:adjustRightInd w:val="0"/>
                    <w:snapToGrid w:val="0"/>
                    <w:jc w:val="center"/>
                    <w:textAlignment w:val="center"/>
                    <w:rPr>
                      <w:color w:val="000000"/>
                      <w:kern w:val="0"/>
                      <w:sz w:val="18"/>
                      <w:szCs w:val="18"/>
                      <w:lang w:bidi="ar"/>
                    </w:rPr>
                  </w:pPr>
                </w:p>
              </w:tc>
            </w:tr>
            <w:tr w14:paraId="2FD7CAF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restart"/>
                  <w:noWrap w:val="0"/>
                  <w:vAlign w:val="center"/>
                </w:tcPr>
                <w:p w14:paraId="26CA56E6">
                  <w:pPr>
                    <w:widowControl/>
                    <w:adjustRightInd w:val="0"/>
                    <w:snapToGrid w:val="0"/>
                    <w:jc w:val="center"/>
                    <w:textAlignment w:val="center"/>
                    <w:rPr>
                      <w:color w:val="000000"/>
                      <w:sz w:val="18"/>
                      <w:szCs w:val="18"/>
                    </w:rPr>
                  </w:pPr>
                  <w:r>
                    <w:rPr>
                      <w:color w:val="000000"/>
                      <w:kern w:val="0"/>
                      <w:sz w:val="18"/>
                      <w:szCs w:val="18"/>
                      <w:lang w:bidi="ar"/>
                    </w:rPr>
                    <w:t>全厂合计</w:t>
                  </w:r>
                </w:p>
              </w:tc>
              <w:tc>
                <w:tcPr>
                  <w:tcW w:w="361" w:type="pct"/>
                  <w:vMerge w:val="restart"/>
                  <w:noWrap w:val="0"/>
                  <w:vAlign w:val="center"/>
                </w:tcPr>
                <w:p w14:paraId="315E7D44">
                  <w:pPr>
                    <w:widowControl/>
                    <w:adjustRightInd w:val="0"/>
                    <w:snapToGrid w:val="0"/>
                    <w:jc w:val="center"/>
                    <w:textAlignment w:val="center"/>
                    <w:rPr>
                      <w:color w:val="000000"/>
                      <w:sz w:val="18"/>
                      <w:szCs w:val="18"/>
                    </w:rPr>
                  </w:pPr>
                  <w:r>
                    <w:rPr>
                      <w:color w:val="000000"/>
                      <w:kern w:val="0"/>
                      <w:sz w:val="18"/>
                      <w:szCs w:val="18"/>
                      <w:lang w:bidi="ar"/>
                    </w:rPr>
                    <w:t>888.65</w:t>
                  </w:r>
                </w:p>
              </w:tc>
              <w:tc>
                <w:tcPr>
                  <w:tcW w:w="432" w:type="pct"/>
                  <w:noWrap w:val="0"/>
                  <w:vAlign w:val="center"/>
                </w:tcPr>
                <w:p w14:paraId="637D8EBB">
                  <w:pPr>
                    <w:widowControl/>
                    <w:adjustRightInd w:val="0"/>
                    <w:snapToGrid w:val="0"/>
                    <w:jc w:val="center"/>
                    <w:textAlignment w:val="center"/>
                    <w:rPr>
                      <w:color w:val="000000"/>
                      <w:sz w:val="18"/>
                      <w:szCs w:val="18"/>
                    </w:rPr>
                  </w:pPr>
                  <w:r>
                    <w:rPr>
                      <w:color w:val="000000"/>
                      <w:kern w:val="0"/>
                      <w:sz w:val="18"/>
                      <w:szCs w:val="18"/>
                      <w:lang w:bidi="ar"/>
                    </w:rPr>
                    <w:t>pH（无量纲）</w:t>
                  </w:r>
                </w:p>
              </w:tc>
              <w:tc>
                <w:tcPr>
                  <w:tcW w:w="365" w:type="pct"/>
                  <w:noWrap w:val="0"/>
                  <w:vAlign w:val="center"/>
                </w:tcPr>
                <w:p w14:paraId="4F162D64">
                  <w:pPr>
                    <w:widowControl/>
                    <w:adjustRightInd w:val="0"/>
                    <w:snapToGrid w:val="0"/>
                    <w:jc w:val="center"/>
                    <w:textAlignment w:val="center"/>
                    <w:rPr>
                      <w:color w:val="000000"/>
                      <w:sz w:val="18"/>
                      <w:szCs w:val="18"/>
                    </w:rPr>
                  </w:pPr>
                  <w:r>
                    <w:rPr>
                      <w:color w:val="000000"/>
                      <w:kern w:val="0"/>
                      <w:sz w:val="18"/>
                      <w:szCs w:val="18"/>
                      <w:lang w:bidi="ar"/>
                    </w:rPr>
                    <w:t>/</w:t>
                  </w:r>
                </w:p>
              </w:tc>
              <w:tc>
                <w:tcPr>
                  <w:tcW w:w="377" w:type="pct"/>
                  <w:noWrap w:val="0"/>
                  <w:vAlign w:val="center"/>
                </w:tcPr>
                <w:p w14:paraId="4A4137E1">
                  <w:pPr>
                    <w:widowControl/>
                    <w:adjustRightInd w:val="0"/>
                    <w:snapToGrid w:val="0"/>
                    <w:jc w:val="center"/>
                    <w:textAlignment w:val="center"/>
                    <w:rPr>
                      <w:color w:val="000000"/>
                      <w:sz w:val="18"/>
                      <w:szCs w:val="18"/>
                    </w:rPr>
                  </w:pPr>
                  <w:r>
                    <w:rPr>
                      <w:color w:val="000000"/>
                      <w:kern w:val="0"/>
                      <w:sz w:val="18"/>
                      <w:szCs w:val="18"/>
                      <w:lang w:bidi="ar"/>
                    </w:rPr>
                    <w:t>/</w:t>
                  </w:r>
                </w:p>
              </w:tc>
              <w:tc>
                <w:tcPr>
                  <w:tcW w:w="351" w:type="pct"/>
                  <w:vMerge w:val="restart"/>
                  <w:noWrap w:val="0"/>
                  <w:vAlign w:val="center"/>
                </w:tcPr>
                <w:p w14:paraId="59435A68">
                  <w:pPr>
                    <w:widowControl/>
                    <w:adjustRightInd w:val="0"/>
                    <w:snapToGrid w:val="0"/>
                    <w:jc w:val="center"/>
                    <w:textAlignment w:val="center"/>
                    <w:rPr>
                      <w:color w:val="000000"/>
                      <w:sz w:val="18"/>
                      <w:szCs w:val="18"/>
                    </w:rPr>
                  </w:pPr>
                  <w:r>
                    <w:rPr>
                      <w:color w:val="000000"/>
                      <w:kern w:val="0"/>
                      <w:sz w:val="18"/>
                      <w:szCs w:val="18"/>
                      <w:lang w:bidi="ar"/>
                    </w:rPr>
                    <w:t>废水预处理设施+生化池</w:t>
                  </w:r>
                </w:p>
              </w:tc>
              <w:tc>
                <w:tcPr>
                  <w:tcW w:w="517" w:type="pct"/>
                  <w:noWrap w:val="0"/>
                  <w:vAlign w:val="center"/>
                </w:tcPr>
                <w:p w14:paraId="30300D5F">
                  <w:pPr>
                    <w:widowControl/>
                    <w:adjustRightInd w:val="0"/>
                    <w:snapToGrid w:val="0"/>
                    <w:jc w:val="center"/>
                    <w:textAlignment w:val="center"/>
                    <w:rPr>
                      <w:color w:val="000000"/>
                      <w:sz w:val="18"/>
                      <w:szCs w:val="18"/>
                    </w:rPr>
                  </w:pPr>
                  <w:r>
                    <w:rPr>
                      <w:color w:val="000000"/>
                      <w:kern w:val="0"/>
                      <w:sz w:val="18"/>
                      <w:szCs w:val="18"/>
                      <w:lang w:bidi="ar"/>
                    </w:rPr>
                    <w:t>6~9</w:t>
                  </w:r>
                </w:p>
              </w:tc>
              <w:tc>
                <w:tcPr>
                  <w:tcW w:w="516" w:type="pct"/>
                  <w:noWrap w:val="0"/>
                  <w:vAlign w:val="center"/>
                </w:tcPr>
                <w:p w14:paraId="44DA9035">
                  <w:pPr>
                    <w:widowControl/>
                    <w:adjustRightInd w:val="0"/>
                    <w:snapToGrid w:val="0"/>
                    <w:jc w:val="center"/>
                    <w:textAlignment w:val="center"/>
                    <w:rPr>
                      <w:color w:val="000000"/>
                      <w:sz w:val="18"/>
                      <w:szCs w:val="18"/>
                    </w:rPr>
                  </w:pPr>
                  <w:r>
                    <w:rPr>
                      <w:color w:val="000000"/>
                      <w:kern w:val="0"/>
                      <w:sz w:val="18"/>
                      <w:szCs w:val="18"/>
                      <w:lang w:bidi="ar"/>
                    </w:rPr>
                    <w:t>/</w:t>
                  </w:r>
                </w:p>
              </w:tc>
              <w:tc>
                <w:tcPr>
                  <w:tcW w:w="517" w:type="pct"/>
                  <w:noWrap w:val="0"/>
                  <w:vAlign w:val="center"/>
                </w:tcPr>
                <w:p w14:paraId="75015F63">
                  <w:pPr>
                    <w:widowControl/>
                    <w:adjustRightInd w:val="0"/>
                    <w:snapToGrid w:val="0"/>
                    <w:jc w:val="center"/>
                    <w:textAlignment w:val="center"/>
                    <w:rPr>
                      <w:color w:val="000000"/>
                      <w:sz w:val="18"/>
                      <w:szCs w:val="18"/>
                    </w:rPr>
                  </w:pPr>
                  <w:r>
                    <w:rPr>
                      <w:color w:val="000000"/>
                      <w:kern w:val="0"/>
                      <w:sz w:val="18"/>
                      <w:szCs w:val="18"/>
                      <w:lang w:bidi="ar"/>
                    </w:rPr>
                    <w:t>6~9</w:t>
                  </w:r>
                </w:p>
              </w:tc>
              <w:tc>
                <w:tcPr>
                  <w:tcW w:w="171" w:type="pct"/>
                  <w:noWrap w:val="0"/>
                  <w:vAlign w:val="center"/>
                </w:tcPr>
                <w:p w14:paraId="7B40C272">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54BAE692">
                  <w:pPr>
                    <w:widowControl/>
                    <w:adjustRightInd w:val="0"/>
                    <w:snapToGrid w:val="0"/>
                    <w:jc w:val="center"/>
                    <w:textAlignment w:val="center"/>
                    <w:rPr>
                      <w:color w:val="000000"/>
                      <w:sz w:val="18"/>
                      <w:szCs w:val="18"/>
                    </w:rPr>
                  </w:pPr>
                  <w:r>
                    <w:rPr>
                      <w:color w:val="000000"/>
                      <w:kern w:val="0"/>
                      <w:sz w:val="18"/>
                      <w:szCs w:val="18"/>
                      <w:lang w:bidi="ar"/>
                    </w:rPr>
                    <w:t>6~9</w:t>
                  </w:r>
                </w:p>
              </w:tc>
              <w:tc>
                <w:tcPr>
                  <w:tcW w:w="375" w:type="pct"/>
                  <w:noWrap w:val="0"/>
                  <w:vAlign w:val="center"/>
                </w:tcPr>
                <w:p w14:paraId="52155EC2">
                  <w:pPr>
                    <w:widowControl/>
                    <w:adjustRightInd w:val="0"/>
                    <w:snapToGrid w:val="0"/>
                    <w:jc w:val="center"/>
                    <w:textAlignment w:val="center"/>
                    <w:rPr>
                      <w:color w:val="000000"/>
                      <w:sz w:val="18"/>
                      <w:szCs w:val="18"/>
                    </w:rPr>
                  </w:pPr>
                  <w:r>
                    <w:rPr>
                      <w:color w:val="000000"/>
                      <w:kern w:val="0"/>
                      <w:sz w:val="18"/>
                      <w:szCs w:val="18"/>
                      <w:lang w:bidi="ar"/>
                    </w:rPr>
                    <w:t>/</w:t>
                  </w:r>
                </w:p>
              </w:tc>
            </w:tr>
            <w:tr w14:paraId="2E5D43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07E82E50">
                  <w:pPr>
                    <w:widowControl/>
                    <w:adjustRightInd w:val="0"/>
                    <w:snapToGrid w:val="0"/>
                    <w:jc w:val="center"/>
                    <w:rPr>
                      <w:color w:val="000000"/>
                      <w:sz w:val="18"/>
                      <w:szCs w:val="18"/>
                    </w:rPr>
                  </w:pPr>
                </w:p>
              </w:tc>
              <w:tc>
                <w:tcPr>
                  <w:tcW w:w="361" w:type="pct"/>
                  <w:vMerge w:val="continue"/>
                  <w:noWrap w:val="0"/>
                  <w:vAlign w:val="center"/>
                </w:tcPr>
                <w:p w14:paraId="3441A7BA">
                  <w:pPr>
                    <w:widowControl/>
                    <w:adjustRightInd w:val="0"/>
                    <w:snapToGrid w:val="0"/>
                    <w:jc w:val="center"/>
                    <w:rPr>
                      <w:color w:val="000000"/>
                      <w:sz w:val="18"/>
                      <w:szCs w:val="18"/>
                    </w:rPr>
                  </w:pPr>
                </w:p>
              </w:tc>
              <w:tc>
                <w:tcPr>
                  <w:tcW w:w="432" w:type="pct"/>
                  <w:noWrap w:val="0"/>
                  <w:vAlign w:val="center"/>
                </w:tcPr>
                <w:p w14:paraId="2B6083BA">
                  <w:pPr>
                    <w:widowControl/>
                    <w:adjustRightInd w:val="0"/>
                    <w:snapToGrid w:val="0"/>
                    <w:jc w:val="center"/>
                    <w:textAlignment w:val="center"/>
                    <w:rPr>
                      <w:color w:val="000000"/>
                      <w:sz w:val="18"/>
                      <w:szCs w:val="18"/>
                    </w:rPr>
                  </w:pPr>
                  <w:r>
                    <w:rPr>
                      <w:color w:val="000000"/>
                      <w:kern w:val="0"/>
                      <w:sz w:val="18"/>
                      <w:szCs w:val="18"/>
                      <w:lang w:bidi="ar"/>
                    </w:rPr>
                    <w:t>COD</w:t>
                  </w:r>
                </w:p>
              </w:tc>
              <w:tc>
                <w:tcPr>
                  <w:tcW w:w="365" w:type="pct"/>
                  <w:noWrap w:val="0"/>
                  <w:vAlign w:val="center"/>
                </w:tcPr>
                <w:p w14:paraId="379AC364">
                  <w:pPr>
                    <w:widowControl/>
                    <w:adjustRightInd w:val="0"/>
                    <w:snapToGrid w:val="0"/>
                    <w:jc w:val="center"/>
                    <w:textAlignment w:val="center"/>
                    <w:rPr>
                      <w:color w:val="000000"/>
                      <w:sz w:val="18"/>
                      <w:szCs w:val="18"/>
                    </w:rPr>
                  </w:pPr>
                  <w:r>
                    <w:rPr>
                      <w:color w:val="000000"/>
                      <w:kern w:val="0"/>
                      <w:sz w:val="18"/>
                      <w:szCs w:val="18"/>
                      <w:lang w:bidi="ar"/>
                    </w:rPr>
                    <w:t xml:space="preserve">508 </w:t>
                  </w:r>
                </w:p>
              </w:tc>
              <w:tc>
                <w:tcPr>
                  <w:tcW w:w="377" w:type="pct"/>
                  <w:noWrap w:val="0"/>
                  <w:vAlign w:val="center"/>
                </w:tcPr>
                <w:p w14:paraId="48007BA5">
                  <w:pPr>
                    <w:widowControl/>
                    <w:adjustRightInd w:val="0"/>
                    <w:snapToGrid w:val="0"/>
                    <w:jc w:val="center"/>
                    <w:textAlignment w:val="center"/>
                    <w:rPr>
                      <w:color w:val="000000"/>
                      <w:sz w:val="18"/>
                      <w:szCs w:val="18"/>
                    </w:rPr>
                  </w:pPr>
                  <w:r>
                    <w:rPr>
                      <w:color w:val="000000"/>
                      <w:kern w:val="0"/>
                      <w:sz w:val="18"/>
                      <w:szCs w:val="18"/>
                      <w:lang w:bidi="ar"/>
                    </w:rPr>
                    <w:t xml:space="preserve">0.452 </w:t>
                  </w:r>
                </w:p>
              </w:tc>
              <w:tc>
                <w:tcPr>
                  <w:tcW w:w="351" w:type="pct"/>
                  <w:vMerge w:val="continue"/>
                  <w:noWrap w:val="0"/>
                  <w:vAlign w:val="center"/>
                </w:tcPr>
                <w:p w14:paraId="3119BB71">
                  <w:pPr>
                    <w:widowControl/>
                    <w:adjustRightInd w:val="0"/>
                    <w:snapToGrid w:val="0"/>
                    <w:jc w:val="center"/>
                    <w:rPr>
                      <w:color w:val="000000"/>
                      <w:sz w:val="18"/>
                      <w:szCs w:val="18"/>
                    </w:rPr>
                  </w:pPr>
                </w:p>
              </w:tc>
              <w:tc>
                <w:tcPr>
                  <w:tcW w:w="517" w:type="pct"/>
                  <w:noWrap w:val="0"/>
                  <w:vAlign w:val="center"/>
                </w:tcPr>
                <w:p w14:paraId="52DD87AD">
                  <w:pPr>
                    <w:widowControl/>
                    <w:adjustRightInd w:val="0"/>
                    <w:snapToGrid w:val="0"/>
                    <w:jc w:val="center"/>
                    <w:textAlignment w:val="center"/>
                    <w:rPr>
                      <w:color w:val="000000"/>
                      <w:sz w:val="18"/>
                      <w:szCs w:val="18"/>
                    </w:rPr>
                  </w:pPr>
                  <w:r>
                    <w:rPr>
                      <w:color w:val="000000"/>
                      <w:kern w:val="0"/>
                      <w:sz w:val="18"/>
                      <w:szCs w:val="18"/>
                      <w:lang w:bidi="ar"/>
                    </w:rPr>
                    <w:t>500</w:t>
                  </w:r>
                </w:p>
              </w:tc>
              <w:tc>
                <w:tcPr>
                  <w:tcW w:w="516" w:type="pct"/>
                  <w:noWrap w:val="0"/>
                  <w:vAlign w:val="center"/>
                </w:tcPr>
                <w:p w14:paraId="16A39C52">
                  <w:pPr>
                    <w:widowControl/>
                    <w:adjustRightInd w:val="0"/>
                    <w:snapToGrid w:val="0"/>
                    <w:jc w:val="center"/>
                    <w:textAlignment w:val="center"/>
                    <w:rPr>
                      <w:color w:val="000000"/>
                      <w:sz w:val="18"/>
                      <w:szCs w:val="18"/>
                    </w:rPr>
                  </w:pPr>
                  <w:r>
                    <w:rPr>
                      <w:color w:val="000000"/>
                      <w:kern w:val="0"/>
                      <w:sz w:val="18"/>
                      <w:szCs w:val="18"/>
                      <w:lang w:bidi="ar"/>
                    </w:rPr>
                    <w:t xml:space="preserve">0.444 </w:t>
                  </w:r>
                </w:p>
              </w:tc>
              <w:tc>
                <w:tcPr>
                  <w:tcW w:w="517" w:type="pct"/>
                  <w:noWrap w:val="0"/>
                  <w:vAlign w:val="center"/>
                </w:tcPr>
                <w:p w14:paraId="4809E911">
                  <w:pPr>
                    <w:widowControl/>
                    <w:adjustRightInd w:val="0"/>
                    <w:snapToGrid w:val="0"/>
                    <w:jc w:val="center"/>
                    <w:textAlignment w:val="center"/>
                    <w:rPr>
                      <w:color w:val="000000"/>
                      <w:sz w:val="18"/>
                      <w:szCs w:val="18"/>
                    </w:rPr>
                  </w:pPr>
                  <w:r>
                    <w:rPr>
                      <w:color w:val="000000"/>
                      <w:kern w:val="0"/>
                      <w:sz w:val="18"/>
                      <w:szCs w:val="18"/>
                      <w:lang w:bidi="ar"/>
                    </w:rPr>
                    <w:t>500</w:t>
                  </w:r>
                </w:p>
              </w:tc>
              <w:tc>
                <w:tcPr>
                  <w:tcW w:w="171" w:type="pct"/>
                  <w:noWrap w:val="0"/>
                  <w:vAlign w:val="center"/>
                </w:tcPr>
                <w:p w14:paraId="728CF532">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285B6488">
                  <w:pPr>
                    <w:widowControl/>
                    <w:adjustRightInd w:val="0"/>
                    <w:snapToGrid w:val="0"/>
                    <w:jc w:val="center"/>
                    <w:textAlignment w:val="center"/>
                    <w:rPr>
                      <w:color w:val="000000"/>
                      <w:sz w:val="18"/>
                      <w:szCs w:val="18"/>
                    </w:rPr>
                  </w:pPr>
                  <w:r>
                    <w:rPr>
                      <w:color w:val="000000"/>
                      <w:sz w:val="18"/>
                      <w:szCs w:val="18"/>
                    </w:rPr>
                    <w:t>100</w:t>
                  </w:r>
                </w:p>
              </w:tc>
              <w:tc>
                <w:tcPr>
                  <w:tcW w:w="375" w:type="pct"/>
                  <w:noWrap w:val="0"/>
                  <w:vAlign w:val="center"/>
                </w:tcPr>
                <w:p w14:paraId="3408CDCF">
                  <w:pPr>
                    <w:widowControl/>
                    <w:adjustRightInd w:val="0"/>
                    <w:snapToGrid w:val="0"/>
                    <w:jc w:val="center"/>
                    <w:textAlignment w:val="center"/>
                    <w:rPr>
                      <w:color w:val="000000"/>
                      <w:sz w:val="18"/>
                      <w:szCs w:val="18"/>
                    </w:rPr>
                  </w:pPr>
                  <w:r>
                    <w:rPr>
                      <w:color w:val="000000"/>
                      <w:sz w:val="18"/>
                      <w:szCs w:val="18"/>
                    </w:rPr>
                    <w:t xml:space="preserve">0.089 </w:t>
                  </w:r>
                </w:p>
              </w:tc>
            </w:tr>
            <w:tr w14:paraId="4857662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21ECFD99">
                  <w:pPr>
                    <w:widowControl/>
                    <w:adjustRightInd w:val="0"/>
                    <w:snapToGrid w:val="0"/>
                    <w:jc w:val="center"/>
                    <w:rPr>
                      <w:color w:val="000000"/>
                      <w:sz w:val="18"/>
                      <w:szCs w:val="18"/>
                    </w:rPr>
                  </w:pPr>
                </w:p>
              </w:tc>
              <w:tc>
                <w:tcPr>
                  <w:tcW w:w="361" w:type="pct"/>
                  <w:vMerge w:val="continue"/>
                  <w:noWrap w:val="0"/>
                  <w:vAlign w:val="center"/>
                </w:tcPr>
                <w:p w14:paraId="0F542477">
                  <w:pPr>
                    <w:widowControl/>
                    <w:adjustRightInd w:val="0"/>
                    <w:snapToGrid w:val="0"/>
                    <w:jc w:val="center"/>
                    <w:rPr>
                      <w:color w:val="000000"/>
                      <w:sz w:val="18"/>
                      <w:szCs w:val="18"/>
                    </w:rPr>
                  </w:pPr>
                </w:p>
              </w:tc>
              <w:tc>
                <w:tcPr>
                  <w:tcW w:w="432" w:type="pct"/>
                  <w:noWrap w:val="0"/>
                  <w:vAlign w:val="center"/>
                </w:tcPr>
                <w:p w14:paraId="3C0D8855">
                  <w:pPr>
                    <w:widowControl/>
                    <w:adjustRightInd w:val="0"/>
                    <w:snapToGrid w:val="0"/>
                    <w:jc w:val="center"/>
                    <w:textAlignment w:val="center"/>
                    <w:rPr>
                      <w:color w:val="000000"/>
                      <w:sz w:val="18"/>
                      <w:szCs w:val="18"/>
                    </w:rPr>
                  </w:pPr>
                  <w:r>
                    <w:rPr>
                      <w:color w:val="000000"/>
                      <w:kern w:val="0"/>
                      <w:sz w:val="18"/>
                      <w:szCs w:val="18"/>
                      <w:lang w:bidi="ar"/>
                    </w:rPr>
                    <w:t>BOD</w:t>
                  </w:r>
                  <w:r>
                    <w:rPr>
                      <w:color w:val="000000"/>
                      <w:kern w:val="0"/>
                      <w:sz w:val="18"/>
                      <w:szCs w:val="18"/>
                      <w:vertAlign w:val="subscript"/>
                      <w:lang w:bidi="ar"/>
                    </w:rPr>
                    <w:t>5</w:t>
                  </w:r>
                </w:p>
              </w:tc>
              <w:tc>
                <w:tcPr>
                  <w:tcW w:w="365" w:type="pct"/>
                  <w:noWrap w:val="0"/>
                  <w:vAlign w:val="center"/>
                </w:tcPr>
                <w:p w14:paraId="7C98EC4E">
                  <w:pPr>
                    <w:widowControl/>
                    <w:adjustRightInd w:val="0"/>
                    <w:snapToGrid w:val="0"/>
                    <w:jc w:val="center"/>
                    <w:textAlignment w:val="center"/>
                    <w:rPr>
                      <w:color w:val="000000"/>
                      <w:sz w:val="18"/>
                      <w:szCs w:val="18"/>
                    </w:rPr>
                  </w:pPr>
                  <w:r>
                    <w:rPr>
                      <w:color w:val="000000"/>
                      <w:kern w:val="0"/>
                      <w:sz w:val="18"/>
                      <w:szCs w:val="18"/>
                      <w:lang w:bidi="ar"/>
                    </w:rPr>
                    <w:t xml:space="preserve">289 </w:t>
                  </w:r>
                </w:p>
              </w:tc>
              <w:tc>
                <w:tcPr>
                  <w:tcW w:w="377" w:type="pct"/>
                  <w:noWrap w:val="0"/>
                  <w:vAlign w:val="center"/>
                </w:tcPr>
                <w:p w14:paraId="054D9CC9">
                  <w:pPr>
                    <w:widowControl/>
                    <w:adjustRightInd w:val="0"/>
                    <w:snapToGrid w:val="0"/>
                    <w:jc w:val="center"/>
                    <w:textAlignment w:val="center"/>
                    <w:rPr>
                      <w:color w:val="000000"/>
                      <w:sz w:val="18"/>
                      <w:szCs w:val="18"/>
                    </w:rPr>
                  </w:pPr>
                  <w:r>
                    <w:rPr>
                      <w:color w:val="000000"/>
                      <w:kern w:val="0"/>
                      <w:sz w:val="18"/>
                      <w:szCs w:val="18"/>
                      <w:lang w:bidi="ar"/>
                    </w:rPr>
                    <w:t xml:space="preserve">0.257 </w:t>
                  </w:r>
                </w:p>
              </w:tc>
              <w:tc>
                <w:tcPr>
                  <w:tcW w:w="351" w:type="pct"/>
                  <w:vMerge w:val="continue"/>
                  <w:noWrap w:val="0"/>
                  <w:vAlign w:val="center"/>
                </w:tcPr>
                <w:p w14:paraId="75206890">
                  <w:pPr>
                    <w:widowControl/>
                    <w:adjustRightInd w:val="0"/>
                    <w:snapToGrid w:val="0"/>
                    <w:jc w:val="center"/>
                    <w:rPr>
                      <w:color w:val="000000"/>
                      <w:sz w:val="18"/>
                      <w:szCs w:val="18"/>
                    </w:rPr>
                  </w:pPr>
                </w:p>
              </w:tc>
              <w:tc>
                <w:tcPr>
                  <w:tcW w:w="517" w:type="pct"/>
                  <w:noWrap w:val="0"/>
                  <w:vAlign w:val="center"/>
                </w:tcPr>
                <w:p w14:paraId="5A35973D">
                  <w:pPr>
                    <w:widowControl/>
                    <w:adjustRightInd w:val="0"/>
                    <w:snapToGrid w:val="0"/>
                    <w:jc w:val="center"/>
                    <w:textAlignment w:val="center"/>
                    <w:rPr>
                      <w:color w:val="000000"/>
                      <w:sz w:val="18"/>
                      <w:szCs w:val="18"/>
                    </w:rPr>
                  </w:pPr>
                  <w:r>
                    <w:rPr>
                      <w:color w:val="000000"/>
                      <w:kern w:val="0"/>
                      <w:sz w:val="18"/>
                      <w:szCs w:val="18"/>
                      <w:lang w:bidi="ar"/>
                    </w:rPr>
                    <w:t>280</w:t>
                  </w:r>
                </w:p>
              </w:tc>
              <w:tc>
                <w:tcPr>
                  <w:tcW w:w="516" w:type="pct"/>
                  <w:noWrap w:val="0"/>
                  <w:vAlign w:val="center"/>
                </w:tcPr>
                <w:p w14:paraId="4B47DA89">
                  <w:pPr>
                    <w:widowControl/>
                    <w:adjustRightInd w:val="0"/>
                    <w:snapToGrid w:val="0"/>
                    <w:jc w:val="center"/>
                    <w:textAlignment w:val="center"/>
                    <w:rPr>
                      <w:color w:val="000000"/>
                      <w:sz w:val="18"/>
                      <w:szCs w:val="18"/>
                    </w:rPr>
                  </w:pPr>
                  <w:r>
                    <w:rPr>
                      <w:color w:val="000000"/>
                      <w:kern w:val="0"/>
                      <w:sz w:val="18"/>
                      <w:szCs w:val="18"/>
                      <w:lang w:bidi="ar"/>
                    </w:rPr>
                    <w:t xml:space="preserve">0.249 </w:t>
                  </w:r>
                </w:p>
              </w:tc>
              <w:tc>
                <w:tcPr>
                  <w:tcW w:w="517" w:type="pct"/>
                  <w:noWrap w:val="0"/>
                  <w:vAlign w:val="center"/>
                </w:tcPr>
                <w:p w14:paraId="5B69E5AD">
                  <w:pPr>
                    <w:widowControl/>
                    <w:adjustRightInd w:val="0"/>
                    <w:snapToGrid w:val="0"/>
                    <w:jc w:val="center"/>
                    <w:textAlignment w:val="center"/>
                    <w:rPr>
                      <w:color w:val="000000"/>
                      <w:sz w:val="18"/>
                      <w:szCs w:val="18"/>
                    </w:rPr>
                  </w:pPr>
                  <w:r>
                    <w:rPr>
                      <w:color w:val="000000"/>
                      <w:kern w:val="0"/>
                      <w:sz w:val="18"/>
                      <w:szCs w:val="18"/>
                      <w:lang w:bidi="ar"/>
                    </w:rPr>
                    <w:t>300</w:t>
                  </w:r>
                </w:p>
              </w:tc>
              <w:tc>
                <w:tcPr>
                  <w:tcW w:w="171" w:type="pct"/>
                  <w:noWrap w:val="0"/>
                  <w:vAlign w:val="center"/>
                </w:tcPr>
                <w:p w14:paraId="28F7475F">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18412E56">
                  <w:pPr>
                    <w:widowControl/>
                    <w:adjustRightInd w:val="0"/>
                    <w:snapToGrid w:val="0"/>
                    <w:jc w:val="center"/>
                    <w:textAlignment w:val="center"/>
                    <w:rPr>
                      <w:color w:val="000000"/>
                      <w:sz w:val="18"/>
                      <w:szCs w:val="18"/>
                    </w:rPr>
                  </w:pPr>
                  <w:r>
                    <w:rPr>
                      <w:color w:val="000000"/>
                      <w:sz w:val="18"/>
                      <w:szCs w:val="18"/>
                    </w:rPr>
                    <w:t>20</w:t>
                  </w:r>
                </w:p>
              </w:tc>
              <w:tc>
                <w:tcPr>
                  <w:tcW w:w="375" w:type="pct"/>
                  <w:noWrap w:val="0"/>
                  <w:vAlign w:val="center"/>
                </w:tcPr>
                <w:p w14:paraId="0A6144D1">
                  <w:pPr>
                    <w:widowControl/>
                    <w:adjustRightInd w:val="0"/>
                    <w:snapToGrid w:val="0"/>
                    <w:jc w:val="center"/>
                    <w:textAlignment w:val="center"/>
                    <w:rPr>
                      <w:color w:val="000000"/>
                      <w:sz w:val="18"/>
                      <w:szCs w:val="18"/>
                    </w:rPr>
                  </w:pPr>
                  <w:r>
                    <w:rPr>
                      <w:color w:val="000000"/>
                      <w:sz w:val="18"/>
                      <w:szCs w:val="18"/>
                    </w:rPr>
                    <w:t xml:space="preserve">0.018 </w:t>
                  </w:r>
                </w:p>
              </w:tc>
            </w:tr>
            <w:tr w14:paraId="683819E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3366F993">
                  <w:pPr>
                    <w:widowControl/>
                    <w:adjustRightInd w:val="0"/>
                    <w:snapToGrid w:val="0"/>
                    <w:jc w:val="center"/>
                    <w:rPr>
                      <w:color w:val="000000"/>
                      <w:sz w:val="18"/>
                      <w:szCs w:val="18"/>
                    </w:rPr>
                  </w:pPr>
                </w:p>
              </w:tc>
              <w:tc>
                <w:tcPr>
                  <w:tcW w:w="361" w:type="pct"/>
                  <w:vMerge w:val="continue"/>
                  <w:noWrap w:val="0"/>
                  <w:vAlign w:val="center"/>
                </w:tcPr>
                <w:p w14:paraId="1A795070">
                  <w:pPr>
                    <w:widowControl/>
                    <w:adjustRightInd w:val="0"/>
                    <w:snapToGrid w:val="0"/>
                    <w:jc w:val="center"/>
                    <w:rPr>
                      <w:color w:val="000000"/>
                      <w:sz w:val="18"/>
                      <w:szCs w:val="18"/>
                    </w:rPr>
                  </w:pPr>
                </w:p>
              </w:tc>
              <w:tc>
                <w:tcPr>
                  <w:tcW w:w="432" w:type="pct"/>
                  <w:noWrap w:val="0"/>
                  <w:vAlign w:val="center"/>
                </w:tcPr>
                <w:p w14:paraId="0AE4C56B">
                  <w:pPr>
                    <w:widowControl/>
                    <w:adjustRightInd w:val="0"/>
                    <w:snapToGrid w:val="0"/>
                    <w:jc w:val="center"/>
                    <w:textAlignment w:val="center"/>
                    <w:rPr>
                      <w:color w:val="000000"/>
                      <w:sz w:val="18"/>
                      <w:szCs w:val="18"/>
                    </w:rPr>
                  </w:pPr>
                  <w:r>
                    <w:rPr>
                      <w:color w:val="000000"/>
                      <w:kern w:val="0"/>
                      <w:sz w:val="18"/>
                      <w:szCs w:val="18"/>
                      <w:lang w:bidi="ar"/>
                    </w:rPr>
                    <w:t>SS</w:t>
                  </w:r>
                </w:p>
              </w:tc>
              <w:tc>
                <w:tcPr>
                  <w:tcW w:w="365" w:type="pct"/>
                  <w:noWrap w:val="0"/>
                  <w:vAlign w:val="center"/>
                </w:tcPr>
                <w:p w14:paraId="2892E7D7">
                  <w:pPr>
                    <w:widowControl/>
                    <w:adjustRightInd w:val="0"/>
                    <w:snapToGrid w:val="0"/>
                    <w:jc w:val="center"/>
                    <w:textAlignment w:val="center"/>
                    <w:rPr>
                      <w:color w:val="000000"/>
                      <w:sz w:val="18"/>
                      <w:szCs w:val="18"/>
                    </w:rPr>
                  </w:pPr>
                  <w:r>
                    <w:rPr>
                      <w:color w:val="000000"/>
                      <w:kern w:val="0"/>
                      <w:sz w:val="18"/>
                      <w:szCs w:val="18"/>
                      <w:lang w:bidi="ar"/>
                    </w:rPr>
                    <w:t xml:space="preserve">368 </w:t>
                  </w:r>
                </w:p>
              </w:tc>
              <w:tc>
                <w:tcPr>
                  <w:tcW w:w="377" w:type="pct"/>
                  <w:noWrap w:val="0"/>
                  <w:vAlign w:val="center"/>
                </w:tcPr>
                <w:p w14:paraId="23F93D17">
                  <w:pPr>
                    <w:widowControl/>
                    <w:adjustRightInd w:val="0"/>
                    <w:snapToGrid w:val="0"/>
                    <w:jc w:val="center"/>
                    <w:textAlignment w:val="center"/>
                    <w:rPr>
                      <w:color w:val="000000"/>
                      <w:sz w:val="18"/>
                      <w:szCs w:val="18"/>
                    </w:rPr>
                  </w:pPr>
                  <w:r>
                    <w:rPr>
                      <w:color w:val="000000"/>
                      <w:kern w:val="0"/>
                      <w:sz w:val="18"/>
                      <w:szCs w:val="18"/>
                      <w:lang w:bidi="ar"/>
                    </w:rPr>
                    <w:t xml:space="preserve">0.327 </w:t>
                  </w:r>
                </w:p>
              </w:tc>
              <w:tc>
                <w:tcPr>
                  <w:tcW w:w="351" w:type="pct"/>
                  <w:vMerge w:val="continue"/>
                  <w:noWrap w:val="0"/>
                  <w:vAlign w:val="center"/>
                </w:tcPr>
                <w:p w14:paraId="39E427AD">
                  <w:pPr>
                    <w:widowControl/>
                    <w:adjustRightInd w:val="0"/>
                    <w:snapToGrid w:val="0"/>
                    <w:jc w:val="center"/>
                    <w:rPr>
                      <w:color w:val="000000"/>
                      <w:sz w:val="18"/>
                      <w:szCs w:val="18"/>
                    </w:rPr>
                  </w:pPr>
                </w:p>
              </w:tc>
              <w:tc>
                <w:tcPr>
                  <w:tcW w:w="517" w:type="pct"/>
                  <w:noWrap w:val="0"/>
                  <w:vAlign w:val="center"/>
                </w:tcPr>
                <w:p w14:paraId="38B74916">
                  <w:pPr>
                    <w:widowControl/>
                    <w:adjustRightInd w:val="0"/>
                    <w:snapToGrid w:val="0"/>
                    <w:jc w:val="center"/>
                    <w:textAlignment w:val="center"/>
                    <w:rPr>
                      <w:color w:val="000000"/>
                      <w:sz w:val="18"/>
                      <w:szCs w:val="18"/>
                    </w:rPr>
                  </w:pPr>
                  <w:r>
                    <w:rPr>
                      <w:color w:val="000000"/>
                      <w:kern w:val="0"/>
                      <w:sz w:val="18"/>
                      <w:szCs w:val="18"/>
                      <w:lang w:bidi="ar"/>
                    </w:rPr>
                    <w:t>300</w:t>
                  </w:r>
                </w:p>
              </w:tc>
              <w:tc>
                <w:tcPr>
                  <w:tcW w:w="516" w:type="pct"/>
                  <w:noWrap w:val="0"/>
                  <w:vAlign w:val="center"/>
                </w:tcPr>
                <w:p w14:paraId="76BCFBD1">
                  <w:pPr>
                    <w:widowControl/>
                    <w:adjustRightInd w:val="0"/>
                    <w:snapToGrid w:val="0"/>
                    <w:jc w:val="center"/>
                    <w:textAlignment w:val="center"/>
                    <w:rPr>
                      <w:color w:val="000000"/>
                      <w:sz w:val="18"/>
                      <w:szCs w:val="18"/>
                    </w:rPr>
                  </w:pPr>
                  <w:r>
                    <w:rPr>
                      <w:color w:val="000000"/>
                      <w:kern w:val="0"/>
                      <w:sz w:val="18"/>
                      <w:szCs w:val="18"/>
                      <w:lang w:bidi="ar"/>
                    </w:rPr>
                    <w:t xml:space="preserve">0.267 </w:t>
                  </w:r>
                </w:p>
              </w:tc>
              <w:tc>
                <w:tcPr>
                  <w:tcW w:w="517" w:type="pct"/>
                  <w:noWrap w:val="0"/>
                  <w:vAlign w:val="center"/>
                </w:tcPr>
                <w:p w14:paraId="3A49E09A">
                  <w:pPr>
                    <w:widowControl/>
                    <w:adjustRightInd w:val="0"/>
                    <w:snapToGrid w:val="0"/>
                    <w:jc w:val="center"/>
                    <w:textAlignment w:val="center"/>
                    <w:rPr>
                      <w:color w:val="000000"/>
                      <w:sz w:val="18"/>
                      <w:szCs w:val="18"/>
                    </w:rPr>
                  </w:pPr>
                  <w:r>
                    <w:rPr>
                      <w:color w:val="000000"/>
                      <w:kern w:val="0"/>
                      <w:sz w:val="18"/>
                      <w:szCs w:val="18"/>
                      <w:lang w:bidi="ar"/>
                    </w:rPr>
                    <w:t>400</w:t>
                  </w:r>
                </w:p>
              </w:tc>
              <w:tc>
                <w:tcPr>
                  <w:tcW w:w="171" w:type="pct"/>
                  <w:noWrap w:val="0"/>
                  <w:vAlign w:val="center"/>
                </w:tcPr>
                <w:p w14:paraId="37FF5733">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3B507D4D">
                  <w:pPr>
                    <w:widowControl/>
                    <w:adjustRightInd w:val="0"/>
                    <w:snapToGrid w:val="0"/>
                    <w:jc w:val="center"/>
                    <w:textAlignment w:val="center"/>
                    <w:rPr>
                      <w:color w:val="000000"/>
                      <w:sz w:val="18"/>
                      <w:szCs w:val="18"/>
                    </w:rPr>
                  </w:pPr>
                  <w:r>
                    <w:rPr>
                      <w:color w:val="000000"/>
                      <w:sz w:val="18"/>
                      <w:szCs w:val="18"/>
                    </w:rPr>
                    <w:t>70</w:t>
                  </w:r>
                </w:p>
              </w:tc>
              <w:tc>
                <w:tcPr>
                  <w:tcW w:w="375" w:type="pct"/>
                  <w:noWrap w:val="0"/>
                  <w:vAlign w:val="center"/>
                </w:tcPr>
                <w:p w14:paraId="2B8C4DA3">
                  <w:pPr>
                    <w:widowControl/>
                    <w:adjustRightInd w:val="0"/>
                    <w:snapToGrid w:val="0"/>
                    <w:jc w:val="center"/>
                    <w:textAlignment w:val="center"/>
                    <w:rPr>
                      <w:color w:val="000000"/>
                      <w:sz w:val="18"/>
                      <w:szCs w:val="18"/>
                    </w:rPr>
                  </w:pPr>
                  <w:r>
                    <w:rPr>
                      <w:color w:val="000000"/>
                      <w:sz w:val="18"/>
                      <w:szCs w:val="18"/>
                    </w:rPr>
                    <w:t xml:space="preserve">0.062 </w:t>
                  </w:r>
                </w:p>
              </w:tc>
            </w:tr>
            <w:tr w14:paraId="01E276C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58363B6B">
                  <w:pPr>
                    <w:widowControl/>
                    <w:adjustRightInd w:val="0"/>
                    <w:snapToGrid w:val="0"/>
                    <w:jc w:val="center"/>
                    <w:rPr>
                      <w:color w:val="000000"/>
                      <w:sz w:val="18"/>
                      <w:szCs w:val="18"/>
                    </w:rPr>
                  </w:pPr>
                </w:p>
              </w:tc>
              <w:tc>
                <w:tcPr>
                  <w:tcW w:w="361" w:type="pct"/>
                  <w:vMerge w:val="continue"/>
                  <w:noWrap w:val="0"/>
                  <w:vAlign w:val="center"/>
                </w:tcPr>
                <w:p w14:paraId="61ECEAFB">
                  <w:pPr>
                    <w:widowControl/>
                    <w:adjustRightInd w:val="0"/>
                    <w:snapToGrid w:val="0"/>
                    <w:jc w:val="center"/>
                    <w:rPr>
                      <w:color w:val="000000"/>
                      <w:sz w:val="18"/>
                      <w:szCs w:val="18"/>
                    </w:rPr>
                  </w:pPr>
                </w:p>
              </w:tc>
              <w:tc>
                <w:tcPr>
                  <w:tcW w:w="432" w:type="pct"/>
                  <w:noWrap w:val="0"/>
                  <w:vAlign w:val="center"/>
                </w:tcPr>
                <w:p w14:paraId="2436D8BD">
                  <w:pPr>
                    <w:widowControl/>
                    <w:adjustRightInd w:val="0"/>
                    <w:snapToGrid w:val="0"/>
                    <w:jc w:val="center"/>
                    <w:textAlignment w:val="center"/>
                    <w:rPr>
                      <w:color w:val="000000"/>
                      <w:sz w:val="18"/>
                      <w:szCs w:val="18"/>
                    </w:rPr>
                  </w:pPr>
                  <w:r>
                    <w:rPr>
                      <w:color w:val="000000"/>
                      <w:kern w:val="0"/>
                      <w:sz w:val="18"/>
                      <w:szCs w:val="18"/>
                      <w:lang w:bidi="ar"/>
                    </w:rPr>
                    <w:t>氨氮</w:t>
                  </w:r>
                </w:p>
              </w:tc>
              <w:tc>
                <w:tcPr>
                  <w:tcW w:w="365" w:type="pct"/>
                  <w:noWrap w:val="0"/>
                  <w:vAlign w:val="center"/>
                </w:tcPr>
                <w:p w14:paraId="0FE7F369">
                  <w:pPr>
                    <w:widowControl/>
                    <w:adjustRightInd w:val="0"/>
                    <w:snapToGrid w:val="0"/>
                    <w:jc w:val="center"/>
                    <w:textAlignment w:val="center"/>
                    <w:rPr>
                      <w:color w:val="000000"/>
                      <w:sz w:val="18"/>
                      <w:szCs w:val="18"/>
                    </w:rPr>
                  </w:pPr>
                  <w:r>
                    <w:rPr>
                      <w:color w:val="000000"/>
                      <w:kern w:val="0"/>
                      <w:sz w:val="18"/>
                      <w:szCs w:val="18"/>
                      <w:lang w:bidi="ar"/>
                    </w:rPr>
                    <w:t xml:space="preserve">30 </w:t>
                  </w:r>
                </w:p>
              </w:tc>
              <w:tc>
                <w:tcPr>
                  <w:tcW w:w="377" w:type="pct"/>
                  <w:noWrap w:val="0"/>
                  <w:vAlign w:val="center"/>
                </w:tcPr>
                <w:p w14:paraId="1C49318D">
                  <w:pPr>
                    <w:widowControl/>
                    <w:adjustRightInd w:val="0"/>
                    <w:snapToGrid w:val="0"/>
                    <w:jc w:val="center"/>
                    <w:textAlignment w:val="center"/>
                    <w:rPr>
                      <w:color w:val="000000"/>
                      <w:sz w:val="18"/>
                      <w:szCs w:val="18"/>
                    </w:rPr>
                  </w:pPr>
                  <w:r>
                    <w:rPr>
                      <w:color w:val="000000"/>
                      <w:kern w:val="0"/>
                      <w:sz w:val="18"/>
                      <w:szCs w:val="18"/>
                      <w:lang w:bidi="ar"/>
                    </w:rPr>
                    <w:t xml:space="preserve">0.027 </w:t>
                  </w:r>
                </w:p>
              </w:tc>
              <w:tc>
                <w:tcPr>
                  <w:tcW w:w="351" w:type="pct"/>
                  <w:vMerge w:val="continue"/>
                  <w:noWrap w:val="0"/>
                  <w:vAlign w:val="center"/>
                </w:tcPr>
                <w:p w14:paraId="0D432349">
                  <w:pPr>
                    <w:widowControl/>
                    <w:adjustRightInd w:val="0"/>
                    <w:snapToGrid w:val="0"/>
                    <w:jc w:val="center"/>
                    <w:rPr>
                      <w:color w:val="000000"/>
                      <w:sz w:val="18"/>
                      <w:szCs w:val="18"/>
                    </w:rPr>
                  </w:pPr>
                </w:p>
              </w:tc>
              <w:tc>
                <w:tcPr>
                  <w:tcW w:w="517" w:type="pct"/>
                  <w:noWrap w:val="0"/>
                  <w:vAlign w:val="center"/>
                </w:tcPr>
                <w:p w14:paraId="7686478A">
                  <w:pPr>
                    <w:widowControl/>
                    <w:adjustRightInd w:val="0"/>
                    <w:snapToGrid w:val="0"/>
                    <w:jc w:val="center"/>
                    <w:textAlignment w:val="center"/>
                    <w:rPr>
                      <w:color w:val="000000"/>
                      <w:sz w:val="18"/>
                      <w:szCs w:val="18"/>
                    </w:rPr>
                  </w:pPr>
                  <w:r>
                    <w:rPr>
                      <w:color w:val="000000"/>
                      <w:kern w:val="0"/>
                      <w:sz w:val="18"/>
                      <w:szCs w:val="18"/>
                      <w:lang w:bidi="ar"/>
                    </w:rPr>
                    <w:t>30</w:t>
                  </w:r>
                </w:p>
              </w:tc>
              <w:tc>
                <w:tcPr>
                  <w:tcW w:w="516" w:type="pct"/>
                  <w:noWrap w:val="0"/>
                  <w:vAlign w:val="center"/>
                </w:tcPr>
                <w:p w14:paraId="18C45986">
                  <w:pPr>
                    <w:widowControl/>
                    <w:adjustRightInd w:val="0"/>
                    <w:snapToGrid w:val="0"/>
                    <w:jc w:val="center"/>
                    <w:textAlignment w:val="center"/>
                    <w:rPr>
                      <w:color w:val="000000"/>
                      <w:sz w:val="18"/>
                      <w:szCs w:val="18"/>
                    </w:rPr>
                  </w:pPr>
                  <w:r>
                    <w:rPr>
                      <w:color w:val="000000"/>
                      <w:kern w:val="0"/>
                      <w:sz w:val="18"/>
                      <w:szCs w:val="18"/>
                      <w:lang w:bidi="ar"/>
                    </w:rPr>
                    <w:t xml:space="preserve">0.027 </w:t>
                  </w:r>
                </w:p>
              </w:tc>
              <w:tc>
                <w:tcPr>
                  <w:tcW w:w="517" w:type="pct"/>
                  <w:noWrap w:val="0"/>
                  <w:vAlign w:val="center"/>
                </w:tcPr>
                <w:p w14:paraId="5A834BAE">
                  <w:pPr>
                    <w:widowControl/>
                    <w:adjustRightInd w:val="0"/>
                    <w:snapToGrid w:val="0"/>
                    <w:jc w:val="center"/>
                    <w:textAlignment w:val="center"/>
                    <w:rPr>
                      <w:color w:val="000000"/>
                      <w:sz w:val="18"/>
                      <w:szCs w:val="18"/>
                    </w:rPr>
                  </w:pPr>
                  <w:r>
                    <w:rPr>
                      <w:color w:val="000000"/>
                      <w:kern w:val="0"/>
                      <w:sz w:val="18"/>
                      <w:szCs w:val="18"/>
                      <w:lang w:bidi="ar"/>
                    </w:rPr>
                    <w:t>45</w:t>
                  </w:r>
                </w:p>
              </w:tc>
              <w:tc>
                <w:tcPr>
                  <w:tcW w:w="171" w:type="pct"/>
                  <w:noWrap w:val="0"/>
                  <w:vAlign w:val="center"/>
                </w:tcPr>
                <w:p w14:paraId="0D3A9BFD">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1DF332AA">
                  <w:pPr>
                    <w:widowControl/>
                    <w:adjustRightInd w:val="0"/>
                    <w:snapToGrid w:val="0"/>
                    <w:jc w:val="center"/>
                    <w:textAlignment w:val="center"/>
                    <w:rPr>
                      <w:color w:val="000000"/>
                      <w:sz w:val="18"/>
                      <w:szCs w:val="18"/>
                    </w:rPr>
                  </w:pPr>
                  <w:r>
                    <w:rPr>
                      <w:color w:val="000000"/>
                      <w:sz w:val="18"/>
                      <w:szCs w:val="18"/>
                    </w:rPr>
                    <w:t>15</w:t>
                  </w:r>
                </w:p>
              </w:tc>
              <w:tc>
                <w:tcPr>
                  <w:tcW w:w="375" w:type="pct"/>
                  <w:noWrap w:val="0"/>
                  <w:vAlign w:val="center"/>
                </w:tcPr>
                <w:p w14:paraId="7D732E8E">
                  <w:pPr>
                    <w:widowControl/>
                    <w:adjustRightInd w:val="0"/>
                    <w:snapToGrid w:val="0"/>
                    <w:jc w:val="center"/>
                    <w:textAlignment w:val="center"/>
                    <w:rPr>
                      <w:color w:val="000000"/>
                      <w:sz w:val="18"/>
                      <w:szCs w:val="18"/>
                    </w:rPr>
                  </w:pPr>
                  <w:r>
                    <w:rPr>
                      <w:color w:val="000000"/>
                      <w:sz w:val="18"/>
                      <w:szCs w:val="18"/>
                    </w:rPr>
                    <w:t xml:space="preserve">0.013 </w:t>
                  </w:r>
                </w:p>
              </w:tc>
            </w:tr>
            <w:tr w14:paraId="6E802A9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0560421D">
                  <w:pPr>
                    <w:widowControl/>
                    <w:adjustRightInd w:val="0"/>
                    <w:snapToGrid w:val="0"/>
                    <w:jc w:val="center"/>
                    <w:rPr>
                      <w:color w:val="000000"/>
                      <w:sz w:val="18"/>
                      <w:szCs w:val="18"/>
                    </w:rPr>
                  </w:pPr>
                </w:p>
              </w:tc>
              <w:tc>
                <w:tcPr>
                  <w:tcW w:w="361" w:type="pct"/>
                  <w:vMerge w:val="continue"/>
                  <w:noWrap w:val="0"/>
                  <w:vAlign w:val="center"/>
                </w:tcPr>
                <w:p w14:paraId="38A9F5C4">
                  <w:pPr>
                    <w:widowControl/>
                    <w:adjustRightInd w:val="0"/>
                    <w:snapToGrid w:val="0"/>
                    <w:jc w:val="center"/>
                    <w:rPr>
                      <w:color w:val="000000"/>
                      <w:sz w:val="18"/>
                      <w:szCs w:val="18"/>
                    </w:rPr>
                  </w:pPr>
                </w:p>
              </w:tc>
              <w:tc>
                <w:tcPr>
                  <w:tcW w:w="432" w:type="pct"/>
                  <w:noWrap w:val="0"/>
                  <w:vAlign w:val="center"/>
                </w:tcPr>
                <w:p w14:paraId="179387BF">
                  <w:pPr>
                    <w:widowControl/>
                    <w:adjustRightInd w:val="0"/>
                    <w:snapToGrid w:val="0"/>
                    <w:jc w:val="center"/>
                    <w:textAlignment w:val="center"/>
                    <w:rPr>
                      <w:color w:val="000000"/>
                      <w:sz w:val="18"/>
                      <w:szCs w:val="18"/>
                    </w:rPr>
                  </w:pPr>
                  <w:r>
                    <w:rPr>
                      <w:color w:val="000000"/>
                      <w:kern w:val="0"/>
                      <w:sz w:val="18"/>
                      <w:szCs w:val="18"/>
                      <w:lang w:bidi="ar"/>
                    </w:rPr>
                    <w:t>石油类</w:t>
                  </w:r>
                </w:p>
              </w:tc>
              <w:tc>
                <w:tcPr>
                  <w:tcW w:w="365" w:type="pct"/>
                  <w:noWrap w:val="0"/>
                  <w:vAlign w:val="center"/>
                </w:tcPr>
                <w:p w14:paraId="23BE7278">
                  <w:pPr>
                    <w:widowControl/>
                    <w:adjustRightInd w:val="0"/>
                    <w:snapToGrid w:val="0"/>
                    <w:jc w:val="center"/>
                    <w:textAlignment w:val="center"/>
                    <w:rPr>
                      <w:color w:val="000000"/>
                      <w:sz w:val="18"/>
                      <w:szCs w:val="18"/>
                    </w:rPr>
                  </w:pPr>
                  <w:r>
                    <w:rPr>
                      <w:color w:val="000000"/>
                      <w:kern w:val="0"/>
                      <w:sz w:val="18"/>
                      <w:szCs w:val="18"/>
                      <w:lang w:bidi="ar"/>
                    </w:rPr>
                    <w:t xml:space="preserve">18 </w:t>
                  </w:r>
                </w:p>
              </w:tc>
              <w:tc>
                <w:tcPr>
                  <w:tcW w:w="377" w:type="pct"/>
                  <w:noWrap w:val="0"/>
                  <w:vAlign w:val="center"/>
                </w:tcPr>
                <w:p w14:paraId="4D03A6E8">
                  <w:pPr>
                    <w:widowControl/>
                    <w:adjustRightInd w:val="0"/>
                    <w:snapToGrid w:val="0"/>
                    <w:jc w:val="center"/>
                    <w:textAlignment w:val="center"/>
                    <w:rPr>
                      <w:color w:val="000000"/>
                      <w:sz w:val="18"/>
                      <w:szCs w:val="18"/>
                    </w:rPr>
                  </w:pPr>
                  <w:r>
                    <w:rPr>
                      <w:color w:val="000000"/>
                      <w:kern w:val="0"/>
                      <w:sz w:val="18"/>
                      <w:szCs w:val="18"/>
                      <w:lang w:bidi="ar"/>
                    </w:rPr>
                    <w:t xml:space="preserve">0.016 </w:t>
                  </w:r>
                </w:p>
              </w:tc>
              <w:tc>
                <w:tcPr>
                  <w:tcW w:w="351" w:type="pct"/>
                  <w:vMerge w:val="continue"/>
                  <w:noWrap w:val="0"/>
                  <w:vAlign w:val="center"/>
                </w:tcPr>
                <w:p w14:paraId="35629CD2">
                  <w:pPr>
                    <w:widowControl/>
                    <w:adjustRightInd w:val="0"/>
                    <w:snapToGrid w:val="0"/>
                    <w:jc w:val="center"/>
                    <w:rPr>
                      <w:color w:val="000000"/>
                      <w:sz w:val="18"/>
                      <w:szCs w:val="18"/>
                    </w:rPr>
                  </w:pPr>
                </w:p>
              </w:tc>
              <w:tc>
                <w:tcPr>
                  <w:tcW w:w="517" w:type="pct"/>
                  <w:noWrap w:val="0"/>
                  <w:vAlign w:val="center"/>
                </w:tcPr>
                <w:p w14:paraId="2F61C5B3">
                  <w:pPr>
                    <w:widowControl/>
                    <w:adjustRightInd w:val="0"/>
                    <w:snapToGrid w:val="0"/>
                    <w:jc w:val="center"/>
                    <w:textAlignment w:val="center"/>
                    <w:rPr>
                      <w:color w:val="000000"/>
                      <w:sz w:val="18"/>
                      <w:szCs w:val="18"/>
                    </w:rPr>
                  </w:pPr>
                  <w:r>
                    <w:rPr>
                      <w:color w:val="000000"/>
                      <w:kern w:val="0"/>
                      <w:sz w:val="18"/>
                      <w:szCs w:val="18"/>
                      <w:lang w:bidi="ar"/>
                    </w:rPr>
                    <w:t>15</w:t>
                  </w:r>
                </w:p>
              </w:tc>
              <w:tc>
                <w:tcPr>
                  <w:tcW w:w="516" w:type="pct"/>
                  <w:noWrap w:val="0"/>
                  <w:vAlign w:val="center"/>
                </w:tcPr>
                <w:p w14:paraId="7DC41E22">
                  <w:pPr>
                    <w:widowControl/>
                    <w:adjustRightInd w:val="0"/>
                    <w:snapToGrid w:val="0"/>
                    <w:jc w:val="center"/>
                    <w:textAlignment w:val="center"/>
                    <w:rPr>
                      <w:color w:val="000000"/>
                      <w:sz w:val="18"/>
                      <w:szCs w:val="18"/>
                    </w:rPr>
                  </w:pPr>
                  <w:r>
                    <w:rPr>
                      <w:color w:val="000000"/>
                      <w:kern w:val="0"/>
                      <w:sz w:val="18"/>
                      <w:szCs w:val="18"/>
                      <w:lang w:bidi="ar"/>
                    </w:rPr>
                    <w:t xml:space="preserve">0.013 </w:t>
                  </w:r>
                </w:p>
              </w:tc>
              <w:tc>
                <w:tcPr>
                  <w:tcW w:w="517" w:type="pct"/>
                  <w:noWrap w:val="0"/>
                  <w:vAlign w:val="center"/>
                </w:tcPr>
                <w:p w14:paraId="13EA5E2E">
                  <w:pPr>
                    <w:widowControl/>
                    <w:adjustRightInd w:val="0"/>
                    <w:snapToGrid w:val="0"/>
                    <w:jc w:val="center"/>
                    <w:textAlignment w:val="center"/>
                    <w:rPr>
                      <w:color w:val="000000"/>
                      <w:sz w:val="18"/>
                      <w:szCs w:val="18"/>
                    </w:rPr>
                  </w:pPr>
                  <w:r>
                    <w:rPr>
                      <w:color w:val="000000"/>
                      <w:kern w:val="0"/>
                      <w:sz w:val="18"/>
                      <w:szCs w:val="18"/>
                      <w:lang w:bidi="ar"/>
                    </w:rPr>
                    <w:t>20</w:t>
                  </w:r>
                </w:p>
              </w:tc>
              <w:tc>
                <w:tcPr>
                  <w:tcW w:w="171" w:type="pct"/>
                  <w:noWrap w:val="0"/>
                  <w:vAlign w:val="center"/>
                </w:tcPr>
                <w:p w14:paraId="61F80782">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23565880">
                  <w:pPr>
                    <w:widowControl/>
                    <w:adjustRightInd w:val="0"/>
                    <w:snapToGrid w:val="0"/>
                    <w:jc w:val="center"/>
                    <w:textAlignment w:val="center"/>
                    <w:rPr>
                      <w:color w:val="000000"/>
                      <w:sz w:val="18"/>
                      <w:szCs w:val="18"/>
                    </w:rPr>
                  </w:pPr>
                  <w:r>
                    <w:rPr>
                      <w:color w:val="000000"/>
                      <w:sz w:val="18"/>
                      <w:szCs w:val="18"/>
                    </w:rPr>
                    <w:t>5</w:t>
                  </w:r>
                </w:p>
              </w:tc>
              <w:tc>
                <w:tcPr>
                  <w:tcW w:w="375" w:type="pct"/>
                  <w:noWrap w:val="0"/>
                  <w:vAlign w:val="center"/>
                </w:tcPr>
                <w:p w14:paraId="1A8D4A00">
                  <w:pPr>
                    <w:widowControl/>
                    <w:adjustRightInd w:val="0"/>
                    <w:snapToGrid w:val="0"/>
                    <w:jc w:val="center"/>
                    <w:textAlignment w:val="center"/>
                    <w:rPr>
                      <w:color w:val="000000"/>
                      <w:sz w:val="18"/>
                      <w:szCs w:val="18"/>
                    </w:rPr>
                  </w:pPr>
                  <w:r>
                    <w:rPr>
                      <w:color w:val="000000"/>
                      <w:sz w:val="18"/>
                      <w:szCs w:val="18"/>
                    </w:rPr>
                    <w:t xml:space="preserve">0.004 </w:t>
                  </w:r>
                </w:p>
              </w:tc>
            </w:tr>
            <w:tr w14:paraId="1B4B025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655" w:type="pct"/>
                  <w:vMerge w:val="continue"/>
                  <w:noWrap w:val="0"/>
                  <w:vAlign w:val="center"/>
                </w:tcPr>
                <w:p w14:paraId="337D7F79">
                  <w:pPr>
                    <w:widowControl/>
                    <w:adjustRightInd w:val="0"/>
                    <w:snapToGrid w:val="0"/>
                    <w:jc w:val="center"/>
                    <w:rPr>
                      <w:color w:val="000000"/>
                      <w:sz w:val="18"/>
                      <w:szCs w:val="18"/>
                    </w:rPr>
                  </w:pPr>
                </w:p>
              </w:tc>
              <w:tc>
                <w:tcPr>
                  <w:tcW w:w="361" w:type="pct"/>
                  <w:vMerge w:val="continue"/>
                  <w:noWrap w:val="0"/>
                  <w:vAlign w:val="center"/>
                </w:tcPr>
                <w:p w14:paraId="2B34C97E">
                  <w:pPr>
                    <w:widowControl/>
                    <w:adjustRightInd w:val="0"/>
                    <w:snapToGrid w:val="0"/>
                    <w:jc w:val="center"/>
                    <w:rPr>
                      <w:color w:val="000000"/>
                      <w:sz w:val="18"/>
                      <w:szCs w:val="18"/>
                    </w:rPr>
                  </w:pPr>
                </w:p>
              </w:tc>
              <w:tc>
                <w:tcPr>
                  <w:tcW w:w="432" w:type="pct"/>
                  <w:noWrap w:val="0"/>
                  <w:vAlign w:val="center"/>
                </w:tcPr>
                <w:p w14:paraId="65BC8C3D">
                  <w:pPr>
                    <w:widowControl/>
                    <w:adjustRightInd w:val="0"/>
                    <w:snapToGrid w:val="0"/>
                    <w:jc w:val="center"/>
                    <w:textAlignment w:val="center"/>
                    <w:rPr>
                      <w:color w:val="000000"/>
                      <w:sz w:val="18"/>
                      <w:szCs w:val="18"/>
                    </w:rPr>
                  </w:pPr>
                  <w:r>
                    <w:rPr>
                      <w:color w:val="000000"/>
                      <w:kern w:val="0"/>
                      <w:sz w:val="18"/>
                      <w:szCs w:val="18"/>
                      <w:lang w:bidi="ar"/>
                    </w:rPr>
                    <w:t>TP</w:t>
                  </w:r>
                </w:p>
              </w:tc>
              <w:tc>
                <w:tcPr>
                  <w:tcW w:w="365" w:type="pct"/>
                  <w:noWrap w:val="0"/>
                  <w:vAlign w:val="center"/>
                </w:tcPr>
                <w:p w14:paraId="2D85FB7F">
                  <w:pPr>
                    <w:widowControl/>
                    <w:adjustRightInd w:val="0"/>
                    <w:snapToGrid w:val="0"/>
                    <w:jc w:val="center"/>
                    <w:textAlignment w:val="center"/>
                    <w:rPr>
                      <w:color w:val="000000"/>
                      <w:sz w:val="18"/>
                      <w:szCs w:val="18"/>
                    </w:rPr>
                  </w:pPr>
                  <w:r>
                    <w:rPr>
                      <w:color w:val="000000"/>
                      <w:kern w:val="0"/>
                      <w:sz w:val="18"/>
                      <w:szCs w:val="18"/>
                      <w:lang w:bidi="ar"/>
                    </w:rPr>
                    <w:t xml:space="preserve">8 </w:t>
                  </w:r>
                </w:p>
              </w:tc>
              <w:tc>
                <w:tcPr>
                  <w:tcW w:w="377" w:type="pct"/>
                  <w:noWrap w:val="0"/>
                  <w:vAlign w:val="center"/>
                </w:tcPr>
                <w:p w14:paraId="184B911F">
                  <w:pPr>
                    <w:widowControl/>
                    <w:adjustRightInd w:val="0"/>
                    <w:snapToGrid w:val="0"/>
                    <w:jc w:val="center"/>
                    <w:textAlignment w:val="center"/>
                    <w:rPr>
                      <w:color w:val="000000"/>
                      <w:sz w:val="18"/>
                      <w:szCs w:val="18"/>
                    </w:rPr>
                  </w:pPr>
                  <w:r>
                    <w:rPr>
                      <w:color w:val="000000"/>
                      <w:kern w:val="0"/>
                      <w:sz w:val="18"/>
                      <w:szCs w:val="18"/>
                      <w:lang w:bidi="ar"/>
                    </w:rPr>
                    <w:t xml:space="preserve">0.007 </w:t>
                  </w:r>
                </w:p>
              </w:tc>
              <w:tc>
                <w:tcPr>
                  <w:tcW w:w="351" w:type="pct"/>
                  <w:vMerge w:val="continue"/>
                  <w:noWrap w:val="0"/>
                  <w:vAlign w:val="center"/>
                </w:tcPr>
                <w:p w14:paraId="00932B6F">
                  <w:pPr>
                    <w:widowControl/>
                    <w:adjustRightInd w:val="0"/>
                    <w:snapToGrid w:val="0"/>
                    <w:jc w:val="center"/>
                    <w:rPr>
                      <w:color w:val="000000"/>
                      <w:sz w:val="18"/>
                      <w:szCs w:val="18"/>
                    </w:rPr>
                  </w:pPr>
                </w:p>
              </w:tc>
              <w:tc>
                <w:tcPr>
                  <w:tcW w:w="517" w:type="pct"/>
                  <w:noWrap w:val="0"/>
                  <w:vAlign w:val="center"/>
                </w:tcPr>
                <w:p w14:paraId="26F075E4">
                  <w:pPr>
                    <w:widowControl/>
                    <w:adjustRightInd w:val="0"/>
                    <w:snapToGrid w:val="0"/>
                    <w:jc w:val="center"/>
                    <w:textAlignment w:val="center"/>
                    <w:rPr>
                      <w:color w:val="000000"/>
                      <w:sz w:val="18"/>
                      <w:szCs w:val="18"/>
                    </w:rPr>
                  </w:pPr>
                  <w:r>
                    <w:rPr>
                      <w:color w:val="000000"/>
                      <w:kern w:val="0"/>
                      <w:sz w:val="18"/>
                      <w:szCs w:val="18"/>
                      <w:lang w:bidi="ar"/>
                    </w:rPr>
                    <w:t>8</w:t>
                  </w:r>
                </w:p>
              </w:tc>
              <w:tc>
                <w:tcPr>
                  <w:tcW w:w="516" w:type="pct"/>
                  <w:noWrap w:val="0"/>
                  <w:vAlign w:val="center"/>
                </w:tcPr>
                <w:p w14:paraId="0B42442D">
                  <w:pPr>
                    <w:widowControl/>
                    <w:adjustRightInd w:val="0"/>
                    <w:snapToGrid w:val="0"/>
                    <w:jc w:val="center"/>
                    <w:textAlignment w:val="center"/>
                    <w:rPr>
                      <w:color w:val="000000"/>
                      <w:sz w:val="18"/>
                      <w:szCs w:val="18"/>
                    </w:rPr>
                  </w:pPr>
                  <w:r>
                    <w:rPr>
                      <w:color w:val="000000"/>
                      <w:kern w:val="0"/>
                      <w:sz w:val="18"/>
                      <w:szCs w:val="18"/>
                      <w:lang w:bidi="ar"/>
                    </w:rPr>
                    <w:t xml:space="preserve">0.007 </w:t>
                  </w:r>
                </w:p>
              </w:tc>
              <w:tc>
                <w:tcPr>
                  <w:tcW w:w="517" w:type="pct"/>
                  <w:noWrap w:val="0"/>
                  <w:vAlign w:val="center"/>
                </w:tcPr>
                <w:p w14:paraId="26667A45">
                  <w:pPr>
                    <w:widowControl/>
                    <w:adjustRightInd w:val="0"/>
                    <w:snapToGrid w:val="0"/>
                    <w:jc w:val="center"/>
                    <w:textAlignment w:val="center"/>
                    <w:rPr>
                      <w:color w:val="000000"/>
                      <w:sz w:val="18"/>
                      <w:szCs w:val="18"/>
                    </w:rPr>
                  </w:pPr>
                  <w:r>
                    <w:rPr>
                      <w:color w:val="000000"/>
                      <w:kern w:val="0"/>
                      <w:sz w:val="18"/>
                      <w:szCs w:val="18"/>
                      <w:lang w:bidi="ar"/>
                    </w:rPr>
                    <w:t>8</w:t>
                  </w:r>
                </w:p>
              </w:tc>
              <w:tc>
                <w:tcPr>
                  <w:tcW w:w="171" w:type="pct"/>
                  <w:noWrap w:val="0"/>
                  <w:vAlign w:val="center"/>
                </w:tcPr>
                <w:p w14:paraId="35308CD8">
                  <w:pPr>
                    <w:widowControl/>
                    <w:adjustRightInd w:val="0"/>
                    <w:snapToGrid w:val="0"/>
                    <w:jc w:val="center"/>
                    <w:textAlignment w:val="center"/>
                    <w:rPr>
                      <w:color w:val="000000"/>
                      <w:sz w:val="18"/>
                      <w:szCs w:val="18"/>
                    </w:rPr>
                  </w:pPr>
                  <w:r>
                    <w:rPr>
                      <w:color w:val="000000"/>
                      <w:kern w:val="0"/>
                      <w:sz w:val="18"/>
                      <w:szCs w:val="18"/>
                      <w:lang w:bidi="ar"/>
                    </w:rPr>
                    <w:t>达标</w:t>
                  </w:r>
                </w:p>
              </w:tc>
              <w:tc>
                <w:tcPr>
                  <w:tcW w:w="359" w:type="pct"/>
                  <w:noWrap w:val="0"/>
                  <w:vAlign w:val="center"/>
                </w:tcPr>
                <w:p w14:paraId="099AF7BA">
                  <w:pPr>
                    <w:widowControl/>
                    <w:adjustRightInd w:val="0"/>
                    <w:snapToGrid w:val="0"/>
                    <w:jc w:val="center"/>
                    <w:textAlignment w:val="center"/>
                    <w:rPr>
                      <w:color w:val="000000"/>
                      <w:sz w:val="18"/>
                      <w:szCs w:val="18"/>
                    </w:rPr>
                  </w:pPr>
                  <w:r>
                    <w:rPr>
                      <w:color w:val="000000"/>
                      <w:sz w:val="18"/>
                      <w:szCs w:val="18"/>
                    </w:rPr>
                    <w:t>0.5</w:t>
                  </w:r>
                </w:p>
              </w:tc>
              <w:tc>
                <w:tcPr>
                  <w:tcW w:w="375" w:type="pct"/>
                  <w:noWrap w:val="0"/>
                  <w:vAlign w:val="center"/>
                </w:tcPr>
                <w:p w14:paraId="0CDD414F">
                  <w:pPr>
                    <w:widowControl/>
                    <w:adjustRightInd w:val="0"/>
                    <w:snapToGrid w:val="0"/>
                    <w:jc w:val="center"/>
                    <w:textAlignment w:val="center"/>
                    <w:rPr>
                      <w:color w:val="000000"/>
                      <w:sz w:val="18"/>
                      <w:szCs w:val="18"/>
                    </w:rPr>
                  </w:pPr>
                  <w:r>
                    <w:rPr>
                      <w:color w:val="000000"/>
                      <w:sz w:val="18"/>
                      <w:szCs w:val="18"/>
                    </w:rPr>
                    <w:t xml:space="preserve">0.0004 </w:t>
                  </w:r>
                </w:p>
              </w:tc>
            </w:tr>
          </w:tbl>
          <w:p w14:paraId="431EC765">
            <w:pPr>
              <w:pStyle w:val="15"/>
              <w:ind w:left="480"/>
              <w:rPr>
                <w:color w:val="000000"/>
              </w:rPr>
            </w:pPr>
          </w:p>
        </w:tc>
      </w:tr>
    </w:tbl>
    <w:p w14:paraId="13EFA79B">
      <w:pPr>
        <w:pStyle w:val="15"/>
        <w:ind w:left="0" w:leftChars="0" w:firstLine="0" w:firstLineChars="0"/>
        <w:rPr>
          <w:color w:val="000000"/>
        </w:rPr>
      </w:pPr>
    </w:p>
    <w:p w14:paraId="1B335B90">
      <w:pPr>
        <w:pStyle w:val="15"/>
        <w:ind w:left="0" w:leftChars="0" w:firstLine="0" w:firstLineChars="0"/>
        <w:rPr>
          <w:color w:val="000000"/>
        </w:rPr>
        <w:sectPr>
          <w:pgSz w:w="16838" w:h="11905" w:orient="landscape"/>
          <w:pgMar w:top="1531" w:right="1440" w:bottom="1531" w:left="1440" w:header="851" w:footer="992" w:gutter="0"/>
          <w:cols w:space="720" w:num="1"/>
          <w:docGrid w:type="lines" w:linePitch="312" w:charSpace="0"/>
        </w:sectPr>
      </w:pPr>
    </w:p>
    <w:tbl>
      <w:tblPr>
        <w:tblStyle w:val="16"/>
        <w:tblW w:w="8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16"/>
      </w:tblGrid>
      <w:tr w14:paraId="4EB3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noWrap w:val="0"/>
            <w:vAlign w:val="center"/>
          </w:tcPr>
          <w:p w14:paraId="3B688E8A">
            <w:pPr>
              <w:adjustRightInd w:val="0"/>
              <w:snapToGrid w:val="0"/>
              <w:jc w:val="center"/>
              <w:rPr>
                <w:color w:val="000000"/>
              </w:rPr>
            </w:pPr>
            <w:r>
              <w:rPr>
                <w:bCs/>
                <w:color w:val="000000"/>
                <w:szCs w:val="21"/>
              </w:rPr>
              <w:t>运营期环境影响和保护措施</w:t>
            </w:r>
          </w:p>
        </w:tc>
        <w:tc>
          <w:tcPr>
            <w:tcW w:w="8360" w:type="dxa"/>
            <w:noWrap w:val="0"/>
            <w:vAlign w:val="top"/>
          </w:tcPr>
          <w:p w14:paraId="366167AB">
            <w:pPr>
              <w:spacing w:line="360" w:lineRule="auto"/>
              <w:contextualSpacing/>
              <w:rPr>
                <w:rFonts w:hint="eastAsia"/>
                <w:b/>
                <w:bCs/>
                <w:color w:val="000000"/>
              </w:rPr>
            </w:pPr>
            <w:r>
              <w:rPr>
                <w:rFonts w:hint="eastAsia"/>
                <w:b/>
                <w:bCs/>
                <w:color w:val="000000"/>
              </w:rPr>
              <w:t>4.2.2.2废水处理设施可行性分析</w:t>
            </w:r>
          </w:p>
          <w:p w14:paraId="58EF15C3">
            <w:pPr>
              <w:pStyle w:val="35"/>
              <w:spacing w:line="360" w:lineRule="auto"/>
              <w:rPr>
                <w:rFonts w:hint="eastAsia" w:cs="Times New Roman"/>
                <w:color w:val="000000"/>
              </w:rPr>
            </w:pPr>
            <w:r>
              <w:rPr>
                <w:rFonts w:cs="Times New Roman"/>
                <w:color w:val="000000"/>
              </w:rPr>
              <w:t>①</w:t>
            </w:r>
            <w:r>
              <w:rPr>
                <w:rFonts w:hint="eastAsia" w:cs="Times New Roman"/>
                <w:color w:val="000000"/>
              </w:rPr>
              <w:t>本项目废水处理设施可行性</w:t>
            </w:r>
          </w:p>
          <w:p w14:paraId="3D5937F7">
            <w:pPr>
              <w:pStyle w:val="35"/>
              <w:spacing w:line="360" w:lineRule="auto"/>
              <w:ind w:firstLine="0" w:firstLineChars="0"/>
              <w:jc w:val="center"/>
              <w:rPr>
                <w:color w:val="000000"/>
              </w:rPr>
            </w:pPr>
            <w:r>
              <w:drawing>
                <wp:inline distT="0" distB="0" distL="114300" distR="114300">
                  <wp:extent cx="5329555" cy="2517140"/>
                  <wp:effectExtent l="0" t="0" r="4445" b="16510"/>
                  <wp:docPr id="5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pic:cNvPicPr>
                            <a:picLocks noChangeAspect="1"/>
                          </pic:cNvPicPr>
                        </pic:nvPicPr>
                        <pic:blipFill>
                          <a:blip r:embed="rId22"/>
                          <a:stretch>
                            <a:fillRect/>
                          </a:stretch>
                        </pic:blipFill>
                        <pic:spPr>
                          <a:xfrm>
                            <a:off x="0" y="0"/>
                            <a:ext cx="5329555" cy="2517140"/>
                          </a:xfrm>
                          <a:prstGeom prst="rect">
                            <a:avLst/>
                          </a:prstGeom>
                          <a:noFill/>
                          <a:ln>
                            <a:noFill/>
                          </a:ln>
                        </pic:spPr>
                      </pic:pic>
                    </a:graphicData>
                  </a:graphic>
                </wp:inline>
              </w:drawing>
            </w:r>
          </w:p>
          <w:p w14:paraId="25519014">
            <w:pPr>
              <w:pStyle w:val="35"/>
              <w:spacing w:line="360" w:lineRule="auto"/>
              <w:ind w:firstLine="0" w:firstLineChars="0"/>
              <w:jc w:val="center"/>
              <w:rPr>
                <w:b/>
                <w:bCs/>
                <w:color w:val="000000"/>
              </w:rPr>
            </w:pPr>
            <w:r>
              <w:rPr>
                <w:rFonts w:hint="eastAsia"/>
                <w:b/>
                <w:bCs/>
                <w:color w:val="000000"/>
              </w:rPr>
              <w:t>图4-3 项目废水处理流程图</w:t>
            </w:r>
          </w:p>
          <w:p w14:paraId="69123E9A">
            <w:pPr>
              <w:pStyle w:val="35"/>
              <w:spacing w:line="360" w:lineRule="auto"/>
              <w:rPr>
                <w:rFonts w:cs="Times New Roman"/>
                <w:color w:val="000000"/>
              </w:rPr>
            </w:pPr>
            <w:r>
              <w:rPr>
                <w:rFonts w:hint="eastAsia" w:cs="Times New Roman"/>
                <w:color w:val="000000"/>
              </w:rPr>
              <w:t>项目污废水包括地面清洁废水、冷却塔排水、空压机含油废水、酸雾洗涤塔废水、职工生活污水等。地面清洁废水、冷却塔排水、空压机含油废水和酸雾洗涤塔废水经废水预处理设施处理，同时排水合计废水量为10.18m</w:t>
            </w:r>
            <w:r>
              <w:rPr>
                <w:rFonts w:hint="eastAsia" w:cs="Times New Roman"/>
                <w:color w:val="000000"/>
                <w:vertAlign w:val="superscript"/>
              </w:rPr>
              <w:t>3</w:t>
            </w:r>
            <w:r>
              <w:rPr>
                <w:rFonts w:hint="eastAsia" w:cs="Times New Roman"/>
                <w:color w:val="000000"/>
              </w:rPr>
              <w:t>/d，废水预处理设施处理规模为12m</w:t>
            </w:r>
            <w:r>
              <w:rPr>
                <w:rFonts w:hint="eastAsia" w:cs="Times New Roman"/>
                <w:color w:val="000000"/>
                <w:vertAlign w:val="superscript"/>
              </w:rPr>
              <w:t>3</w:t>
            </w:r>
            <w:r>
              <w:rPr>
                <w:rFonts w:hint="eastAsia" w:cs="Times New Roman"/>
                <w:color w:val="000000"/>
              </w:rPr>
              <w:t>/d可行。上述废水污染因子主要为pH、COD、SS、石油类，废水预处理设施工艺为：隔油+沉淀，隔油段对含油废水进行隔油处理，沉淀段对SS进行处理。根据《</w:t>
            </w:r>
            <w:r>
              <w:rPr>
                <w:rFonts w:hint="eastAsia"/>
                <w:color w:val="000000"/>
              </w:rPr>
              <w:t>排污许可证申请与核发技术规范 橡胶和塑料制品工业》（HJ 1122-2020）</w:t>
            </w:r>
            <w:r>
              <w:rPr>
                <w:rFonts w:hint="eastAsia" w:cs="Times New Roman"/>
                <w:color w:val="000000"/>
              </w:rPr>
              <w:t>，处理工艺可行。</w:t>
            </w:r>
          </w:p>
          <w:p w14:paraId="36604B2A">
            <w:pPr>
              <w:pStyle w:val="35"/>
              <w:spacing w:line="360" w:lineRule="auto"/>
              <w:rPr>
                <w:rFonts w:hint="eastAsia" w:eastAsia="宋体" w:cs="Times New Roman"/>
                <w:color w:val="000000"/>
                <w:lang w:eastAsia="zh-CN"/>
              </w:rPr>
            </w:pPr>
            <w:r>
              <w:rPr>
                <w:rFonts w:hint="eastAsia" w:cs="Times New Roman"/>
                <w:color w:val="000000"/>
              </w:rPr>
              <w:t>预处理后与生活污水一起进入现有生化池（处理规模为30m</w:t>
            </w:r>
            <w:r>
              <w:rPr>
                <w:rFonts w:hint="eastAsia" w:cs="Times New Roman"/>
                <w:color w:val="000000"/>
                <w:vertAlign w:val="superscript"/>
              </w:rPr>
              <w:t>3</w:t>
            </w:r>
            <w:r>
              <w:rPr>
                <w:rFonts w:hint="eastAsia" w:cs="Times New Roman"/>
                <w:color w:val="000000"/>
              </w:rPr>
              <w:t>/d）处理达《污水综合排放标准》（GB8978-1996）三级标准后，排入市政污水管网，总计废水量为12.43m</w:t>
            </w:r>
            <w:r>
              <w:rPr>
                <w:rFonts w:hint="eastAsia" w:cs="Times New Roman"/>
                <w:color w:val="000000"/>
                <w:vertAlign w:val="superscript"/>
              </w:rPr>
              <w:t>3</w:t>
            </w:r>
            <w:r>
              <w:rPr>
                <w:rFonts w:hint="eastAsia" w:cs="Times New Roman"/>
                <w:color w:val="000000"/>
              </w:rPr>
              <w:t>/d。</w:t>
            </w:r>
          </w:p>
          <w:p w14:paraId="472DF605">
            <w:pPr>
              <w:pStyle w:val="35"/>
              <w:spacing w:line="360" w:lineRule="auto"/>
              <w:rPr>
                <w:rFonts w:cs="Times New Roman"/>
                <w:color w:val="000000"/>
              </w:rPr>
            </w:pPr>
            <w:r>
              <w:rPr>
                <w:rFonts w:hint="eastAsia" w:cs="Times New Roman"/>
                <w:color w:val="000000"/>
              </w:rPr>
              <w:t>目前，</w:t>
            </w:r>
            <w:r>
              <w:rPr>
                <w:rFonts w:hint="eastAsia"/>
                <w:color w:val="000000"/>
              </w:rPr>
              <w:t>综合楼有部分区域</w:t>
            </w:r>
            <w:r>
              <w:rPr>
                <w:rFonts w:hint="eastAsia"/>
                <w:b/>
                <w:bCs/>
                <w:color w:val="000000"/>
                <w:u w:val="single"/>
              </w:rPr>
              <w:t>租赁给中国中铁一局</w:t>
            </w:r>
            <w:r>
              <w:rPr>
                <w:rFonts w:hint="eastAsia"/>
                <w:color w:val="000000"/>
              </w:rPr>
              <w:t>，作为东侧成渝铁路改造项目的施工单位的施工营地，其产生的污水同样排入生化池。施工营地不从事生产活动，主要为办公及食堂，共计约80人办公及用餐，产生生活污水约5.6</w:t>
            </w:r>
            <w:r>
              <w:rPr>
                <w:rFonts w:hint="eastAsia" w:cs="Times New Roman"/>
                <w:color w:val="000000"/>
              </w:rPr>
              <w:t>m</w:t>
            </w:r>
            <w:r>
              <w:rPr>
                <w:rFonts w:hint="eastAsia" w:cs="Times New Roman"/>
                <w:color w:val="000000"/>
                <w:vertAlign w:val="superscript"/>
              </w:rPr>
              <w:t>3</w:t>
            </w:r>
            <w:r>
              <w:rPr>
                <w:rFonts w:hint="eastAsia" w:cs="Times New Roman"/>
                <w:color w:val="000000"/>
              </w:rPr>
              <w:t>/d。合计本项目与施工营地废水量为18.03m</w:t>
            </w:r>
            <w:r>
              <w:rPr>
                <w:rFonts w:hint="eastAsia" w:cs="Times New Roman"/>
                <w:color w:val="000000"/>
                <w:vertAlign w:val="superscript"/>
              </w:rPr>
              <w:t>3</w:t>
            </w:r>
            <w:r>
              <w:rPr>
                <w:rFonts w:hint="eastAsia" w:cs="Times New Roman"/>
                <w:color w:val="000000"/>
              </w:rPr>
              <w:t>/d，现有生化池规模30m</w:t>
            </w:r>
            <w:r>
              <w:rPr>
                <w:rFonts w:hint="eastAsia" w:cs="Times New Roman"/>
                <w:color w:val="000000"/>
                <w:vertAlign w:val="superscript"/>
              </w:rPr>
              <w:t>3</w:t>
            </w:r>
            <w:r>
              <w:rPr>
                <w:rFonts w:hint="eastAsia" w:cs="Times New Roman"/>
                <w:color w:val="000000"/>
              </w:rPr>
              <w:t>/d可行。生化池由本项目进行验收，责任主体为本项目建设单位。</w:t>
            </w:r>
          </w:p>
          <w:p w14:paraId="4381F2E7">
            <w:pPr>
              <w:pStyle w:val="35"/>
              <w:spacing w:line="360" w:lineRule="auto"/>
              <w:rPr>
                <w:rFonts w:hint="eastAsia" w:cs="Times New Roman"/>
                <w:color w:val="000000"/>
              </w:rPr>
            </w:pPr>
            <w:r>
              <w:rPr>
                <w:rFonts w:hint="eastAsia" w:cs="Times New Roman"/>
                <w:color w:val="000000"/>
              </w:rPr>
              <w:t>生化池处理工艺为厌氧消化，废水主要污染来源为生活污水，</w:t>
            </w:r>
            <w:r>
              <w:rPr>
                <w:rFonts w:hint="eastAsia"/>
                <w:color w:val="000000"/>
              </w:rPr>
              <w:t>废水排放量小，污染物浓度低，水质简单，可采用</w:t>
            </w:r>
            <w:r>
              <w:rPr>
                <w:rFonts w:hint="eastAsia" w:cs="Times New Roman"/>
                <w:color w:val="000000"/>
              </w:rPr>
              <w:t>厌氧消化进行</w:t>
            </w:r>
            <w:r>
              <w:rPr>
                <w:rFonts w:hint="eastAsia"/>
                <w:color w:val="000000"/>
              </w:rPr>
              <w:t>处理，</w:t>
            </w:r>
            <w:r>
              <w:rPr>
                <w:rFonts w:hint="eastAsia" w:cs="Times New Roman"/>
                <w:color w:val="000000"/>
              </w:rPr>
              <w:t>根据《</w:t>
            </w:r>
            <w:r>
              <w:rPr>
                <w:rFonts w:hint="eastAsia"/>
                <w:color w:val="000000"/>
              </w:rPr>
              <w:t>排污许可证申请与核发技术规范 橡胶和塑料制品工业》（HJ 1122-2020），厌氧消化属于可行处理技术。</w:t>
            </w:r>
          </w:p>
          <w:p w14:paraId="368E1D1B">
            <w:pPr>
              <w:pStyle w:val="35"/>
              <w:spacing w:line="360" w:lineRule="auto"/>
              <w:rPr>
                <w:rFonts w:hint="eastAsia" w:cs="Times New Roman"/>
                <w:color w:val="000000"/>
              </w:rPr>
            </w:pPr>
            <w:r>
              <w:rPr>
                <w:rFonts w:cs="Times New Roman"/>
                <w:color w:val="000000"/>
              </w:rPr>
              <w:t>②</w:t>
            </w:r>
            <w:r>
              <w:rPr>
                <w:rFonts w:hint="eastAsia" w:cs="Times New Roman"/>
                <w:color w:val="000000"/>
              </w:rPr>
              <w:t>依托西彭工业园区污水</w:t>
            </w:r>
            <w:r>
              <w:rPr>
                <w:rFonts w:hint="eastAsia" w:cs="Times New Roman"/>
                <w:color w:val="000000"/>
                <w:kern w:val="2"/>
              </w:rPr>
              <w:t>处理厂</w:t>
            </w:r>
            <w:r>
              <w:rPr>
                <w:rFonts w:hint="eastAsia" w:cs="Times New Roman"/>
                <w:color w:val="000000"/>
              </w:rPr>
              <w:t>可行性</w:t>
            </w:r>
          </w:p>
          <w:p w14:paraId="3E35904B">
            <w:pPr>
              <w:pStyle w:val="35"/>
              <w:spacing w:line="360" w:lineRule="auto"/>
              <w:rPr>
                <w:rFonts w:hint="eastAsia" w:cs="Times New Roman"/>
                <w:color w:val="000000"/>
              </w:rPr>
            </w:pPr>
            <w:r>
              <w:rPr>
                <w:rFonts w:hint="eastAsia" w:cs="Times New Roman"/>
                <w:color w:val="000000"/>
              </w:rPr>
              <w:t>生化池后废水经市政污水管网进入西彭工业园区污水处理厂进一步处理。</w:t>
            </w:r>
            <w:r>
              <w:rPr>
                <w:rFonts w:hint="eastAsia"/>
                <w:color w:val="000000"/>
              </w:rPr>
              <w:t>西彭工业园区污水处理厂位于西彭</w:t>
            </w:r>
            <w:r>
              <w:rPr>
                <w:rFonts w:hint="eastAsia" w:cs="Times New Roman"/>
                <w:color w:val="000000"/>
                <w:kern w:val="2"/>
              </w:rPr>
              <w:t>工业园区</w:t>
            </w:r>
            <w:r>
              <w:rPr>
                <w:rFonts w:hint="eastAsia"/>
                <w:color w:val="000000"/>
              </w:rPr>
              <w:t>A64-3/01地块，占地面积3490m</w:t>
            </w:r>
            <w:r>
              <w:rPr>
                <w:rFonts w:hint="eastAsia"/>
                <w:color w:val="000000"/>
                <w:vertAlign w:val="superscript"/>
              </w:rPr>
              <w:t>2</w:t>
            </w:r>
            <w:r>
              <w:rPr>
                <w:rFonts w:hint="eastAsia"/>
                <w:color w:val="000000"/>
              </w:rPr>
              <w:t>，设计处理规模0.5万m</w:t>
            </w:r>
            <w:r>
              <w:rPr>
                <w:rFonts w:hint="eastAsia"/>
                <w:color w:val="000000"/>
                <w:vertAlign w:val="superscript"/>
              </w:rPr>
              <w:t>3</w:t>
            </w:r>
            <w:r>
              <w:rPr>
                <w:rFonts w:hint="eastAsia"/>
                <w:color w:val="000000"/>
              </w:rPr>
              <w:t>/d。污水处理厂于2014年9月通过验收，目前处理规模约0.40万m</w:t>
            </w:r>
            <w:r>
              <w:rPr>
                <w:rFonts w:hint="eastAsia"/>
                <w:color w:val="000000"/>
                <w:vertAlign w:val="superscript"/>
              </w:rPr>
              <w:t>3</w:t>
            </w:r>
            <w:r>
              <w:rPr>
                <w:rFonts w:hint="eastAsia"/>
                <w:color w:val="000000"/>
              </w:rPr>
              <w:t>/d，运行正常。</w:t>
            </w:r>
            <w:r>
              <w:rPr>
                <w:rFonts w:hint="eastAsia" w:cs="Times New Roman"/>
                <w:color w:val="000000"/>
              </w:rPr>
              <w:t>目前，西彭工业园区污水处理厂提标改造正在试运行中，处理规模达到1.5万m</w:t>
            </w:r>
            <w:r>
              <w:rPr>
                <w:rFonts w:hint="eastAsia" w:cs="Times New Roman"/>
                <w:color w:val="000000"/>
                <w:vertAlign w:val="superscript"/>
              </w:rPr>
              <w:t>3</w:t>
            </w:r>
            <w:r>
              <w:rPr>
                <w:rFonts w:hint="eastAsia" w:cs="Times New Roman"/>
                <w:color w:val="000000"/>
              </w:rPr>
              <w:t>/d。</w:t>
            </w:r>
          </w:p>
          <w:p w14:paraId="1204400B">
            <w:pPr>
              <w:pStyle w:val="35"/>
              <w:spacing w:line="360" w:lineRule="auto"/>
              <w:rPr>
                <w:rFonts w:hint="eastAsia" w:cs="Times New Roman"/>
                <w:color w:val="000000"/>
              </w:rPr>
            </w:pPr>
            <w:r>
              <w:rPr>
                <w:rFonts w:hint="eastAsia" w:cs="Times New Roman"/>
                <w:color w:val="000000"/>
              </w:rPr>
              <w:t>工艺可行性：</w:t>
            </w:r>
            <w:r>
              <w:rPr>
                <w:rFonts w:hint="eastAsia"/>
                <w:color w:val="000000"/>
              </w:rPr>
              <w:t>西彭</w:t>
            </w:r>
            <w:r>
              <w:rPr>
                <w:rFonts w:hint="eastAsia" w:cs="Times New Roman"/>
                <w:color w:val="000000"/>
                <w:kern w:val="2"/>
              </w:rPr>
              <w:t>工业园区</w:t>
            </w:r>
            <w:r>
              <w:rPr>
                <w:rFonts w:hint="eastAsia"/>
                <w:color w:val="000000"/>
              </w:rPr>
              <w:t>污水处理厂采用“水解酸化+生物接触氧化”工艺，出水水质可达《污水综合排放标准》（GB8978-1996）一级标准，西彭工业园区污水处理厂提标扩建工程正在试运行中。提标扩建后，COD、NH</w:t>
            </w:r>
            <w:r>
              <w:rPr>
                <w:rFonts w:hint="eastAsia"/>
                <w:color w:val="000000"/>
                <w:vertAlign w:val="subscript"/>
              </w:rPr>
              <w:t>3</w:t>
            </w:r>
            <w:r>
              <w:rPr>
                <w:rFonts w:hint="eastAsia"/>
                <w:color w:val="000000"/>
              </w:rPr>
              <w:t>-N、TP可达《地表水环境质量标准》（GB3838-2002）Ⅳ类标准，其他因子执行《城镇污水处理厂污染物排放</w:t>
            </w:r>
            <w:r>
              <w:rPr>
                <w:rFonts w:hint="eastAsia" w:cs="Times New Roman"/>
                <w:color w:val="000000"/>
                <w:kern w:val="2"/>
              </w:rPr>
              <w:t>标准</w:t>
            </w:r>
            <w:r>
              <w:rPr>
                <w:rFonts w:hint="eastAsia"/>
                <w:color w:val="000000"/>
              </w:rPr>
              <w:t>》（GB18918-2002）一级A标准。</w:t>
            </w:r>
          </w:p>
          <w:p w14:paraId="3C6C6D99">
            <w:pPr>
              <w:pStyle w:val="35"/>
              <w:spacing w:line="360" w:lineRule="auto"/>
              <w:rPr>
                <w:rFonts w:hint="eastAsia" w:cs="Times New Roman"/>
                <w:color w:val="000000"/>
              </w:rPr>
            </w:pPr>
            <w:r>
              <w:rPr>
                <w:rFonts w:hint="eastAsia" w:cs="Times New Roman"/>
                <w:color w:val="000000"/>
              </w:rPr>
              <w:t>处理能力可行性：</w:t>
            </w:r>
            <w:r>
              <w:rPr>
                <w:rFonts w:hint="eastAsia"/>
                <w:color w:val="000000"/>
              </w:rPr>
              <w:t>西彭工业园区污水处理厂设计处理规模0.5万m</w:t>
            </w:r>
            <w:r>
              <w:rPr>
                <w:rFonts w:hint="eastAsia"/>
                <w:color w:val="000000"/>
                <w:vertAlign w:val="superscript"/>
              </w:rPr>
              <w:t>3</w:t>
            </w:r>
            <w:r>
              <w:rPr>
                <w:rFonts w:hint="eastAsia"/>
                <w:color w:val="000000"/>
              </w:rPr>
              <w:t>/d，目前处理规模约0.40万m</w:t>
            </w:r>
            <w:r>
              <w:rPr>
                <w:rFonts w:hint="eastAsia"/>
                <w:color w:val="000000"/>
                <w:vertAlign w:val="superscript"/>
              </w:rPr>
              <w:t>3</w:t>
            </w:r>
            <w:r>
              <w:rPr>
                <w:rFonts w:hint="eastAsia"/>
                <w:color w:val="000000"/>
              </w:rPr>
              <w:t>/d，运行正常，待西彭工业园区污水处理厂提标扩建完成后，处理规模将达到1.5万m</w:t>
            </w:r>
            <w:r>
              <w:rPr>
                <w:rFonts w:hint="eastAsia"/>
                <w:color w:val="000000"/>
                <w:vertAlign w:val="superscript"/>
              </w:rPr>
              <w:t>3</w:t>
            </w:r>
            <w:r>
              <w:rPr>
                <w:rFonts w:hint="eastAsia"/>
                <w:color w:val="000000"/>
              </w:rPr>
              <w:t>/d，项目最大污水排放量为12.43m</w:t>
            </w:r>
            <w:r>
              <w:rPr>
                <w:rFonts w:hint="eastAsia"/>
                <w:color w:val="000000"/>
                <w:vertAlign w:val="superscript"/>
              </w:rPr>
              <w:t>3</w:t>
            </w:r>
            <w:r>
              <w:rPr>
                <w:rFonts w:hint="eastAsia"/>
                <w:color w:val="000000"/>
              </w:rPr>
              <w:t>/d，占西彭工业园区污水处理厂处理能力的比例较小。项目外排废水达《污水综合排放标准》（GB 8978-1996）三级标准，满足污水处理厂的进水水质要求，对污水处理厂的水量、水质负荷冲击不大。</w:t>
            </w:r>
          </w:p>
          <w:p w14:paraId="1C952A43">
            <w:pPr>
              <w:pStyle w:val="35"/>
              <w:spacing w:line="360" w:lineRule="auto"/>
              <w:rPr>
                <w:rFonts w:hint="eastAsia" w:cs="Times New Roman"/>
                <w:color w:val="000000"/>
              </w:rPr>
            </w:pPr>
            <w:r>
              <w:rPr>
                <w:rFonts w:hint="eastAsia" w:cs="Times New Roman"/>
                <w:color w:val="000000"/>
              </w:rPr>
              <w:t>接管可行性：目前西彭工业园区污水处理厂沿铝城大道铺设有污水主干管，本项目位于西彭工业园区西彭组团铝城大道旁，属于西彭工业园区污水处理厂服务范围，企业所在地排水管网完善，接管可行。</w:t>
            </w:r>
          </w:p>
          <w:p w14:paraId="31EDCC52">
            <w:pPr>
              <w:pStyle w:val="35"/>
              <w:spacing w:line="360" w:lineRule="auto"/>
              <w:rPr>
                <w:rFonts w:hint="eastAsia" w:cs="Times New Roman"/>
                <w:color w:val="000000"/>
              </w:rPr>
            </w:pPr>
            <w:r>
              <w:rPr>
                <w:rFonts w:hint="eastAsia" w:cs="Times New Roman"/>
                <w:color w:val="000000"/>
              </w:rPr>
              <w:t>综上，项目废水</w:t>
            </w:r>
            <w:r>
              <w:rPr>
                <w:rFonts w:hint="eastAsia" w:cs="Times New Roman"/>
                <w:color w:val="000000"/>
                <w:kern w:val="2"/>
              </w:rPr>
              <w:t>处理</w:t>
            </w:r>
            <w:r>
              <w:rPr>
                <w:rFonts w:hint="eastAsia" w:cs="Times New Roman"/>
                <w:color w:val="000000"/>
              </w:rPr>
              <w:t>措施可行。</w:t>
            </w:r>
          </w:p>
          <w:p w14:paraId="3C4A2BCE">
            <w:pPr>
              <w:spacing w:line="360" w:lineRule="auto"/>
              <w:contextualSpacing/>
              <w:rPr>
                <w:rFonts w:hint="eastAsia"/>
                <w:b/>
                <w:bCs/>
                <w:color w:val="000000"/>
              </w:rPr>
            </w:pPr>
            <w:r>
              <w:rPr>
                <w:rFonts w:hint="eastAsia"/>
                <w:b/>
                <w:bCs/>
                <w:color w:val="000000"/>
              </w:rPr>
              <w:t>4.2.2.2废水监测计划</w:t>
            </w:r>
          </w:p>
          <w:p w14:paraId="43FE6C09">
            <w:pPr>
              <w:pStyle w:val="35"/>
              <w:spacing w:line="360" w:lineRule="auto"/>
              <w:rPr>
                <w:rFonts w:hint="eastAsia" w:cs="Times New Roman"/>
                <w:color w:val="000000"/>
                <w:kern w:val="2"/>
              </w:rPr>
            </w:pPr>
            <w:r>
              <w:rPr>
                <w:rFonts w:hint="eastAsia" w:cs="Times New Roman"/>
                <w:color w:val="000000"/>
                <w:kern w:val="2"/>
              </w:rPr>
              <w:t>根据《排污单位自行监测技术指南 橡胶和塑料制品》（HJ 1207-2021），制定出运营期废水监测计划详见表4-16。</w:t>
            </w:r>
          </w:p>
          <w:p w14:paraId="3A311C49">
            <w:pPr>
              <w:pStyle w:val="36"/>
              <w:adjustRightInd w:val="0"/>
              <w:snapToGrid w:val="0"/>
              <w:spacing w:before="0" w:beforeLines="0"/>
              <w:rPr>
                <w:rFonts w:eastAsia="宋体"/>
                <w:b/>
                <w:bCs/>
                <w:color w:val="000000"/>
                <w:sz w:val="24"/>
              </w:rPr>
            </w:pPr>
            <w:bookmarkStart w:id="30" w:name="_Ref21401"/>
            <w:r>
              <w:rPr>
                <w:rFonts w:eastAsia="宋体"/>
                <w:b/>
                <w:bCs/>
                <w:color w:val="000000"/>
                <w:sz w:val="24"/>
              </w:rPr>
              <w:t>表4-</w:t>
            </w:r>
            <w:bookmarkEnd w:id="30"/>
            <w:r>
              <w:rPr>
                <w:rFonts w:eastAsia="宋体"/>
                <w:b/>
                <w:bCs/>
                <w:color w:val="000000"/>
                <w:sz w:val="24"/>
              </w:rPr>
              <w:t>1</w:t>
            </w:r>
            <w:r>
              <w:rPr>
                <w:rFonts w:hint="eastAsia" w:eastAsia="宋体"/>
                <w:b/>
                <w:bCs/>
                <w:color w:val="000000"/>
                <w:sz w:val="24"/>
              </w:rPr>
              <w:t>6</w:t>
            </w:r>
            <w:r>
              <w:rPr>
                <w:rFonts w:eastAsia="宋体"/>
                <w:b/>
                <w:bCs/>
                <w:color w:val="000000"/>
                <w:sz w:val="24"/>
              </w:rPr>
              <w:t xml:space="preserve">  废水监测计划</w:t>
            </w:r>
          </w:p>
          <w:tbl>
            <w:tblPr>
              <w:tblStyle w:val="16"/>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84"/>
              <w:gridCol w:w="1977"/>
              <w:gridCol w:w="1395"/>
              <w:gridCol w:w="977"/>
              <w:gridCol w:w="3367"/>
            </w:tblGrid>
            <w:tr w14:paraId="22BA58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07" w:type="pct"/>
                  <w:noWrap w:val="0"/>
                  <w:tcMar>
                    <w:top w:w="0" w:type="dxa"/>
                    <w:left w:w="57" w:type="dxa"/>
                    <w:bottom w:w="0" w:type="dxa"/>
                    <w:right w:w="57" w:type="dxa"/>
                  </w:tcMar>
                  <w:vAlign w:val="center"/>
                </w:tcPr>
                <w:p w14:paraId="3652BB54">
                  <w:pPr>
                    <w:pStyle w:val="26"/>
                    <w:spacing w:before="31"/>
                    <w:rPr>
                      <w:b/>
                      <w:bCs/>
                      <w:color w:val="000000"/>
                    </w:rPr>
                  </w:pPr>
                  <w:r>
                    <w:rPr>
                      <w:rFonts w:hint="eastAsia"/>
                      <w:b/>
                      <w:bCs/>
                      <w:color w:val="000000"/>
                    </w:rPr>
                    <w:t>监测项目</w:t>
                  </w:r>
                </w:p>
              </w:tc>
              <w:tc>
                <w:tcPr>
                  <w:tcW w:w="1176" w:type="pct"/>
                  <w:noWrap w:val="0"/>
                  <w:tcMar>
                    <w:top w:w="0" w:type="dxa"/>
                    <w:left w:w="57" w:type="dxa"/>
                    <w:bottom w:w="0" w:type="dxa"/>
                    <w:right w:w="57" w:type="dxa"/>
                  </w:tcMar>
                  <w:vAlign w:val="center"/>
                </w:tcPr>
                <w:p w14:paraId="769A7220">
                  <w:pPr>
                    <w:pStyle w:val="26"/>
                    <w:spacing w:before="31"/>
                    <w:rPr>
                      <w:b/>
                      <w:bCs/>
                      <w:color w:val="000000"/>
                    </w:rPr>
                  </w:pPr>
                  <w:r>
                    <w:rPr>
                      <w:rFonts w:hint="eastAsia"/>
                      <w:b/>
                      <w:bCs/>
                      <w:color w:val="000000"/>
                    </w:rPr>
                    <w:t>监测因子</w:t>
                  </w:r>
                </w:p>
              </w:tc>
              <w:tc>
                <w:tcPr>
                  <w:tcW w:w="830" w:type="pct"/>
                  <w:noWrap w:val="0"/>
                  <w:tcMar>
                    <w:top w:w="0" w:type="dxa"/>
                    <w:left w:w="57" w:type="dxa"/>
                    <w:bottom w:w="0" w:type="dxa"/>
                    <w:right w:w="57" w:type="dxa"/>
                  </w:tcMar>
                  <w:vAlign w:val="center"/>
                </w:tcPr>
                <w:p w14:paraId="5C860AA0">
                  <w:pPr>
                    <w:pStyle w:val="26"/>
                    <w:spacing w:before="31"/>
                    <w:rPr>
                      <w:b/>
                      <w:bCs/>
                      <w:color w:val="000000"/>
                    </w:rPr>
                  </w:pPr>
                  <w:r>
                    <w:rPr>
                      <w:rFonts w:hint="eastAsia"/>
                      <w:b/>
                      <w:bCs/>
                      <w:color w:val="000000"/>
                    </w:rPr>
                    <w:t>监测点位</w:t>
                  </w:r>
                </w:p>
              </w:tc>
              <w:tc>
                <w:tcPr>
                  <w:tcW w:w="581" w:type="pct"/>
                  <w:noWrap w:val="0"/>
                  <w:tcMar>
                    <w:top w:w="0" w:type="dxa"/>
                    <w:left w:w="57" w:type="dxa"/>
                    <w:bottom w:w="0" w:type="dxa"/>
                    <w:right w:w="57" w:type="dxa"/>
                  </w:tcMar>
                  <w:vAlign w:val="center"/>
                </w:tcPr>
                <w:p w14:paraId="317178F2">
                  <w:pPr>
                    <w:pStyle w:val="26"/>
                    <w:spacing w:before="31"/>
                    <w:rPr>
                      <w:b/>
                      <w:bCs/>
                      <w:color w:val="000000"/>
                    </w:rPr>
                  </w:pPr>
                  <w:r>
                    <w:rPr>
                      <w:rFonts w:hint="eastAsia"/>
                      <w:b/>
                      <w:bCs/>
                      <w:color w:val="000000"/>
                    </w:rPr>
                    <w:t>监测频次</w:t>
                  </w:r>
                </w:p>
              </w:tc>
              <w:tc>
                <w:tcPr>
                  <w:tcW w:w="2003" w:type="pct"/>
                  <w:noWrap w:val="0"/>
                  <w:tcMar>
                    <w:top w:w="0" w:type="dxa"/>
                    <w:left w:w="57" w:type="dxa"/>
                    <w:bottom w:w="0" w:type="dxa"/>
                    <w:right w:w="57" w:type="dxa"/>
                  </w:tcMar>
                  <w:vAlign w:val="center"/>
                </w:tcPr>
                <w:p w14:paraId="2F716367">
                  <w:pPr>
                    <w:pStyle w:val="26"/>
                    <w:spacing w:before="31"/>
                    <w:rPr>
                      <w:b/>
                      <w:bCs/>
                      <w:color w:val="000000"/>
                    </w:rPr>
                  </w:pPr>
                  <w:r>
                    <w:rPr>
                      <w:rFonts w:hint="eastAsia"/>
                      <w:b/>
                      <w:bCs/>
                      <w:color w:val="000000"/>
                    </w:rPr>
                    <w:t>执行标准</w:t>
                  </w:r>
                </w:p>
              </w:tc>
            </w:tr>
            <w:tr w14:paraId="169BF0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3" w:hRule="atLeast"/>
              </w:trPr>
              <w:tc>
                <w:tcPr>
                  <w:tcW w:w="407" w:type="pct"/>
                  <w:noWrap w:val="0"/>
                  <w:tcMar>
                    <w:top w:w="0" w:type="dxa"/>
                    <w:left w:w="57" w:type="dxa"/>
                    <w:bottom w:w="0" w:type="dxa"/>
                    <w:right w:w="57" w:type="dxa"/>
                  </w:tcMar>
                  <w:vAlign w:val="center"/>
                </w:tcPr>
                <w:p w14:paraId="6EE48277">
                  <w:pPr>
                    <w:pStyle w:val="26"/>
                    <w:spacing w:before="31"/>
                    <w:rPr>
                      <w:color w:val="000000"/>
                    </w:rPr>
                  </w:pPr>
                  <w:r>
                    <w:rPr>
                      <w:rFonts w:hint="eastAsia"/>
                      <w:color w:val="000000"/>
                    </w:rPr>
                    <w:t>综合废水</w:t>
                  </w:r>
                </w:p>
              </w:tc>
              <w:tc>
                <w:tcPr>
                  <w:tcW w:w="1176" w:type="pct"/>
                  <w:noWrap w:val="0"/>
                  <w:tcMar>
                    <w:top w:w="0" w:type="dxa"/>
                    <w:left w:w="57" w:type="dxa"/>
                    <w:bottom w:w="0" w:type="dxa"/>
                    <w:right w:w="57" w:type="dxa"/>
                  </w:tcMar>
                  <w:vAlign w:val="center"/>
                </w:tcPr>
                <w:p w14:paraId="5672F678">
                  <w:pPr>
                    <w:pStyle w:val="26"/>
                    <w:spacing w:before="31"/>
                    <w:rPr>
                      <w:color w:val="000000"/>
                    </w:rPr>
                  </w:pPr>
                  <w:r>
                    <w:rPr>
                      <w:rFonts w:hint="eastAsia"/>
                      <w:color w:val="000000"/>
                    </w:rPr>
                    <w:t>pH、COD、BOD</w:t>
                  </w:r>
                  <w:r>
                    <w:rPr>
                      <w:rFonts w:hint="eastAsia"/>
                      <w:color w:val="000000"/>
                      <w:vertAlign w:val="subscript"/>
                    </w:rPr>
                    <w:t>5</w:t>
                  </w:r>
                  <w:r>
                    <w:rPr>
                      <w:rFonts w:hint="eastAsia"/>
                      <w:color w:val="000000"/>
                    </w:rPr>
                    <w:t>、SS、氨氮、TP、石油类</w:t>
                  </w:r>
                </w:p>
              </w:tc>
              <w:tc>
                <w:tcPr>
                  <w:tcW w:w="830" w:type="pct"/>
                  <w:noWrap w:val="0"/>
                  <w:tcMar>
                    <w:top w:w="0" w:type="dxa"/>
                    <w:left w:w="57" w:type="dxa"/>
                    <w:bottom w:w="0" w:type="dxa"/>
                    <w:right w:w="57" w:type="dxa"/>
                  </w:tcMar>
                  <w:vAlign w:val="center"/>
                </w:tcPr>
                <w:p w14:paraId="14EF869A">
                  <w:pPr>
                    <w:pStyle w:val="26"/>
                    <w:spacing w:before="31"/>
                    <w:rPr>
                      <w:color w:val="000000"/>
                    </w:rPr>
                  </w:pPr>
                  <w:r>
                    <w:rPr>
                      <w:rFonts w:hint="eastAsia"/>
                      <w:color w:val="000000"/>
                    </w:rPr>
                    <w:t>生化池排放口</w:t>
                  </w:r>
                </w:p>
              </w:tc>
              <w:tc>
                <w:tcPr>
                  <w:tcW w:w="581" w:type="pct"/>
                  <w:noWrap w:val="0"/>
                  <w:tcMar>
                    <w:top w:w="0" w:type="dxa"/>
                    <w:left w:w="57" w:type="dxa"/>
                    <w:bottom w:w="0" w:type="dxa"/>
                    <w:right w:w="57" w:type="dxa"/>
                  </w:tcMar>
                  <w:vAlign w:val="center"/>
                </w:tcPr>
                <w:p w14:paraId="79E826BF">
                  <w:pPr>
                    <w:pStyle w:val="26"/>
                    <w:spacing w:before="31"/>
                    <w:rPr>
                      <w:color w:val="000000"/>
                    </w:rPr>
                  </w:pPr>
                  <w:r>
                    <w:rPr>
                      <w:color w:val="000000"/>
                    </w:rPr>
                    <w:t>1次/年</w:t>
                  </w:r>
                </w:p>
              </w:tc>
              <w:tc>
                <w:tcPr>
                  <w:tcW w:w="2003" w:type="pct"/>
                  <w:noWrap w:val="0"/>
                  <w:tcMar>
                    <w:top w:w="0" w:type="dxa"/>
                    <w:left w:w="57" w:type="dxa"/>
                    <w:bottom w:w="0" w:type="dxa"/>
                    <w:right w:w="57" w:type="dxa"/>
                  </w:tcMar>
                  <w:vAlign w:val="center"/>
                </w:tcPr>
                <w:p w14:paraId="09A08763">
                  <w:pPr>
                    <w:pStyle w:val="26"/>
                    <w:spacing w:before="31"/>
                    <w:jc w:val="both"/>
                    <w:rPr>
                      <w:rFonts w:hint="eastAsia"/>
                      <w:color w:val="000000"/>
                    </w:rPr>
                  </w:pPr>
                  <w:r>
                    <w:rPr>
                      <w:rFonts w:hint="eastAsia"/>
                      <w:color w:val="000000"/>
                    </w:rPr>
                    <w:t>《污水综合排放标准》（GB8978-1996）三级标准，其中氨氮、TP执行《污水排入城镇下水道水质标准》（GB/T31962-2015）</w:t>
                  </w:r>
                </w:p>
              </w:tc>
            </w:tr>
          </w:tbl>
          <w:p w14:paraId="492AAF3D">
            <w:pPr>
              <w:adjustRightInd w:val="0"/>
              <w:snapToGrid w:val="0"/>
              <w:spacing w:before="156" w:beforeLines="50" w:line="360" w:lineRule="auto"/>
              <w:rPr>
                <w:b/>
                <w:bCs/>
                <w:snapToGrid w:val="0"/>
                <w:color w:val="000000"/>
                <w:kern w:val="0"/>
              </w:rPr>
            </w:pPr>
            <w:r>
              <w:rPr>
                <w:b/>
                <w:bCs/>
                <w:snapToGrid w:val="0"/>
                <w:color w:val="000000"/>
                <w:kern w:val="0"/>
              </w:rPr>
              <w:t>4.2.3噪声</w:t>
            </w:r>
          </w:p>
          <w:p w14:paraId="194E40AB">
            <w:pPr>
              <w:adjustRightInd w:val="0"/>
              <w:snapToGrid w:val="0"/>
              <w:spacing w:line="360" w:lineRule="auto"/>
              <w:rPr>
                <w:b/>
                <w:bCs/>
                <w:color w:val="000000"/>
              </w:rPr>
            </w:pPr>
            <w:r>
              <w:rPr>
                <w:rFonts w:hint="eastAsia"/>
                <w:b/>
                <w:bCs/>
                <w:color w:val="000000"/>
              </w:rPr>
              <w:t>4.2.3.1固定声源噪声影响</w:t>
            </w:r>
          </w:p>
          <w:p w14:paraId="6F2A1E85">
            <w:pPr>
              <w:adjustRightInd w:val="0"/>
              <w:snapToGrid w:val="0"/>
              <w:spacing w:line="360" w:lineRule="auto"/>
              <w:ind w:firstLine="420" w:firstLineChars="200"/>
              <w:rPr>
                <w:b/>
                <w:bCs/>
                <w:color w:val="000000"/>
              </w:rPr>
            </w:pPr>
            <w:r>
              <w:rPr>
                <w:b/>
                <w:bCs/>
                <w:color w:val="000000"/>
              </w:rPr>
              <w:t>（1）</w:t>
            </w:r>
            <w:r>
              <w:rPr>
                <w:rFonts w:hint="eastAsia"/>
                <w:b/>
                <w:bCs/>
                <w:color w:val="000000"/>
              </w:rPr>
              <w:t>噪声源强核算</w:t>
            </w:r>
          </w:p>
          <w:p w14:paraId="5352064D">
            <w:pPr>
              <w:spacing w:line="360" w:lineRule="auto"/>
              <w:ind w:firstLine="420" w:firstLineChars="200"/>
              <w:jc w:val="left"/>
              <w:rPr>
                <w:rFonts w:hint="eastAsia"/>
                <w:color w:val="000000"/>
              </w:rPr>
            </w:pPr>
            <w:r>
              <w:rPr>
                <w:rFonts w:hint="eastAsia"/>
                <w:color w:val="000000"/>
              </w:rPr>
              <w:t>本项目主要噪声源为配料机、高速混料机、双阶混炼挤出机组、切割机、旋风机、振动筛、密炼机等生产设备及冷却塔、螺杆式空压机、废气处理设施风机等，均为室内噪声源。</w:t>
            </w:r>
          </w:p>
          <w:p w14:paraId="79F7EDB2">
            <w:pPr>
              <w:spacing w:line="360" w:lineRule="auto"/>
              <w:ind w:firstLine="420" w:firstLineChars="200"/>
              <w:jc w:val="left"/>
              <w:rPr>
                <w:color w:val="000000"/>
              </w:rPr>
            </w:pPr>
            <w:r>
              <w:rPr>
                <w:rFonts w:hint="eastAsia"/>
                <w:color w:val="000000"/>
              </w:rPr>
              <w:t>室内噪声源调查见表4-17。</w:t>
            </w:r>
          </w:p>
        </w:tc>
      </w:tr>
    </w:tbl>
    <w:p w14:paraId="30610523">
      <w:pPr>
        <w:pStyle w:val="15"/>
        <w:ind w:left="0" w:leftChars="0" w:firstLine="0" w:firstLineChars="0"/>
        <w:rPr>
          <w:color w:val="000000"/>
        </w:rPr>
        <w:sectPr>
          <w:pgSz w:w="11905" w:h="16838"/>
          <w:pgMar w:top="1440" w:right="1531" w:bottom="1440" w:left="1531" w:header="851" w:footer="992" w:gutter="0"/>
          <w:cols w:space="720" w:num="1"/>
          <w:docGrid w:type="lines" w:linePitch="312" w:charSpace="0"/>
        </w:sectPr>
      </w:pPr>
    </w:p>
    <w:p w14:paraId="00056690">
      <w:pPr>
        <w:jc w:val="center"/>
        <w:rPr>
          <w:b/>
          <w:bCs/>
          <w:color w:val="000000"/>
        </w:rPr>
      </w:pPr>
      <w:r>
        <w:rPr>
          <w:rFonts w:hint="eastAsia"/>
          <w:b/>
          <w:bCs/>
          <w:color w:val="000000"/>
        </w:rPr>
        <w:t>表4-17  室内</w:t>
      </w:r>
      <w:r>
        <w:rPr>
          <w:b/>
          <w:bCs/>
          <w:color w:val="000000"/>
        </w:rPr>
        <w:t>噪声源强调查清单</w:t>
      </w:r>
    </w:p>
    <w:tbl>
      <w:tblPr>
        <w:tblStyle w:val="16"/>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57" w:type="dxa"/>
          <w:bottom w:w="0" w:type="dxa"/>
          <w:right w:w="57" w:type="dxa"/>
        </w:tblCellMar>
      </w:tblPr>
      <w:tblGrid>
        <w:gridCol w:w="489"/>
        <w:gridCol w:w="1304"/>
        <w:gridCol w:w="510"/>
        <w:gridCol w:w="882"/>
        <w:gridCol w:w="983"/>
        <w:gridCol w:w="608"/>
        <w:gridCol w:w="580"/>
        <w:gridCol w:w="445"/>
        <w:gridCol w:w="490"/>
        <w:gridCol w:w="490"/>
        <w:gridCol w:w="490"/>
        <w:gridCol w:w="504"/>
        <w:gridCol w:w="606"/>
        <w:gridCol w:w="606"/>
        <w:gridCol w:w="606"/>
        <w:gridCol w:w="620"/>
        <w:gridCol w:w="628"/>
        <w:gridCol w:w="1152"/>
        <w:gridCol w:w="530"/>
        <w:gridCol w:w="504"/>
        <w:gridCol w:w="504"/>
        <w:gridCol w:w="535"/>
      </w:tblGrid>
      <w:tr w14:paraId="1450E0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blHeader/>
        </w:trPr>
        <w:tc>
          <w:tcPr>
            <w:tcW w:w="174" w:type="pct"/>
            <w:vMerge w:val="restart"/>
            <w:noWrap/>
            <w:vAlign w:val="center"/>
          </w:tcPr>
          <w:p w14:paraId="2F4647D2">
            <w:pPr>
              <w:widowControl/>
              <w:jc w:val="center"/>
              <w:textAlignment w:val="center"/>
              <w:rPr>
                <w:b/>
                <w:bCs/>
                <w:color w:val="000000"/>
                <w:sz w:val="18"/>
                <w:szCs w:val="18"/>
              </w:rPr>
            </w:pPr>
            <w:r>
              <w:rPr>
                <w:b/>
                <w:bCs/>
                <w:color w:val="000000"/>
                <w:kern w:val="0"/>
                <w:sz w:val="18"/>
                <w:szCs w:val="18"/>
                <w:lang w:bidi="ar"/>
              </w:rPr>
              <w:t>序号</w:t>
            </w:r>
          </w:p>
        </w:tc>
        <w:tc>
          <w:tcPr>
            <w:tcW w:w="463" w:type="pct"/>
            <w:vMerge w:val="restart"/>
            <w:noWrap/>
            <w:vAlign w:val="center"/>
          </w:tcPr>
          <w:p w14:paraId="16F6D17E">
            <w:pPr>
              <w:widowControl/>
              <w:jc w:val="center"/>
              <w:textAlignment w:val="center"/>
              <w:rPr>
                <w:b/>
                <w:bCs/>
                <w:color w:val="000000"/>
                <w:sz w:val="18"/>
                <w:szCs w:val="18"/>
              </w:rPr>
            </w:pPr>
            <w:r>
              <w:rPr>
                <w:b/>
                <w:bCs/>
                <w:color w:val="000000"/>
                <w:kern w:val="0"/>
                <w:sz w:val="18"/>
                <w:szCs w:val="18"/>
                <w:lang w:bidi="ar"/>
              </w:rPr>
              <w:t>声源名称</w:t>
            </w:r>
          </w:p>
        </w:tc>
        <w:tc>
          <w:tcPr>
            <w:tcW w:w="181" w:type="pct"/>
            <w:vMerge w:val="restart"/>
            <w:noWrap/>
            <w:vAlign w:val="center"/>
          </w:tcPr>
          <w:p w14:paraId="3F3DB729">
            <w:pPr>
              <w:widowControl/>
              <w:jc w:val="center"/>
              <w:textAlignment w:val="center"/>
              <w:rPr>
                <w:b/>
                <w:bCs/>
                <w:color w:val="000000"/>
                <w:sz w:val="18"/>
                <w:szCs w:val="18"/>
              </w:rPr>
            </w:pPr>
            <w:r>
              <w:rPr>
                <w:b/>
                <w:bCs/>
                <w:color w:val="000000"/>
                <w:kern w:val="0"/>
                <w:sz w:val="18"/>
                <w:szCs w:val="18"/>
                <w:lang w:bidi="ar"/>
              </w:rPr>
              <w:t>型号</w:t>
            </w:r>
          </w:p>
        </w:tc>
        <w:tc>
          <w:tcPr>
            <w:tcW w:w="313" w:type="pct"/>
            <w:vMerge w:val="restart"/>
            <w:noWrap w:val="0"/>
            <w:vAlign w:val="center"/>
          </w:tcPr>
          <w:p w14:paraId="5A6D1304">
            <w:pPr>
              <w:widowControl/>
              <w:jc w:val="center"/>
              <w:textAlignment w:val="center"/>
              <w:rPr>
                <w:b/>
                <w:bCs/>
                <w:color w:val="000000"/>
                <w:sz w:val="18"/>
                <w:szCs w:val="18"/>
              </w:rPr>
            </w:pPr>
            <w:r>
              <w:rPr>
                <w:b/>
                <w:bCs/>
                <w:color w:val="000000"/>
                <w:kern w:val="0"/>
                <w:sz w:val="18"/>
                <w:szCs w:val="18"/>
                <w:lang w:bidi="ar"/>
              </w:rPr>
              <w:t>声源源强</w:t>
            </w:r>
            <w:r>
              <w:rPr>
                <w:rFonts w:hint="eastAsia"/>
                <w:b/>
                <w:bCs/>
                <w:color w:val="000000"/>
                <w:kern w:val="0"/>
                <w:sz w:val="18"/>
                <w:szCs w:val="18"/>
                <w:lang w:bidi="ar"/>
              </w:rPr>
              <w:t>（声压级）</w:t>
            </w:r>
            <w:r>
              <w:rPr>
                <w:b/>
                <w:bCs/>
                <w:color w:val="000000"/>
                <w:kern w:val="0"/>
                <w:sz w:val="18"/>
                <w:szCs w:val="18"/>
                <w:lang w:bidi="ar"/>
              </w:rPr>
              <w:t>dB(A)</w:t>
            </w:r>
          </w:p>
        </w:tc>
        <w:tc>
          <w:tcPr>
            <w:tcW w:w="349" w:type="pct"/>
            <w:vMerge w:val="restart"/>
            <w:noWrap w:val="0"/>
            <w:vAlign w:val="center"/>
          </w:tcPr>
          <w:p w14:paraId="6822973A">
            <w:pPr>
              <w:widowControl/>
              <w:jc w:val="center"/>
              <w:textAlignment w:val="center"/>
              <w:rPr>
                <w:b/>
                <w:bCs/>
                <w:color w:val="000000"/>
                <w:kern w:val="0"/>
                <w:sz w:val="18"/>
                <w:szCs w:val="18"/>
                <w:lang w:bidi="ar"/>
              </w:rPr>
            </w:pPr>
            <w:r>
              <w:rPr>
                <w:b/>
                <w:bCs/>
                <w:color w:val="000000"/>
                <w:kern w:val="0"/>
                <w:sz w:val="18"/>
                <w:szCs w:val="18"/>
                <w:lang w:bidi="ar"/>
              </w:rPr>
              <w:t>声源控制</w:t>
            </w:r>
          </w:p>
          <w:p w14:paraId="5A8B3000">
            <w:pPr>
              <w:widowControl/>
              <w:jc w:val="center"/>
              <w:textAlignment w:val="center"/>
              <w:rPr>
                <w:b/>
                <w:bCs/>
                <w:color w:val="000000"/>
                <w:sz w:val="18"/>
                <w:szCs w:val="18"/>
              </w:rPr>
            </w:pPr>
            <w:r>
              <w:rPr>
                <w:b/>
                <w:bCs/>
                <w:color w:val="000000"/>
                <w:kern w:val="0"/>
                <w:sz w:val="18"/>
                <w:szCs w:val="18"/>
                <w:lang w:bidi="ar"/>
              </w:rPr>
              <w:t>措施</w:t>
            </w:r>
          </w:p>
        </w:tc>
        <w:tc>
          <w:tcPr>
            <w:tcW w:w="580" w:type="pct"/>
            <w:gridSpan w:val="3"/>
            <w:noWrap/>
            <w:vAlign w:val="center"/>
          </w:tcPr>
          <w:p w14:paraId="42800F27">
            <w:pPr>
              <w:widowControl/>
              <w:jc w:val="center"/>
              <w:textAlignment w:val="center"/>
              <w:rPr>
                <w:b/>
                <w:bCs/>
                <w:color w:val="000000"/>
                <w:sz w:val="18"/>
                <w:szCs w:val="18"/>
              </w:rPr>
            </w:pPr>
            <w:r>
              <w:rPr>
                <w:b/>
                <w:bCs/>
                <w:color w:val="000000"/>
                <w:kern w:val="0"/>
                <w:sz w:val="18"/>
                <w:szCs w:val="18"/>
                <w:lang w:bidi="ar"/>
              </w:rPr>
              <w:t>空间相对位置/m</w:t>
            </w:r>
          </w:p>
        </w:tc>
        <w:tc>
          <w:tcPr>
            <w:tcW w:w="701" w:type="pct"/>
            <w:gridSpan w:val="4"/>
            <w:noWrap/>
            <w:vAlign w:val="center"/>
          </w:tcPr>
          <w:p w14:paraId="368A983E">
            <w:pPr>
              <w:widowControl/>
              <w:jc w:val="center"/>
              <w:textAlignment w:val="center"/>
              <w:rPr>
                <w:b/>
                <w:bCs/>
                <w:color w:val="000000"/>
                <w:sz w:val="18"/>
                <w:szCs w:val="18"/>
              </w:rPr>
            </w:pPr>
            <w:r>
              <w:rPr>
                <w:b/>
                <w:bCs/>
                <w:color w:val="000000"/>
                <w:kern w:val="0"/>
                <w:sz w:val="18"/>
                <w:szCs w:val="18"/>
                <w:lang w:bidi="ar"/>
              </w:rPr>
              <w:t>距室内边界距离/m</w:t>
            </w:r>
          </w:p>
        </w:tc>
        <w:tc>
          <w:tcPr>
            <w:tcW w:w="865" w:type="pct"/>
            <w:gridSpan w:val="4"/>
            <w:noWrap/>
            <w:vAlign w:val="center"/>
          </w:tcPr>
          <w:p w14:paraId="6EC28FB0">
            <w:pPr>
              <w:widowControl/>
              <w:jc w:val="center"/>
              <w:textAlignment w:val="center"/>
              <w:rPr>
                <w:b/>
                <w:bCs/>
                <w:color w:val="000000"/>
                <w:sz w:val="18"/>
                <w:szCs w:val="18"/>
              </w:rPr>
            </w:pPr>
            <w:r>
              <w:rPr>
                <w:b/>
                <w:bCs/>
                <w:color w:val="000000"/>
                <w:kern w:val="0"/>
                <w:sz w:val="18"/>
                <w:szCs w:val="18"/>
                <w:lang w:bidi="ar"/>
              </w:rPr>
              <w:t>室内边界声级dB（A）</w:t>
            </w:r>
          </w:p>
        </w:tc>
        <w:tc>
          <w:tcPr>
            <w:tcW w:w="223" w:type="pct"/>
            <w:vMerge w:val="restart"/>
            <w:noWrap w:val="0"/>
            <w:vAlign w:val="center"/>
          </w:tcPr>
          <w:p w14:paraId="075C0BE7">
            <w:pPr>
              <w:widowControl/>
              <w:jc w:val="center"/>
              <w:textAlignment w:val="center"/>
              <w:rPr>
                <w:b/>
                <w:bCs/>
                <w:color w:val="000000"/>
                <w:kern w:val="0"/>
                <w:sz w:val="18"/>
                <w:szCs w:val="18"/>
                <w:lang w:bidi="ar"/>
              </w:rPr>
            </w:pPr>
            <w:r>
              <w:rPr>
                <w:b/>
                <w:bCs/>
                <w:color w:val="000000"/>
                <w:kern w:val="0"/>
                <w:sz w:val="18"/>
                <w:szCs w:val="18"/>
                <w:lang w:bidi="ar"/>
              </w:rPr>
              <w:t>运行</w:t>
            </w:r>
          </w:p>
          <w:p w14:paraId="22B1F2FA">
            <w:pPr>
              <w:widowControl/>
              <w:jc w:val="center"/>
              <w:textAlignment w:val="center"/>
              <w:rPr>
                <w:b/>
                <w:bCs/>
                <w:color w:val="000000"/>
                <w:sz w:val="18"/>
                <w:szCs w:val="18"/>
              </w:rPr>
            </w:pPr>
            <w:r>
              <w:rPr>
                <w:b/>
                <w:bCs/>
                <w:color w:val="000000"/>
                <w:kern w:val="0"/>
                <w:sz w:val="18"/>
                <w:szCs w:val="18"/>
                <w:lang w:bidi="ar"/>
              </w:rPr>
              <w:t>时段</w:t>
            </w:r>
          </w:p>
        </w:tc>
        <w:tc>
          <w:tcPr>
            <w:tcW w:w="409" w:type="pct"/>
            <w:vMerge w:val="restart"/>
            <w:noWrap w:val="0"/>
            <w:vAlign w:val="center"/>
          </w:tcPr>
          <w:p w14:paraId="661F42AE">
            <w:pPr>
              <w:widowControl/>
              <w:jc w:val="center"/>
              <w:textAlignment w:val="center"/>
              <w:rPr>
                <w:b/>
                <w:bCs/>
                <w:color w:val="000000"/>
                <w:sz w:val="18"/>
                <w:szCs w:val="18"/>
              </w:rPr>
            </w:pPr>
            <w:r>
              <w:rPr>
                <w:b/>
                <w:bCs/>
                <w:color w:val="000000"/>
                <w:kern w:val="0"/>
                <w:sz w:val="18"/>
                <w:szCs w:val="18"/>
                <w:lang w:bidi="ar"/>
              </w:rPr>
              <w:t>建筑物插入损失dB（A）</w:t>
            </w:r>
          </w:p>
        </w:tc>
        <w:tc>
          <w:tcPr>
            <w:tcW w:w="736" w:type="pct"/>
            <w:gridSpan w:val="4"/>
            <w:noWrap/>
            <w:vAlign w:val="center"/>
          </w:tcPr>
          <w:p w14:paraId="04C0C604">
            <w:pPr>
              <w:widowControl/>
              <w:jc w:val="center"/>
              <w:textAlignment w:val="center"/>
              <w:rPr>
                <w:b/>
                <w:bCs/>
                <w:color w:val="000000"/>
                <w:sz w:val="18"/>
                <w:szCs w:val="18"/>
              </w:rPr>
            </w:pPr>
            <w:r>
              <w:rPr>
                <w:b/>
                <w:bCs/>
                <w:color w:val="000000"/>
                <w:kern w:val="0"/>
                <w:sz w:val="18"/>
                <w:szCs w:val="18"/>
                <w:lang w:bidi="ar"/>
              </w:rPr>
              <w:t>建筑物外噪声/dB（A）</w:t>
            </w:r>
          </w:p>
        </w:tc>
      </w:tr>
      <w:tr w14:paraId="314958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blHeader/>
        </w:trPr>
        <w:tc>
          <w:tcPr>
            <w:tcW w:w="174" w:type="pct"/>
            <w:vMerge w:val="continue"/>
            <w:noWrap/>
            <w:vAlign w:val="center"/>
          </w:tcPr>
          <w:p w14:paraId="7DF2C3CD">
            <w:pPr>
              <w:jc w:val="center"/>
              <w:rPr>
                <w:b/>
                <w:bCs/>
                <w:color w:val="000000"/>
                <w:sz w:val="18"/>
                <w:szCs w:val="18"/>
              </w:rPr>
            </w:pPr>
          </w:p>
        </w:tc>
        <w:tc>
          <w:tcPr>
            <w:tcW w:w="463" w:type="pct"/>
            <w:vMerge w:val="continue"/>
            <w:noWrap/>
            <w:vAlign w:val="center"/>
          </w:tcPr>
          <w:p w14:paraId="05D4CA9F">
            <w:pPr>
              <w:jc w:val="center"/>
              <w:rPr>
                <w:b/>
                <w:bCs/>
                <w:color w:val="000000"/>
                <w:sz w:val="18"/>
                <w:szCs w:val="18"/>
              </w:rPr>
            </w:pPr>
          </w:p>
        </w:tc>
        <w:tc>
          <w:tcPr>
            <w:tcW w:w="181" w:type="pct"/>
            <w:vMerge w:val="continue"/>
            <w:noWrap/>
            <w:vAlign w:val="center"/>
          </w:tcPr>
          <w:p w14:paraId="61FEB5AD">
            <w:pPr>
              <w:jc w:val="center"/>
              <w:rPr>
                <w:b/>
                <w:bCs/>
                <w:color w:val="000000"/>
                <w:sz w:val="18"/>
                <w:szCs w:val="18"/>
              </w:rPr>
            </w:pPr>
          </w:p>
        </w:tc>
        <w:tc>
          <w:tcPr>
            <w:tcW w:w="313" w:type="pct"/>
            <w:vMerge w:val="continue"/>
            <w:noWrap w:val="0"/>
            <w:vAlign w:val="center"/>
          </w:tcPr>
          <w:p w14:paraId="088B7D4F">
            <w:pPr>
              <w:jc w:val="center"/>
              <w:rPr>
                <w:b/>
                <w:bCs/>
                <w:color w:val="000000"/>
                <w:sz w:val="18"/>
                <w:szCs w:val="18"/>
              </w:rPr>
            </w:pPr>
          </w:p>
        </w:tc>
        <w:tc>
          <w:tcPr>
            <w:tcW w:w="349" w:type="pct"/>
            <w:vMerge w:val="continue"/>
            <w:noWrap/>
            <w:vAlign w:val="center"/>
          </w:tcPr>
          <w:p w14:paraId="3CA23D29">
            <w:pPr>
              <w:rPr>
                <w:b/>
                <w:bCs/>
                <w:color w:val="000000"/>
                <w:sz w:val="18"/>
                <w:szCs w:val="18"/>
              </w:rPr>
            </w:pPr>
          </w:p>
        </w:tc>
        <w:tc>
          <w:tcPr>
            <w:tcW w:w="216" w:type="pct"/>
            <w:noWrap/>
            <w:vAlign w:val="center"/>
          </w:tcPr>
          <w:p w14:paraId="1BA1522A">
            <w:pPr>
              <w:widowControl/>
              <w:jc w:val="center"/>
              <w:textAlignment w:val="center"/>
              <w:rPr>
                <w:b/>
                <w:bCs/>
                <w:color w:val="000000"/>
                <w:sz w:val="18"/>
                <w:szCs w:val="18"/>
              </w:rPr>
            </w:pPr>
            <w:r>
              <w:rPr>
                <w:b/>
                <w:bCs/>
                <w:color w:val="000000"/>
                <w:kern w:val="0"/>
                <w:sz w:val="18"/>
                <w:szCs w:val="18"/>
                <w:lang w:bidi="ar"/>
              </w:rPr>
              <w:t>X</w:t>
            </w:r>
          </w:p>
        </w:tc>
        <w:tc>
          <w:tcPr>
            <w:tcW w:w="206" w:type="pct"/>
            <w:noWrap/>
            <w:vAlign w:val="center"/>
          </w:tcPr>
          <w:p w14:paraId="4C9BE12F">
            <w:pPr>
              <w:widowControl/>
              <w:jc w:val="center"/>
              <w:textAlignment w:val="center"/>
              <w:rPr>
                <w:b/>
                <w:bCs/>
                <w:color w:val="000000"/>
                <w:sz w:val="18"/>
                <w:szCs w:val="18"/>
              </w:rPr>
            </w:pPr>
            <w:r>
              <w:rPr>
                <w:b/>
                <w:bCs/>
                <w:color w:val="000000"/>
                <w:kern w:val="0"/>
                <w:sz w:val="18"/>
                <w:szCs w:val="18"/>
                <w:lang w:bidi="ar"/>
              </w:rPr>
              <w:t>Y</w:t>
            </w:r>
          </w:p>
        </w:tc>
        <w:tc>
          <w:tcPr>
            <w:tcW w:w="156" w:type="pct"/>
            <w:noWrap/>
            <w:vAlign w:val="center"/>
          </w:tcPr>
          <w:p w14:paraId="5C818424">
            <w:pPr>
              <w:widowControl/>
              <w:jc w:val="center"/>
              <w:textAlignment w:val="center"/>
              <w:rPr>
                <w:b/>
                <w:bCs/>
                <w:color w:val="000000"/>
                <w:sz w:val="18"/>
                <w:szCs w:val="18"/>
              </w:rPr>
            </w:pPr>
            <w:r>
              <w:rPr>
                <w:b/>
                <w:bCs/>
                <w:color w:val="000000"/>
                <w:kern w:val="0"/>
                <w:sz w:val="18"/>
                <w:szCs w:val="18"/>
                <w:lang w:bidi="ar"/>
              </w:rPr>
              <w:t>Z</w:t>
            </w:r>
          </w:p>
        </w:tc>
        <w:tc>
          <w:tcPr>
            <w:tcW w:w="174" w:type="pct"/>
            <w:noWrap/>
            <w:vAlign w:val="center"/>
          </w:tcPr>
          <w:p w14:paraId="1B33392A">
            <w:pPr>
              <w:widowControl/>
              <w:jc w:val="center"/>
              <w:textAlignment w:val="center"/>
              <w:rPr>
                <w:b/>
                <w:bCs/>
                <w:color w:val="000000"/>
                <w:sz w:val="18"/>
                <w:szCs w:val="18"/>
              </w:rPr>
            </w:pPr>
            <w:r>
              <w:rPr>
                <w:b/>
                <w:bCs/>
                <w:color w:val="000000"/>
                <w:kern w:val="0"/>
                <w:sz w:val="18"/>
                <w:szCs w:val="18"/>
                <w:lang w:bidi="ar"/>
              </w:rPr>
              <w:t>东</w:t>
            </w:r>
          </w:p>
        </w:tc>
        <w:tc>
          <w:tcPr>
            <w:tcW w:w="174" w:type="pct"/>
            <w:noWrap/>
            <w:vAlign w:val="center"/>
          </w:tcPr>
          <w:p w14:paraId="49C3AB73">
            <w:pPr>
              <w:widowControl/>
              <w:jc w:val="center"/>
              <w:textAlignment w:val="center"/>
              <w:rPr>
                <w:b/>
                <w:bCs/>
                <w:color w:val="000000"/>
                <w:sz w:val="18"/>
                <w:szCs w:val="18"/>
              </w:rPr>
            </w:pPr>
            <w:r>
              <w:rPr>
                <w:b/>
                <w:bCs/>
                <w:color w:val="000000"/>
                <w:kern w:val="0"/>
                <w:sz w:val="18"/>
                <w:szCs w:val="18"/>
                <w:lang w:bidi="ar"/>
              </w:rPr>
              <w:t>南</w:t>
            </w:r>
          </w:p>
        </w:tc>
        <w:tc>
          <w:tcPr>
            <w:tcW w:w="174" w:type="pct"/>
            <w:noWrap/>
            <w:vAlign w:val="center"/>
          </w:tcPr>
          <w:p w14:paraId="36E84EB3">
            <w:pPr>
              <w:widowControl/>
              <w:jc w:val="center"/>
              <w:textAlignment w:val="center"/>
              <w:rPr>
                <w:b/>
                <w:bCs/>
                <w:color w:val="000000"/>
                <w:sz w:val="18"/>
                <w:szCs w:val="18"/>
              </w:rPr>
            </w:pPr>
            <w:r>
              <w:rPr>
                <w:b/>
                <w:bCs/>
                <w:color w:val="000000"/>
                <w:kern w:val="0"/>
                <w:sz w:val="18"/>
                <w:szCs w:val="18"/>
                <w:lang w:bidi="ar"/>
              </w:rPr>
              <w:t>西</w:t>
            </w:r>
          </w:p>
        </w:tc>
        <w:tc>
          <w:tcPr>
            <w:tcW w:w="177" w:type="pct"/>
            <w:noWrap/>
            <w:vAlign w:val="center"/>
          </w:tcPr>
          <w:p w14:paraId="74256889">
            <w:pPr>
              <w:widowControl/>
              <w:jc w:val="center"/>
              <w:textAlignment w:val="center"/>
              <w:rPr>
                <w:b/>
                <w:bCs/>
                <w:color w:val="000000"/>
                <w:sz w:val="18"/>
                <w:szCs w:val="18"/>
              </w:rPr>
            </w:pPr>
            <w:r>
              <w:rPr>
                <w:b/>
                <w:bCs/>
                <w:color w:val="000000"/>
                <w:kern w:val="0"/>
                <w:sz w:val="18"/>
                <w:szCs w:val="18"/>
                <w:lang w:bidi="ar"/>
              </w:rPr>
              <w:t>北</w:t>
            </w:r>
          </w:p>
        </w:tc>
        <w:tc>
          <w:tcPr>
            <w:tcW w:w="215" w:type="pct"/>
            <w:noWrap/>
            <w:vAlign w:val="center"/>
          </w:tcPr>
          <w:p w14:paraId="7FCA0477">
            <w:pPr>
              <w:widowControl/>
              <w:jc w:val="center"/>
              <w:textAlignment w:val="center"/>
              <w:rPr>
                <w:b/>
                <w:bCs/>
                <w:color w:val="000000"/>
                <w:sz w:val="18"/>
                <w:szCs w:val="18"/>
              </w:rPr>
            </w:pPr>
            <w:r>
              <w:rPr>
                <w:b/>
                <w:bCs/>
                <w:color w:val="000000"/>
                <w:kern w:val="0"/>
                <w:sz w:val="18"/>
                <w:szCs w:val="18"/>
                <w:lang w:bidi="ar"/>
              </w:rPr>
              <w:t>东</w:t>
            </w:r>
          </w:p>
        </w:tc>
        <w:tc>
          <w:tcPr>
            <w:tcW w:w="215" w:type="pct"/>
            <w:noWrap/>
            <w:vAlign w:val="center"/>
          </w:tcPr>
          <w:p w14:paraId="4450A4CB">
            <w:pPr>
              <w:widowControl/>
              <w:jc w:val="center"/>
              <w:textAlignment w:val="center"/>
              <w:rPr>
                <w:b/>
                <w:bCs/>
                <w:color w:val="000000"/>
                <w:sz w:val="18"/>
                <w:szCs w:val="18"/>
              </w:rPr>
            </w:pPr>
            <w:r>
              <w:rPr>
                <w:b/>
                <w:bCs/>
                <w:color w:val="000000"/>
                <w:kern w:val="0"/>
                <w:sz w:val="18"/>
                <w:szCs w:val="18"/>
                <w:lang w:bidi="ar"/>
              </w:rPr>
              <w:t>南</w:t>
            </w:r>
          </w:p>
        </w:tc>
        <w:tc>
          <w:tcPr>
            <w:tcW w:w="215" w:type="pct"/>
            <w:noWrap/>
            <w:vAlign w:val="center"/>
          </w:tcPr>
          <w:p w14:paraId="709D4A4E">
            <w:pPr>
              <w:widowControl/>
              <w:jc w:val="center"/>
              <w:textAlignment w:val="center"/>
              <w:rPr>
                <w:b/>
                <w:bCs/>
                <w:color w:val="000000"/>
                <w:sz w:val="18"/>
                <w:szCs w:val="18"/>
              </w:rPr>
            </w:pPr>
            <w:r>
              <w:rPr>
                <w:b/>
                <w:bCs/>
                <w:color w:val="000000"/>
                <w:kern w:val="0"/>
                <w:sz w:val="18"/>
                <w:szCs w:val="18"/>
                <w:lang w:bidi="ar"/>
              </w:rPr>
              <w:t>西</w:t>
            </w:r>
          </w:p>
        </w:tc>
        <w:tc>
          <w:tcPr>
            <w:tcW w:w="218" w:type="pct"/>
            <w:noWrap/>
            <w:vAlign w:val="center"/>
          </w:tcPr>
          <w:p w14:paraId="2F60B532">
            <w:pPr>
              <w:widowControl/>
              <w:jc w:val="center"/>
              <w:textAlignment w:val="center"/>
              <w:rPr>
                <w:b/>
                <w:bCs/>
                <w:color w:val="000000"/>
                <w:sz w:val="18"/>
                <w:szCs w:val="18"/>
              </w:rPr>
            </w:pPr>
            <w:r>
              <w:rPr>
                <w:b/>
                <w:bCs/>
                <w:color w:val="000000"/>
                <w:kern w:val="0"/>
                <w:sz w:val="18"/>
                <w:szCs w:val="18"/>
                <w:lang w:bidi="ar"/>
              </w:rPr>
              <w:t>北</w:t>
            </w:r>
          </w:p>
        </w:tc>
        <w:tc>
          <w:tcPr>
            <w:tcW w:w="223" w:type="pct"/>
            <w:vMerge w:val="continue"/>
            <w:noWrap/>
            <w:vAlign w:val="center"/>
          </w:tcPr>
          <w:p w14:paraId="0D6B3236">
            <w:pPr>
              <w:rPr>
                <w:b/>
                <w:bCs/>
                <w:color w:val="000000"/>
                <w:sz w:val="18"/>
                <w:szCs w:val="18"/>
              </w:rPr>
            </w:pPr>
          </w:p>
        </w:tc>
        <w:tc>
          <w:tcPr>
            <w:tcW w:w="409" w:type="pct"/>
            <w:vMerge w:val="continue"/>
            <w:noWrap w:val="0"/>
            <w:vAlign w:val="center"/>
          </w:tcPr>
          <w:p w14:paraId="41C06FC4">
            <w:pPr>
              <w:jc w:val="center"/>
              <w:rPr>
                <w:b/>
                <w:bCs/>
                <w:color w:val="000000"/>
                <w:sz w:val="18"/>
                <w:szCs w:val="18"/>
              </w:rPr>
            </w:pPr>
          </w:p>
        </w:tc>
        <w:tc>
          <w:tcPr>
            <w:tcW w:w="188" w:type="pct"/>
            <w:noWrap/>
            <w:vAlign w:val="center"/>
          </w:tcPr>
          <w:p w14:paraId="71431C23">
            <w:pPr>
              <w:widowControl/>
              <w:jc w:val="center"/>
              <w:textAlignment w:val="center"/>
              <w:rPr>
                <w:b/>
                <w:bCs/>
                <w:color w:val="000000"/>
                <w:sz w:val="18"/>
                <w:szCs w:val="18"/>
              </w:rPr>
            </w:pPr>
            <w:r>
              <w:rPr>
                <w:b/>
                <w:bCs/>
                <w:color w:val="000000"/>
                <w:kern w:val="0"/>
                <w:sz w:val="18"/>
                <w:szCs w:val="18"/>
                <w:lang w:bidi="ar"/>
              </w:rPr>
              <w:t>东</w:t>
            </w:r>
          </w:p>
        </w:tc>
        <w:tc>
          <w:tcPr>
            <w:tcW w:w="179" w:type="pct"/>
            <w:noWrap/>
            <w:vAlign w:val="center"/>
          </w:tcPr>
          <w:p w14:paraId="4D09BFC2">
            <w:pPr>
              <w:widowControl/>
              <w:jc w:val="center"/>
              <w:textAlignment w:val="center"/>
              <w:rPr>
                <w:b/>
                <w:bCs/>
                <w:color w:val="000000"/>
                <w:sz w:val="18"/>
                <w:szCs w:val="18"/>
              </w:rPr>
            </w:pPr>
            <w:r>
              <w:rPr>
                <w:b/>
                <w:bCs/>
                <w:color w:val="000000"/>
                <w:kern w:val="0"/>
                <w:sz w:val="18"/>
                <w:szCs w:val="18"/>
                <w:lang w:bidi="ar"/>
              </w:rPr>
              <w:t>南</w:t>
            </w:r>
          </w:p>
        </w:tc>
        <w:tc>
          <w:tcPr>
            <w:tcW w:w="179" w:type="pct"/>
            <w:noWrap/>
            <w:vAlign w:val="center"/>
          </w:tcPr>
          <w:p w14:paraId="0388C23E">
            <w:pPr>
              <w:widowControl/>
              <w:jc w:val="center"/>
              <w:textAlignment w:val="center"/>
              <w:rPr>
                <w:b/>
                <w:bCs/>
                <w:color w:val="000000"/>
                <w:sz w:val="18"/>
                <w:szCs w:val="18"/>
              </w:rPr>
            </w:pPr>
            <w:r>
              <w:rPr>
                <w:b/>
                <w:bCs/>
                <w:color w:val="000000"/>
                <w:kern w:val="0"/>
                <w:sz w:val="18"/>
                <w:szCs w:val="18"/>
                <w:lang w:bidi="ar"/>
              </w:rPr>
              <w:t>西</w:t>
            </w:r>
          </w:p>
        </w:tc>
        <w:tc>
          <w:tcPr>
            <w:tcW w:w="189" w:type="pct"/>
            <w:noWrap/>
            <w:vAlign w:val="center"/>
          </w:tcPr>
          <w:p w14:paraId="61F4A8B0">
            <w:pPr>
              <w:widowControl/>
              <w:jc w:val="center"/>
              <w:textAlignment w:val="center"/>
              <w:rPr>
                <w:b/>
                <w:bCs/>
                <w:color w:val="000000"/>
                <w:sz w:val="18"/>
                <w:szCs w:val="18"/>
              </w:rPr>
            </w:pPr>
            <w:r>
              <w:rPr>
                <w:b/>
                <w:bCs/>
                <w:color w:val="000000"/>
                <w:kern w:val="0"/>
                <w:sz w:val="18"/>
                <w:szCs w:val="18"/>
                <w:lang w:bidi="ar"/>
              </w:rPr>
              <w:t>北</w:t>
            </w:r>
          </w:p>
        </w:tc>
      </w:tr>
      <w:tr w14:paraId="43ADAB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89BF192">
            <w:pPr>
              <w:widowControl/>
              <w:jc w:val="center"/>
              <w:textAlignment w:val="center"/>
              <w:rPr>
                <w:color w:val="000000"/>
                <w:sz w:val="18"/>
                <w:szCs w:val="18"/>
              </w:rPr>
            </w:pPr>
            <w:r>
              <w:rPr>
                <w:color w:val="000000"/>
                <w:kern w:val="0"/>
                <w:sz w:val="18"/>
                <w:szCs w:val="18"/>
                <w:lang w:bidi="ar"/>
              </w:rPr>
              <w:t>1</w:t>
            </w:r>
          </w:p>
        </w:tc>
        <w:tc>
          <w:tcPr>
            <w:tcW w:w="463" w:type="pct"/>
            <w:noWrap w:val="0"/>
            <w:vAlign w:val="center"/>
          </w:tcPr>
          <w:p w14:paraId="73D4D1B5">
            <w:pPr>
              <w:widowControl/>
              <w:jc w:val="center"/>
              <w:textAlignment w:val="center"/>
              <w:rPr>
                <w:color w:val="000000"/>
                <w:sz w:val="18"/>
                <w:szCs w:val="18"/>
              </w:rPr>
            </w:pPr>
            <w:r>
              <w:rPr>
                <w:color w:val="000000"/>
                <w:sz w:val="18"/>
                <w:szCs w:val="18"/>
              </w:rPr>
              <w:t>配料机</w:t>
            </w:r>
            <w:r>
              <w:rPr>
                <w:rFonts w:hint="eastAsia"/>
                <w:color w:val="000000"/>
                <w:sz w:val="18"/>
                <w:szCs w:val="18"/>
              </w:rPr>
              <w:t>1#</w:t>
            </w:r>
          </w:p>
        </w:tc>
        <w:tc>
          <w:tcPr>
            <w:tcW w:w="181" w:type="pct"/>
            <w:noWrap w:val="0"/>
            <w:vAlign w:val="center"/>
          </w:tcPr>
          <w:p w14:paraId="733A1652">
            <w:pPr>
              <w:widowControl/>
              <w:jc w:val="center"/>
              <w:textAlignment w:val="center"/>
              <w:rPr>
                <w:rFonts w:hint="eastAsia"/>
                <w:color w:val="000000"/>
                <w:sz w:val="18"/>
                <w:szCs w:val="18"/>
              </w:rPr>
            </w:pPr>
            <w:r>
              <w:rPr>
                <w:rFonts w:hint="eastAsia"/>
                <w:color w:val="000000"/>
                <w:sz w:val="18"/>
                <w:szCs w:val="18"/>
              </w:rPr>
              <w:t>/</w:t>
            </w:r>
          </w:p>
        </w:tc>
        <w:tc>
          <w:tcPr>
            <w:tcW w:w="313" w:type="pct"/>
            <w:noWrap w:val="0"/>
            <w:vAlign w:val="center"/>
          </w:tcPr>
          <w:p w14:paraId="3CEE1409">
            <w:pPr>
              <w:widowControl/>
              <w:jc w:val="center"/>
              <w:textAlignment w:val="center"/>
              <w:rPr>
                <w:color w:val="000000"/>
                <w:sz w:val="18"/>
                <w:szCs w:val="18"/>
              </w:rPr>
            </w:pPr>
            <w:r>
              <w:rPr>
                <w:rFonts w:hint="eastAsia"/>
                <w:color w:val="000000"/>
                <w:sz w:val="18"/>
                <w:szCs w:val="18"/>
              </w:rPr>
              <w:t>75</w:t>
            </w:r>
          </w:p>
        </w:tc>
        <w:tc>
          <w:tcPr>
            <w:tcW w:w="349" w:type="pct"/>
            <w:noWrap w:val="0"/>
            <w:vAlign w:val="center"/>
          </w:tcPr>
          <w:p w14:paraId="41E93BF0">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8FFEF4E">
            <w:pPr>
              <w:widowControl/>
              <w:jc w:val="center"/>
              <w:textAlignment w:val="center"/>
              <w:rPr>
                <w:color w:val="000000"/>
                <w:sz w:val="18"/>
                <w:szCs w:val="18"/>
              </w:rPr>
            </w:pPr>
            <w:r>
              <w:rPr>
                <w:rFonts w:hint="eastAsia"/>
                <w:color w:val="000000"/>
                <w:sz w:val="18"/>
                <w:szCs w:val="18"/>
              </w:rPr>
              <w:t>36</w:t>
            </w:r>
          </w:p>
        </w:tc>
        <w:tc>
          <w:tcPr>
            <w:tcW w:w="206" w:type="pct"/>
            <w:noWrap w:val="0"/>
            <w:vAlign w:val="center"/>
          </w:tcPr>
          <w:p w14:paraId="257FE20D">
            <w:pPr>
              <w:widowControl/>
              <w:jc w:val="center"/>
              <w:textAlignment w:val="center"/>
              <w:rPr>
                <w:color w:val="000000"/>
                <w:sz w:val="18"/>
                <w:szCs w:val="18"/>
              </w:rPr>
            </w:pPr>
            <w:r>
              <w:rPr>
                <w:rFonts w:hint="eastAsia"/>
                <w:color w:val="000000"/>
                <w:sz w:val="18"/>
                <w:szCs w:val="18"/>
              </w:rPr>
              <w:t>78</w:t>
            </w:r>
          </w:p>
        </w:tc>
        <w:tc>
          <w:tcPr>
            <w:tcW w:w="156" w:type="pct"/>
            <w:noWrap w:val="0"/>
            <w:vAlign w:val="center"/>
          </w:tcPr>
          <w:p w14:paraId="6815D4F2">
            <w:pPr>
              <w:widowControl/>
              <w:jc w:val="center"/>
              <w:textAlignment w:val="center"/>
              <w:rPr>
                <w:color w:val="000000"/>
                <w:sz w:val="18"/>
                <w:szCs w:val="18"/>
              </w:rPr>
            </w:pPr>
            <w:r>
              <w:rPr>
                <w:rFonts w:hint="eastAsia"/>
                <w:color w:val="000000"/>
                <w:sz w:val="18"/>
                <w:szCs w:val="18"/>
              </w:rPr>
              <w:t>3</w:t>
            </w:r>
          </w:p>
        </w:tc>
        <w:tc>
          <w:tcPr>
            <w:tcW w:w="174" w:type="pct"/>
            <w:noWrap w:val="0"/>
            <w:vAlign w:val="center"/>
          </w:tcPr>
          <w:p w14:paraId="400E4358">
            <w:pPr>
              <w:widowControl/>
              <w:jc w:val="center"/>
              <w:textAlignment w:val="center"/>
              <w:rPr>
                <w:color w:val="000000"/>
                <w:sz w:val="18"/>
                <w:szCs w:val="18"/>
              </w:rPr>
            </w:pPr>
            <w:r>
              <w:rPr>
                <w:color w:val="000000"/>
                <w:kern w:val="0"/>
                <w:sz w:val="18"/>
                <w:szCs w:val="18"/>
                <w:lang w:bidi="ar"/>
              </w:rPr>
              <w:t>78</w:t>
            </w:r>
          </w:p>
        </w:tc>
        <w:tc>
          <w:tcPr>
            <w:tcW w:w="174" w:type="pct"/>
            <w:noWrap w:val="0"/>
            <w:vAlign w:val="center"/>
          </w:tcPr>
          <w:p w14:paraId="7332200F">
            <w:pPr>
              <w:widowControl/>
              <w:jc w:val="center"/>
              <w:textAlignment w:val="center"/>
              <w:rPr>
                <w:color w:val="000000"/>
                <w:sz w:val="18"/>
                <w:szCs w:val="18"/>
              </w:rPr>
            </w:pPr>
            <w:r>
              <w:rPr>
                <w:color w:val="000000"/>
                <w:kern w:val="0"/>
                <w:sz w:val="18"/>
                <w:szCs w:val="18"/>
                <w:lang w:bidi="ar"/>
              </w:rPr>
              <w:t>44</w:t>
            </w:r>
          </w:p>
        </w:tc>
        <w:tc>
          <w:tcPr>
            <w:tcW w:w="174" w:type="pct"/>
            <w:noWrap w:val="0"/>
            <w:vAlign w:val="center"/>
          </w:tcPr>
          <w:p w14:paraId="534FA6DD">
            <w:pPr>
              <w:widowControl/>
              <w:jc w:val="center"/>
              <w:textAlignment w:val="center"/>
              <w:rPr>
                <w:color w:val="000000"/>
                <w:sz w:val="18"/>
                <w:szCs w:val="18"/>
              </w:rPr>
            </w:pPr>
            <w:r>
              <w:rPr>
                <w:color w:val="000000"/>
                <w:kern w:val="0"/>
                <w:sz w:val="18"/>
                <w:szCs w:val="18"/>
                <w:lang w:bidi="ar"/>
              </w:rPr>
              <w:t>35</w:t>
            </w:r>
          </w:p>
        </w:tc>
        <w:tc>
          <w:tcPr>
            <w:tcW w:w="177" w:type="pct"/>
            <w:noWrap w:val="0"/>
            <w:vAlign w:val="center"/>
          </w:tcPr>
          <w:p w14:paraId="6ADCD03E">
            <w:pPr>
              <w:widowControl/>
              <w:jc w:val="center"/>
              <w:textAlignment w:val="center"/>
              <w:rPr>
                <w:color w:val="000000"/>
                <w:sz w:val="18"/>
                <w:szCs w:val="18"/>
              </w:rPr>
            </w:pPr>
            <w:r>
              <w:rPr>
                <w:color w:val="000000"/>
                <w:kern w:val="0"/>
                <w:sz w:val="18"/>
                <w:szCs w:val="18"/>
                <w:lang w:bidi="ar"/>
              </w:rPr>
              <w:t>31</w:t>
            </w:r>
          </w:p>
        </w:tc>
        <w:tc>
          <w:tcPr>
            <w:tcW w:w="215" w:type="pct"/>
            <w:noWrap w:val="0"/>
            <w:vAlign w:val="center"/>
          </w:tcPr>
          <w:p w14:paraId="15ACC83C">
            <w:pPr>
              <w:widowControl/>
              <w:jc w:val="center"/>
              <w:textAlignment w:val="center"/>
              <w:rPr>
                <w:color w:val="000000"/>
                <w:sz w:val="18"/>
                <w:szCs w:val="18"/>
              </w:rPr>
            </w:pPr>
            <w:r>
              <w:rPr>
                <w:color w:val="000000"/>
                <w:kern w:val="0"/>
                <w:sz w:val="18"/>
                <w:szCs w:val="18"/>
                <w:lang w:bidi="ar"/>
              </w:rPr>
              <w:t xml:space="preserve">65 </w:t>
            </w:r>
          </w:p>
        </w:tc>
        <w:tc>
          <w:tcPr>
            <w:tcW w:w="215" w:type="pct"/>
            <w:noWrap w:val="0"/>
            <w:vAlign w:val="center"/>
          </w:tcPr>
          <w:p w14:paraId="4F06CC0E">
            <w:pPr>
              <w:widowControl/>
              <w:jc w:val="center"/>
              <w:textAlignment w:val="center"/>
              <w:rPr>
                <w:color w:val="000000"/>
                <w:sz w:val="18"/>
                <w:szCs w:val="18"/>
              </w:rPr>
            </w:pPr>
            <w:r>
              <w:rPr>
                <w:color w:val="000000"/>
                <w:kern w:val="0"/>
                <w:sz w:val="18"/>
                <w:szCs w:val="18"/>
                <w:lang w:bidi="ar"/>
              </w:rPr>
              <w:t xml:space="preserve">65 </w:t>
            </w:r>
          </w:p>
        </w:tc>
        <w:tc>
          <w:tcPr>
            <w:tcW w:w="215" w:type="pct"/>
            <w:noWrap w:val="0"/>
            <w:vAlign w:val="center"/>
          </w:tcPr>
          <w:p w14:paraId="7E217769">
            <w:pPr>
              <w:widowControl/>
              <w:jc w:val="center"/>
              <w:textAlignment w:val="center"/>
              <w:rPr>
                <w:color w:val="000000"/>
                <w:sz w:val="18"/>
                <w:szCs w:val="18"/>
              </w:rPr>
            </w:pPr>
            <w:r>
              <w:rPr>
                <w:color w:val="000000"/>
                <w:kern w:val="0"/>
                <w:sz w:val="18"/>
                <w:szCs w:val="18"/>
                <w:lang w:bidi="ar"/>
              </w:rPr>
              <w:t xml:space="preserve">65 </w:t>
            </w:r>
          </w:p>
        </w:tc>
        <w:tc>
          <w:tcPr>
            <w:tcW w:w="218" w:type="pct"/>
            <w:noWrap w:val="0"/>
            <w:vAlign w:val="center"/>
          </w:tcPr>
          <w:p w14:paraId="627434E9">
            <w:pPr>
              <w:widowControl/>
              <w:jc w:val="center"/>
              <w:textAlignment w:val="center"/>
              <w:rPr>
                <w:color w:val="000000"/>
                <w:sz w:val="18"/>
                <w:szCs w:val="18"/>
              </w:rPr>
            </w:pPr>
            <w:r>
              <w:rPr>
                <w:color w:val="000000"/>
                <w:kern w:val="0"/>
                <w:sz w:val="18"/>
                <w:szCs w:val="18"/>
                <w:lang w:bidi="ar"/>
              </w:rPr>
              <w:t xml:space="preserve">65 </w:t>
            </w:r>
          </w:p>
        </w:tc>
        <w:tc>
          <w:tcPr>
            <w:tcW w:w="223" w:type="pct"/>
            <w:noWrap w:val="0"/>
            <w:vAlign w:val="center"/>
          </w:tcPr>
          <w:p w14:paraId="5553C0E1">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7103EA8">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1AA6282">
            <w:pPr>
              <w:widowControl/>
              <w:jc w:val="center"/>
              <w:textAlignment w:val="center"/>
              <w:rPr>
                <w:color w:val="000000"/>
                <w:sz w:val="18"/>
                <w:szCs w:val="18"/>
              </w:rPr>
            </w:pPr>
            <w:r>
              <w:rPr>
                <w:color w:val="000000"/>
                <w:kern w:val="0"/>
                <w:sz w:val="18"/>
                <w:szCs w:val="18"/>
                <w:lang w:bidi="ar"/>
              </w:rPr>
              <w:t xml:space="preserve">45 </w:t>
            </w:r>
          </w:p>
        </w:tc>
        <w:tc>
          <w:tcPr>
            <w:tcW w:w="179" w:type="pct"/>
            <w:noWrap w:val="0"/>
            <w:vAlign w:val="center"/>
          </w:tcPr>
          <w:p w14:paraId="58A69A21">
            <w:pPr>
              <w:widowControl/>
              <w:jc w:val="center"/>
              <w:textAlignment w:val="center"/>
              <w:rPr>
                <w:color w:val="000000"/>
                <w:sz w:val="18"/>
                <w:szCs w:val="18"/>
              </w:rPr>
            </w:pPr>
            <w:r>
              <w:rPr>
                <w:color w:val="000000"/>
                <w:kern w:val="0"/>
                <w:sz w:val="18"/>
                <w:szCs w:val="18"/>
                <w:lang w:bidi="ar"/>
              </w:rPr>
              <w:t xml:space="preserve">45 </w:t>
            </w:r>
          </w:p>
        </w:tc>
        <w:tc>
          <w:tcPr>
            <w:tcW w:w="179" w:type="pct"/>
            <w:noWrap w:val="0"/>
            <w:vAlign w:val="center"/>
          </w:tcPr>
          <w:p w14:paraId="288E8D2A">
            <w:pPr>
              <w:widowControl/>
              <w:jc w:val="center"/>
              <w:textAlignment w:val="center"/>
              <w:rPr>
                <w:color w:val="000000"/>
                <w:sz w:val="18"/>
                <w:szCs w:val="18"/>
              </w:rPr>
            </w:pPr>
            <w:r>
              <w:rPr>
                <w:color w:val="000000"/>
                <w:kern w:val="0"/>
                <w:sz w:val="18"/>
                <w:szCs w:val="18"/>
                <w:lang w:bidi="ar"/>
              </w:rPr>
              <w:t xml:space="preserve">45 </w:t>
            </w:r>
          </w:p>
        </w:tc>
        <w:tc>
          <w:tcPr>
            <w:tcW w:w="189" w:type="pct"/>
            <w:noWrap w:val="0"/>
            <w:vAlign w:val="center"/>
          </w:tcPr>
          <w:p w14:paraId="0E158EC0">
            <w:pPr>
              <w:widowControl/>
              <w:jc w:val="center"/>
              <w:textAlignment w:val="center"/>
              <w:rPr>
                <w:color w:val="000000"/>
                <w:sz w:val="18"/>
                <w:szCs w:val="18"/>
              </w:rPr>
            </w:pPr>
            <w:r>
              <w:rPr>
                <w:color w:val="000000"/>
                <w:kern w:val="0"/>
                <w:sz w:val="18"/>
                <w:szCs w:val="18"/>
                <w:lang w:bidi="ar"/>
              </w:rPr>
              <w:t xml:space="preserve">45 </w:t>
            </w:r>
          </w:p>
        </w:tc>
      </w:tr>
      <w:tr w14:paraId="6FD9C3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2399A031">
            <w:pPr>
              <w:widowControl/>
              <w:jc w:val="center"/>
              <w:textAlignment w:val="center"/>
              <w:rPr>
                <w:color w:val="000000"/>
                <w:sz w:val="18"/>
                <w:szCs w:val="18"/>
              </w:rPr>
            </w:pPr>
            <w:r>
              <w:rPr>
                <w:color w:val="000000"/>
                <w:kern w:val="0"/>
                <w:sz w:val="18"/>
                <w:szCs w:val="18"/>
                <w:lang w:bidi="ar"/>
              </w:rPr>
              <w:t>2</w:t>
            </w:r>
          </w:p>
        </w:tc>
        <w:tc>
          <w:tcPr>
            <w:tcW w:w="463" w:type="pct"/>
            <w:noWrap w:val="0"/>
            <w:vAlign w:val="center"/>
          </w:tcPr>
          <w:p w14:paraId="1033DB34">
            <w:pPr>
              <w:widowControl/>
              <w:jc w:val="center"/>
              <w:textAlignment w:val="center"/>
              <w:rPr>
                <w:color w:val="000000"/>
                <w:sz w:val="18"/>
                <w:szCs w:val="18"/>
              </w:rPr>
            </w:pPr>
            <w:r>
              <w:rPr>
                <w:color w:val="000000"/>
                <w:sz w:val="18"/>
                <w:szCs w:val="18"/>
              </w:rPr>
              <w:t>配料机</w:t>
            </w:r>
            <w:r>
              <w:rPr>
                <w:rFonts w:hint="eastAsia"/>
                <w:color w:val="000000"/>
                <w:sz w:val="18"/>
                <w:szCs w:val="18"/>
              </w:rPr>
              <w:t>2#</w:t>
            </w:r>
          </w:p>
        </w:tc>
        <w:tc>
          <w:tcPr>
            <w:tcW w:w="181" w:type="pct"/>
            <w:noWrap w:val="0"/>
            <w:vAlign w:val="center"/>
          </w:tcPr>
          <w:p w14:paraId="25A174D6">
            <w:pPr>
              <w:widowControl/>
              <w:jc w:val="center"/>
              <w:textAlignment w:val="center"/>
              <w:rPr>
                <w:rFonts w:hint="eastAsia"/>
                <w:color w:val="000000"/>
                <w:sz w:val="18"/>
                <w:szCs w:val="18"/>
              </w:rPr>
            </w:pPr>
            <w:r>
              <w:rPr>
                <w:rFonts w:hint="eastAsia"/>
                <w:color w:val="000000"/>
                <w:sz w:val="18"/>
                <w:szCs w:val="18"/>
              </w:rPr>
              <w:t>/</w:t>
            </w:r>
          </w:p>
        </w:tc>
        <w:tc>
          <w:tcPr>
            <w:tcW w:w="313" w:type="pct"/>
            <w:noWrap w:val="0"/>
            <w:vAlign w:val="center"/>
          </w:tcPr>
          <w:p w14:paraId="2A0BB8A9">
            <w:pPr>
              <w:widowControl/>
              <w:jc w:val="center"/>
              <w:textAlignment w:val="center"/>
              <w:rPr>
                <w:color w:val="000000"/>
                <w:sz w:val="18"/>
                <w:szCs w:val="18"/>
              </w:rPr>
            </w:pPr>
            <w:r>
              <w:rPr>
                <w:rFonts w:hint="eastAsia"/>
                <w:color w:val="000000"/>
                <w:sz w:val="18"/>
                <w:szCs w:val="18"/>
              </w:rPr>
              <w:t>75</w:t>
            </w:r>
          </w:p>
        </w:tc>
        <w:tc>
          <w:tcPr>
            <w:tcW w:w="349" w:type="pct"/>
            <w:noWrap w:val="0"/>
            <w:vAlign w:val="center"/>
          </w:tcPr>
          <w:p w14:paraId="6CAA6CAC">
            <w:pPr>
              <w:widowControl/>
              <w:jc w:val="center"/>
              <w:textAlignment w:val="center"/>
              <w:rPr>
                <w:rFonts w:hint="eastAsia"/>
                <w:color w:val="000000"/>
                <w:sz w:val="18"/>
                <w:szCs w:val="18"/>
              </w:rPr>
            </w:pPr>
            <w:r>
              <w:rPr>
                <w:rFonts w:hint="eastAsia"/>
                <w:color w:val="000000"/>
                <w:sz w:val="18"/>
                <w:szCs w:val="18"/>
              </w:rPr>
              <w:t>厂房隔声</w:t>
            </w:r>
          </w:p>
        </w:tc>
        <w:tc>
          <w:tcPr>
            <w:tcW w:w="216" w:type="pct"/>
            <w:noWrap w:val="0"/>
            <w:vAlign w:val="center"/>
          </w:tcPr>
          <w:p w14:paraId="10EC8BD1">
            <w:pPr>
              <w:widowControl/>
              <w:jc w:val="center"/>
              <w:textAlignment w:val="center"/>
              <w:rPr>
                <w:color w:val="000000"/>
                <w:sz w:val="18"/>
                <w:szCs w:val="18"/>
              </w:rPr>
            </w:pPr>
            <w:r>
              <w:rPr>
                <w:rFonts w:hint="eastAsia"/>
                <w:color w:val="000000"/>
                <w:sz w:val="18"/>
                <w:szCs w:val="18"/>
              </w:rPr>
              <w:t>44</w:t>
            </w:r>
          </w:p>
        </w:tc>
        <w:tc>
          <w:tcPr>
            <w:tcW w:w="206" w:type="pct"/>
            <w:noWrap w:val="0"/>
            <w:vAlign w:val="center"/>
          </w:tcPr>
          <w:p w14:paraId="4FC2C980">
            <w:pPr>
              <w:widowControl/>
              <w:jc w:val="center"/>
              <w:textAlignment w:val="center"/>
              <w:rPr>
                <w:color w:val="000000"/>
                <w:sz w:val="18"/>
                <w:szCs w:val="18"/>
              </w:rPr>
            </w:pPr>
            <w:r>
              <w:rPr>
                <w:rFonts w:hint="eastAsia"/>
                <w:color w:val="000000"/>
                <w:sz w:val="18"/>
                <w:szCs w:val="18"/>
              </w:rPr>
              <w:t>78</w:t>
            </w:r>
          </w:p>
        </w:tc>
        <w:tc>
          <w:tcPr>
            <w:tcW w:w="156" w:type="pct"/>
            <w:noWrap w:val="0"/>
            <w:vAlign w:val="center"/>
          </w:tcPr>
          <w:p w14:paraId="752041BA">
            <w:pPr>
              <w:widowControl/>
              <w:jc w:val="center"/>
              <w:textAlignment w:val="center"/>
              <w:rPr>
                <w:color w:val="000000"/>
                <w:sz w:val="18"/>
                <w:szCs w:val="18"/>
              </w:rPr>
            </w:pPr>
            <w:r>
              <w:rPr>
                <w:rFonts w:hint="eastAsia"/>
                <w:color w:val="000000"/>
                <w:sz w:val="18"/>
                <w:szCs w:val="18"/>
              </w:rPr>
              <w:t>3</w:t>
            </w:r>
          </w:p>
        </w:tc>
        <w:tc>
          <w:tcPr>
            <w:tcW w:w="174" w:type="pct"/>
            <w:noWrap w:val="0"/>
            <w:vAlign w:val="center"/>
          </w:tcPr>
          <w:p w14:paraId="380F4F4E">
            <w:pPr>
              <w:widowControl/>
              <w:jc w:val="center"/>
              <w:textAlignment w:val="center"/>
              <w:rPr>
                <w:color w:val="000000"/>
                <w:sz w:val="18"/>
                <w:szCs w:val="18"/>
              </w:rPr>
            </w:pPr>
            <w:r>
              <w:rPr>
                <w:color w:val="000000"/>
                <w:kern w:val="0"/>
                <w:sz w:val="18"/>
                <w:szCs w:val="18"/>
                <w:lang w:bidi="ar"/>
              </w:rPr>
              <w:t>71</w:t>
            </w:r>
          </w:p>
        </w:tc>
        <w:tc>
          <w:tcPr>
            <w:tcW w:w="174" w:type="pct"/>
            <w:noWrap w:val="0"/>
            <w:vAlign w:val="center"/>
          </w:tcPr>
          <w:p w14:paraId="42B69D39">
            <w:pPr>
              <w:widowControl/>
              <w:jc w:val="center"/>
              <w:textAlignment w:val="center"/>
              <w:rPr>
                <w:color w:val="000000"/>
                <w:sz w:val="18"/>
                <w:szCs w:val="18"/>
              </w:rPr>
            </w:pPr>
            <w:r>
              <w:rPr>
                <w:color w:val="000000"/>
                <w:kern w:val="0"/>
                <w:sz w:val="18"/>
                <w:szCs w:val="18"/>
                <w:lang w:bidi="ar"/>
              </w:rPr>
              <w:t>44</w:t>
            </w:r>
          </w:p>
        </w:tc>
        <w:tc>
          <w:tcPr>
            <w:tcW w:w="174" w:type="pct"/>
            <w:noWrap w:val="0"/>
            <w:vAlign w:val="center"/>
          </w:tcPr>
          <w:p w14:paraId="3A82DEAA">
            <w:pPr>
              <w:widowControl/>
              <w:jc w:val="center"/>
              <w:textAlignment w:val="center"/>
              <w:rPr>
                <w:color w:val="000000"/>
                <w:sz w:val="18"/>
                <w:szCs w:val="18"/>
              </w:rPr>
            </w:pPr>
            <w:r>
              <w:rPr>
                <w:color w:val="000000"/>
                <w:kern w:val="0"/>
                <w:sz w:val="18"/>
                <w:szCs w:val="18"/>
                <w:lang w:bidi="ar"/>
              </w:rPr>
              <w:t>42</w:t>
            </w:r>
          </w:p>
        </w:tc>
        <w:tc>
          <w:tcPr>
            <w:tcW w:w="177" w:type="pct"/>
            <w:noWrap w:val="0"/>
            <w:vAlign w:val="center"/>
          </w:tcPr>
          <w:p w14:paraId="0004C7DD">
            <w:pPr>
              <w:widowControl/>
              <w:jc w:val="center"/>
              <w:textAlignment w:val="center"/>
              <w:rPr>
                <w:color w:val="000000"/>
                <w:sz w:val="18"/>
                <w:szCs w:val="18"/>
              </w:rPr>
            </w:pPr>
            <w:r>
              <w:rPr>
                <w:color w:val="000000"/>
                <w:kern w:val="0"/>
                <w:sz w:val="18"/>
                <w:szCs w:val="18"/>
                <w:lang w:bidi="ar"/>
              </w:rPr>
              <w:t>31</w:t>
            </w:r>
          </w:p>
        </w:tc>
        <w:tc>
          <w:tcPr>
            <w:tcW w:w="215" w:type="pct"/>
            <w:noWrap w:val="0"/>
            <w:vAlign w:val="center"/>
          </w:tcPr>
          <w:p w14:paraId="1DD3DFB3">
            <w:pPr>
              <w:widowControl/>
              <w:jc w:val="center"/>
              <w:textAlignment w:val="center"/>
              <w:rPr>
                <w:color w:val="000000"/>
                <w:sz w:val="18"/>
                <w:szCs w:val="18"/>
              </w:rPr>
            </w:pPr>
            <w:r>
              <w:rPr>
                <w:color w:val="000000"/>
                <w:kern w:val="0"/>
                <w:sz w:val="18"/>
                <w:szCs w:val="18"/>
                <w:lang w:bidi="ar"/>
              </w:rPr>
              <w:t xml:space="preserve">65 </w:t>
            </w:r>
          </w:p>
        </w:tc>
        <w:tc>
          <w:tcPr>
            <w:tcW w:w="215" w:type="pct"/>
            <w:noWrap w:val="0"/>
            <w:vAlign w:val="center"/>
          </w:tcPr>
          <w:p w14:paraId="7DCF0B52">
            <w:pPr>
              <w:widowControl/>
              <w:jc w:val="center"/>
              <w:textAlignment w:val="center"/>
              <w:rPr>
                <w:color w:val="000000"/>
                <w:sz w:val="18"/>
                <w:szCs w:val="18"/>
              </w:rPr>
            </w:pPr>
            <w:r>
              <w:rPr>
                <w:color w:val="000000"/>
                <w:kern w:val="0"/>
                <w:sz w:val="18"/>
                <w:szCs w:val="18"/>
                <w:lang w:bidi="ar"/>
              </w:rPr>
              <w:t xml:space="preserve">65 </w:t>
            </w:r>
          </w:p>
        </w:tc>
        <w:tc>
          <w:tcPr>
            <w:tcW w:w="215" w:type="pct"/>
            <w:noWrap w:val="0"/>
            <w:vAlign w:val="center"/>
          </w:tcPr>
          <w:p w14:paraId="3063E94A">
            <w:pPr>
              <w:widowControl/>
              <w:jc w:val="center"/>
              <w:textAlignment w:val="center"/>
              <w:rPr>
                <w:color w:val="000000"/>
                <w:sz w:val="18"/>
                <w:szCs w:val="18"/>
              </w:rPr>
            </w:pPr>
            <w:r>
              <w:rPr>
                <w:color w:val="000000"/>
                <w:kern w:val="0"/>
                <w:sz w:val="18"/>
                <w:szCs w:val="18"/>
                <w:lang w:bidi="ar"/>
              </w:rPr>
              <w:t xml:space="preserve">65 </w:t>
            </w:r>
          </w:p>
        </w:tc>
        <w:tc>
          <w:tcPr>
            <w:tcW w:w="218" w:type="pct"/>
            <w:noWrap w:val="0"/>
            <w:vAlign w:val="center"/>
          </w:tcPr>
          <w:p w14:paraId="6293B652">
            <w:pPr>
              <w:widowControl/>
              <w:jc w:val="center"/>
              <w:textAlignment w:val="center"/>
              <w:rPr>
                <w:color w:val="000000"/>
                <w:sz w:val="18"/>
                <w:szCs w:val="18"/>
              </w:rPr>
            </w:pPr>
            <w:r>
              <w:rPr>
                <w:color w:val="000000"/>
                <w:kern w:val="0"/>
                <w:sz w:val="18"/>
                <w:szCs w:val="18"/>
                <w:lang w:bidi="ar"/>
              </w:rPr>
              <w:t xml:space="preserve">65 </w:t>
            </w:r>
          </w:p>
        </w:tc>
        <w:tc>
          <w:tcPr>
            <w:tcW w:w="223" w:type="pct"/>
            <w:noWrap w:val="0"/>
            <w:vAlign w:val="center"/>
          </w:tcPr>
          <w:p w14:paraId="191557E4">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1E4373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A9FE6FF">
            <w:pPr>
              <w:widowControl/>
              <w:jc w:val="center"/>
              <w:textAlignment w:val="center"/>
              <w:rPr>
                <w:color w:val="000000"/>
                <w:sz w:val="18"/>
                <w:szCs w:val="18"/>
              </w:rPr>
            </w:pPr>
            <w:r>
              <w:rPr>
                <w:color w:val="000000"/>
                <w:kern w:val="0"/>
                <w:sz w:val="18"/>
                <w:szCs w:val="18"/>
                <w:lang w:bidi="ar"/>
              </w:rPr>
              <w:t xml:space="preserve">45 </w:t>
            </w:r>
          </w:p>
        </w:tc>
        <w:tc>
          <w:tcPr>
            <w:tcW w:w="179" w:type="pct"/>
            <w:noWrap w:val="0"/>
            <w:vAlign w:val="center"/>
          </w:tcPr>
          <w:p w14:paraId="392FFBE4">
            <w:pPr>
              <w:widowControl/>
              <w:jc w:val="center"/>
              <w:textAlignment w:val="center"/>
              <w:rPr>
                <w:color w:val="000000"/>
                <w:sz w:val="18"/>
                <w:szCs w:val="18"/>
              </w:rPr>
            </w:pPr>
            <w:r>
              <w:rPr>
                <w:color w:val="000000"/>
                <w:kern w:val="0"/>
                <w:sz w:val="18"/>
                <w:szCs w:val="18"/>
                <w:lang w:bidi="ar"/>
              </w:rPr>
              <w:t xml:space="preserve">45 </w:t>
            </w:r>
          </w:p>
        </w:tc>
        <w:tc>
          <w:tcPr>
            <w:tcW w:w="179" w:type="pct"/>
            <w:noWrap w:val="0"/>
            <w:vAlign w:val="center"/>
          </w:tcPr>
          <w:p w14:paraId="330D8713">
            <w:pPr>
              <w:widowControl/>
              <w:jc w:val="center"/>
              <w:textAlignment w:val="center"/>
              <w:rPr>
                <w:color w:val="000000"/>
                <w:sz w:val="18"/>
                <w:szCs w:val="18"/>
              </w:rPr>
            </w:pPr>
            <w:r>
              <w:rPr>
                <w:color w:val="000000"/>
                <w:kern w:val="0"/>
                <w:sz w:val="18"/>
                <w:szCs w:val="18"/>
                <w:lang w:bidi="ar"/>
              </w:rPr>
              <w:t xml:space="preserve">45 </w:t>
            </w:r>
          </w:p>
        </w:tc>
        <w:tc>
          <w:tcPr>
            <w:tcW w:w="189" w:type="pct"/>
            <w:noWrap w:val="0"/>
            <w:vAlign w:val="center"/>
          </w:tcPr>
          <w:p w14:paraId="5ACE41EA">
            <w:pPr>
              <w:widowControl/>
              <w:jc w:val="center"/>
              <w:textAlignment w:val="center"/>
              <w:rPr>
                <w:color w:val="000000"/>
                <w:sz w:val="18"/>
                <w:szCs w:val="18"/>
              </w:rPr>
            </w:pPr>
            <w:r>
              <w:rPr>
                <w:color w:val="000000"/>
                <w:kern w:val="0"/>
                <w:sz w:val="18"/>
                <w:szCs w:val="18"/>
                <w:lang w:bidi="ar"/>
              </w:rPr>
              <w:t xml:space="preserve">45 </w:t>
            </w:r>
          </w:p>
        </w:tc>
      </w:tr>
      <w:tr w14:paraId="2B3E06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2AAB95A6">
            <w:pPr>
              <w:widowControl/>
              <w:jc w:val="center"/>
              <w:textAlignment w:val="center"/>
              <w:rPr>
                <w:color w:val="000000"/>
                <w:sz w:val="18"/>
                <w:szCs w:val="18"/>
              </w:rPr>
            </w:pPr>
            <w:r>
              <w:rPr>
                <w:color w:val="000000"/>
                <w:kern w:val="0"/>
                <w:sz w:val="18"/>
                <w:szCs w:val="18"/>
                <w:lang w:bidi="ar"/>
              </w:rPr>
              <w:t>3</w:t>
            </w:r>
          </w:p>
        </w:tc>
        <w:tc>
          <w:tcPr>
            <w:tcW w:w="463" w:type="pct"/>
            <w:noWrap w:val="0"/>
            <w:vAlign w:val="center"/>
          </w:tcPr>
          <w:p w14:paraId="5034545A">
            <w:pPr>
              <w:widowControl/>
              <w:jc w:val="center"/>
              <w:textAlignment w:val="center"/>
              <w:rPr>
                <w:color w:val="000000"/>
                <w:sz w:val="18"/>
                <w:szCs w:val="18"/>
              </w:rPr>
            </w:pPr>
            <w:r>
              <w:rPr>
                <w:color w:val="000000"/>
                <w:sz w:val="18"/>
                <w:szCs w:val="18"/>
              </w:rPr>
              <w:t>高速混料机</w:t>
            </w:r>
            <w:r>
              <w:rPr>
                <w:rFonts w:hint="eastAsia"/>
                <w:color w:val="000000"/>
                <w:sz w:val="18"/>
                <w:szCs w:val="18"/>
              </w:rPr>
              <w:t>1#</w:t>
            </w:r>
          </w:p>
        </w:tc>
        <w:tc>
          <w:tcPr>
            <w:tcW w:w="181" w:type="pct"/>
            <w:noWrap w:val="0"/>
            <w:vAlign w:val="center"/>
          </w:tcPr>
          <w:p w14:paraId="752BFEEC">
            <w:pPr>
              <w:widowControl/>
              <w:jc w:val="center"/>
              <w:textAlignment w:val="center"/>
              <w:rPr>
                <w:rFonts w:hint="eastAsia"/>
                <w:color w:val="000000"/>
                <w:sz w:val="18"/>
                <w:szCs w:val="18"/>
              </w:rPr>
            </w:pPr>
            <w:r>
              <w:rPr>
                <w:rFonts w:hint="eastAsia"/>
                <w:color w:val="000000"/>
                <w:sz w:val="18"/>
                <w:szCs w:val="18"/>
              </w:rPr>
              <w:t>/</w:t>
            </w:r>
          </w:p>
        </w:tc>
        <w:tc>
          <w:tcPr>
            <w:tcW w:w="313" w:type="pct"/>
            <w:noWrap w:val="0"/>
            <w:vAlign w:val="center"/>
          </w:tcPr>
          <w:p w14:paraId="14EC6FA2">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44E4D27A">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0BA3E4D">
            <w:pPr>
              <w:widowControl/>
              <w:jc w:val="center"/>
              <w:textAlignment w:val="center"/>
              <w:rPr>
                <w:color w:val="000000"/>
                <w:sz w:val="18"/>
                <w:szCs w:val="18"/>
              </w:rPr>
            </w:pPr>
            <w:r>
              <w:rPr>
                <w:rFonts w:hint="eastAsia"/>
                <w:color w:val="000000"/>
                <w:sz w:val="18"/>
                <w:szCs w:val="18"/>
              </w:rPr>
              <w:t>35</w:t>
            </w:r>
          </w:p>
        </w:tc>
        <w:tc>
          <w:tcPr>
            <w:tcW w:w="206" w:type="pct"/>
            <w:noWrap w:val="0"/>
            <w:vAlign w:val="center"/>
          </w:tcPr>
          <w:p w14:paraId="0BF39189">
            <w:pPr>
              <w:widowControl/>
              <w:jc w:val="center"/>
              <w:textAlignment w:val="center"/>
              <w:rPr>
                <w:color w:val="000000"/>
                <w:sz w:val="18"/>
                <w:szCs w:val="18"/>
              </w:rPr>
            </w:pPr>
            <w:r>
              <w:rPr>
                <w:rFonts w:hint="eastAsia"/>
                <w:color w:val="000000"/>
                <w:sz w:val="18"/>
                <w:szCs w:val="18"/>
              </w:rPr>
              <w:t>78</w:t>
            </w:r>
          </w:p>
        </w:tc>
        <w:tc>
          <w:tcPr>
            <w:tcW w:w="156" w:type="pct"/>
            <w:noWrap w:val="0"/>
            <w:vAlign w:val="center"/>
          </w:tcPr>
          <w:p w14:paraId="64C25B04">
            <w:pPr>
              <w:widowControl/>
              <w:jc w:val="center"/>
              <w:textAlignment w:val="center"/>
              <w:rPr>
                <w:rFonts w:hint="eastAsia"/>
                <w:color w:val="000000"/>
                <w:sz w:val="18"/>
                <w:szCs w:val="18"/>
              </w:rPr>
            </w:pPr>
            <w:r>
              <w:rPr>
                <w:rFonts w:hint="eastAsia"/>
                <w:color w:val="000000"/>
                <w:sz w:val="18"/>
                <w:szCs w:val="18"/>
              </w:rPr>
              <w:t>2</w:t>
            </w:r>
          </w:p>
        </w:tc>
        <w:tc>
          <w:tcPr>
            <w:tcW w:w="174" w:type="pct"/>
            <w:noWrap w:val="0"/>
            <w:vAlign w:val="center"/>
          </w:tcPr>
          <w:p w14:paraId="77F01BE9">
            <w:pPr>
              <w:widowControl/>
              <w:jc w:val="center"/>
              <w:textAlignment w:val="center"/>
              <w:rPr>
                <w:color w:val="000000"/>
                <w:sz w:val="18"/>
                <w:szCs w:val="18"/>
              </w:rPr>
            </w:pPr>
            <w:r>
              <w:rPr>
                <w:color w:val="000000"/>
                <w:kern w:val="0"/>
                <w:sz w:val="18"/>
                <w:szCs w:val="18"/>
                <w:lang w:bidi="ar"/>
              </w:rPr>
              <w:t>78</w:t>
            </w:r>
          </w:p>
        </w:tc>
        <w:tc>
          <w:tcPr>
            <w:tcW w:w="174" w:type="pct"/>
            <w:noWrap w:val="0"/>
            <w:vAlign w:val="center"/>
          </w:tcPr>
          <w:p w14:paraId="6E9F4551">
            <w:pPr>
              <w:widowControl/>
              <w:jc w:val="center"/>
              <w:textAlignment w:val="center"/>
              <w:rPr>
                <w:color w:val="000000"/>
                <w:sz w:val="18"/>
                <w:szCs w:val="18"/>
              </w:rPr>
            </w:pPr>
            <w:r>
              <w:rPr>
                <w:color w:val="000000"/>
                <w:kern w:val="0"/>
                <w:sz w:val="18"/>
                <w:szCs w:val="18"/>
                <w:lang w:bidi="ar"/>
              </w:rPr>
              <w:t>44</w:t>
            </w:r>
          </w:p>
        </w:tc>
        <w:tc>
          <w:tcPr>
            <w:tcW w:w="174" w:type="pct"/>
            <w:noWrap w:val="0"/>
            <w:vAlign w:val="center"/>
          </w:tcPr>
          <w:p w14:paraId="350FC9A1">
            <w:pPr>
              <w:widowControl/>
              <w:jc w:val="center"/>
              <w:textAlignment w:val="center"/>
              <w:rPr>
                <w:color w:val="000000"/>
                <w:sz w:val="18"/>
                <w:szCs w:val="18"/>
              </w:rPr>
            </w:pPr>
            <w:r>
              <w:rPr>
                <w:color w:val="000000"/>
                <w:kern w:val="0"/>
                <w:sz w:val="18"/>
                <w:szCs w:val="18"/>
                <w:lang w:bidi="ar"/>
              </w:rPr>
              <w:t>35</w:t>
            </w:r>
          </w:p>
        </w:tc>
        <w:tc>
          <w:tcPr>
            <w:tcW w:w="177" w:type="pct"/>
            <w:noWrap w:val="0"/>
            <w:vAlign w:val="center"/>
          </w:tcPr>
          <w:p w14:paraId="2EAC50D1">
            <w:pPr>
              <w:widowControl/>
              <w:jc w:val="center"/>
              <w:textAlignment w:val="center"/>
              <w:rPr>
                <w:color w:val="000000"/>
                <w:sz w:val="18"/>
                <w:szCs w:val="18"/>
              </w:rPr>
            </w:pPr>
            <w:r>
              <w:rPr>
                <w:color w:val="000000"/>
                <w:kern w:val="0"/>
                <w:sz w:val="18"/>
                <w:szCs w:val="18"/>
                <w:lang w:bidi="ar"/>
              </w:rPr>
              <w:t>31</w:t>
            </w:r>
          </w:p>
        </w:tc>
        <w:tc>
          <w:tcPr>
            <w:tcW w:w="215" w:type="pct"/>
            <w:noWrap w:val="0"/>
            <w:vAlign w:val="center"/>
          </w:tcPr>
          <w:p w14:paraId="5B4A4061">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3158E7EA">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11417440">
            <w:pPr>
              <w:widowControl/>
              <w:jc w:val="center"/>
              <w:textAlignment w:val="center"/>
              <w:rPr>
                <w:color w:val="000000"/>
                <w:sz w:val="18"/>
                <w:szCs w:val="18"/>
              </w:rPr>
            </w:pPr>
            <w:r>
              <w:rPr>
                <w:color w:val="000000"/>
                <w:kern w:val="0"/>
                <w:sz w:val="18"/>
                <w:szCs w:val="18"/>
                <w:lang w:bidi="ar"/>
              </w:rPr>
              <w:t xml:space="preserve">75 </w:t>
            </w:r>
          </w:p>
        </w:tc>
        <w:tc>
          <w:tcPr>
            <w:tcW w:w="218" w:type="pct"/>
            <w:noWrap w:val="0"/>
            <w:vAlign w:val="center"/>
          </w:tcPr>
          <w:p w14:paraId="4F8F2A0F">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3994707A">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6F0789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BD6727B">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74147B61">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1CB0B147">
            <w:pPr>
              <w:widowControl/>
              <w:jc w:val="center"/>
              <w:textAlignment w:val="center"/>
              <w:rPr>
                <w:color w:val="000000"/>
                <w:sz w:val="18"/>
                <w:szCs w:val="18"/>
              </w:rPr>
            </w:pPr>
            <w:r>
              <w:rPr>
                <w:color w:val="000000"/>
                <w:kern w:val="0"/>
                <w:sz w:val="18"/>
                <w:szCs w:val="18"/>
                <w:lang w:bidi="ar"/>
              </w:rPr>
              <w:t xml:space="preserve">55 </w:t>
            </w:r>
          </w:p>
        </w:tc>
        <w:tc>
          <w:tcPr>
            <w:tcW w:w="189" w:type="pct"/>
            <w:noWrap w:val="0"/>
            <w:vAlign w:val="center"/>
          </w:tcPr>
          <w:p w14:paraId="1A513707">
            <w:pPr>
              <w:widowControl/>
              <w:jc w:val="center"/>
              <w:textAlignment w:val="center"/>
              <w:rPr>
                <w:color w:val="000000"/>
                <w:sz w:val="18"/>
                <w:szCs w:val="18"/>
              </w:rPr>
            </w:pPr>
            <w:r>
              <w:rPr>
                <w:color w:val="000000"/>
                <w:kern w:val="0"/>
                <w:sz w:val="18"/>
                <w:szCs w:val="18"/>
                <w:lang w:bidi="ar"/>
              </w:rPr>
              <w:t xml:space="preserve">55 </w:t>
            </w:r>
          </w:p>
        </w:tc>
      </w:tr>
      <w:tr w14:paraId="5C7644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7C6A147">
            <w:pPr>
              <w:widowControl/>
              <w:jc w:val="center"/>
              <w:textAlignment w:val="center"/>
              <w:rPr>
                <w:color w:val="000000"/>
                <w:sz w:val="18"/>
                <w:szCs w:val="18"/>
              </w:rPr>
            </w:pPr>
            <w:r>
              <w:rPr>
                <w:color w:val="000000"/>
                <w:kern w:val="0"/>
                <w:sz w:val="18"/>
                <w:szCs w:val="18"/>
                <w:lang w:bidi="ar"/>
              </w:rPr>
              <w:t>4</w:t>
            </w:r>
          </w:p>
        </w:tc>
        <w:tc>
          <w:tcPr>
            <w:tcW w:w="463" w:type="pct"/>
            <w:noWrap w:val="0"/>
            <w:vAlign w:val="center"/>
          </w:tcPr>
          <w:p w14:paraId="53F44498">
            <w:pPr>
              <w:widowControl/>
              <w:jc w:val="center"/>
              <w:textAlignment w:val="center"/>
              <w:rPr>
                <w:color w:val="000000"/>
                <w:sz w:val="18"/>
                <w:szCs w:val="18"/>
              </w:rPr>
            </w:pPr>
            <w:r>
              <w:rPr>
                <w:color w:val="000000"/>
                <w:sz w:val="18"/>
                <w:szCs w:val="18"/>
              </w:rPr>
              <w:t>高速混料机</w:t>
            </w:r>
            <w:r>
              <w:rPr>
                <w:rFonts w:hint="eastAsia"/>
                <w:color w:val="000000"/>
                <w:sz w:val="18"/>
                <w:szCs w:val="18"/>
              </w:rPr>
              <w:t>2#</w:t>
            </w:r>
          </w:p>
        </w:tc>
        <w:tc>
          <w:tcPr>
            <w:tcW w:w="181" w:type="pct"/>
            <w:noWrap w:val="0"/>
            <w:vAlign w:val="center"/>
          </w:tcPr>
          <w:p w14:paraId="13C5341B">
            <w:pPr>
              <w:widowControl/>
              <w:jc w:val="center"/>
              <w:textAlignment w:val="center"/>
              <w:rPr>
                <w:rFonts w:hint="eastAsia"/>
                <w:color w:val="000000"/>
                <w:sz w:val="18"/>
                <w:szCs w:val="18"/>
              </w:rPr>
            </w:pPr>
            <w:r>
              <w:rPr>
                <w:rFonts w:hint="eastAsia"/>
                <w:color w:val="000000"/>
                <w:sz w:val="18"/>
                <w:szCs w:val="18"/>
              </w:rPr>
              <w:t>/</w:t>
            </w:r>
          </w:p>
        </w:tc>
        <w:tc>
          <w:tcPr>
            <w:tcW w:w="313" w:type="pct"/>
            <w:noWrap w:val="0"/>
            <w:vAlign w:val="center"/>
          </w:tcPr>
          <w:p w14:paraId="4F1D804B">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29C6F010">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6E92258">
            <w:pPr>
              <w:widowControl/>
              <w:jc w:val="center"/>
              <w:textAlignment w:val="center"/>
              <w:rPr>
                <w:color w:val="000000"/>
                <w:sz w:val="18"/>
                <w:szCs w:val="18"/>
              </w:rPr>
            </w:pPr>
            <w:r>
              <w:rPr>
                <w:rFonts w:hint="eastAsia"/>
                <w:color w:val="000000"/>
                <w:sz w:val="18"/>
                <w:szCs w:val="18"/>
              </w:rPr>
              <w:t>43</w:t>
            </w:r>
          </w:p>
        </w:tc>
        <w:tc>
          <w:tcPr>
            <w:tcW w:w="206" w:type="pct"/>
            <w:noWrap w:val="0"/>
            <w:vAlign w:val="center"/>
          </w:tcPr>
          <w:p w14:paraId="3A2CA61D">
            <w:pPr>
              <w:widowControl/>
              <w:jc w:val="center"/>
              <w:textAlignment w:val="center"/>
              <w:rPr>
                <w:color w:val="000000"/>
                <w:sz w:val="18"/>
                <w:szCs w:val="18"/>
              </w:rPr>
            </w:pPr>
            <w:r>
              <w:rPr>
                <w:rFonts w:hint="eastAsia"/>
                <w:color w:val="000000"/>
                <w:sz w:val="18"/>
                <w:szCs w:val="18"/>
              </w:rPr>
              <w:t>78</w:t>
            </w:r>
          </w:p>
        </w:tc>
        <w:tc>
          <w:tcPr>
            <w:tcW w:w="156" w:type="pct"/>
            <w:noWrap w:val="0"/>
            <w:vAlign w:val="center"/>
          </w:tcPr>
          <w:p w14:paraId="2E0E4913">
            <w:pPr>
              <w:widowControl/>
              <w:jc w:val="center"/>
              <w:textAlignment w:val="center"/>
              <w:rPr>
                <w:rFonts w:hint="eastAsia"/>
                <w:color w:val="000000"/>
                <w:sz w:val="18"/>
                <w:szCs w:val="18"/>
              </w:rPr>
            </w:pPr>
            <w:r>
              <w:rPr>
                <w:rFonts w:hint="eastAsia"/>
                <w:color w:val="000000"/>
                <w:sz w:val="18"/>
                <w:szCs w:val="18"/>
              </w:rPr>
              <w:t>2</w:t>
            </w:r>
          </w:p>
        </w:tc>
        <w:tc>
          <w:tcPr>
            <w:tcW w:w="174" w:type="pct"/>
            <w:noWrap w:val="0"/>
            <w:vAlign w:val="center"/>
          </w:tcPr>
          <w:p w14:paraId="29B2A347">
            <w:pPr>
              <w:widowControl/>
              <w:jc w:val="center"/>
              <w:textAlignment w:val="center"/>
              <w:rPr>
                <w:color w:val="000000"/>
                <w:sz w:val="18"/>
                <w:szCs w:val="18"/>
              </w:rPr>
            </w:pPr>
            <w:r>
              <w:rPr>
                <w:color w:val="000000"/>
                <w:kern w:val="0"/>
                <w:sz w:val="18"/>
                <w:szCs w:val="18"/>
                <w:lang w:bidi="ar"/>
              </w:rPr>
              <w:t>71</w:t>
            </w:r>
          </w:p>
        </w:tc>
        <w:tc>
          <w:tcPr>
            <w:tcW w:w="174" w:type="pct"/>
            <w:noWrap w:val="0"/>
            <w:vAlign w:val="center"/>
          </w:tcPr>
          <w:p w14:paraId="559BB355">
            <w:pPr>
              <w:widowControl/>
              <w:jc w:val="center"/>
              <w:textAlignment w:val="center"/>
              <w:rPr>
                <w:color w:val="000000"/>
                <w:sz w:val="18"/>
                <w:szCs w:val="18"/>
              </w:rPr>
            </w:pPr>
            <w:r>
              <w:rPr>
                <w:color w:val="000000"/>
                <w:kern w:val="0"/>
                <w:sz w:val="18"/>
                <w:szCs w:val="18"/>
                <w:lang w:bidi="ar"/>
              </w:rPr>
              <w:t>44</w:t>
            </w:r>
          </w:p>
        </w:tc>
        <w:tc>
          <w:tcPr>
            <w:tcW w:w="174" w:type="pct"/>
            <w:noWrap w:val="0"/>
            <w:vAlign w:val="center"/>
          </w:tcPr>
          <w:p w14:paraId="085BA2FC">
            <w:pPr>
              <w:widowControl/>
              <w:jc w:val="center"/>
              <w:textAlignment w:val="center"/>
              <w:rPr>
                <w:color w:val="000000"/>
                <w:sz w:val="18"/>
                <w:szCs w:val="18"/>
              </w:rPr>
            </w:pPr>
            <w:r>
              <w:rPr>
                <w:color w:val="000000"/>
                <w:kern w:val="0"/>
                <w:sz w:val="18"/>
                <w:szCs w:val="18"/>
                <w:lang w:bidi="ar"/>
              </w:rPr>
              <w:t>42</w:t>
            </w:r>
          </w:p>
        </w:tc>
        <w:tc>
          <w:tcPr>
            <w:tcW w:w="177" w:type="pct"/>
            <w:noWrap w:val="0"/>
            <w:vAlign w:val="center"/>
          </w:tcPr>
          <w:p w14:paraId="0FE12274">
            <w:pPr>
              <w:widowControl/>
              <w:jc w:val="center"/>
              <w:textAlignment w:val="center"/>
              <w:rPr>
                <w:color w:val="000000"/>
                <w:sz w:val="18"/>
                <w:szCs w:val="18"/>
              </w:rPr>
            </w:pPr>
            <w:r>
              <w:rPr>
                <w:color w:val="000000"/>
                <w:kern w:val="0"/>
                <w:sz w:val="18"/>
                <w:szCs w:val="18"/>
                <w:lang w:bidi="ar"/>
              </w:rPr>
              <w:t>31</w:t>
            </w:r>
          </w:p>
        </w:tc>
        <w:tc>
          <w:tcPr>
            <w:tcW w:w="215" w:type="pct"/>
            <w:noWrap w:val="0"/>
            <w:vAlign w:val="center"/>
          </w:tcPr>
          <w:p w14:paraId="6974ADFA">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1F911157">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53BE1A1C">
            <w:pPr>
              <w:widowControl/>
              <w:jc w:val="center"/>
              <w:textAlignment w:val="center"/>
              <w:rPr>
                <w:color w:val="000000"/>
                <w:sz w:val="18"/>
                <w:szCs w:val="18"/>
              </w:rPr>
            </w:pPr>
            <w:r>
              <w:rPr>
                <w:color w:val="000000"/>
                <w:kern w:val="0"/>
                <w:sz w:val="18"/>
                <w:szCs w:val="18"/>
                <w:lang w:bidi="ar"/>
              </w:rPr>
              <w:t xml:space="preserve">75 </w:t>
            </w:r>
          </w:p>
        </w:tc>
        <w:tc>
          <w:tcPr>
            <w:tcW w:w="218" w:type="pct"/>
            <w:noWrap w:val="0"/>
            <w:vAlign w:val="center"/>
          </w:tcPr>
          <w:p w14:paraId="2583E102">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2F70AF46">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F81A923">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BFE6C3E">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0B792BBE">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719F697A">
            <w:pPr>
              <w:widowControl/>
              <w:jc w:val="center"/>
              <w:textAlignment w:val="center"/>
              <w:rPr>
                <w:color w:val="000000"/>
                <w:sz w:val="18"/>
                <w:szCs w:val="18"/>
              </w:rPr>
            </w:pPr>
            <w:r>
              <w:rPr>
                <w:color w:val="000000"/>
                <w:kern w:val="0"/>
                <w:sz w:val="18"/>
                <w:szCs w:val="18"/>
                <w:lang w:bidi="ar"/>
              </w:rPr>
              <w:t xml:space="preserve">55 </w:t>
            </w:r>
          </w:p>
        </w:tc>
        <w:tc>
          <w:tcPr>
            <w:tcW w:w="189" w:type="pct"/>
            <w:noWrap w:val="0"/>
            <w:vAlign w:val="center"/>
          </w:tcPr>
          <w:p w14:paraId="203110ED">
            <w:pPr>
              <w:widowControl/>
              <w:jc w:val="center"/>
              <w:textAlignment w:val="center"/>
              <w:rPr>
                <w:color w:val="000000"/>
                <w:sz w:val="18"/>
                <w:szCs w:val="18"/>
              </w:rPr>
            </w:pPr>
            <w:r>
              <w:rPr>
                <w:color w:val="000000"/>
                <w:kern w:val="0"/>
                <w:sz w:val="18"/>
                <w:szCs w:val="18"/>
                <w:lang w:bidi="ar"/>
              </w:rPr>
              <w:t xml:space="preserve">55 </w:t>
            </w:r>
          </w:p>
        </w:tc>
      </w:tr>
      <w:tr w14:paraId="263CD0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D409ACB">
            <w:pPr>
              <w:widowControl/>
              <w:jc w:val="center"/>
              <w:textAlignment w:val="center"/>
              <w:rPr>
                <w:color w:val="000000"/>
                <w:sz w:val="18"/>
                <w:szCs w:val="18"/>
              </w:rPr>
            </w:pPr>
            <w:r>
              <w:rPr>
                <w:color w:val="000000"/>
                <w:kern w:val="0"/>
                <w:sz w:val="18"/>
                <w:szCs w:val="18"/>
                <w:lang w:bidi="ar"/>
              </w:rPr>
              <w:t>5</w:t>
            </w:r>
          </w:p>
        </w:tc>
        <w:tc>
          <w:tcPr>
            <w:tcW w:w="463" w:type="pct"/>
            <w:noWrap w:val="0"/>
            <w:vAlign w:val="center"/>
          </w:tcPr>
          <w:p w14:paraId="10F4E7A9">
            <w:pPr>
              <w:widowControl/>
              <w:jc w:val="center"/>
              <w:textAlignment w:val="center"/>
              <w:rPr>
                <w:color w:val="000000"/>
                <w:sz w:val="18"/>
                <w:szCs w:val="18"/>
              </w:rPr>
            </w:pPr>
            <w:r>
              <w:rPr>
                <w:color w:val="000000"/>
                <w:sz w:val="18"/>
                <w:szCs w:val="18"/>
              </w:rPr>
              <w:t>双阶混炼挤出机组</w:t>
            </w:r>
            <w:r>
              <w:rPr>
                <w:rFonts w:hint="eastAsia"/>
                <w:color w:val="000000"/>
                <w:sz w:val="18"/>
                <w:szCs w:val="18"/>
              </w:rPr>
              <w:t>1#</w:t>
            </w:r>
          </w:p>
        </w:tc>
        <w:tc>
          <w:tcPr>
            <w:tcW w:w="181" w:type="pct"/>
            <w:noWrap w:val="0"/>
            <w:vAlign w:val="center"/>
          </w:tcPr>
          <w:p w14:paraId="7E18D232">
            <w:pPr>
              <w:widowControl/>
              <w:jc w:val="center"/>
              <w:textAlignment w:val="center"/>
              <w:rPr>
                <w:rFonts w:hint="eastAsia"/>
                <w:color w:val="000000"/>
                <w:sz w:val="18"/>
                <w:szCs w:val="18"/>
              </w:rPr>
            </w:pPr>
            <w:r>
              <w:rPr>
                <w:rFonts w:hint="eastAsia"/>
                <w:color w:val="000000"/>
                <w:sz w:val="18"/>
                <w:szCs w:val="18"/>
              </w:rPr>
              <w:t>/</w:t>
            </w:r>
          </w:p>
        </w:tc>
        <w:tc>
          <w:tcPr>
            <w:tcW w:w="313" w:type="pct"/>
            <w:noWrap w:val="0"/>
            <w:vAlign w:val="center"/>
          </w:tcPr>
          <w:p w14:paraId="19F9795D">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CDE8DF2">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70F1378">
            <w:pPr>
              <w:widowControl/>
              <w:jc w:val="center"/>
              <w:textAlignment w:val="center"/>
              <w:rPr>
                <w:color w:val="000000"/>
                <w:sz w:val="18"/>
                <w:szCs w:val="18"/>
              </w:rPr>
            </w:pPr>
            <w:r>
              <w:rPr>
                <w:rFonts w:hint="eastAsia"/>
                <w:color w:val="000000"/>
                <w:sz w:val="18"/>
                <w:szCs w:val="18"/>
              </w:rPr>
              <w:t>35</w:t>
            </w:r>
          </w:p>
        </w:tc>
        <w:tc>
          <w:tcPr>
            <w:tcW w:w="206" w:type="pct"/>
            <w:noWrap w:val="0"/>
            <w:vAlign w:val="center"/>
          </w:tcPr>
          <w:p w14:paraId="63CBABD0">
            <w:pPr>
              <w:widowControl/>
              <w:jc w:val="center"/>
              <w:textAlignment w:val="center"/>
              <w:rPr>
                <w:color w:val="000000"/>
                <w:sz w:val="18"/>
                <w:szCs w:val="18"/>
              </w:rPr>
            </w:pPr>
            <w:r>
              <w:rPr>
                <w:rFonts w:hint="eastAsia"/>
                <w:color w:val="000000"/>
                <w:sz w:val="18"/>
                <w:szCs w:val="18"/>
              </w:rPr>
              <w:t>81</w:t>
            </w:r>
          </w:p>
        </w:tc>
        <w:tc>
          <w:tcPr>
            <w:tcW w:w="156" w:type="pct"/>
            <w:noWrap w:val="0"/>
            <w:vAlign w:val="center"/>
          </w:tcPr>
          <w:p w14:paraId="5EDA8EA3">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5A8CF27C">
            <w:pPr>
              <w:widowControl/>
              <w:jc w:val="center"/>
              <w:textAlignment w:val="center"/>
              <w:rPr>
                <w:color w:val="000000"/>
                <w:sz w:val="18"/>
                <w:szCs w:val="18"/>
              </w:rPr>
            </w:pPr>
            <w:r>
              <w:rPr>
                <w:color w:val="000000"/>
                <w:kern w:val="0"/>
                <w:sz w:val="18"/>
                <w:szCs w:val="18"/>
                <w:lang w:bidi="ar"/>
              </w:rPr>
              <w:t>78</w:t>
            </w:r>
          </w:p>
        </w:tc>
        <w:tc>
          <w:tcPr>
            <w:tcW w:w="174" w:type="pct"/>
            <w:noWrap w:val="0"/>
            <w:vAlign w:val="center"/>
          </w:tcPr>
          <w:p w14:paraId="713A3186">
            <w:pPr>
              <w:widowControl/>
              <w:jc w:val="center"/>
              <w:textAlignment w:val="center"/>
              <w:rPr>
                <w:color w:val="000000"/>
                <w:sz w:val="18"/>
                <w:szCs w:val="18"/>
              </w:rPr>
            </w:pPr>
            <w:r>
              <w:rPr>
                <w:color w:val="000000"/>
                <w:kern w:val="0"/>
                <w:sz w:val="18"/>
                <w:szCs w:val="18"/>
                <w:lang w:bidi="ar"/>
              </w:rPr>
              <w:t>47</w:t>
            </w:r>
          </w:p>
        </w:tc>
        <w:tc>
          <w:tcPr>
            <w:tcW w:w="174" w:type="pct"/>
            <w:noWrap w:val="0"/>
            <w:vAlign w:val="center"/>
          </w:tcPr>
          <w:p w14:paraId="1646CC98">
            <w:pPr>
              <w:widowControl/>
              <w:jc w:val="center"/>
              <w:textAlignment w:val="center"/>
              <w:rPr>
                <w:color w:val="000000"/>
                <w:sz w:val="18"/>
                <w:szCs w:val="18"/>
              </w:rPr>
            </w:pPr>
            <w:r>
              <w:rPr>
                <w:color w:val="000000"/>
                <w:kern w:val="0"/>
                <w:sz w:val="18"/>
                <w:szCs w:val="18"/>
                <w:lang w:bidi="ar"/>
              </w:rPr>
              <w:t>35</w:t>
            </w:r>
          </w:p>
        </w:tc>
        <w:tc>
          <w:tcPr>
            <w:tcW w:w="177" w:type="pct"/>
            <w:noWrap w:val="0"/>
            <w:vAlign w:val="center"/>
          </w:tcPr>
          <w:p w14:paraId="347BF0BE">
            <w:pPr>
              <w:widowControl/>
              <w:jc w:val="center"/>
              <w:textAlignment w:val="center"/>
              <w:rPr>
                <w:color w:val="000000"/>
                <w:sz w:val="18"/>
                <w:szCs w:val="18"/>
              </w:rPr>
            </w:pPr>
            <w:r>
              <w:rPr>
                <w:color w:val="000000"/>
                <w:kern w:val="0"/>
                <w:sz w:val="18"/>
                <w:szCs w:val="18"/>
                <w:lang w:bidi="ar"/>
              </w:rPr>
              <w:t>28</w:t>
            </w:r>
          </w:p>
        </w:tc>
        <w:tc>
          <w:tcPr>
            <w:tcW w:w="215" w:type="pct"/>
            <w:noWrap w:val="0"/>
            <w:vAlign w:val="center"/>
          </w:tcPr>
          <w:p w14:paraId="14EF79BE">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2596BB0">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F35767E">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55406B34">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2E54B90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658074BE">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8E5C5EF">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8FB72B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ABAE691">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22816E5D">
            <w:pPr>
              <w:widowControl/>
              <w:jc w:val="center"/>
              <w:textAlignment w:val="center"/>
              <w:rPr>
                <w:color w:val="000000"/>
                <w:sz w:val="18"/>
                <w:szCs w:val="18"/>
              </w:rPr>
            </w:pPr>
            <w:r>
              <w:rPr>
                <w:color w:val="000000"/>
                <w:kern w:val="0"/>
                <w:sz w:val="18"/>
                <w:szCs w:val="18"/>
                <w:lang w:bidi="ar"/>
              </w:rPr>
              <w:t xml:space="preserve">50 </w:t>
            </w:r>
          </w:p>
        </w:tc>
      </w:tr>
      <w:tr w14:paraId="4EEC9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D7093C7">
            <w:pPr>
              <w:widowControl/>
              <w:jc w:val="center"/>
              <w:textAlignment w:val="center"/>
              <w:rPr>
                <w:color w:val="000000"/>
                <w:sz w:val="18"/>
                <w:szCs w:val="18"/>
              </w:rPr>
            </w:pPr>
            <w:r>
              <w:rPr>
                <w:color w:val="000000"/>
                <w:kern w:val="0"/>
                <w:sz w:val="18"/>
                <w:szCs w:val="18"/>
                <w:lang w:bidi="ar"/>
              </w:rPr>
              <w:t>6</w:t>
            </w:r>
          </w:p>
        </w:tc>
        <w:tc>
          <w:tcPr>
            <w:tcW w:w="463" w:type="pct"/>
            <w:noWrap w:val="0"/>
            <w:vAlign w:val="center"/>
          </w:tcPr>
          <w:p w14:paraId="3B3723A4">
            <w:pPr>
              <w:widowControl/>
              <w:jc w:val="center"/>
              <w:textAlignment w:val="center"/>
              <w:rPr>
                <w:color w:val="000000"/>
                <w:sz w:val="18"/>
                <w:szCs w:val="18"/>
              </w:rPr>
            </w:pPr>
            <w:r>
              <w:rPr>
                <w:color w:val="000000"/>
                <w:sz w:val="18"/>
                <w:szCs w:val="18"/>
              </w:rPr>
              <w:t>双阶混炼挤出机组</w:t>
            </w:r>
            <w:r>
              <w:rPr>
                <w:rFonts w:hint="eastAsia"/>
                <w:color w:val="000000"/>
                <w:sz w:val="18"/>
                <w:szCs w:val="18"/>
              </w:rPr>
              <w:t>2#</w:t>
            </w:r>
          </w:p>
        </w:tc>
        <w:tc>
          <w:tcPr>
            <w:tcW w:w="181" w:type="pct"/>
            <w:noWrap w:val="0"/>
            <w:vAlign w:val="center"/>
          </w:tcPr>
          <w:p w14:paraId="62BE05F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1BC39F7">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E0E96CF">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C1DFBCA">
            <w:pPr>
              <w:widowControl/>
              <w:jc w:val="center"/>
              <w:textAlignment w:val="center"/>
              <w:rPr>
                <w:color w:val="000000"/>
                <w:sz w:val="18"/>
                <w:szCs w:val="18"/>
              </w:rPr>
            </w:pPr>
            <w:r>
              <w:rPr>
                <w:rFonts w:hint="eastAsia"/>
                <w:color w:val="000000"/>
                <w:sz w:val="18"/>
                <w:szCs w:val="18"/>
              </w:rPr>
              <w:t>43</w:t>
            </w:r>
          </w:p>
        </w:tc>
        <w:tc>
          <w:tcPr>
            <w:tcW w:w="206" w:type="pct"/>
            <w:noWrap w:val="0"/>
            <w:vAlign w:val="center"/>
          </w:tcPr>
          <w:p w14:paraId="088BCC91">
            <w:pPr>
              <w:widowControl/>
              <w:jc w:val="center"/>
              <w:textAlignment w:val="center"/>
              <w:rPr>
                <w:color w:val="000000"/>
                <w:sz w:val="18"/>
                <w:szCs w:val="18"/>
              </w:rPr>
            </w:pPr>
            <w:r>
              <w:rPr>
                <w:rFonts w:hint="eastAsia"/>
                <w:color w:val="000000"/>
                <w:sz w:val="18"/>
                <w:szCs w:val="18"/>
              </w:rPr>
              <w:t>81</w:t>
            </w:r>
          </w:p>
        </w:tc>
        <w:tc>
          <w:tcPr>
            <w:tcW w:w="156" w:type="pct"/>
            <w:noWrap w:val="0"/>
            <w:vAlign w:val="center"/>
          </w:tcPr>
          <w:p w14:paraId="3F57E13B">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78DCDFA8">
            <w:pPr>
              <w:widowControl/>
              <w:jc w:val="center"/>
              <w:textAlignment w:val="center"/>
              <w:rPr>
                <w:color w:val="000000"/>
                <w:sz w:val="18"/>
                <w:szCs w:val="18"/>
              </w:rPr>
            </w:pPr>
            <w:r>
              <w:rPr>
                <w:color w:val="000000"/>
                <w:kern w:val="0"/>
                <w:sz w:val="18"/>
                <w:szCs w:val="18"/>
                <w:lang w:bidi="ar"/>
              </w:rPr>
              <w:t>70</w:t>
            </w:r>
          </w:p>
        </w:tc>
        <w:tc>
          <w:tcPr>
            <w:tcW w:w="174" w:type="pct"/>
            <w:noWrap w:val="0"/>
            <w:vAlign w:val="center"/>
          </w:tcPr>
          <w:p w14:paraId="6D3B444A">
            <w:pPr>
              <w:widowControl/>
              <w:jc w:val="center"/>
              <w:textAlignment w:val="center"/>
              <w:rPr>
                <w:color w:val="000000"/>
                <w:sz w:val="18"/>
                <w:szCs w:val="18"/>
              </w:rPr>
            </w:pPr>
            <w:r>
              <w:rPr>
                <w:color w:val="000000"/>
                <w:kern w:val="0"/>
                <w:sz w:val="18"/>
                <w:szCs w:val="18"/>
                <w:lang w:bidi="ar"/>
              </w:rPr>
              <w:t>47</w:t>
            </w:r>
          </w:p>
        </w:tc>
        <w:tc>
          <w:tcPr>
            <w:tcW w:w="174" w:type="pct"/>
            <w:noWrap w:val="0"/>
            <w:vAlign w:val="center"/>
          </w:tcPr>
          <w:p w14:paraId="2E68D6E9">
            <w:pPr>
              <w:widowControl/>
              <w:jc w:val="center"/>
              <w:textAlignment w:val="center"/>
              <w:rPr>
                <w:color w:val="000000"/>
                <w:sz w:val="18"/>
                <w:szCs w:val="18"/>
              </w:rPr>
            </w:pPr>
            <w:r>
              <w:rPr>
                <w:color w:val="000000"/>
                <w:kern w:val="0"/>
                <w:sz w:val="18"/>
                <w:szCs w:val="18"/>
                <w:lang w:bidi="ar"/>
              </w:rPr>
              <w:t>43</w:t>
            </w:r>
          </w:p>
        </w:tc>
        <w:tc>
          <w:tcPr>
            <w:tcW w:w="177" w:type="pct"/>
            <w:noWrap w:val="0"/>
            <w:vAlign w:val="center"/>
          </w:tcPr>
          <w:p w14:paraId="6B417E7C">
            <w:pPr>
              <w:widowControl/>
              <w:jc w:val="center"/>
              <w:textAlignment w:val="center"/>
              <w:rPr>
                <w:color w:val="000000"/>
                <w:sz w:val="18"/>
                <w:szCs w:val="18"/>
              </w:rPr>
            </w:pPr>
            <w:r>
              <w:rPr>
                <w:color w:val="000000"/>
                <w:kern w:val="0"/>
                <w:sz w:val="18"/>
                <w:szCs w:val="18"/>
                <w:lang w:bidi="ar"/>
              </w:rPr>
              <w:t>28</w:t>
            </w:r>
          </w:p>
        </w:tc>
        <w:tc>
          <w:tcPr>
            <w:tcW w:w="215" w:type="pct"/>
            <w:noWrap w:val="0"/>
            <w:vAlign w:val="center"/>
          </w:tcPr>
          <w:p w14:paraId="195AA0B5">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4062525">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C6D7457">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7B1BFE9">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9C8C8E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B05CEB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358CF58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D42D5E4">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DAD488E">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DF8BBED">
            <w:pPr>
              <w:widowControl/>
              <w:jc w:val="center"/>
              <w:textAlignment w:val="center"/>
              <w:rPr>
                <w:color w:val="000000"/>
                <w:sz w:val="18"/>
                <w:szCs w:val="18"/>
              </w:rPr>
            </w:pPr>
            <w:r>
              <w:rPr>
                <w:color w:val="000000"/>
                <w:kern w:val="0"/>
                <w:sz w:val="18"/>
                <w:szCs w:val="18"/>
                <w:lang w:bidi="ar"/>
              </w:rPr>
              <w:t xml:space="preserve">50 </w:t>
            </w:r>
          </w:p>
        </w:tc>
      </w:tr>
      <w:tr w14:paraId="7B627F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57472C2">
            <w:pPr>
              <w:widowControl/>
              <w:jc w:val="center"/>
              <w:textAlignment w:val="center"/>
              <w:rPr>
                <w:color w:val="000000"/>
                <w:kern w:val="0"/>
                <w:sz w:val="18"/>
                <w:szCs w:val="18"/>
                <w:lang w:bidi="ar"/>
              </w:rPr>
            </w:pPr>
            <w:r>
              <w:rPr>
                <w:color w:val="000000"/>
                <w:kern w:val="0"/>
                <w:sz w:val="18"/>
                <w:szCs w:val="18"/>
                <w:lang w:bidi="ar"/>
              </w:rPr>
              <w:t>7</w:t>
            </w:r>
          </w:p>
        </w:tc>
        <w:tc>
          <w:tcPr>
            <w:tcW w:w="463" w:type="pct"/>
            <w:noWrap w:val="0"/>
            <w:vAlign w:val="center"/>
          </w:tcPr>
          <w:p w14:paraId="6761BF4B">
            <w:pPr>
              <w:widowControl/>
              <w:jc w:val="center"/>
              <w:textAlignment w:val="center"/>
              <w:rPr>
                <w:color w:val="000000"/>
                <w:sz w:val="18"/>
                <w:szCs w:val="18"/>
              </w:rPr>
            </w:pPr>
            <w:r>
              <w:rPr>
                <w:color w:val="000000"/>
                <w:sz w:val="18"/>
                <w:szCs w:val="18"/>
              </w:rPr>
              <w:t>切割机</w:t>
            </w:r>
            <w:r>
              <w:rPr>
                <w:rFonts w:hint="eastAsia"/>
                <w:color w:val="000000"/>
                <w:sz w:val="18"/>
                <w:szCs w:val="18"/>
              </w:rPr>
              <w:t>1#</w:t>
            </w:r>
          </w:p>
        </w:tc>
        <w:tc>
          <w:tcPr>
            <w:tcW w:w="181" w:type="pct"/>
            <w:noWrap w:val="0"/>
            <w:vAlign w:val="center"/>
          </w:tcPr>
          <w:p w14:paraId="189258A1">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6893566">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032DBC7B">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5137F4CA">
            <w:pPr>
              <w:widowControl/>
              <w:jc w:val="center"/>
              <w:textAlignment w:val="center"/>
              <w:rPr>
                <w:color w:val="000000"/>
                <w:sz w:val="18"/>
                <w:szCs w:val="18"/>
              </w:rPr>
            </w:pPr>
            <w:r>
              <w:rPr>
                <w:rFonts w:hint="eastAsia"/>
                <w:color w:val="000000"/>
                <w:sz w:val="18"/>
                <w:szCs w:val="18"/>
              </w:rPr>
              <w:t>37</w:t>
            </w:r>
          </w:p>
        </w:tc>
        <w:tc>
          <w:tcPr>
            <w:tcW w:w="206" w:type="pct"/>
            <w:noWrap w:val="0"/>
            <w:vAlign w:val="center"/>
          </w:tcPr>
          <w:p w14:paraId="39609F9A">
            <w:pPr>
              <w:widowControl/>
              <w:jc w:val="center"/>
              <w:textAlignment w:val="center"/>
              <w:rPr>
                <w:color w:val="000000"/>
                <w:sz w:val="18"/>
                <w:szCs w:val="18"/>
              </w:rPr>
            </w:pPr>
            <w:r>
              <w:rPr>
                <w:rFonts w:hint="eastAsia"/>
                <w:color w:val="000000"/>
                <w:sz w:val="18"/>
                <w:szCs w:val="18"/>
              </w:rPr>
              <w:t>83</w:t>
            </w:r>
          </w:p>
        </w:tc>
        <w:tc>
          <w:tcPr>
            <w:tcW w:w="156" w:type="pct"/>
            <w:noWrap w:val="0"/>
            <w:vAlign w:val="center"/>
          </w:tcPr>
          <w:p w14:paraId="33EDF29E">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DBE71A3">
            <w:pPr>
              <w:widowControl/>
              <w:jc w:val="center"/>
              <w:textAlignment w:val="center"/>
              <w:rPr>
                <w:color w:val="000000"/>
                <w:sz w:val="18"/>
                <w:szCs w:val="18"/>
              </w:rPr>
            </w:pPr>
            <w:r>
              <w:rPr>
                <w:color w:val="000000"/>
                <w:kern w:val="0"/>
                <w:sz w:val="18"/>
                <w:szCs w:val="18"/>
                <w:lang w:bidi="ar"/>
              </w:rPr>
              <w:t>76</w:t>
            </w:r>
          </w:p>
        </w:tc>
        <w:tc>
          <w:tcPr>
            <w:tcW w:w="174" w:type="pct"/>
            <w:noWrap w:val="0"/>
            <w:vAlign w:val="center"/>
          </w:tcPr>
          <w:p w14:paraId="27A9B06F">
            <w:pPr>
              <w:widowControl/>
              <w:jc w:val="center"/>
              <w:textAlignment w:val="center"/>
              <w:rPr>
                <w:color w:val="000000"/>
                <w:sz w:val="18"/>
                <w:szCs w:val="18"/>
              </w:rPr>
            </w:pPr>
            <w:r>
              <w:rPr>
                <w:color w:val="000000"/>
                <w:kern w:val="0"/>
                <w:sz w:val="18"/>
                <w:szCs w:val="18"/>
                <w:lang w:bidi="ar"/>
              </w:rPr>
              <w:t>49</w:t>
            </w:r>
          </w:p>
        </w:tc>
        <w:tc>
          <w:tcPr>
            <w:tcW w:w="174" w:type="pct"/>
            <w:noWrap w:val="0"/>
            <w:vAlign w:val="center"/>
          </w:tcPr>
          <w:p w14:paraId="3885DB3B">
            <w:pPr>
              <w:widowControl/>
              <w:jc w:val="center"/>
              <w:textAlignment w:val="center"/>
              <w:rPr>
                <w:color w:val="000000"/>
                <w:sz w:val="18"/>
                <w:szCs w:val="18"/>
              </w:rPr>
            </w:pPr>
            <w:r>
              <w:rPr>
                <w:color w:val="000000"/>
                <w:kern w:val="0"/>
                <w:sz w:val="18"/>
                <w:szCs w:val="18"/>
                <w:lang w:bidi="ar"/>
              </w:rPr>
              <w:t>37</w:t>
            </w:r>
          </w:p>
        </w:tc>
        <w:tc>
          <w:tcPr>
            <w:tcW w:w="177" w:type="pct"/>
            <w:noWrap w:val="0"/>
            <w:vAlign w:val="center"/>
          </w:tcPr>
          <w:p w14:paraId="4D1AC415">
            <w:pPr>
              <w:widowControl/>
              <w:jc w:val="center"/>
              <w:textAlignment w:val="center"/>
              <w:rPr>
                <w:color w:val="000000"/>
                <w:sz w:val="18"/>
                <w:szCs w:val="18"/>
              </w:rPr>
            </w:pPr>
            <w:r>
              <w:rPr>
                <w:color w:val="000000"/>
                <w:kern w:val="0"/>
                <w:sz w:val="18"/>
                <w:szCs w:val="18"/>
                <w:lang w:bidi="ar"/>
              </w:rPr>
              <w:t>26</w:t>
            </w:r>
          </w:p>
        </w:tc>
        <w:tc>
          <w:tcPr>
            <w:tcW w:w="215" w:type="pct"/>
            <w:noWrap w:val="0"/>
            <w:vAlign w:val="center"/>
          </w:tcPr>
          <w:p w14:paraId="6A2C248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5C1A96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1233F4F">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7C450736">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4852E85A">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FBF556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42A386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9B05566">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33E8204">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14A547E">
            <w:pPr>
              <w:widowControl/>
              <w:jc w:val="center"/>
              <w:textAlignment w:val="center"/>
              <w:rPr>
                <w:color w:val="000000"/>
                <w:sz w:val="18"/>
                <w:szCs w:val="18"/>
              </w:rPr>
            </w:pPr>
            <w:r>
              <w:rPr>
                <w:color w:val="000000"/>
                <w:kern w:val="0"/>
                <w:sz w:val="18"/>
                <w:szCs w:val="18"/>
                <w:lang w:bidi="ar"/>
              </w:rPr>
              <w:t xml:space="preserve">50 </w:t>
            </w:r>
          </w:p>
        </w:tc>
      </w:tr>
      <w:tr w14:paraId="562D9B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3BDBD77">
            <w:pPr>
              <w:widowControl/>
              <w:jc w:val="center"/>
              <w:textAlignment w:val="center"/>
              <w:rPr>
                <w:color w:val="000000"/>
                <w:kern w:val="0"/>
                <w:sz w:val="18"/>
                <w:szCs w:val="18"/>
                <w:lang w:bidi="ar"/>
              </w:rPr>
            </w:pPr>
            <w:r>
              <w:rPr>
                <w:color w:val="000000"/>
                <w:kern w:val="0"/>
                <w:sz w:val="18"/>
                <w:szCs w:val="18"/>
                <w:lang w:bidi="ar"/>
              </w:rPr>
              <w:t>8</w:t>
            </w:r>
          </w:p>
        </w:tc>
        <w:tc>
          <w:tcPr>
            <w:tcW w:w="463" w:type="pct"/>
            <w:noWrap w:val="0"/>
            <w:vAlign w:val="center"/>
          </w:tcPr>
          <w:p w14:paraId="2B36898C">
            <w:pPr>
              <w:widowControl/>
              <w:jc w:val="center"/>
              <w:textAlignment w:val="center"/>
              <w:rPr>
                <w:color w:val="000000"/>
                <w:sz w:val="18"/>
                <w:szCs w:val="18"/>
              </w:rPr>
            </w:pPr>
            <w:r>
              <w:rPr>
                <w:color w:val="000000"/>
                <w:sz w:val="18"/>
                <w:szCs w:val="18"/>
              </w:rPr>
              <w:t>切割机</w:t>
            </w:r>
            <w:r>
              <w:rPr>
                <w:rFonts w:hint="eastAsia"/>
                <w:color w:val="000000"/>
                <w:sz w:val="18"/>
                <w:szCs w:val="18"/>
              </w:rPr>
              <w:t>2#</w:t>
            </w:r>
          </w:p>
        </w:tc>
        <w:tc>
          <w:tcPr>
            <w:tcW w:w="181" w:type="pct"/>
            <w:noWrap w:val="0"/>
            <w:vAlign w:val="center"/>
          </w:tcPr>
          <w:p w14:paraId="686A2DBF">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7E3A8A48">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7981FC5">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598C7B61">
            <w:pPr>
              <w:widowControl/>
              <w:jc w:val="center"/>
              <w:textAlignment w:val="center"/>
              <w:rPr>
                <w:color w:val="000000"/>
                <w:sz w:val="18"/>
                <w:szCs w:val="18"/>
              </w:rPr>
            </w:pPr>
            <w:r>
              <w:rPr>
                <w:rFonts w:hint="eastAsia"/>
                <w:color w:val="000000"/>
                <w:sz w:val="18"/>
                <w:szCs w:val="18"/>
              </w:rPr>
              <w:t>45</w:t>
            </w:r>
          </w:p>
        </w:tc>
        <w:tc>
          <w:tcPr>
            <w:tcW w:w="206" w:type="pct"/>
            <w:noWrap w:val="0"/>
            <w:vAlign w:val="center"/>
          </w:tcPr>
          <w:p w14:paraId="3BF8A8DE">
            <w:pPr>
              <w:widowControl/>
              <w:jc w:val="center"/>
              <w:textAlignment w:val="center"/>
              <w:rPr>
                <w:color w:val="000000"/>
                <w:sz w:val="18"/>
                <w:szCs w:val="18"/>
              </w:rPr>
            </w:pPr>
            <w:r>
              <w:rPr>
                <w:rFonts w:hint="eastAsia"/>
                <w:color w:val="000000"/>
                <w:sz w:val="18"/>
                <w:szCs w:val="18"/>
              </w:rPr>
              <w:t>83</w:t>
            </w:r>
          </w:p>
        </w:tc>
        <w:tc>
          <w:tcPr>
            <w:tcW w:w="156" w:type="pct"/>
            <w:noWrap w:val="0"/>
            <w:vAlign w:val="center"/>
          </w:tcPr>
          <w:p w14:paraId="752A202D">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5D4D45A3">
            <w:pPr>
              <w:widowControl/>
              <w:jc w:val="center"/>
              <w:textAlignment w:val="center"/>
              <w:rPr>
                <w:color w:val="000000"/>
                <w:sz w:val="18"/>
                <w:szCs w:val="18"/>
              </w:rPr>
            </w:pPr>
            <w:r>
              <w:rPr>
                <w:color w:val="000000"/>
                <w:kern w:val="0"/>
                <w:sz w:val="18"/>
                <w:szCs w:val="18"/>
                <w:lang w:bidi="ar"/>
              </w:rPr>
              <w:t>68</w:t>
            </w:r>
          </w:p>
        </w:tc>
        <w:tc>
          <w:tcPr>
            <w:tcW w:w="174" w:type="pct"/>
            <w:noWrap w:val="0"/>
            <w:vAlign w:val="center"/>
          </w:tcPr>
          <w:p w14:paraId="0D49F9D2">
            <w:pPr>
              <w:widowControl/>
              <w:jc w:val="center"/>
              <w:textAlignment w:val="center"/>
              <w:rPr>
                <w:color w:val="000000"/>
                <w:sz w:val="18"/>
                <w:szCs w:val="18"/>
              </w:rPr>
            </w:pPr>
            <w:r>
              <w:rPr>
                <w:color w:val="000000"/>
                <w:kern w:val="0"/>
                <w:sz w:val="18"/>
                <w:szCs w:val="18"/>
                <w:lang w:bidi="ar"/>
              </w:rPr>
              <w:t>49</w:t>
            </w:r>
          </w:p>
        </w:tc>
        <w:tc>
          <w:tcPr>
            <w:tcW w:w="174" w:type="pct"/>
            <w:noWrap w:val="0"/>
            <w:vAlign w:val="center"/>
          </w:tcPr>
          <w:p w14:paraId="3D23597F">
            <w:pPr>
              <w:widowControl/>
              <w:jc w:val="center"/>
              <w:textAlignment w:val="center"/>
              <w:rPr>
                <w:color w:val="000000"/>
                <w:sz w:val="18"/>
                <w:szCs w:val="18"/>
              </w:rPr>
            </w:pPr>
            <w:r>
              <w:rPr>
                <w:color w:val="000000"/>
                <w:kern w:val="0"/>
                <w:sz w:val="18"/>
                <w:szCs w:val="18"/>
                <w:lang w:bidi="ar"/>
              </w:rPr>
              <w:t>45</w:t>
            </w:r>
          </w:p>
        </w:tc>
        <w:tc>
          <w:tcPr>
            <w:tcW w:w="177" w:type="pct"/>
            <w:noWrap w:val="0"/>
            <w:vAlign w:val="center"/>
          </w:tcPr>
          <w:p w14:paraId="0C158B79">
            <w:pPr>
              <w:widowControl/>
              <w:jc w:val="center"/>
              <w:textAlignment w:val="center"/>
              <w:rPr>
                <w:color w:val="000000"/>
                <w:sz w:val="18"/>
                <w:szCs w:val="18"/>
              </w:rPr>
            </w:pPr>
            <w:r>
              <w:rPr>
                <w:color w:val="000000"/>
                <w:kern w:val="0"/>
                <w:sz w:val="18"/>
                <w:szCs w:val="18"/>
                <w:lang w:bidi="ar"/>
              </w:rPr>
              <w:t>26</w:t>
            </w:r>
          </w:p>
        </w:tc>
        <w:tc>
          <w:tcPr>
            <w:tcW w:w="215" w:type="pct"/>
            <w:noWrap w:val="0"/>
            <w:vAlign w:val="center"/>
          </w:tcPr>
          <w:p w14:paraId="356EF60A">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FF9507D">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9D92F75">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4F3F1B2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60D4B33">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6198A626">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42C45DF">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C5E5072">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394E2B1">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B1E1734">
            <w:pPr>
              <w:widowControl/>
              <w:jc w:val="center"/>
              <w:textAlignment w:val="center"/>
              <w:rPr>
                <w:color w:val="000000"/>
                <w:sz w:val="18"/>
                <w:szCs w:val="18"/>
              </w:rPr>
            </w:pPr>
            <w:r>
              <w:rPr>
                <w:color w:val="000000"/>
                <w:kern w:val="0"/>
                <w:sz w:val="18"/>
                <w:szCs w:val="18"/>
                <w:lang w:bidi="ar"/>
              </w:rPr>
              <w:t xml:space="preserve">50 </w:t>
            </w:r>
          </w:p>
        </w:tc>
      </w:tr>
      <w:tr w14:paraId="6A4D46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44D3F3F0">
            <w:pPr>
              <w:widowControl/>
              <w:jc w:val="center"/>
              <w:textAlignment w:val="center"/>
              <w:rPr>
                <w:color w:val="000000"/>
                <w:kern w:val="0"/>
                <w:sz w:val="18"/>
                <w:szCs w:val="18"/>
                <w:lang w:bidi="ar"/>
              </w:rPr>
            </w:pPr>
            <w:r>
              <w:rPr>
                <w:color w:val="000000"/>
                <w:kern w:val="0"/>
                <w:sz w:val="18"/>
                <w:szCs w:val="18"/>
                <w:lang w:bidi="ar"/>
              </w:rPr>
              <w:t>9</w:t>
            </w:r>
          </w:p>
        </w:tc>
        <w:tc>
          <w:tcPr>
            <w:tcW w:w="463" w:type="pct"/>
            <w:noWrap w:val="0"/>
            <w:vAlign w:val="center"/>
          </w:tcPr>
          <w:p w14:paraId="364AC983">
            <w:pPr>
              <w:widowControl/>
              <w:jc w:val="center"/>
              <w:textAlignment w:val="center"/>
              <w:rPr>
                <w:color w:val="000000"/>
                <w:sz w:val="18"/>
                <w:szCs w:val="18"/>
              </w:rPr>
            </w:pPr>
            <w:r>
              <w:rPr>
                <w:rFonts w:hint="eastAsia"/>
                <w:color w:val="000000"/>
                <w:sz w:val="18"/>
                <w:szCs w:val="18"/>
              </w:rPr>
              <w:t>旋风机1#</w:t>
            </w:r>
          </w:p>
        </w:tc>
        <w:tc>
          <w:tcPr>
            <w:tcW w:w="181" w:type="pct"/>
            <w:noWrap w:val="0"/>
            <w:vAlign w:val="center"/>
          </w:tcPr>
          <w:p w14:paraId="5C2761B1">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F76F6D8">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9A535C8">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9D1325F">
            <w:pPr>
              <w:widowControl/>
              <w:jc w:val="center"/>
              <w:textAlignment w:val="center"/>
              <w:rPr>
                <w:color w:val="000000"/>
                <w:sz w:val="18"/>
                <w:szCs w:val="18"/>
              </w:rPr>
            </w:pPr>
            <w:r>
              <w:rPr>
                <w:rFonts w:hint="eastAsia"/>
                <w:color w:val="000000"/>
                <w:sz w:val="18"/>
                <w:szCs w:val="18"/>
              </w:rPr>
              <w:t>37</w:t>
            </w:r>
          </w:p>
        </w:tc>
        <w:tc>
          <w:tcPr>
            <w:tcW w:w="206" w:type="pct"/>
            <w:noWrap w:val="0"/>
            <w:vAlign w:val="center"/>
          </w:tcPr>
          <w:p w14:paraId="64381D33">
            <w:pPr>
              <w:widowControl/>
              <w:jc w:val="center"/>
              <w:textAlignment w:val="center"/>
              <w:rPr>
                <w:color w:val="000000"/>
                <w:sz w:val="18"/>
                <w:szCs w:val="18"/>
              </w:rPr>
            </w:pPr>
            <w:r>
              <w:rPr>
                <w:rFonts w:hint="eastAsia"/>
                <w:color w:val="000000"/>
                <w:sz w:val="18"/>
                <w:szCs w:val="18"/>
              </w:rPr>
              <w:t>86</w:t>
            </w:r>
          </w:p>
        </w:tc>
        <w:tc>
          <w:tcPr>
            <w:tcW w:w="156" w:type="pct"/>
            <w:noWrap w:val="0"/>
            <w:vAlign w:val="center"/>
          </w:tcPr>
          <w:p w14:paraId="6F527AF3">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E8938A9">
            <w:pPr>
              <w:widowControl/>
              <w:jc w:val="center"/>
              <w:textAlignment w:val="center"/>
              <w:rPr>
                <w:color w:val="000000"/>
                <w:sz w:val="18"/>
                <w:szCs w:val="18"/>
              </w:rPr>
            </w:pPr>
            <w:r>
              <w:rPr>
                <w:color w:val="000000"/>
                <w:kern w:val="0"/>
                <w:sz w:val="18"/>
                <w:szCs w:val="18"/>
                <w:lang w:bidi="ar"/>
              </w:rPr>
              <w:t>76</w:t>
            </w:r>
          </w:p>
        </w:tc>
        <w:tc>
          <w:tcPr>
            <w:tcW w:w="174" w:type="pct"/>
            <w:noWrap w:val="0"/>
            <w:vAlign w:val="center"/>
          </w:tcPr>
          <w:p w14:paraId="078C0E44">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11098813">
            <w:pPr>
              <w:widowControl/>
              <w:jc w:val="center"/>
              <w:textAlignment w:val="center"/>
              <w:rPr>
                <w:color w:val="000000"/>
                <w:sz w:val="18"/>
                <w:szCs w:val="18"/>
              </w:rPr>
            </w:pPr>
            <w:r>
              <w:rPr>
                <w:color w:val="000000"/>
                <w:kern w:val="0"/>
                <w:sz w:val="18"/>
                <w:szCs w:val="18"/>
                <w:lang w:bidi="ar"/>
              </w:rPr>
              <w:t>37</w:t>
            </w:r>
          </w:p>
        </w:tc>
        <w:tc>
          <w:tcPr>
            <w:tcW w:w="177" w:type="pct"/>
            <w:noWrap w:val="0"/>
            <w:vAlign w:val="center"/>
          </w:tcPr>
          <w:p w14:paraId="34624DE4">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2A185C08">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A16A34A">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4A36D68">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744BEE1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6E5B0AD">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9C96D5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E3B2173">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793EC3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3E0671B">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06F3188">
            <w:pPr>
              <w:widowControl/>
              <w:jc w:val="center"/>
              <w:textAlignment w:val="center"/>
              <w:rPr>
                <w:color w:val="000000"/>
                <w:sz w:val="18"/>
                <w:szCs w:val="18"/>
              </w:rPr>
            </w:pPr>
            <w:r>
              <w:rPr>
                <w:color w:val="000000"/>
                <w:kern w:val="0"/>
                <w:sz w:val="18"/>
                <w:szCs w:val="18"/>
                <w:lang w:bidi="ar"/>
              </w:rPr>
              <w:t xml:space="preserve">50 </w:t>
            </w:r>
          </w:p>
        </w:tc>
      </w:tr>
      <w:tr w14:paraId="7E0651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6A9B268">
            <w:pPr>
              <w:widowControl/>
              <w:jc w:val="center"/>
              <w:textAlignment w:val="center"/>
              <w:rPr>
                <w:color w:val="000000"/>
                <w:kern w:val="0"/>
                <w:sz w:val="18"/>
                <w:szCs w:val="18"/>
                <w:lang w:bidi="ar"/>
              </w:rPr>
            </w:pPr>
            <w:r>
              <w:rPr>
                <w:color w:val="000000"/>
                <w:kern w:val="0"/>
                <w:sz w:val="18"/>
                <w:szCs w:val="18"/>
                <w:lang w:bidi="ar"/>
              </w:rPr>
              <w:t>10</w:t>
            </w:r>
          </w:p>
        </w:tc>
        <w:tc>
          <w:tcPr>
            <w:tcW w:w="463" w:type="pct"/>
            <w:noWrap w:val="0"/>
            <w:vAlign w:val="center"/>
          </w:tcPr>
          <w:p w14:paraId="700BF4E6">
            <w:pPr>
              <w:widowControl/>
              <w:jc w:val="center"/>
              <w:textAlignment w:val="center"/>
              <w:rPr>
                <w:color w:val="000000"/>
                <w:sz w:val="18"/>
                <w:szCs w:val="18"/>
              </w:rPr>
            </w:pPr>
            <w:r>
              <w:rPr>
                <w:rFonts w:hint="eastAsia"/>
                <w:color w:val="000000"/>
                <w:sz w:val="18"/>
                <w:szCs w:val="18"/>
              </w:rPr>
              <w:t>旋风机2#</w:t>
            </w:r>
          </w:p>
        </w:tc>
        <w:tc>
          <w:tcPr>
            <w:tcW w:w="181" w:type="pct"/>
            <w:noWrap w:val="0"/>
            <w:vAlign w:val="center"/>
          </w:tcPr>
          <w:p w14:paraId="52C02CB2">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13FB3181">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244E155">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F75773A">
            <w:pPr>
              <w:widowControl/>
              <w:jc w:val="center"/>
              <w:textAlignment w:val="center"/>
              <w:rPr>
                <w:color w:val="000000"/>
                <w:sz w:val="18"/>
                <w:szCs w:val="18"/>
              </w:rPr>
            </w:pPr>
            <w:r>
              <w:rPr>
                <w:rFonts w:hint="eastAsia"/>
                <w:color w:val="000000"/>
                <w:sz w:val="18"/>
                <w:szCs w:val="18"/>
              </w:rPr>
              <w:t>34</w:t>
            </w:r>
          </w:p>
        </w:tc>
        <w:tc>
          <w:tcPr>
            <w:tcW w:w="206" w:type="pct"/>
            <w:noWrap w:val="0"/>
            <w:vAlign w:val="center"/>
          </w:tcPr>
          <w:p w14:paraId="2FF6B7C5">
            <w:pPr>
              <w:widowControl/>
              <w:jc w:val="center"/>
              <w:textAlignment w:val="center"/>
              <w:rPr>
                <w:color w:val="000000"/>
                <w:sz w:val="18"/>
                <w:szCs w:val="18"/>
              </w:rPr>
            </w:pPr>
            <w:r>
              <w:rPr>
                <w:rFonts w:hint="eastAsia"/>
                <w:color w:val="000000"/>
                <w:sz w:val="18"/>
                <w:szCs w:val="18"/>
              </w:rPr>
              <w:t>86</w:t>
            </w:r>
          </w:p>
        </w:tc>
        <w:tc>
          <w:tcPr>
            <w:tcW w:w="156" w:type="pct"/>
            <w:noWrap w:val="0"/>
            <w:vAlign w:val="center"/>
          </w:tcPr>
          <w:p w14:paraId="3111B36A">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00F22B7">
            <w:pPr>
              <w:widowControl/>
              <w:jc w:val="center"/>
              <w:textAlignment w:val="center"/>
              <w:rPr>
                <w:color w:val="000000"/>
                <w:sz w:val="18"/>
                <w:szCs w:val="18"/>
              </w:rPr>
            </w:pPr>
            <w:r>
              <w:rPr>
                <w:color w:val="000000"/>
                <w:kern w:val="0"/>
                <w:sz w:val="18"/>
                <w:szCs w:val="18"/>
                <w:lang w:bidi="ar"/>
              </w:rPr>
              <w:t>68</w:t>
            </w:r>
          </w:p>
        </w:tc>
        <w:tc>
          <w:tcPr>
            <w:tcW w:w="174" w:type="pct"/>
            <w:noWrap w:val="0"/>
            <w:vAlign w:val="center"/>
          </w:tcPr>
          <w:p w14:paraId="74019504">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2D4A8037">
            <w:pPr>
              <w:widowControl/>
              <w:jc w:val="center"/>
              <w:textAlignment w:val="center"/>
              <w:rPr>
                <w:color w:val="000000"/>
                <w:sz w:val="18"/>
                <w:szCs w:val="18"/>
              </w:rPr>
            </w:pPr>
            <w:r>
              <w:rPr>
                <w:color w:val="000000"/>
                <w:kern w:val="0"/>
                <w:sz w:val="18"/>
                <w:szCs w:val="18"/>
                <w:lang w:bidi="ar"/>
              </w:rPr>
              <w:t>45</w:t>
            </w:r>
          </w:p>
        </w:tc>
        <w:tc>
          <w:tcPr>
            <w:tcW w:w="177" w:type="pct"/>
            <w:noWrap w:val="0"/>
            <w:vAlign w:val="center"/>
          </w:tcPr>
          <w:p w14:paraId="5D7BF969">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48B2086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6A4C0C0">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4D5AFE1">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37F918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6C428DC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1BD1F5C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744318F3">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247354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D0A6469">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2B4499AB">
            <w:pPr>
              <w:widowControl/>
              <w:jc w:val="center"/>
              <w:textAlignment w:val="center"/>
              <w:rPr>
                <w:color w:val="000000"/>
                <w:sz w:val="18"/>
                <w:szCs w:val="18"/>
              </w:rPr>
            </w:pPr>
            <w:r>
              <w:rPr>
                <w:color w:val="000000"/>
                <w:kern w:val="0"/>
                <w:sz w:val="18"/>
                <w:szCs w:val="18"/>
                <w:lang w:bidi="ar"/>
              </w:rPr>
              <w:t xml:space="preserve">50 </w:t>
            </w:r>
          </w:p>
        </w:tc>
      </w:tr>
      <w:tr w14:paraId="50C397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27BB4E0E">
            <w:pPr>
              <w:widowControl/>
              <w:jc w:val="center"/>
              <w:textAlignment w:val="center"/>
              <w:rPr>
                <w:color w:val="000000"/>
                <w:kern w:val="0"/>
                <w:sz w:val="18"/>
                <w:szCs w:val="18"/>
                <w:lang w:bidi="ar"/>
              </w:rPr>
            </w:pPr>
            <w:r>
              <w:rPr>
                <w:color w:val="000000"/>
                <w:kern w:val="0"/>
                <w:sz w:val="18"/>
                <w:szCs w:val="18"/>
                <w:lang w:bidi="ar"/>
              </w:rPr>
              <w:t>11</w:t>
            </w:r>
          </w:p>
        </w:tc>
        <w:tc>
          <w:tcPr>
            <w:tcW w:w="463" w:type="pct"/>
            <w:noWrap w:val="0"/>
            <w:vAlign w:val="center"/>
          </w:tcPr>
          <w:p w14:paraId="0997DD42">
            <w:pPr>
              <w:widowControl/>
              <w:jc w:val="center"/>
              <w:textAlignment w:val="center"/>
              <w:rPr>
                <w:color w:val="000000"/>
                <w:sz w:val="18"/>
                <w:szCs w:val="18"/>
              </w:rPr>
            </w:pPr>
            <w:r>
              <w:rPr>
                <w:rFonts w:hint="eastAsia"/>
                <w:color w:val="000000"/>
                <w:sz w:val="18"/>
                <w:szCs w:val="18"/>
              </w:rPr>
              <w:t>旋风机3#</w:t>
            </w:r>
          </w:p>
        </w:tc>
        <w:tc>
          <w:tcPr>
            <w:tcW w:w="181" w:type="pct"/>
            <w:noWrap w:val="0"/>
            <w:vAlign w:val="center"/>
          </w:tcPr>
          <w:p w14:paraId="55245DC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70032270">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D133893">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2A3FBCF6">
            <w:pPr>
              <w:widowControl/>
              <w:jc w:val="center"/>
              <w:textAlignment w:val="center"/>
              <w:rPr>
                <w:color w:val="000000"/>
                <w:sz w:val="18"/>
                <w:szCs w:val="18"/>
              </w:rPr>
            </w:pPr>
            <w:r>
              <w:rPr>
                <w:rFonts w:hint="eastAsia"/>
                <w:color w:val="000000"/>
                <w:sz w:val="18"/>
                <w:szCs w:val="18"/>
              </w:rPr>
              <w:t>34</w:t>
            </w:r>
          </w:p>
        </w:tc>
        <w:tc>
          <w:tcPr>
            <w:tcW w:w="206" w:type="pct"/>
            <w:noWrap w:val="0"/>
            <w:vAlign w:val="center"/>
          </w:tcPr>
          <w:p w14:paraId="7EC42253">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6CF78D18">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1829C5B6">
            <w:pPr>
              <w:widowControl/>
              <w:jc w:val="center"/>
              <w:textAlignment w:val="center"/>
              <w:rPr>
                <w:color w:val="000000"/>
                <w:sz w:val="18"/>
                <w:szCs w:val="18"/>
              </w:rPr>
            </w:pPr>
            <w:r>
              <w:rPr>
                <w:color w:val="000000"/>
                <w:kern w:val="0"/>
                <w:sz w:val="18"/>
                <w:szCs w:val="18"/>
                <w:lang w:bidi="ar"/>
              </w:rPr>
              <w:t>60</w:t>
            </w:r>
          </w:p>
        </w:tc>
        <w:tc>
          <w:tcPr>
            <w:tcW w:w="174" w:type="pct"/>
            <w:noWrap w:val="0"/>
            <w:vAlign w:val="center"/>
          </w:tcPr>
          <w:p w14:paraId="1D8BDD73">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5C4B0245">
            <w:pPr>
              <w:widowControl/>
              <w:jc w:val="center"/>
              <w:textAlignment w:val="center"/>
              <w:rPr>
                <w:color w:val="000000"/>
                <w:sz w:val="18"/>
                <w:szCs w:val="18"/>
              </w:rPr>
            </w:pPr>
            <w:r>
              <w:rPr>
                <w:color w:val="000000"/>
                <w:kern w:val="0"/>
                <w:sz w:val="18"/>
                <w:szCs w:val="18"/>
                <w:lang w:bidi="ar"/>
              </w:rPr>
              <w:t>53</w:t>
            </w:r>
          </w:p>
        </w:tc>
        <w:tc>
          <w:tcPr>
            <w:tcW w:w="177" w:type="pct"/>
            <w:noWrap w:val="0"/>
            <w:vAlign w:val="center"/>
          </w:tcPr>
          <w:p w14:paraId="56EBE45C">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19D41C5F">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645AFEC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05D9D96">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40079A8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48D39C1C">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2D8ED5D">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BC99D9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4732CF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550B022">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5785B9E8">
            <w:pPr>
              <w:widowControl/>
              <w:jc w:val="center"/>
              <w:textAlignment w:val="center"/>
              <w:rPr>
                <w:color w:val="000000"/>
                <w:sz w:val="18"/>
                <w:szCs w:val="18"/>
              </w:rPr>
            </w:pPr>
            <w:r>
              <w:rPr>
                <w:color w:val="000000"/>
                <w:kern w:val="0"/>
                <w:sz w:val="18"/>
                <w:szCs w:val="18"/>
                <w:lang w:bidi="ar"/>
              </w:rPr>
              <w:t xml:space="preserve">50 </w:t>
            </w:r>
          </w:p>
        </w:tc>
      </w:tr>
      <w:tr w14:paraId="790E5B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E2DF5DA">
            <w:pPr>
              <w:widowControl/>
              <w:jc w:val="center"/>
              <w:textAlignment w:val="center"/>
              <w:rPr>
                <w:color w:val="000000"/>
                <w:kern w:val="0"/>
                <w:sz w:val="18"/>
                <w:szCs w:val="18"/>
                <w:lang w:bidi="ar"/>
              </w:rPr>
            </w:pPr>
            <w:r>
              <w:rPr>
                <w:color w:val="000000"/>
                <w:kern w:val="0"/>
                <w:sz w:val="18"/>
                <w:szCs w:val="18"/>
                <w:lang w:bidi="ar"/>
              </w:rPr>
              <w:t>12</w:t>
            </w:r>
          </w:p>
        </w:tc>
        <w:tc>
          <w:tcPr>
            <w:tcW w:w="463" w:type="pct"/>
            <w:noWrap w:val="0"/>
            <w:vAlign w:val="center"/>
          </w:tcPr>
          <w:p w14:paraId="4A2025BA">
            <w:pPr>
              <w:widowControl/>
              <w:jc w:val="center"/>
              <w:textAlignment w:val="center"/>
              <w:rPr>
                <w:color w:val="000000"/>
                <w:sz w:val="18"/>
                <w:szCs w:val="18"/>
              </w:rPr>
            </w:pPr>
            <w:r>
              <w:rPr>
                <w:rFonts w:hint="eastAsia"/>
                <w:color w:val="000000"/>
                <w:sz w:val="18"/>
                <w:szCs w:val="18"/>
              </w:rPr>
              <w:t>旋风机4#</w:t>
            </w:r>
          </w:p>
        </w:tc>
        <w:tc>
          <w:tcPr>
            <w:tcW w:w="181" w:type="pct"/>
            <w:noWrap w:val="0"/>
            <w:vAlign w:val="center"/>
          </w:tcPr>
          <w:p w14:paraId="214C3B37">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7BA921E0">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899C31E">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8E6193E">
            <w:pPr>
              <w:widowControl/>
              <w:jc w:val="center"/>
              <w:textAlignment w:val="center"/>
              <w:rPr>
                <w:color w:val="000000"/>
                <w:sz w:val="18"/>
                <w:szCs w:val="18"/>
              </w:rPr>
            </w:pPr>
            <w:r>
              <w:rPr>
                <w:rFonts w:hint="eastAsia"/>
                <w:color w:val="000000"/>
                <w:sz w:val="18"/>
                <w:szCs w:val="18"/>
              </w:rPr>
              <w:t>37</w:t>
            </w:r>
          </w:p>
        </w:tc>
        <w:tc>
          <w:tcPr>
            <w:tcW w:w="206" w:type="pct"/>
            <w:noWrap w:val="0"/>
            <w:vAlign w:val="center"/>
          </w:tcPr>
          <w:p w14:paraId="2CB05754">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1670A0F8">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7B25482">
            <w:pPr>
              <w:widowControl/>
              <w:jc w:val="center"/>
              <w:textAlignment w:val="center"/>
              <w:rPr>
                <w:color w:val="000000"/>
                <w:sz w:val="18"/>
                <w:szCs w:val="18"/>
              </w:rPr>
            </w:pPr>
            <w:r>
              <w:rPr>
                <w:color w:val="000000"/>
                <w:kern w:val="0"/>
                <w:sz w:val="18"/>
                <w:szCs w:val="18"/>
                <w:lang w:bidi="ar"/>
              </w:rPr>
              <w:t>52</w:t>
            </w:r>
          </w:p>
        </w:tc>
        <w:tc>
          <w:tcPr>
            <w:tcW w:w="174" w:type="pct"/>
            <w:noWrap w:val="0"/>
            <w:vAlign w:val="center"/>
          </w:tcPr>
          <w:p w14:paraId="167CAF9A">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7B691812">
            <w:pPr>
              <w:widowControl/>
              <w:jc w:val="center"/>
              <w:textAlignment w:val="center"/>
              <w:rPr>
                <w:color w:val="000000"/>
                <w:sz w:val="18"/>
                <w:szCs w:val="18"/>
              </w:rPr>
            </w:pPr>
            <w:r>
              <w:rPr>
                <w:color w:val="000000"/>
                <w:kern w:val="0"/>
                <w:sz w:val="18"/>
                <w:szCs w:val="18"/>
                <w:lang w:bidi="ar"/>
              </w:rPr>
              <w:t>61</w:t>
            </w:r>
          </w:p>
        </w:tc>
        <w:tc>
          <w:tcPr>
            <w:tcW w:w="177" w:type="pct"/>
            <w:noWrap w:val="0"/>
            <w:vAlign w:val="center"/>
          </w:tcPr>
          <w:p w14:paraId="2B3F43AF">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7A9D5D96">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6CA3EC9">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7D40FD7">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3FFA6164">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FA4C956">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AE3DA07">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61A512C">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1F24E3B8">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FD96C73">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09590696">
            <w:pPr>
              <w:widowControl/>
              <w:jc w:val="center"/>
              <w:textAlignment w:val="center"/>
              <w:rPr>
                <w:color w:val="000000"/>
                <w:sz w:val="18"/>
                <w:szCs w:val="18"/>
              </w:rPr>
            </w:pPr>
            <w:r>
              <w:rPr>
                <w:color w:val="000000"/>
                <w:kern w:val="0"/>
                <w:sz w:val="18"/>
                <w:szCs w:val="18"/>
                <w:lang w:bidi="ar"/>
              </w:rPr>
              <w:t xml:space="preserve">50 </w:t>
            </w:r>
          </w:p>
        </w:tc>
      </w:tr>
      <w:tr w14:paraId="0EE188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74C2175">
            <w:pPr>
              <w:widowControl/>
              <w:jc w:val="center"/>
              <w:textAlignment w:val="center"/>
              <w:rPr>
                <w:color w:val="000000"/>
                <w:kern w:val="0"/>
                <w:sz w:val="18"/>
                <w:szCs w:val="18"/>
                <w:lang w:bidi="ar"/>
              </w:rPr>
            </w:pPr>
            <w:r>
              <w:rPr>
                <w:color w:val="000000"/>
                <w:kern w:val="0"/>
                <w:sz w:val="18"/>
                <w:szCs w:val="18"/>
                <w:lang w:bidi="ar"/>
              </w:rPr>
              <w:t>13</w:t>
            </w:r>
          </w:p>
        </w:tc>
        <w:tc>
          <w:tcPr>
            <w:tcW w:w="463" w:type="pct"/>
            <w:noWrap w:val="0"/>
            <w:vAlign w:val="center"/>
          </w:tcPr>
          <w:p w14:paraId="10BA7A6D">
            <w:pPr>
              <w:widowControl/>
              <w:jc w:val="center"/>
              <w:textAlignment w:val="center"/>
              <w:rPr>
                <w:color w:val="000000"/>
                <w:sz w:val="18"/>
                <w:szCs w:val="18"/>
              </w:rPr>
            </w:pPr>
            <w:r>
              <w:rPr>
                <w:rFonts w:hint="eastAsia"/>
                <w:color w:val="000000"/>
                <w:sz w:val="18"/>
                <w:szCs w:val="18"/>
              </w:rPr>
              <w:t>旋风机5#</w:t>
            </w:r>
          </w:p>
        </w:tc>
        <w:tc>
          <w:tcPr>
            <w:tcW w:w="181" w:type="pct"/>
            <w:noWrap w:val="0"/>
            <w:vAlign w:val="center"/>
          </w:tcPr>
          <w:p w14:paraId="34E0363B">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D60B122">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D8DA1F8">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F342DDC">
            <w:pPr>
              <w:widowControl/>
              <w:jc w:val="center"/>
              <w:textAlignment w:val="center"/>
              <w:rPr>
                <w:color w:val="000000"/>
                <w:sz w:val="18"/>
                <w:szCs w:val="18"/>
              </w:rPr>
            </w:pPr>
            <w:r>
              <w:rPr>
                <w:rFonts w:hint="eastAsia"/>
                <w:color w:val="000000"/>
                <w:sz w:val="18"/>
                <w:szCs w:val="18"/>
              </w:rPr>
              <w:t>45</w:t>
            </w:r>
          </w:p>
        </w:tc>
        <w:tc>
          <w:tcPr>
            <w:tcW w:w="206" w:type="pct"/>
            <w:noWrap w:val="0"/>
            <w:vAlign w:val="center"/>
          </w:tcPr>
          <w:p w14:paraId="07C0BB6B">
            <w:pPr>
              <w:widowControl/>
              <w:jc w:val="center"/>
              <w:textAlignment w:val="center"/>
              <w:rPr>
                <w:color w:val="000000"/>
                <w:sz w:val="18"/>
                <w:szCs w:val="18"/>
              </w:rPr>
            </w:pPr>
            <w:r>
              <w:rPr>
                <w:rFonts w:hint="eastAsia"/>
                <w:color w:val="000000"/>
                <w:sz w:val="18"/>
                <w:szCs w:val="18"/>
              </w:rPr>
              <w:t>86</w:t>
            </w:r>
          </w:p>
        </w:tc>
        <w:tc>
          <w:tcPr>
            <w:tcW w:w="156" w:type="pct"/>
            <w:noWrap w:val="0"/>
            <w:vAlign w:val="center"/>
          </w:tcPr>
          <w:p w14:paraId="44BC8916">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1FE30ED1">
            <w:pPr>
              <w:widowControl/>
              <w:jc w:val="center"/>
              <w:textAlignment w:val="center"/>
              <w:rPr>
                <w:color w:val="000000"/>
                <w:sz w:val="18"/>
                <w:szCs w:val="18"/>
              </w:rPr>
            </w:pPr>
            <w:r>
              <w:rPr>
                <w:color w:val="000000"/>
                <w:kern w:val="0"/>
                <w:sz w:val="18"/>
                <w:szCs w:val="18"/>
                <w:lang w:bidi="ar"/>
              </w:rPr>
              <w:t>79</w:t>
            </w:r>
          </w:p>
        </w:tc>
        <w:tc>
          <w:tcPr>
            <w:tcW w:w="174" w:type="pct"/>
            <w:noWrap w:val="0"/>
            <w:vAlign w:val="center"/>
          </w:tcPr>
          <w:p w14:paraId="3C115129">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5E930CDF">
            <w:pPr>
              <w:widowControl/>
              <w:jc w:val="center"/>
              <w:textAlignment w:val="center"/>
              <w:rPr>
                <w:color w:val="000000"/>
                <w:sz w:val="18"/>
                <w:szCs w:val="18"/>
              </w:rPr>
            </w:pPr>
            <w:r>
              <w:rPr>
                <w:color w:val="000000"/>
                <w:kern w:val="0"/>
                <w:sz w:val="18"/>
                <w:szCs w:val="18"/>
                <w:lang w:bidi="ar"/>
              </w:rPr>
              <w:t>34</w:t>
            </w:r>
          </w:p>
        </w:tc>
        <w:tc>
          <w:tcPr>
            <w:tcW w:w="177" w:type="pct"/>
            <w:noWrap w:val="0"/>
            <w:vAlign w:val="center"/>
          </w:tcPr>
          <w:p w14:paraId="0A74979A">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37303D13">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3E133E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294F09F">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41FA352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7530EFEF">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1DFC790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E066C57">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1DBD4B9E">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B9494E9">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0DDE83D8">
            <w:pPr>
              <w:widowControl/>
              <w:jc w:val="center"/>
              <w:textAlignment w:val="center"/>
              <w:rPr>
                <w:color w:val="000000"/>
                <w:sz w:val="18"/>
                <w:szCs w:val="18"/>
              </w:rPr>
            </w:pPr>
            <w:r>
              <w:rPr>
                <w:color w:val="000000"/>
                <w:kern w:val="0"/>
                <w:sz w:val="18"/>
                <w:szCs w:val="18"/>
                <w:lang w:bidi="ar"/>
              </w:rPr>
              <w:t xml:space="preserve">50 </w:t>
            </w:r>
          </w:p>
        </w:tc>
      </w:tr>
      <w:tr w14:paraId="394A7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36083E6">
            <w:pPr>
              <w:widowControl/>
              <w:jc w:val="center"/>
              <w:textAlignment w:val="center"/>
              <w:rPr>
                <w:color w:val="000000"/>
                <w:kern w:val="0"/>
                <w:sz w:val="18"/>
                <w:szCs w:val="18"/>
                <w:lang w:bidi="ar"/>
              </w:rPr>
            </w:pPr>
            <w:r>
              <w:rPr>
                <w:color w:val="000000"/>
                <w:kern w:val="0"/>
                <w:sz w:val="18"/>
                <w:szCs w:val="18"/>
                <w:lang w:bidi="ar"/>
              </w:rPr>
              <w:t>14</w:t>
            </w:r>
          </w:p>
        </w:tc>
        <w:tc>
          <w:tcPr>
            <w:tcW w:w="463" w:type="pct"/>
            <w:noWrap w:val="0"/>
            <w:vAlign w:val="center"/>
          </w:tcPr>
          <w:p w14:paraId="2388DF8B">
            <w:pPr>
              <w:widowControl/>
              <w:jc w:val="center"/>
              <w:textAlignment w:val="center"/>
              <w:rPr>
                <w:color w:val="000000"/>
                <w:sz w:val="18"/>
                <w:szCs w:val="18"/>
              </w:rPr>
            </w:pPr>
            <w:r>
              <w:rPr>
                <w:rFonts w:hint="eastAsia"/>
                <w:color w:val="000000"/>
                <w:sz w:val="18"/>
                <w:szCs w:val="18"/>
              </w:rPr>
              <w:t>旋风机6#</w:t>
            </w:r>
          </w:p>
        </w:tc>
        <w:tc>
          <w:tcPr>
            <w:tcW w:w="181" w:type="pct"/>
            <w:noWrap w:val="0"/>
            <w:vAlign w:val="center"/>
          </w:tcPr>
          <w:p w14:paraId="6129AA20">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671EC96D">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DE6C2F6">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798110E">
            <w:pPr>
              <w:widowControl/>
              <w:jc w:val="center"/>
              <w:textAlignment w:val="center"/>
              <w:rPr>
                <w:color w:val="000000"/>
                <w:sz w:val="18"/>
                <w:szCs w:val="18"/>
              </w:rPr>
            </w:pPr>
            <w:r>
              <w:rPr>
                <w:rFonts w:hint="eastAsia"/>
                <w:color w:val="000000"/>
                <w:sz w:val="18"/>
                <w:szCs w:val="18"/>
              </w:rPr>
              <w:t>42</w:t>
            </w:r>
          </w:p>
        </w:tc>
        <w:tc>
          <w:tcPr>
            <w:tcW w:w="206" w:type="pct"/>
            <w:noWrap w:val="0"/>
            <w:vAlign w:val="center"/>
          </w:tcPr>
          <w:p w14:paraId="4AB45CCC">
            <w:pPr>
              <w:widowControl/>
              <w:jc w:val="center"/>
              <w:textAlignment w:val="center"/>
              <w:rPr>
                <w:color w:val="000000"/>
                <w:sz w:val="18"/>
                <w:szCs w:val="18"/>
              </w:rPr>
            </w:pPr>
            <w:r>
              <w:rPr>
                <w:rFonts w:hint="eastAsia"/>
                <w:color w:val="000000"/>
                <w:sz w:val="18"/>
                <w:szCs w:val="18"/>
              </w:rPr>
              <w:t>86</w:t>
            </w:r>
          </w:p>
        </w:tc>
        <w:tc>
          <w:tcPr>
            <w:tcW w:w="156" w:type="pct"/>
            <w:noWrap w:val="0"/>
            <w:vAlign w:val="center"/>
          </w:tcPr>
          <w:p w14:paraId="2E1390EF">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005195F2">
            <w:pPr>
              <w:widowControl/>
              <w:jc w:val="center"/>
              <w:textAlignment w:val="center"/>
              <w:rPr>
                <w:color w:val="000000"/>
                <w:sz w:val="18"/>
                <w:szCs w:val="18"/>
              </w:rPr>
            </w:pPr>
            <w:r>
              <w:rPr>
                <w:color w:val="000000"/>
                <w:kern w:val="0"/>
                <w:sz w:val="18"/>
                <w:szCs w:val="18"/>
                <w:lang w:bidi="ar"/>
              </w:rPr>
              <w:t>71</w:t>
            </w:r>
          </w:p>
        </w:tc>
        <w:tc>
          <w:tcPr>
            <w:tcW w:w="174" w:type="pct"/>
            <w:noWrap w:val="0"/>
            <w:vAlign w:val="center"/>
          </w:tcPr>
          <w:p w14:paraId="60358F03">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67CD2866">
            <w:pPr>
              <w:widowControl/>
              <w:jc w:val="center"/>
              <w:textAlignment w:val="center"/>
              <w:rPr>
                <w:color w:val="000000"/>
                <w:sz w:val="18"/>
                <w:szCs w:val="18"/>
              </w:rPr>
            </w:pPr>
            <w:r>
              <w:rPr>
                <w:color w:val="000000"/>
                <w:kern w:val="0"/>
                <w:sz w:val="18"/>
                <w:szCs w:val="18"/>
                <w:lang w:bidi="ar"/>
              </w:rPr>
              <w:t>42</w:t>
            </w:r>
          </w:p>
        </w:tc>
        <w:tc>
          <w:tcPr>
            <w:tcW w:w="177" w:type="pct"/>
            <w:noWrap w:val="0"/>
            <w:vAlign w:val="center"/>
          </w:tcPr>
          <w:p w14:paraId="130FA01F">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6329B8C9">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61FF1D2">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F88A938">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78BD806">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1C0B4BA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783A488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76C40A2A">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A251CA3">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64434EF">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5F4523CE">
            <w:pPr>
              <w:widowControl/>
              <w:jc w:val="center"/>
              <w:textAlignment w:val="center"/>
              <w:rPr>
                <w:color w:val="000000"/>
                <w:sz w:val="18"/>
                <w:szCs w:val="18"/>
              </w:rPr>
            </w:pPr>
            <w:r>
              <w:rPr>
                <w:color w:val="000000"/>
                <w:kern w:val="0"/>
                <w:sz w:val="18"/>
                <w:szCs w:val="18"/>
                <w:lang w:bidi="ar"/>
              </w:rPr>
              <w:t xml:space="preserve">50 </w:t>
            </w:r>
          </w:p>
        </w:tc>
      </w:tr>
      <w:tr w14:paraId="2D7DE2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DB73B41">
            <w:pPr>
              <w:widowControl/>
              <w:jc w:val="center"/>
              <w:textAlignment w:val="center"/>
              <w:rPr>
                <w:color w:val="000000"/>
                <w:kern w:val="0"/>
                <w:sz w:val="18"/>
                <w:szCs w:val="18"/>
                <w:lang w:bidi="ar"/>
              </w:rPr>
            </w:pPr>
            <w:r>
              <w:rPr>
                <w:color w:val="000000"/>
                <w:kern w:val="0"/>
                <w:sz w:val="18"/>
                <w:szCs w:val="18"/>
                <w:lang w:bidi="ar"/>
              </w:rPr>
              <w:t>15</w:t>
            </w:r>
          </w:p>
        </w:tc>
        <w:tc>
          <w:tcPr>
            <w:tcW w:w="463" w:type="pct"/>
            <w:noWrap w:val="0"/>
            <w:vAlign w:val="center"/>
          </w:tcPr>
          <w:p w14:paraId="3451779E">
            <w:pPr>
              <w:widowControl/>
              <w:jc w:val="center"/>
              <w:textAlignment w:val="center"/>
              <w:rPr>
                <w:color w:val="000000"/>
                <w:sz w:val="18"/>
                <w:szCs w:val="18"/>
              </w:rPr>
            </w:pPr>
            <w:r>
              <w:rPr>
                <w:rFonts w:hint="eastAsia"/>
                <w:color w:val="000000"/>
                <w:sz w:val="18"/>
                <w:szCs w:val="18"/>
              </w:rPr>
              <w:t>旋风机7#</w:t>
            </w:r>
          </w:p>
        </w:tc>
        <w:tc>
          <w:tcPr>
            <w:tcW w:w="181" w:type="pct"/>
            <w:noWrap w:val="0"/>
            <w:vAlign w:val="center"/>
          </w:tcPr>
          <w:p w14:paraId="19101329">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19A13B84">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75EED7D">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2B5CB80B">
            <w:pPr>
              <w:widowControl/>
              <w:jc w:val="center"/>
              <w:textAlignment w:val="center"/>
              <w:rPr>
                <w:color w:val="000000"/>
                <w:sz w:val="18"/>
                <w:szCs w:val="18"/>
              </w:rPr>
            </w:pPr>
            <w:r>
              <w:rPr>
                <w:rFonts w:hint="eastAsia"/>
                <w:color w:val="000000"/>
                <w:sz w:val="18"/>
                <w:szCs w:val="18"/>
              </w:rPr>
              <w:t>42</w:t>
            </w:r>
          </w:p>
        </w:tc>
        <w:tc>
          <w:tcPr>
            <w:tcW w:w="206" w:type="pct"/>
            <w:noWrap w:val="0"/>
            <w:vAlign w:val="center"/>
          </w:tcPr>
          <w:p w14:paraId="7D7DF27B">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7435157D">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640E12D5">
            <w:pPr>
              <w:widowControl/>
              <w:jc w:val="center"/>
              <w:textAlignment w:val="center"/>
              <w:rPr>
                <w:color w:val="000000"/>
                <w:sz w:val="18"/>
                <w:szCs w:val="18"/>
              </w:rPr>
            </w:pPr>
            <w:r>
              <w:rPr>
                <w:color w:val="000000"/>
                <w:kern w:val="0"/>
                <w:sz w:val="18"/>
                <w:szCs w:val="18"/>
                <w:lang w:bidi="ar"/>
              </w:rPr>
              <w:t>63</w:t>
            </w:r>
          </w:p>
        </w:tc>
        <w:tc>
          <w:tcPr>
            <w:tcW w:w="174" w:type="pct"/>
            <w:noWrap w:val="0"/>
            <w:vAlign w:val="center"/>
          </w:tcPr>
          <w:p w14:paraId="2731CBDF">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26FC0155">
            <w:pPr>
              <w:widowControl/>
              <w:jc w:val="center"/>
              <w:textAlignment w:val="center"/>
              <w:rPr>
                <w:color w:val="000000"/>
                <w:sz w:val="18"/>
                <w:szCs w:val="18"/>
              </w:rPr>
            </w:pPr>
            <w:r>
              <w:rPr>
                <w:color w:val="000000"/>
                <w:kern w:val="0"/>
                <w:sz w:val="18"/>
                <w:szCs w:val="18"/>
                <w:lang w:bidi="ar"/>
              </w:rPr>
              <w:t>50</w:t>
            </w:r>
          </w:p>
        </w:tc>
        <w:tc>
          <w:tcPr>
            <w:tcW w:w="177" w:type="pct"/>
            <w:noWrap w:val="0"/>
            <w:vAlign w:val="center"/>
          </w:tcPr>
          <w:p w14:paraId="0D8EE9B3">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7FA44E0A">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E06FAD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EBDF7ED">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BA4C27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702FFC1B">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67F91427">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E231FD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D47E986">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06DF5D5">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4A0F548">
            <w:pPr>
              <w:widowControl/>
              <w:jc w:val="center"/>
              <w:textAlignment w:val="center"/>
              <w:rPr>
                <w:color w:val="000000"/>
                <w:sz w:val="18"/>
                <w:szCs w:val="18"/>
              </w:rPr>
            </w:pPr>
            <w:r>
              <w:rPr>
                <w:color w:val="000000"/>
                <w:kern w:val="0"/>
                <w:sz w:val="18"/>
                <w:szCs w:val="18"/>
                <w:lang w:bidi="ar"/>
              </w:rPr>
              <w:t xml:space="preserve">50 </w:t>
            </w:r>
          </w:p>
        </w:tc>
      </w:tr>
      <w:tr w14:paraId="5DF0F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12F5CFD">
            <w:pPr>
              <w:widowControl/>
              <w:jc w:val="center"/>
              <w:textAlignment w:val="center"/>
              <w:rPr>
                <w:color w:val="000000"/>
                <w:kern w:val="0"/>
                <w:sz w:val="18"/>
                <w:szCs w:val="18"/>
                <w:lang w:bidi="ar"/>
              </w:rPr>
            </w:pPr>
            <w:r>
              <w:rPr>
                <w:color w:val="000000"/>
                <w:kern w:val="0"/>
                <w:sz w:val="18"/>
                <w:szCs w:val="18"/>
                <w:lang w:bidi="ar"/>
              </w:rPr>
              <w:t>16</w:t>
            </w:r>
          </w:p>
        </w:tc>
        <w:tc>
          <w:tcPr>
            <w:tcW w:w="463" w:type="pct"/>
            <w:noWrap w:val="0"/>
            <w:vAlign w:val="center"/>
          </w:tcPr>
          <w:p w14:paraId="18B4ACD2">
            <w:pPr>
              <w:widowControl/>
              <w:jc w:val="center"/>
              <w:textAlignment w:val="center"/>
              <w:rPr>
                <w:color w:val="000000"/>
                <w:sz w:val="18"/>
                <w:szCs w:val="18"/>
              </w:rPr>
            </w:pPr>
            <w:r>
              <w:rPr>
                <w:rFonts w:hint="eastAsia"/>
                <w:color w:val="000000"/>
                <w:sz w:val="18"/>
                <w:szCs w:val="18"/>
              </w:rPr>
              <w:t>旋风机8#</w:t>
            </w:r>
          </w:p>
        </w:tc>
        <w:tc>
          <w:tcPr>
            <w:tcW w:w="181" w:type="pct"/>
            <w:noWrap w:val="0"/>
            <w:vAlign w:val="center"/>
          </w:tcPr>
          <w:p w14:paraId="36E8BFC1">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62AACC26">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6600486">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10C5A1E1">
            <w:pPr>
              <w:widowControl/>
              <w:jc w:val="center"/>
              <w:textAlignment w:val="center"/>
              <w:rPr>
                <w:color w:val="000000"/>
                <w:sz w:val="18"/>
                <w:szCs w:val="18"/>
              </w:rPr>
            </w:pPr>
            <w:r>
              <w:rPr>
                <w:rFonts w:hint="eastAsia"/>
                <w:color w:val="000000"/>
                <w:sz w:val="18"/>
                <w:szCs w:val="18"/>
              </w:rPr>
              <w:t>45</w:t>
            </w:r>
          </w:p>
        </w:tc>
        <w:tc>
          <w:tcPr>
            <w:tcW w:w="206" w:type="pct"/>
            <w:noWrap w:val="0"/>
            <w:vAlign w:val="center"/>
          </w:tcPr>
          <w:p w14:paraId="3C7A6FA0">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1D51EBDA">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267CCA37">
            <w:pPr>
              <w:widowControl/>
              <w:jc w:val="center"/>
              <w:textAlignment w:val="center"/>
              <w:rPr>
                <w:color w:val="000000"/>
                <w:sz w:val="18"/>
                <w:szCs w:val="18"/>
              </w:rPr>
            </w:pPr>
            <w:r>
              <w:rPr>
                <w:color w:val="000000"/>
                <w:kern w:val="0"/>
                <w:sz w:val="18"/>
                <w:szCs w:val="18"/>
                <w:lang w:bidi="ar"/>
              </w:rPr>
              <w:t>55</w:t>
            </w:r>
          </w:p>
        </w:tc>
        <w:tc>
          <w:tcPr>
            <w:tcW w:w="174" w:type="pct"/>
            <w:noWrap w:val="0"/>
            <w:vAlign w:val="center"/>
          </w:tcPr>
          <w:p w14:paraId="2E1AFFA8">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4A0E5B56">
            <w:pPr>
              <w:widowControl/>
              <w:jc w:val="center"/>
              <w:textAlignment w:val="center"/>
              <w:rPr>
                <w:color w:val="000000"/>
                <w:sz w:val="18"/>
                <w:szCs w:val="18"/>
              </w:rPr>
            </w:pPr>
            <w:r>
              <w:rPr>
                <w:color w:val="000000"/>
                <w:kern w:val="0"/>
                <w:sz w:val="18"/>
                <w:szCs w:val="18"/>
                <w:lang w:bidi="ar"/>
              </w:rPr>
              <w:t>58</w:t>
            </w:r>
          </w:p>
        </w:tc>
        <w:tc>
          <w:tcPr>
            <w:tcW w:w="177" w:type="pct"/>
            <w:noWrap w:val="0"/>
            <w:vAlign w:val="center"/>
          </w:tcPr>
          <w:p w14:paraId="37DCFCA4">
            <w:pPr>
              <w:widowControl/>
              <w:jc w:val="center"/>
              <w:textAlignment w:val="center"/>
              <w:rPr>
                <w:color w:val="000000"/>
                <w:sz w:val="18"/>
                <w:szCs w:val="18"/>
              </w:rPr>
            </w:pPr>
            <w:r>
              <w:rPr>
                <w:color w:val="000000"/>
                <w:kern w:val="0"/>
                <w:sz w:val="18"/>
                <w:szCs w:val="18"/>
                <w:lang w:bidi="ar"/>
              </w:rPr>
              <w:t>22</w:t>
            </w:r>
          </w:p>
        </w:tc>
        <w:tc>
          <w:tcPr>
            <w:tcW w:w="215" w:type="pct"/>
            <w:noWrap w:val="0"/>
            <w:vAlign w:val="center"/>
          </w:tcPr>
          <w:p w14:paraId="39C2EEAA">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54D371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47BFA72">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286C464B">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7470232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44386B8">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0597228">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74C1A41E">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D2F6CFE">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44873A2">
            <w:pPr>
              <w:widowControl/>
              <w:jc w:val="center"/>
              <w:textAlignment w:val="center"/>
              <w:rPr>
                <w:color w:val="000000"/>
                <w:sz w:val="18"/>
                <w:szCs w:val="18"/>
              </w:rPr>
            </w:pPr>
            <w:r>
              <w:rPr>
                <w:color w:val="000000"/>
                <w:kern w:val="0"/>
                <w:sz w:val="18"/>
                <w:szCs w:val="18"/>
                <w:lang w:bidi="ar"/>
              </w:rPr>
              <w:t xml:space="preserve">50 </w:t>
            </w:r>
          </w:p>
        </w:tc>
      </w:tr>
      <w:tr w14:paraId="38F5A8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5563C4B">
            <w:pPr>
              <w:widowControl/>
              <w:jc w:val="center"/>
              <w:textAlignment w:val="center"/>
              <w:rPr>
                <w:color w:val="000000"/>
                <w:kern w:val="0"/>
                <w:sz w:val="18"/>
                <w:szCs w:val="18"/>
                <w:lang w:bidi="ar"/>
              </w:rPr>
            </w:pPr>
            <w:r>
              <w:rPr>
                <w:color w:val="000000"/>
                <w:kern w:val="0"/>
                <w:sz w:val="18"/>
                <w:szCs w:val="18"/>
                <w:lang w:bidi="ar"/>
              </w:rPr>
              <w:t>17</w:t>
            </w:r>
          </w:p>
        </w:tc>
        <w:tc>
          <w:tcPr>
            <w:tcW w:w="463" w:type="pct"/>
            <w:noWrap w:val="0"/>
            <w:vAlign w:val="center"/>
          </w:tcPr>
          <w:p w14:paraId="5929DAE0">
            <w:pPr>
              <w:widowControl/>
              <w:jc w:val="center"/>
              <w:textAlignment w:val="center"/>
              <w:rPr>
                <w:color w:val="000000"/>
                <w:sz w:val="18"/>
                <w:szCs w:val="18"/>
              </w:rPr>
            </w:pPr>
            <w:r>
              <w:rPr>
                <w:color w:val="000000"/>
                <w:sz w:val="18"/>
                <w:szCs w:val="18"/>
              </w:rPr>
              <w:t>振动筛</w:t>
            </w:r>
            <w:r>
              <w:rPr>
                <w:rFonts w:hint="eastAsia"/>
                <w:color w:val="000000"/>
                <w:sz w:val="18"/>
                <w:szCs w:val="18"/>
              </w:rPr>
              <w:t>1#</w:t>
            </w:r>
          </w:p>
        </w:tc>
        <w:tc>
          <w:tcPr>
            <w:tcW w:w="181" w:type="pct"/>
            <w:noWrap w:val="0"/>
            <w:vAlign w:val="center"/>
          </w:tcPr>
          <w:p w14:paraId="20B11114">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F8CCD4A">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7280840">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B515513">
            <w:pPr>
              <w:widowControl/>
              <w:jc w:val="center"/>
              <w:textAlignment w:val="center"/>
              <w:rPr>
                <w:color w:val="000000"/>
                <w:sz w:val="18"/>
                <w:szCs w:val="18"/>
              </w:rPr>
            </w:pPr>
            <w:r>
              <w:rPr>
                <w:rFonts w:hint="eastAsia"/>
                <w:color w:val="000000"/>
                <w:sz w:val="18"/>
                <w:szCs w:val="18"/>
              </w:rPr>
              <w:t>33</w:t>
            </w:r>
          </w:p>
        </w:tc>
        <w:tc>
          <w:tcPr>
            <w:tcW w:w="206" w:type="pct"/>
            <w:noWrap w:val="0"/>
            <w:vAlign w:val="center"/>
          </w:tcPr>
          <w:p w14:paraId="6764CB9A">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7D76F125">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27C5136E">
            <w:pPr>
              <w:widowControl/>
              <w:jc w:val="center"/>
              <w:textAlignment w:val="center"/>
              <w:rPr>
                <w:color w:val="000000"/>
                <w:sz w:val="18"/>
                <w:szCs w:val="18"/>
              </w:rPr>
            </w:pPr>
            <w:r>
              <w:rPr>
                <w:color w:val="000000"/>
                <w:kern w:val="0"/>
                <w:sz w:val="18"/>
                <w:szCs w:val="18"/>
                <w:lang w:bidi="ar"/>
              </w:rPr>
              <w:t>80</w:t>
            </w:r>
          </w:p>
        </w:tc>
        <w:tc>
          <w:tcPr>
            <w:tcW w:w="174" w:type="pct"/>
            <w:noWrap w:val="0"/>
            <w:vAlign w:val="center"/>
          </w:tcPr>
          <w:p w14:paraId="792B1837">
            <w:pPr>
              <w:widowControl/>
              <w:jc w:val="center"/>
              <w:textAlignment w:val="center"/>
              <w:rPr>
                <w:color w:val="000000"/>
                <w:sz w:val="18"/>
                <w:szCs w:val="18"/>
              </w:rPr>
            </w:pPr>
            <w:r>
              <w:rPr>
                <w:color w:val="000000"/>
                <w:kern w:val="0"/>
                <w:sz w:val="18"/>
                <w:szCs w:val="18"/>
                <w:lang w:bidi="ar"/>
              </w:rPr>
              <w:t>56</w:t>
            </w:r>
          </w:p>
        </w:tc>
        <w:tc>
          <w:tcPr>
            <w:tcW w:w="174" w:type="pct"/>
            <w:noWrap w:val="0"/>
            <w:vAlign w:val="center"/>
          </w:tcPr>
          <w:p w14:paraId="1CF157B2">
            <w:pPr>
              <w:widowControl/>
              <w:jc w:val="center"/>
              <w:textAlignment w:val="center"/>
              <w:rPr>
                <w:color w:val="000000"/>
                <w:sz w:val="18"/>
                <w:szCs w:val="18"/>
              </w:rPr>
            </w:pPr>
            <w:r>
              <w:rPr>
                <w:color w:val="000000"/>
                <w:kern w:val="0"/>
                <w:sz w:val="18"/>
                <w:szCs w:val="18"/>
                <w:lang w:bidi="ar"/>
              </w:rPr>
              <w:t>33</w:t>
            </w:r>
          </w:p>
        </w:tc>
        <w:tc>
          <w:tcPr>
            <w:tcW w:w="177" w:type="pct"/>
            <w:noWrap w:val="0"/>
            <w:vAlign w:val="center"/>
          </w:tcPr>
          <w:p w14:paraId="2875258C">
            <w:pPr>
              <w:widowControl/>
              <w:jc w:val="center"/>
              <w:textAlignment w:val="center"/>
              <w:rPr>
                <w:color w:val="000000"/>
                <w:sz w:val="18"/>
                <w:szCs w:val="18"/>
              </w:rPr>
            </w:pPr>
            <w:r>
              <w:rPr>
                <w:color w:val="000000"/>
                <w:kern w:val="0"/>
                <w:sz w:val="18"/>
                <w:szCs w:val="18"/>
                <w:lang w:bidi="ar"/>
              </w:rPr>
              <w:t>19</w:t>
            </w:r>
          </w:p>
        </w:tc>
        <w:tc>
          <w:tcPr>
            <w:tcW w:w="215" w:type="pct"/>
            <w:noWrap w:val="0"/>
            <w:vAlign w:val="center"/>
          </w:tcPr>
          <w:p w14:paraId="24D388DF">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573B9E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4DD41AC">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1E2D0C0C">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114B1AC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4ED76FB">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EC9FA6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4FBB869">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7C71AF61">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197E2F6">
            <w:pPr>
              <w:widowControl/>
              <w:jc w:val="center"/>
              <w:textAlignment w:val="center"/>
              <w:rPr>
                <w:color w:val="000000"/>
                <w:sz w:val="18"/>
                <w:szCs w:val="18"/>
              </w:rPr>
            </w:pPr>
            <w:r>
              <w:rPr>
                <w:color w:val="000000"/>
                <w:kern w:val="0"/>
                <w:sz w:val="18"/>
                <w:szCs w:val="18"/>
                <w:lang w:bidi="ar"/>
              </w:rPr>
              <w:t xml:space="preserve">50 </w:t>
            </w:r>
          </w:p>
        </w:tc>
      </w:tr>
      <w:tr w14:paraId="3E092D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A79C34A">
            <w:pPr>
              <w:widowControl/>
              <w:jc w:val="center"/>
              <w:textAlignment w:val="center"/>
              <w:rPr>
                <w:color w:val="000000"/>
                <w:kern w:val="0"/>
                <w:sz w:val="18"/>
                <w:szCs w:val="18"/>
                <w:lang w:bidi="ar"/>
              </w:rPr>
            </w:pPr>
            <w:r>
              <w:rPr>
                <w:color w:val="000000"/>
                <w:kern w:val="0"/>
                <w:sz w:val="18"/>
                <w:szCs w:val="18"/>
                <w:lang w:bidi="ar"/>
              </w:rPr>
              <w:t>18</w:t>
            </w:r>
          </w:p>
        </w:tc>
        <w:tc>
          <w:tcPr>
            <w:tcW w:w="463" w:type="pct"/>
            <w:noWrap w:val="0"/>
            <w:vAlign w:val="center"/>
          </w:tcPr>
          <w:p w14:paraId="3EBD22B7">
            <w:pPr>
              <w:widowControl/>
              <w:jc w:val="center"/>
              <w:textAlignment w:val="center"/>
              <w:rPr>
                <w:color w:val="000000"/>
                <w:sz w:val="18"/>
                <w:szCs w:val="18"/>
              </w:rPr>
            </w:pPr>
            <w:r>
              <w:rPr>
                <w:color w:val="000000"/>
                <w:sz w:val="18"/>
                <w:szCs w:val="18"/>
              </w:rPr>
              <w:t>振动筛</w:t>
            </w:r>
            <w:r>
              <w:rPr>
                <w:rFonts w:hint="eastAsia"/>
                <w:color w:val="000000"/>
                <w:sz w:val="18"/>
                <w:szCs w:val="18"/>
              </w:rPr>
              <w:t>2#</w:t>
            </w:r>
          </w:p>
        </w:tc>
        <w:tc>
          <w:tcPr>
            <w:tcW w:w="181" w:type="pct"/>
            <w:noWrap w:val="0"/>
            <w:vAlign w:val="center"/>
          </w:tcPr>
          <w:p w14:paraId="5639F60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5DF70377">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2F63748">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5C973466">
            <w:pPr>
              <w:widowControl/>
              <w:jc w:val="center"/>
              <w:textAlignment w:val="center"/>
              <w:rPr>
                <w:color w:val="000000"/>
                <w:sz w:val="18"/>
                <w:szCs w:val="18"/>
              </w:rPr>
            </w:pPr>
            <w:r>
              <w:rPr>
                <w:rFonts w:hint="eastAsia"/>
                <w:color w:val="000000"/>
                <w:sz w:val="18"/>
                <w:szCs w:val="18"/>
              </w:rPr>
              <w:t>41</w:t>
            </w:r>
          </w:p>
        </w:tc>
        <w:tc>
          <w:tcPr>
            <w:tcW w:w="206" w:type="pct"/>
            <w:noWrap w:val="0"/>
            <w:vAlign w:val="center"/>
          </w:tcPr>
          <w:p w14:paraId="05426D63">
            <w:pPr>
              <w:widowControl/>
              <w:jc w:val="center"/>
              <w:textAlignment w:val="center"/>
              <w:rPr>
                <w:color w:val="000000"/>
                <w:sz w:val="18"/>
                <w:szCs w:val="18"/>
              </w:rPr>
            </w:pPr>
            <w:r>
              <w:rPr>
                <w:rFonts w:hint="eastAsia"/>
                <w:color w:val="000000"/>
                <w:sz w:val="18"/>
                <w:szCs w:val="18"/>
              </w:rPr>
              <w:t>90</w:t>
            </w:r>
          </w:p>
        </w:tc>
        <w:tc>
          <w:tcPr>
            <w:tcW w:w="156" w:type="pct"/>
            <w:noWrap w:val="0"/>
            <w:vAlign w:val="center"/>
          </w:tcPr>
          <w:p w14:paraId="67405BFC">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73870E91">
            <w:pPr>
              <w:widowControl/>
              <w:jc w:val="center"/>
              <w:textAlignment w:val="center"/>
              <w:rPr>
                <w:color w:val="000000"/>
                <w:sz w:val="18"/>
                <w:szCs w:val="18"/>
              </w:rPr>
            </w:pPr>
            <w:r>
              <w:rPr>
                <w:color w:val="000000"/>
                <w:kern w:val="0"/>
                <w:sz w:val="18"/>
                <w:szCs w:val="18"/>
                <w:lang w:bidi="ar"/>
              </w:rPr>
              <w:t>72</w:t>
            </w:r>
          </w:p>
        </w:tc>
        <w:tc>
          <w:tcPr>
            <w:tcW w:w="174" w:type="pct"/>
            <w:noWrap w:val="0"/>
            <w:vAlign w:val="center"/>
          </w:tcPr>
          <w:p w14:paraId="15D5887F">
            <w:pPr>
              <w:widowControl/>
              <w:jc w:val="center"/>
              <w:textAlignment w:val="center"/>
              <w:rPr>
                <w:color w:val="000000"/>
                <w:sz w:val="18"/>
                <w:szCs w:val="18"/>
              </w:rPr>
            </w:pPr>
            <w:r>
              <w:rPr>
                <w:color w:val="000000"/>
                <w:kern w:val="0"/>
                <w:sz w:val="18"/>
                <w:szCs w:val="18"/>
                <w:lang w:bidi="ar"/>
              </w:rPr>
              <w:t>56</w:t>
            </w:r>
          </w:p>
        </w:tc>
        <w:tc>
          <w:tcPr>
            <w:tcW w:w="174" w:type="pct"/>
            <w:noWrap w:val="0"/>
            <w:vAlign w:val="center"/>
          </w:tcPr>
          <w:p w14:paraId="5C10EFA6">
            <w:pPr>
              <w:widowControl/>
              <w:jc w:val="center"/>
              <w:textAlignment w:val="center"/>
              <w:rPr>
                <w:color w:val="000000"/>
                <w:sz w:val="18"/>
                <w:szCs w:val="18"/>
              </w:rPr>
            </w:pPr>
            <w:r>
              <w:rPr>
                <w:color w:val="000000"/>
                <w:kern w:val="0"/>
                <w:sz w:val="18"/>
                <w:szCs w:val="18"/>
                <w:lang w:bidi="ar"/>
              </w:rPr>
              <w:t>41</w:t>
            </w:r>
          </w:p>
        </w:tc>
        <w:tc>
          <w:tcPr>
            <w:tcW w:w="177" w:type="pct"/>
            <w:noWrap w:val="0"/>
            <w:vAlign w:val="center"/>
          </w:tcPr>
          <w:p w14:paraId="54DD2580">
            <w:pPr>
              <w:widowControl/>
              <w:jc w:val="center"/>
              <w:textAlignment w:val="center"/>
              <w:rPr>
                <w:color w:val="000000"/>
                <w:sz w:val="18"/>
                <w:szCs w:val="18"/>
              </w:rPr>
            </w:pPr>
            <w:r>
              <w:rPr>
                <w:color w:val="000000"/>
                <w:kern w:val="0"/>
                <w:sz w:val="18"/>
                <w:szCs w:val="18"/>
                <w:lang w:bidi="ar"/>
              </w:rPr>
              <w:t>19</w:t>
            </w:r>
          </w:p>
        </w:tc>
        <w:tc>
          <w:tcPr>
            <w:tcW w:w="215" w:type="pct"/>
            <w:noWrap w:val="0"/>
            <w:vAlign w:val="center"/>
          </w:tcPr>
          <w:p w14:paraId="40364BC3">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5A8E26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DE8A29A">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576C9F74">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5550D959">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7C23DF17">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34ACD22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ED64CD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D8C539D">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1055B36C">
            <w:pPr>
              <w:widowControl/>
              <w:jc w:val="center"/>
              <w:textAlignment w:val="center"/>
              <w:rPr>
                <w:color w:val="000000"/>
                <w:sz w:val="18"/>
                <w:szCs w:val="18"/>
              </w:rPr>
            </w:pPr>
            <w:r>
              <w:rPr>
                <w:color w:val="000000"/>
                <w:kern w:val="0"/>
                <w:sz w:val="18"/>
                <w:szCs w:val="18"/>
                <w:lang w:bidi="ar"/>
              </w:rPr>
              <w:t xml:space="preserve">50 </w:t>
            </w:r>
          </w:p>
        </w:tc>
      </w:tr>
      <w:tr w14:paraId="557121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987D47C">
            <w:pPr>
              <w:widowControl/>
              <w:jc w:val="center"/>
              <w:textAlignment w:val="center"/>
              <w:rPr>
                <w:color w:val="000000"/>
                <w:kern w:val="0"/>
                <w:sz w:val="18"/>
                <w:szCs w:val="18"/>
                <w:lang w:bidi="ar"/>
              </w:rPr>
            </w:pPr>
            <w:r>
              <w:rPr>
                <w:color w:val="000000"/>
                <w:kern w:val="0"/>
                <w:sz w:val="18"/>
                <w:szCs w:val="18"/>
                <w:lang w:bidi="ar"/>
              </w:rPr>
              <w:t>19</w:t>
            </w:r>
          </w:p>
        </w:tc>
        <w:tc>
          <w:tcPr>
            <w:tcW w:w="463" w:type="pct"/>
            <w:noWrap w:val="0"/>
            <w:vAlign w:val="center"/>
          </w:tcPr>
          <w:p w14:paraId="18B0ADD7">
            <w:pPr>
              <w:widowControl/>
              <w:jc w:val="center"/>
              <w:textAlignment w:val="center"/>
              <w:rPr>
                <w:color w:val="000000"/>
                <w:sz w:val="18"/>
                <w:szCs w:val="18"/>
              </w:rPr>
            </w:pPr>
            <w:r>
              <w:rPr>
                <w:color w:val="000000"/>
                <w:sz w:val="18"/>
                <w:szCs w:val="18"/>
              </w:rPr>
              <w:t>密炼机</w:t>
            </w:r>
            <w:r>
              <w:rPr>
                <w:rFonts w:hint="eastAsia"/>
                <w:color w:val="000000"/>
                <w:sz w:val="18"/>
                <w:szCs w:val="18"/>
              </w:rPr>
              <w:t>1#</w:t>
            </w:r>
          </w:p>
        </w:tc>
        <w:tc>
          <w:tcPr>
            <w:tcW w:w="181" w:type="pct"/>
            <w:noWrap w:val="0"/>
            <w:vAlign w:val="center"/>
          </w:tcPr>
          <w:p w14:paraId="74AEBE52">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464F06F">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678814B8">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63F837C">
            <w:pPr>
              <w:widowControl/>
              <w:jc w:val="center"/>
              <w:textAlignment w:val="center"/>
              <w:rPr>
                <w:color w:val="000000"/>
                <w:sz w:val="18"/>
                <w:szCs w:val="18"/>
              </w:rPr>
            </w:pPr>
            <w:r>
              <w:rPr>
                <w:rFonts w:hint="eastAsia"/>
                <w:color w:val="000000"/>
                <w:sz w:val="18"/>
                <w:szCs w:val="18"/>
              </w:rPr>
              <w:t>36</w:t>
            </w:r>
          </w:p>
        </w:tc>
        <w:tc>
          <w:tcPr>
            <w:tcW w:w="206" w:type="pct"/>
            <w:noWrap w:val="0"/>
            <w:vAlign w:val="center"/>
          </w:tcPr>
          <w:p w14:paraId="612329DD">
            <w:pPr>
              <w:widowControl/>
              <w:jc w:val="center"/>
              <w:textAlignment w:val="center"/>
              <w:rPr>
                <w:color w:val="000000"/>
                <w:sz w:val="18"/>
                <w:szCs w:val="18"/>
              </w:rPr>
            </w:pPr>
            <w:r>
              <w:rPr>
                <w:rFonts w:hint="eastAsia"/>
                <w:color w:val="000000"/>
                <w:sz w:val="18"/>
                <w:szCs w:val="18"/>
              </w:rPr>
              <w:t>49</w:t>
            </w:r>
          </w:p>
        </w:tc>
        <w:tc>
          <w:tcPr>
            <w:tcW w:w="156" w:type="pct"/>
            <w:noWrap w:val="0"/>
            <w:vAlign w:val="center"/>
          </w:tcPr>
          <w:p w14:paraId="1CB61C9E">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7B00775A">
            <w:pPr>
              <w:widowControl/>
              <w:jc w:val="center"/>
              <w:textAlignment w:val="center"/>
              <w:rPr>
                <w:color w:val="000000"/>
                <w:sz w:val="18"/>
                <w:szCs w:val="18"/>
              </w:rPr>
            </w:pPr>
            <w:r>
              <w:rPr>
                <w:color w:val="000000"/>
                <w:kern w:val="0"/>
                <w:sz w:val="18"/>
                <w:szCs w:val="18"/>
                <w:lang w:bidi="ar"/>
              </w:rPr>
              <w:t>77</w:t>
            </w:r>
          </w:p>
        </w:tc>
        <w:tc>
          <w:tcPr>
            <w:tcW w:w="174" w:type="pct"/>
            <w:noWrap w:val="0"/>
            <w:vAlign w:val="center"/>
          </w:tcPr>
          <w:p w14:paraId="79AE0001">
            <w:pPr>
              <w:widowControl/>
              <w:jc w:val="center"/>
              <w:textAlignment w:val="center"/>
              <w:rPr>
                <w:color w:val="000000"/>
                <w:sz w:val="18"/>
                <w:szCs w:val="18"/>
              </w:rPr>
            </w:pPr>
            <w:r>
              <w:rPr>
                <w:color w:val="000000"/>
                <w:kern w:val="0"/>
                <w:sz w:val="18"/>
                <w:szCs w:val="18"/>
                <w:lang w:bidi="ar"/>
              </w:rPr>
              <w:t>29</w:t>
            </w:r>
          </w:p>
        </w:tc>
        <w:tc>
          <w:tcPr>
            <w:tcW w:w="174" w:type="pct"/>
            <w:noWrap w:val="0"/>
            <w:vAlign w:val="center"/>
          </w:tcPr>
          <w:p w14:paraId="5BBAF58C">
            <w:pPr>
              <w:widowControl/>
              <w:jc w:val="center"/>
              <w:textAlignment w:val="center"/>
              <w:rPr>
                <w:color w:val="000000"/>
                <w:sz w:val="18"/>
                <w:szCs w:val="18"/>
              </w:rPr>
            </w:pPr>
            <w:r>
              <w:rPr>
                <w:color w:val="000000"/>
                <w:kern w:val="0"/>
                <w:sz w:val="18"/>
                <w:szCs w:val="18"/>
                <w:lang w:bidi="ar"/>
              </w:rPr>
              <w:t>36</w:t>
            </w:r>
          </w:p>
        </w:tc>
        <w:tc>
          <w:tcPr>
            <w:tcW w:w="177" w:type="pct"/>
            <w:noWrap w:val="0"/>
            <w:vAlign w:val="center"/>
          </w:tcPr>
          <w:p w14:paraId="3B6E604F">
            <w:pPr>
              <w:widowControl/>
              <w:jc w:val="center"/>
              <w:textAlignment w:val="center"/>
              <w:rPr>
                <w:color w:val="000000"/>
                <w:sz w:val="18"/>
                <w:szCs w:val="18"/>
              </w:rPr>
            </w:pPr>
            <w:r>
              <w:rPr>
                <w:color w:val="000000"/>
                <w:kern w:val="0"/>
                <w:sz w:val="18"/>
                <w:szCs w:val="18"/>
                <w:lang w:bidi="ar"/>
              </w:rPr>
              <w:t>46</w:t>
            </w:r>
          </w:p>
        </w:tc>
        <w:tc>
          <w:tcPr>
            <w:tcW w:w="215" w:type="pct"/>
            <w:noWrap w:val="0"/>
            <w:vAlign w:val="center"/>
          </w:tcPr>
          <w:p w14:paraId="20BE0E27">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2C77DCA1">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0BC68356">
            <w:pPr>
              <w:widowControl/>
              <w:jc w:val="center"/>
              <w:textAlignment w:val="center"/>
              <w:rPr>
                <w:color w:val="000000"/>
                <w:sz w:val="18"/>
                <w:szCs w:val="18"/>
              </w:rPr>
            </w:pPr>
            <w:r>
              <w:rPr>
                <w:color w:val="000000"/>
                <w:kern w:val="0"/>
                <w:sz w:val="18"/>
                <w:szCs w:val="18"/>
                <w:lang w:bidi="ar"/>
              </w:rPr>
              <w:t xml:space="preserve">75 </w:t>
            </w:r>
          </w:p>
        </w:tc>
        <w:tc>
          <w:tcPr>
            <w:tcW w:w="218" w:type="pct"/>
            <w:noWrap w:val="0"/>
            <w:vAlign w:val="center"/>
          </w:tcPr>
          <w:p w14:paraId="40719A77">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562CD66B">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2D1AFF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893DB8F">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7610E8B6">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587EC65C">
            <w:pPr>
              <w:widowControl/>
              <w:jc w:val="center"/>
              <w:textAlignment w:val="center"/>
              <w:rPr>
                <w:color w:val="000000"/>
                <w:sz w:val="18"/>
                <w:szCs w:val="18"/>
              </w:rPr>
            </w:pPr>
            <w:r>
              <w:rPr>
                <w:color w:val="000000"/>
                <w:kern w:val="0"/>
                <w:sz w:val="18"/>
                <w:szCs w:val="18"/>
                <w:lang w:bidi="ar"/>
              </w:rPr>
              <w:t xml:space="preserve">55 </w:t>
            </w:r>
          </w:p>
        </w:tc>
        <w:tc>
          <w:tcPr>
            <w:tcW w:w="189" w:type="pct"/>
            <w:noWrap w:val="0"/>
            <w:vAlign w:val="center"/>
          </w:tcPr>
          <w:p w14:paraId="1C650828">
            <w:pPr>
              <w:widowControl/>
              <w:jc w:val="center"/>
              <w:textAlignment w:val="center"/>
              <w:rPr>
                <w:color w:val="000000"/>
                <w:sz w:val="18"/>
                <w:szCs w:val="18"/>
              </w:rPr>
            </w:pPr>
            <w:r>
              <w:rPr>
                <w:color w:val="000000"/>
                <w:kern w:val="0"/>
                <w:sz w:val="18"/>
                <w:szCs w:val="18"/>
                <w:lang w:bidi="ar"/>
              </w:rPr>
              <w:t xml:space="preserve">55 </w:t>
            </w:r>
          </w:p>
        </w:tc>
      </w:tr>
      <w:tr w14:paraId="203C5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7543977">
            <w:pPr>
              <w:widowControl/>
              <w:jc w:val="center"/>
              <w:textAlignment w:val="center"/>
              <w:rPr>
                <w:color w:val="000000"/>
                <w:kern w:val="0"/>
                <w:sz w:val="18"/>
                <w:szCs w:val="18"/>
                <w:lang w:bidi="ar"/>
              </w:rPr>
            </w:pPr>
            <w:r>
              <w:rPr>
                <w:color w:val="000000"/>
                <w:kern w:val="0"/>
                <w:sz w:val="18"/>
                <w:szCs w:val="18"/>
                <w:lang w:bidi="ar"/>
              </w:rPr>
              <w:t>20</w:t>
            </w:r>
          </w:p>
        </w:tc>
        <w:tc>
          <w:tcPr>
            <w:tcW w:w="463" w:type="pct"/>
            <w:noWrap w:val="0"/>
            <w:vAlign w:val="center"/>
          </w:tcPr>
          <w:p w14:paraId="636A5947">
            <w:pPr>
              <w:widowControl/>
              <w:jc w:val="center"/>
              <w:textAlignment w:val="center"/>
              <w:rPr>
                <w:color w:val="000000"/>
                <w:sz w:val="18"/>
                <w:szCs w:val="18"/>
              </w:rPr>
            </w:pPr>
            <w:r>
              <w:rPr>
                <w:color w:val="000000"/>
                <w:sz w:val="18"/>
                <w:szCs w:val="18"/>
              </w:rPr>
              <w:t>密炼机</w:t>
            </w:r>
            <w:r>
              <w:rPr>
                <w:rFonts w:hint="eastAsia"/>
                <w:color w:val="000000"/>
                <w:sz w:val="18"/>
                <w:szCs w:val="18"/>
              </w:rPr>
              <w:t>2#</w:t>
            </w:r>
          </w:p>
        </w:tc>
        <w:tc>
          <w:tcPr>
            <w:tcW w:w="181" w:type="pct"/>
            <w:noWrap w:val="0"/>
            <w:vAlign w:val="center"/>
          </w:tcPr>
          <w:p w14:paraId="0CFBA1A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6AE770C0">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20BE618F">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04D3CC2">
            <w:pPr>
              <w:widowControl/>
              <w:jc w:val="center"/>
              <w:textAlignment w:val="center"/>
              <w:rPr>
                <w:color w:val="000000"/>
                <w:sz w:val="18"/>
                <w:szCs w:val="18"/>
              </w:rPr>
            </w:pPr>
            <w:r>
              <w:rPr>
                <w:rFonts w:hint="eastAsia"/>
                <w:color w:val="000000"/>
                <w:sz w:val="18"/>
                <w:szCs w:val="18"/>
              </w:rPr>
              <w:t>44</w:t>
            </w:r>
          </w:p>
        </w:tc>
        <w:tc>
          <w:tcPr>
            <w:tcW w:w="206" w:type="pct"/>
            <w:noWrap w:val="0"/>
            <w:vAlign w:val="center"/>
          </w:tcPr>
          <w:p w14:paraId="49DD2324">
            <w:pPr>
              <w:widowControl/>
              <w:jc w:val="center"/>
              <w:textAlignment w:val="center"/>
              <w:rPr>
                <w:color w:val="000000"/>
                <w:sz w:val="18"/>
                <w:szCs w:val="18"/>
              </w:rPr>
            </w:pPr>
            <w:r>
              <w:rPr>
                <w:rFonts w:hint="eastAsia"/>
                <w:color w:val="000000"/>
                <w:sz w:val="18"/>
                <w:szCs w:val="18"/>
              </w:rPr>
              <w:t>50</w:t>
            </w:r>
          </w:p>
        </w:tc>
        <w:tc>
          <w:tcPr>
            <w:tcW w:w="156" w:type="pct"/>
            <w:noWrap w:val="0"/>
            <w:vAlign w:val="center"/>
          </w:tcPr>
          <w:p w14:paraId="7FA2CF70">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13838D71">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33D6189A">
            <w:pPr>
              <w:widowControl/>
              <w:jc w:val="center"/>
              <w:textAlignment w:val="center"/>
              <w:rPr>
                <w:color w:val="000000"/>
                <w:sz w:val="18"/>
                <w:szCs w:val="18"/>
              </w:rPr>
            </w:pPr>
            <w:r>
              <w:rPr>
                <w:color w:val="000000"/>
                <w:kern w:val="0"/>
                <w:sz w:val="18"/>
                <w:szCs w:val="18"/>
                <w:lang w:bidi="ar"/>
              </w:rPr>
              <w:t>29</w:t>
            </w:r>
          </w:p>
        </w:tc>
        <w:tc>
          <w:tcPr>
            <w:tcW w:w="174" w:type="pct"/>
            <w:noWrap w:val="0"/>
            <w:vAlign w:val="center"/>
          </w:tcPr>
          <w:p w14:paraId="6F19AD54">
            <w:pPr>
              <w:widowControl/>
              <w:jc w:val="center"/>
              <w:textAlignment w:val="center"/>
              <w:rPr>
                <w:color w:val="000000"/>
                <w:sz w:val="18"/>
                <w:szCs w:val="18"/>
              </w:rPr>
            </w:pPr>
            <w:r>
              <w:rPr>
                <w:color w:val="000000"/>
                <w:kern w:val="0"/>
                <w:sz w:val="18"/>
                <w:szCs w:val="18"/>
                <w:lang w:bidi="ar"/>
              </w:rPr>
              <w:t>44</w:t>
            </w:r>
          </w:p>
        </w:tc>
        <w:tc>
          <w:tcPr>
            <w:tcW w:w="177" w:type="pct"/>
            <w:noWrap w:val="0"/>
            <w:vAlign w:val="center"/>
          </w:tcPr>
          <w:p w14:paraId="193F10B3">
            <w:pPr>
              <w:widowControl/>
              <w:jc w:val="center"/>
              <w:textAlignment w:val="center"/>
              <w:rPr>
                <w:color w:val="000000"/>
                <w:sz w:val="18"/>
                <w:szCs w:val="18"/>
              </w:rPr>
            </w:pPr>
            <w:r>
              <w:rPr>
                <w:color w:val="000000"/>
                <w:kern w:val="0"/>
                <w:sz w:val="18"/>
                <w:szCs w:val="18"/>
                <w:lang w:bidi="ar"/>
              </w:rPr>
              <w:t>46</w:t>
            </w:r>
          </w:p>
        </w:tc>
        <w:tc>
          <w:tcPr>
            <w:tcW w:w="215" w:type="pct"/>
            <w:noWrap w:val="0"/>
            <w:vAlign w:val="center"/>
          </w:tcPr>
          <w:p w14:paraId="51DE5AE3">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54444561">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28C9B5EA">
            <w:pPr>
              <w:widowControl/>
              <w:jc w:val="center"/>
              <w:textAlignment w:val="center"/>
              <w:rPr>
                <w:color w:val="000000"/>
                <w:sz w:val="18"/>
                <w:szCs w:val="18"/>
              </w:rPr>
            </w:pPr>
            <w:r>
              <w:rPr>
                <w:color w:val="000000"/>
                <w:kern w:val="0"/>
                <w:sz w:val="18"/>
                <w:szCs w:val="18"/>
                <w:lang w:bidi="ar"/>
              </w:rPr>
              <w:t xml:space="preserve">75 </w:t>
            </w:r>
          </w:p>
        </w:tc>
        <w:tc>
          <w:tcPr>
            <w:tcW w:w="218" w:type="pct"/>
            <w:noWrap w:val="0"/>
            <w:vAlign w:val="center"/>
          </w:tcPr>
          <w:p w14:paraId="1F39A0F7">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6909EAB3">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30946F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1C34F66">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0CE285FF">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41A30026">
            <w:pPr>
              <w:widowControl/>
              <w:jc w:val="center"/>
              <w:textAlignment w:val="center"/>
              <w:rPr>
                <w:color w:val="000000"/>
                <w:sz w:val="18"/>
                <w:szCs w:val="18"/>
              </w:rPr>
            </w:pPr>
            <w:r>
              <w:rPr>
                <w:color w:val="000000"/>
                <w:kern w:val="0"/>
                <w:sz w:val="18"/>
                <w:szCs w:val="18"/>
                <w:lang w:bidi="ar"/>
              </w:rPr>
              <w:t xml:space="preserve">55 </w:t>
            </w:r>
          </w:p>
        </w:tc>
        <w:tc>
          <w:tcPr>
            <w:tcW w:w="189" w:type="pct"/>
            <w:noWrap w:val="0"/>
            <w:vAlign w:val="center"/>
          </w:tcPr>
          <w:p w14:paraId="505AEC96">
            <w:pPr>
              <w:widowControl/>
              <w:jc w:val="center"/>
              <w:textAlignment w:val="center"/>
              <w:rPr>
                <w:color w:val="000000"/>
                <w:sz w:val="18"/>
                <w:szCs w:val="18"/>
              </w:rPr>
            </w:pPr>
            <w:r>
              <w:rPr>
                <w:color w:val="000000"/>
                <w:kern w:val="0"/>
                <w:sz w:val="18"/>
                <w:szCs w:val="18"/>
                <w:lang w:bidi="ar"/>
              </w:rPr>
              <w:t xml:space="preserve">55 </w:t>
            </w:r>
          </w:p>
        </w:tc>
      </w:tr>
      <w:tr w14:paraId="115112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45A2303">
            <w:pPr>
              <w:widowControl/>
              <w:jc w:val="center"/>
              <w:textAlignment w:val="center"/>
              <w:rPr>
                <w:color w:val="000000"/>
                <w:kern w:val="0"/>
                <w:sz w:val="18"/>
                <w:szCs w:val="18"/>
                <w:lang w:bidi="ar"/>
              </w:rPr>
            </w:pPr>
            <w:r>
              <w:rPr>
                <w:color w:val="000000"/>
                <w:kern w:val="0"/>
                <w:sz w:val="18"/>
                <w:szCs w:val="18"/>
                <w:lang w:bidi="ar"/>
              </w:rPr>
              <w:t>21</w:t>
            </w:r>
          </w:p>
        </w:tc>
        <w:tc>
          <w:tcPr>
            <w:tcW w:w="463" w:type="pct"/>
            <w:noWrap w:val="0"/>
            <w:vAlign w:val="center"/>
          </w:tcPr>
          <w:p w14:paraId="57A54167">
            <w:pPr>
              <w:widowControl/>
              <w:jc w:val="center"/>
              <w:textAlignment w:val="center"/>
              <w:rPr>
                <w:color w:val="000000"/>
                <w:sz w:val="18"/>
                <w:szCs w:val="18"/>
              </w:rPr>
            </w:pPr>
            <w:r>
              <w:rPr>
                <w:color w:val="000000"/>
                <w:sz w:val="18"/>
                <w:szCs w:val="18"/>
              </w:rPr>
              <w:t>密炼机</w:t>
            </w:r>
            <w:r>
              <w:rPr>
                <w:rFonts w:hint="eastAsia"/>
                <w:color w:val="000000"/>
                <w:sz w:val="18"/>
                <w:szCs w:val="18"/>
              </w:rPr>
              <w:t>3#</w:t>
            </w:r>
          </w:p>
        </w:tc>
        <w:tc>
          <w:tcPr>
            <w:tcW w:w="181" w:type="pct"/>
            <w:noWrap w:val="0"/>
            <w:vAlign w:val="center"/>
          </w:tcPr>
          <w:p w14:paraId="2C329B8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5D90F283">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3F23BDC5">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79918F9C">
            <w:pPr>
              <w:widowControl/>
              <w:jc w:val="center"/>
              <w:textAlignment w:val="center"/>
              <w:rPr>
                <w:color w:val="000000"/>
                <w:sz w:val="18"/>
                <w:szCs w:val="18"/>
              </w:rPr>
            </w:pPr>
            <w:r>
              <w:rPr>
                <w:rFonts w:hint="eastAsia"/>
                <w:color w:val="000000"/>
                <w:sz w:val="18"/>
                <w:szCs w:val="18"/>
              </w:rPr>
              <w:t>52</w:t>
            </w:r>
          </w:p>
        </w:tc>
        <w:tc>
          <w:tcPr>
            <w:tcW w:w="206" w:type="pct"/>
            <w:noWrap w:val="0"/>
            <w:vAlign w:val="center"/>
          </w:tcPr>
          <w:p w14:paraId="7B02D97F">
            <w:pPr>
              <w:widowControl/>
              <w:jc w:val="center"/>
              <w:textAlignment w:val="center"/>
              <w:rPr>
                <w:color w:val="000000"/>
                <w:sz w:val="18"/>
                <w:szCs w:val="18"/>
              </w:rPr>
            </w:pPr>
            <w:r>
              <w:rPr>
                <w:rFonts w:hint="eastAsia"/>
                <w:color w:val="000000"/>
                <w:sz w:val="18"/>
                <w:szCs w:val="18"/>
              </w:rPr>
              <w:t>50</w:t>
            </w:r>
          </w:p>
        </w:tc>
        <w:tc>
          <w:tcPr>
            <w:tcW w:w="156" w:type="pct"/>
            <w:noWrap w:val="0"/>
            <w:vAlign w:val="center"/>
          </w:tcPr>
          <w:p w14:paraId="37928082">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1C2B6B1C">
            <w:pPr>
              <w:widowControl/>
              <w:jc w:val="center"/>
              <w:textAlignment w:val="center"/>
              <w:rPr>
                <w:color w:val="000000"/>
                <w:sz w:val="18"/>
                <w:szCs w:val="18"/>
              </w:rPr>
            </w:pPr>
            <w:r>
              <w:rPr>
                <w:color w:val="000000"/>
                <w:kern w:val="0"/>
                <w:sz w:val="18"/>
                <w:szCs w:val="18"/>
                <w:lang w:bidi="ar"/>
              </w:rPr>
              <w:t>61</w:t>
            </w:r>
          </w:p>
        </w:tc>
        <w:tc>
          <w:tcPr>
            <w:tcW w:w="174" w:type="pct"/>
            <w:noWrap w:val="0"/>
            <w:vAlign w:val="center"/>
          </w:tcPr>
          <w:p w14:paraId="40949F5D">
            <w:pPr>
              <w:widowControl/>
              <w:jc w:val="center"/>
              <w:textAlignment w:val="center"/>
              <w:rPr>
                <w:color w:val="000000"/>
                <w:sz w:val="18"/>
                <w:szCs w:val="18"/>
              </w:rPr>
            </w:pPr>
            <w:r>
              <w:rPr>
                <w:color w:val="000000"/>
                <w:kern w:val="0"/>
                <w:sz w:val="18"/>
                <w:szCs w:val="18"/>
                <w:lang w:bidi="ar"/>
              </w:rPr>
              <w:t>29</w:t>
            </w:r>
          </w:p>
        </w:tc>
        <w:tc>
          <w:tcPr>
            <w:tcW w:w="174" w:type="pct"/>
            <w:noWrap w:val="0"/>
            <w:vAlign w:val="center"/>
          </w:tcPr>
          <w:p w14:paraId="5BC511D4">
            <w:pPr>
              <w:widowControl/>
              <w:jc w:val="center"/>
              <w:textAlignment w:val="center"/>
              <w:rPr>
                <w:color w:val="000000"/>
                <w:sz w:val="18"/>
                <w:szCs w:val="18"/>
              </w:rPr>
            </w:pPr>
            <w:r>
              <w:rPr>
                <w:color w:val="000000"/>
                <w:kern w:val="0"/>
                <w:sz w:val="18"/>
                <w:szCs w:val="18"/>
                <w:lang w:bidi="ar"/>
              </w:rPr>
              <w:t>52</w:t>
            </w:r>
          </w:p>
        </w:tc>
        <w:tc>
          <w:tcPr>
            <w:tcW w:w="177" w:type="pct"/>
            <w:noWrap w:val="0"/>
            <w:vAlign w:val="center"/>
          </w:tcPr>
          <w:p w14:paraId="0862D065">
            <w:pPr>
              <w:widowControl/>
              <w:jc w:val="center"/>
              <w:textAlignment w:val="center"/>
              <w:rPr>
                <w:color w:val="000000"/>
                <w:sz w:val="18"/>
                <w:szCs w:val="18"/>
              </w:rPr>
            </w:pPr>
            <w:r>
              <w:rPr>
                <w:color w:val="000000"/>
                <w:kern w:val="0"/>
                <w:sz w:val="18"/>
                <w:szCs w:val="18"/>
                <w:lang w:bidi="ar"/>
              </w:rPr>
              <w:t>46</w:t>
            </w:r>
          </w:p>
        </w:tc>
        <w:tc>
          <w:tcPr>
            <w:tcW w:w="215" w:type="pct"/>
            <w:noWrap w:val="0"/>
            <w:vAlign w:val="center"/>
          </w:tcPr>
          <w:p w14:paraId="7908CFBA">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211EAE68">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69916F60">
            <w:pPr>
              <w:widowControl/>
              <w:jc w:val="center"/>
              <w:textAlignment w:val="center"/>
              <w:rPr>
                <w:color w:val="000000"/>
                <w:sz w:val="18"/>
                <w:szCs w:val="18"/>
              </w:rPr>
            </w:pPr>
            <w:r>
              <w:rPr>
                <w:color w:val="000000"/>
                <w:kern w:val="0"/>
                <w:sz w:val="18"/>
                <w:szCs w:val="18"/>
                <w:lang w:bidi="ar"/>
              </w:rPr>
              <w:t xml:space="preserve">75 </w:t>
            </w:r>
          </w:p>
        </w:tc>
        <w:tc>
          <w:tcPr>
            <w:tcW w:w="218" w:type="pct"/>
            <w:noWrap w:val="0"/>
            <w:vAlign w:val="center"/>
          </w:tcPr>
          <w:p w14:paraId="7F5C2C67">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6049278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7E7BDE2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787DB55">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41D166AC">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7814FDAA">
            <w:pPr>
              <w:widowControl/>
              <w:jc w:val="center"/>
              <w:textAlignment w:val="center"/>
              <w:rPr>
                <w:color w:val="000000"/>
                <w:sz w:val="18"/>
                <w:szCs w:val="18"/>
              </w:rPr>
            </w:pPr>
            <w:r>
              <w:rPr>
                <w:color w:val="000000"/>
                <w:kern w:val="0"/>
                <w:sz w:val="18"/>
                <w:szCs w:val="18"/>
                <w:lang w:bidi="ar"/>
              </w:rPr>
              <w:t xml:space="preserve">55 </w:t>
            </w:r>
          </w:p>
        </w:tc>
        <w:tc>
          <w:tcPr>
            <w:tcW w:w="189" w:type="pct"/>
            <w:noWrap w:val="0"/>
            <w:vAlign w:val="center"/>
          </w:tcPr>
          <w:p w14:paraId="3A9D76EF">
            <w:pPr>
              <w:widowControl/>
              <w:jc w:val="center"/>
              <w:textAlignment w:val="center"/>
              <w:rPr>
                <w:color w:val="000000"/>
                <w:sz w:val="18"/>
                <w:szCs w:val="18"/>
              </w:rPr>
            </w:pPr>
            <w:r>
              <w:rPr>
                <w:color w:val="000000"/>
                <w:kern w:val="0"/>
                <w:sz w:val="18"/>
                <w:szCs w:val="18"/>
                <w:lang w:bidi="ar"/>
              </w:rPr>
              <w:t xml:space="preserve">55 </w:t>
            </w:r>
          </w:p>
        </w:tc>
      </w:tr>
      <w:tr w14:paraId="36A8BB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EEB4C02">
            <w:pPr>
              <w:widowControl/>
              <w:jc w:val="center"/>
              <w:textAlignment w:val="center"/>
              <w:rPr>
                <w:color w:val="000000"/>
                <w:kern w:val="0"/>
                <w:sz w:val="18"/>
                <w:szCs w:val="18"/>
                <w:lang w:bidi="ar"/>
              </w:rPr>
            </w:pPr>
            <w:r>
              <w:rPr>
                <w:color w:val="000000"/>
                <w:kern w:val="0"/>
                <w:sz w:val="18"/>
                <w:szCs w:val="18"/>
                <w:lang w:bidi="ar"/>
              </w:rPr>
              <w:t>22</w:t>
            </w:r>
          </w:p>
        </w:tc>
        <w:tc>
          <w:tcPr>
            <w:tcW w:w="463" w:type="pct"/>
            <w:noWrap w:val="0"/>
            <w:vAlign w:val="center"/>
          </w:tcPr>
          <w:p w14:paraId="37FCA4A7">
            <w:pPr>
              <w:widowControl/>
              <w:jc w:val="center"/>
              <w:textAlignment w:val="center"/>
              <w:rPr>
                <w:color w:val="000000"/>
                <w:sz w:val="18"/>
                <w:szCs w:val="18"/>
              </w:rPr>
            </w:pPr>
            <w:r>
              <w:rPr>
                <w:rFonts w:hint="eastAsia"/>
                <w:color w:val="000000"/>
                <w:sz w:val="18"/>
                <w:szCs w:val="18"/>
              </w:rPr>
              <w:t>双阶混炼挤出机组1#</w:t>
            </w:r>
          </w:p>
        </w:tc>
        <w:tc>
          <w:tcPr>
            <w:tcW w:w="181" w:type="pct"/>
            <w:noWrap w:val="0"/>
            <w:vAlign w:val="center"/>
          </w:tcPr>
          <w:p w14:paraId="7097E57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FAA55B3">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595CD07B">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00F45EF">
            <w:pPr>
              <w:widowControl/>
              <w:jc w:val="center"/>
              <w:textAlignment w:val="center"/>
              <w:rPr>
                <w:color w:val="000000"/>
                <w:sz w:val="18"/>
                <w:szCs w:val="18"/>
              </w:rPr>
            </w:pPr>
            <w:r>
              <w:rPr>
                <w:rFonts w:hint="eastAsia"/>
                <w:color w:val="000000"/>
                <w:sz w:val="18"/>
                <w:szCs w:val="18"/>
              </w:rPr>
              <w:t>35</w:t>
            </w:r>
          </w:p>
        </w:tc>
        <w:tc>
          <w:tcPr>
            <w:tcW w:w="206" w:type="pct"/>
            <w:noWrap w:val="0"/>
            <w:vAlign w:val="center"/>
          </w:tcPr>
          <w:p w14:paraId="3AD3E336">
            <w:pPr>
              <w:widowControl/>
              <w:jc w:val="center"/>
              <w:textAlignment w:val="center"/>
              <w:rPr>
                <w:color w:val="000000"/>
                <w:sz w:val="18"/>
                <w:szCs w:val="18"/>
              </w:rPr>
            </w:pPr>
            <w:r>
              <w:rPr>
                <w:rFonts w:hint="eastAsia"/>
                <w:color w:val="000000"/>
                <w:sz w:val="18"/>
                <w:szCs w:val="18"/>
              </w:rPr>
              <w:t>44</w:t>
            </w:r>
          </w:p>
        </w:tc>
        <w:tc>
          <w:tcPr>
            <w:tcW w:w="156" w:type="pct"/>
            <w:noWrap w:val="0"/>
            <w:vAlign w:val="center"/>
          </w:tcPr>
          <w:p w14:paraId="61EC93F0">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422A81B1">
            <w:pPr>
              <w:widowControl/>
              <w:jc w:val="center"/>
              <w:textAlignment w:val="center"/>
              <w:rPr>
                <w:color w:val="000000"/>
                <w:sz w:val="18"/>
                <w:szCs w:val="18"/>
              </w:rPr>
            </w:pPr>
            <w:r>
              <w:rPr>
                <w:color w:val="000000"/>
                <w:kern w:val="0"/>
                <w:sz w:val="18"/>
                <w:szCs w:val="18"/>
                <w:lang w:bidi="ar"/>
              </w:rPr>
              <w:t>77</w:t>
            </w:r>
          </w:p>
        </w:tc>
        <w:tc>
          <w:tcPr>
            <w:tcW w:w="174" w:type="pct"/>
            <w:noWrap w:val="0"/>
            <w:vAlign w:val="center"/>
          </w:tcPr>
          <w:p w14:paraId="2620E926">
            <w:pPr>
              <w:widowControl/>
              <w:jc w:val="center"/>
              <w:textAlignment w:val="center"/>
              <w:rPr>
                <w:color w:val="000000"/>
                <w:sz w:val="18"/>
                <w:szCs w:val="18"/>
              </w:rPr>
            </w:pPr>
            <w:r>
              <w:rPr>
                <w:color w:val="000000"/>
                <w:kern w:val="0"/>
                <w:sz w:val="18"/>
                <w:szCs w:val="18"/>
                <w:lang w:bidi="ar"/>
              </w:rPr>
              <w:t>24</w:t>
            </w:r>
          </w:p>
        </w:tc>
        <w:tc>
          <w:tcPr>
            <w:tcW w:w="174" w:type="pct"/>
            <w:noWrap w:val="0"/>
            <w:vAlign w:val="center"/>
          </w:tcPr>
          <w:p w14:paraId="4B6D572D">
            <w:pPr>
              <w:widowControl/>
              <w:jc w:val="center"/>
              <w:textAlignment w:val="center"/>
              <w:rPr>
                <w:color w:val="000000"/>
                <w:sz w:val="18"/>
                <w:szCs w:val="18"/>
              </w:rPr>
            </w:pPr>
            <w:r>
              <w:rPr>
                <w:color w:val="000000"/>
                <w:kern w:val="0"/>
                <w:sz w:val="18"/>
                <w:szCs w:val="18"/>
                <w:lang w:bidi="ar"/>
              </w:rPr>
              <w:t>36</w:t>
            </w:r>
          </w:p>
        </w:tc>
        <w:tc>
          <w:tcPr>
            <w:tcW w:w="177" w:type="pct"/>
            <w:noWrap w:val="0"/>
            <w:vAlign w:val="center"/>
          </w:tcPr>
          <w:p w14:paraId="27B4DDAD">
            <w:pPr>
              <w:widowControl/>
              <w:jc w:val="center"/>
              <w:textAlignment w:val="center"/>
              <w:rPr>
                <w:color w:val="000000"/>
                <w:sz w:val="18"/>
                <w:szCs w:val="18"/>
              </w:rPr>
            </w:pPr>
            <w:r>
              <w:rPr>
                <w:color w:val="000000"/>
                <w:kern w:val="0"/>
                <w:sz w:val="18"/>
                <w:szCs w:val="18"/>
                <w:lang w:bidi="ar"/>
              </w:rPr>
              <w:t>51</w:t>
            </w:r>
          </w:p>
        </w:tc>
        <w:tc>
          <w:tcPr>
            <w:tcW w:w="215" w:type="pct"/>
            <w:noWrap w:val="0"/>
            <w:vAlign w:val="center"/>
          </w:tcPr>
          <w:p w14:paraId="6D4E72BE">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681575F">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FAE4271">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3B22E1D6">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649AEE6">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65AA287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5008F02">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1A2FB8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2DD193E">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A7DCEFD">
            <w:pPr>
              <w:widowControl/>
              <w:jc w:val="center"/>
              <w:textAlignment w:val="center"/>
              <w:rPr>
                <w:color w:val="000000"/>
                <w:sz w:val="18"/>
                <w:szCs w:val="18"/>
              </w:rPr>
            </w:pPr>
            <w:r>
              <w:rPr>
                <w:color w:val="000000"/>
                <w:kern w:val="0"/>
                <w:sz w:val="18"/>
                <w:szCs w:val="18"/>
                <w:lang w:bidi="ar"/>
              </w:rPr>
              <w:t xml:space="preserve">50 </w:t>
            </w:r>
          </w:p>
        </w:tc>
      </w:tr>
      <w:tr w14:paraId="14499D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95C861E">
            <w:pPr>
              <w:widowControl/>
              <w:jc w:val="center"/>
              <w:textAlignment w:val="center"/>
              <w:rPr>
                <w:color w:val="000000"/>
                <w:kern w:val="0"/>
                <w:sz w:val="18"/>
                <w:szCs w:val="18"/>
                <w:lang w:bidi="ar"/>
              </w:rPr>
            </w:pPr>
            <w:r>
              <w:rPr>
                <w:color w:val="000000"/>
                <w:kern w:val="0"/>
                <w:sz w:val="18"/>
                <w:szCs w:val="18"/>
                <w:lang w:bidi="ar"/>
              </w:rPr>
              <w:t>23</w:t>
            </w:r>
          </w:p>
        </w:tc>
        <w:tc>
          <w:tcPr>
            <w:tcW w:w="463" w:type="pct"/>
            <w:noWrap w:val="0"/>
            <w:vAlign w:val="center"/>
          </w:tcPr>
          <w:p w14:paraId="0DAEB3FC">
            <w:pPr>
              <w:widowControl/>
              <w:jc w:val="center"/>
              <w:textAlignment w:val="center"/>
              <w:rPr>
                <w:color w:val="000000"/>
                <w:sz w:val="18"/>
                <w:szCs w:val="18"/>
              </w:rPr>
            </w:pPr>
            <w:r>
              <w:rPr>
                <w:rFonts w:hint="eastAsia"/>
                <w:color w:val="000000"/>
                <w:sz w:val="18"/>
                <w:szCs w:val="18"/>
              </w:rPr>
              <w:t>双阶混炼挤出机组2#</w:t>
            </w:r>
          </w:p>
        </w:tc>
        <w:tc>
          <w:tcPr>
            <w:tcW w:w="181" w:type="pct"/>
            <w:noWrap w:val="0"/>
            <w:vAlign w:val="center"/>
          </w:tcPr>
          <w:p w14:paraId="7826ED8B">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D7D4C80">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BF0955D">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FA04679">
            <w:pPr>
              <w:widowControl/>
              <w:jc w:val="center"/>
              <w:textAlignment w:val="center"/>
              <w:rPr>
                <w:color w:val="000000"/>
                <w:sz w:val="18"/>
                <w:szCs w:val="18"/>
              </w:rPr>
            </w:pPr>
            <w:r>
              <w:rPr>
                <w:rFonts w:hint="eastAsia"/>
                <w:color w:val="000000"/>
                <w:sz w:val="18"/>
                <w:szCs w:val="18"/>
              </w:rPr>
              <w:t>43</w:t>
            </w:r>
          </w:p>
        </w:tc>
        <w:tc>
          <w:tcPr>
            <w:tcW w:w="206" w:type="pct"/>
            <w:noWrap w:val="0"/>
            <w:vAlign w:val="center"/>
          </w:tcPr>
          <w:p w14:paraId="0776E6AD">
            <w:pPr>
              <w:widowControl/>
              <w:jc w:val="center"/>
              <w:textAlignment w:val="center"/>
              <w:rPr>
                <w:color w:val="000000"/>
                <w:sz w:val="18"/>
                <w:szCs w:val="18"/>
              </w:rPr>
            </w:pPr>
            <w:r>
              <w:rPr>
                <w:rFonts w:hint="eastAsia"/>
                <w:color w:val="000000"/>
                <w:sz w:val="18"/>
                <w:szCs w:val="18"/>
              </w:rPr>
              <w:t>44</w:t>
            </w:r>
          </w:p>
        </w:tc>
        <w:tc>
          <w:tcPr>
            <w:tcW w:w="156" w:type="pct"/>
            <w:noWrap w:val="0"/>
            <w:vAlign w:val="center"/>
          </w:tcPr>
          <w:p w14:paraId="4B32C01D">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74A92AE5">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23F7BFA6">
            <w:pPr>
              <w:widowControl/>
              <w:jc w:val="center"/>
              <w:textAlignment w:val="center"/>
              <w:rPr>
                <w:color w:val="000000"/>
                <w:sz w:val="18"/>
                <w:szCs w:val="18"/>
              </w:rPr>
            </w:pPr>
            <w:r>
              <w:rPr>
                <w:color w:val="000000"/>
                <w:kern w:val="0"/>
                <w:sz w:val="18"/>
                <w:szCs w:val="18"/>
                <w:lang w:bidi="ar"/>
              </w:rPr>
              <w:t>24</w:t>
            </w:r>
          </w:p>
        </w:tc>
        <w:tc>
          <w:tcPr>
            <w:tcW w:w="174" w:type="pct"/>
            <w:noWrap w:val="0"/>
            <w:vAlign w:val="center"/>
          </w:tcPr>
          <w:p w14:paraId="764CF3AE">
            <w:pPr>
              <w:widowControl/>
              <w:jc w:val="center"/>
              <w:textAlignment w:val="center"/>
              <w:rPr>
                <w:color w:val="000000"/>
                <w:sz w:val="18"/>
                <w:szCs w:val="18"/>
              </w:rPr>
            </w:pPr>
            <w:r>
              <w:rPr>
                <w:color w:val="000000"/>
                <w:kern w:val="0"/>
                <w:sz w:val="18"/>
                <w:szCs w:val="18"/>
                <w:lang w:bidi="ar"/>
              </w:rPr>
              <w:t>44</w:t>
            </w:r>
          </w:p>
        </w:tc>
        <w:tc>
          <w:tcPr>
            <w:tcW w:w="177" w:type="pct"/>
            <w:noWrap w:val="0"/>
            <w:vAlign w:val="center"/>
          </w:tcPr>
          <w:p w14:paraId="37EF5140">
            <w:pPr>
              <w:widowControl/>
              <w:jc w:val="center"/>
              <w:textAlignment w:val="center"/>
              <w:rPr>
                <w:color w:val="000000"/>
                <w:sz w:val="18"/>
                <w:szCs w:val="18"/>
              </w:rPr>
            </w:pPr>
            <w:r>
              <w:rPr>
                <w:color w:val="000000"/>
                <w:kern w:val="0"/>
                <w:sz w:val="18"/>
                <w:szCs w:val="18"/>
                <w:lang w:bidi="ar"/>
              </w:rPr>
              <w:t>51</w:t>
            </w:r>
          </w:p>
        </w:tc>
        <w:tc>
          <w:tcPr>
            <w:tcW w:w="215" w:type="pct"/>
            <w:noWrap w:val="0"/>
            <w:vAlign w:val="center"/>
          </w:tcPr>
          <w:p w14:paraId="6EF08442">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A33C5A7">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6A9B787">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A3CAC9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56F7DD8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2843B8F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7B9E95E3">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58084A3">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F6BB426">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3F7EB5B1">
            <w:pPr>
              <w:widowControl/>
              <w:jc w:val="center"/>
              <w:textAlignment w:val="center"/>
              <w:rPr>
                <w:color w:val="000000"/>
                <w:sz w:val="18"/>
                <w:szCs w:val="18"/>
              </w:rPr>
            </w:pPr>
            <w:r>
              <w:rPr>
                <w:color w:val="000000"/>
                <w:kern w:val="0"/>
                <w:sz w:val="18"/>
                <w:szCs w:val="18"/>
                <w:lang w:bidi="ar"/>
              </w:rPr>
              <w:t xml:space="preserve">50 </w:t>
            </w:r>
          </w:p>
        </w:tc>
      </w:tr>
      <w:tr w14:paraId="344867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A237C9B">
            <w:pPr>
              <w:widowControl/>
              <w:jc w:val="center"/>
              <w:textAlignment w:val="center"/>
              <w:rPr>
                <w:color w:val="000000"/>
                <w:kern w:val="0"/>
                <w:sz w:val="18"/>
                <w:szCs w:val="18"/>
                <w:lang w:bidi="ar"/>
              </w:rPr>
            </w:pPr>
            <w:r>
              <w:rPr>
                <w:color w:val="000000"/>
                <w:kern w:val="0"/>
                <w:sz w:val="18"/>
                <w:szCs w:val="18"/>
                <w:lang w:bidi="ar"/>
              </w:rPr>
              <w:t>24</w:t>
            </w:r>
          </w:p>
        </w:tc>
        <w:tc>
          <w:tcPr>
            <w:tcW w:w="463" w:type="pct"/>
            <w:noWrap w:val="0"/>
            <w:vAlign w:val="center"/>
          </w:tcPr>
          <w:p w14:paraId="27186F2D">
            <w:pPr>
              <w:widowControl/>
              <w:jc w:val="center"/>
              <w:textAlignment w:val="center"/>
              <w:rPr>
                <w:color w:val="000000"/>
                <w:sz w:val="18"/>
                <w:szCs w:val="18"/>
              </w:rPr>
            </w:pPr>
            <w:r>
              <w:rPr>
                <w:rFonts w:hint="eastAsia"/>
                <w:color w:val="000000"/>
                <w:sz w:val="18"/>
                <w:szCs w:val="18"/>
              </w:rPr>
              <w:t>双阶混炼挤出机组3#</w:t>
            </w:r>
          </w:p>
        </w:tc>
        <w:tc>
          <w:tcPr>
            <w:tcW w:w="181" w:type="pct"/>
            <w:noWrap w:val="0"/>
            <w:vAlign w:val="center"/>
          </w:tcPr>
          <w:p w14:paraId="209CC413">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8FF83A3">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10CF1523">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900FF70">
            <w:pPr>
              <w:widowControl/>
              <w:jc w:val="center"/>
              <w:textAlignment w:val="center"/>
              <w:rPr>
                <w:color w:val="000000"/>
                <w:sz w:val="18"/>
                <w:szCs w:val="18"/>
              </w:rPr>
            </w:pPr>
            <w:r>
              <w:rPr>
                <w:rFonts w:hint="eastAsia"/>
                <w:color w:val="000000"/>
                <w:sz w:val="18"/>
                <w:szCs w:val="18"/>
              </w:rPr>
              <w:t>51</w:t>
            </w:r>
          </w:p>
        </w:tc>
        <w:tc>
          <w:tcPr>
            <w:tcW w:w="206" w:type="pct"/>
            <w:noWrap w:val="0"/>
            <w:vAlign w:val="center"/>
          </w:tcPr>
          <w:p w14:paraId="7502203C">
            <w:pPr>
              <w:widowControl/>
              <w:jc w:val="center"/>
              <w:textAlignment w:val="center"/>
              <w:rPr>
                <w:color w:val="000000"/>
                <w:sz w:val="18"/>
                <w:szCs w:val="18"/>
              </w:rPr>
            </w:pPr>
            <w:r>
              <w:rPr>
                <w:rFonts w:hint="eastAsia"/>
                <w:color w:val="000000"/>
                <w:sz w:val="18"/>
                <w:szCs w:val="18"/>
              </w:rPr>
              <w:t>44</w:t>
            </w:r>
          </w:p>
        </w:tc>
        <w:tc>
          <w:tcPr>
            <w:tcW w:w="156" w:type="pct"/>
            <w:noWrap w:val="0"/>
            <w:vAlign w:val="center"/>
          </w:tcPr>
          <w:p w14:paraId="518A7AFD">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3D9B89EA">
            <w:pPr>
              <w:widowControl/>
              <w:jc w:val="center"/>
              <w:textAlignment w:val="center"/>
              <w:rPr>
                <w:color w:val="000000"/>
                <w:sz w:val="18"/>
                <w:szCs w:val="18"/>
              </w:rPr>
            </w:pPr>
            <w:r>
              <w:rPr>
                <w:color w:val="000000"/>
                <w:kern w:val="0"/>
                <w:sz w:val="18"/>
                <w:szCs w:val="18"/>
                <w:lang w:bidi="ar"/>
              </w:rPr>
              <w:t>61</w:t>
            </w:r>
          </w:p>
        </w:tc>
        <w:tc>
          <w:tcPr>
            <w:tcW w:w="174" w:type="pct"/>
            <w:noWrap w:val="0"/>
            <w:vAlign w:val="center"/>
          </w:tcPr>
          <w:p w14:paraId="41A324B5">
            <w:pPr>
              <w:widowControl/>
              <w:jc w:val="center"/>
              <w:textAlignment w:val="center"/>
              <w:rPr>
                <w:color w:val="000000"/>
                <w:sz w:val="18"/>
                <w:szCs w:val="18"/>
              </w:rPr>
            </w:pPr>
            <w:r>
              <w:rPr>
                <w:color w:val="000000"/>
                <w:kern w:val="0"/>
                <w:sz w:val="18"/>
                <w:szCs w:val="18"/>
                <w:lang w:bidi="ar"/>
              </w:rPr>
              <w:t>24</w:t>
            </w:r>
          </w:p>
        </w:tc>
        <w:tc>
          <w:tcPr>
            <w:tcW w:w="174" w:type="pct"/>
            <w:noWrap w:val="0"/>
            <w:vAlign w:val="center"/>
          </w:tcPr>
          <w:p w14:paraId="59AE4721">
            <w:pPr>
              <w:widowControl/>
              <w:jc w:val="center"/>
              <w:textAlignment w:val="center"/>
              <w:rPr>
                <w:color w:val="000000"/>
                <w:sz w:val="18"/>
                <w:szCs w:val="18"/>
              </w:rPr>
            </w:pPr>
            <w:r>
              <w:rPr>
                <w:color w:val="000000"/>
                <w:kern w:val="0"/>
                <w:sz w:val="18"/>
                <w:szCs w:val="18"/>
                <w:lang w:bidi="ar"/>
              </w:rPr>
              <w:t>52</w:t>
            </w:r>
          </w:p>
        </w:tc>
        <w:tc>
          <w:tcPr>
            <w:tcW w:w="177" w:type="pct"/>
            <w:noWrap w:val="0"/>
            <w:vAlign w:val="center"/>
          </w:tcPr>
          <w:p w14:paraId="19450FA1">
            <w:pPr>
              <w:widowControl/>
              <w:jc w:val="center"/>
              <w:textAlignment w:val="center"/>
              <w:rPr>
                <w:color w:val="000000"/>
                <w:sz w:val="18"/>
                <w:szCs w:val="18"/>
              </w:rPr>
            </w:pPr>
            <w:r>
              <w:rPr>
                <w:color w:val="000000"/>
                <w:kern w:val="0"/>
                <w:sz w:val="18"/>
                <w:szCs w:val="18"/>
                <w:lang w:bidi="ar"/>
              </w:rPr>
              <w:t>51</w:t>
            </w:r>
          </w:p>
        </w:tc>
        <w:tc>
          <w:tcPr>
            <w:tcW w:w="215" w:type="pct"/>
            <w:noWrap w:val="0"/>
            <w:vAlign w:val="center"/>
          </w:tcPr>
          <w:p w14:paraId="47572C36">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8C2C02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832FF31">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163B86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29DACBF1">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44C2BD0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7E1592A7">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1C0A0495">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5778E18">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3BDEA04">
            <w:pPr>
              <w:widowControl/>
              <w:jc w:val="center"/>
              <w:textAlignment w:val="center"/>
              <w:rPr>
                <w:color w:val="000000"/>
                <w:sz w:val="18"/>
                <w:szCs w:val="18"/>
              </w:rPr>
            </w:pPr>
            <w:r>
              <w:rPr>
                <w:color w:val="000000"/>
                <w:kern w:val="0"/>
                <w:sz w:val="18"/>
                <w:szCs w:val="18"/>
                <w:lang w:bidi="ar"/>
              </w:rPr>
              <w:t xml:space="preserve">50 </w:t>
            </w:r>
          </w:p>
        </w:tc>
      </w:tr>
      <w:tr w14:paraId="3FFCA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4ECE24F9">
            <w:pPr>
              <w:widowControl/>
              <w:jc w:val="center"/>
              <w:textAlignment w:val="center"/>
              <w:rPr>
                <w:color w:val="000000"/>
                <w:kern w:val="0"/>
                <w:sz w:val="18"/>
                <w:szCs w:val="18"/>
                <w:lang w:bidi="ar"/>
              </w:rPr>
            </w:pPr>
            <w:r>
              <w:rPr>
                <w:color w:val="000000"/>
                <w:kern w:val="0"/>
                <w:sz w:val="18"/>
                <w:szCs w:val="18"/>
                <w:lang w:bidi="ar"/>
              </w:rPr>
              <w:t>25</w:t>
            </w:r>
          </w:p>
        </w:tc>
        <w:tc>
          <w:tcPr>
            <w:tcW w:w="463" w:type="pct"/>
            <w:noWrap w:val="0"/>
            <w:vAlign w:val="center"/>
          </w:tcPr>
          <w:p w14:paraId="025071F8">
            <w:pPr>
              <w:widowControl/>
              <w:jc w:val="center"/>
              <w:textAlignment w:val="center"/>
              <w:rPr>
                <w:color w:val="000000"/>
                <w:sz w:val="18"/>
                <w:szCs w:val="18"/>
              </w:rPr>
            </w:pPr>
            <w:r>
              <w:rPr>
                <w:color w:val="000000"/>
                <w:sz w:val="18"/>
                <w:szCs w:val="18"/>
              </w:rPr>
              <w:t>切割机</w:t>
            </w:r>
            <w:r>
              <w:rPr>
                <w:rFonts w:hint="eastAsia"/>
                <w:color w:val="000000"/>
                <w:sz w:val="18"/>
                <w:szCs w:val="18"/>
              </w:rPr>
              <w:t>3#</w:t>
            </w:r>
          </w:p>
        </w:tc>
        <w:tc>
          <w:tcPr>
            <w:tcW w:w="181" w:type="pct"/>
            <w:noWrap w:val="0"/>
            <w:vAlign w:val="center"/>
          </w:tcPr>
          <w:p w14:paraId="2379B792">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1085AE6">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2A3C310">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1A8991CC">
            <w:pPr>
              <w:widowControl/>
              <w:jc w:val="center"/>
              <w:textAlignment w:val="center"/>
              <w:rPr>
                <w:color w:val="000000"/>
                <w:sz w:val="18"/>
                <w:szCs w:val="18"/>
              </w:rPr>
            </w:pPr>
            <w:r>
              <w:rPr>
                <w:rFonts w:hint="eastAsia"/>
                <w:color w:val="000000"/>
                <w:sz w:val="18"/>
                <w:szCs w:val="18"/>
              </w:rPr>
              <w:t>36</w:t>
            </w:r>
          </w:p>
        </w:tc>
        <w:tc>
          <w:tcPr>
            <w:tcW w:w="206" w:type="pct"/>
            <w:noWrap w:val="0"/>
            <w:vAlign w:val="center"/>
          </w:tcPr>
          <w:p w14:paraId="232CE560">
            <w:pPr>
              <w:widowControl/>
              <w:jc w:val="center"/>
              <w:textAlignment w:val="center"/>
              <w:rPr>
                <w:color w:val="000000"/>
                <w:sz w:val="18"/>
                <w:szCs w:val="18"/>
              </w:rPr>
            </w:pPr>
            <w:r>
              <w:rPr>
                <w:rFonts w:hint="eastAsia"/>
                <w:color w:val="000000"/>
                <w:sz w:val="18"/>
                <w:szCs w:val="18"/>
              </w:rPr>
              <w:t>42</w:t>
            </w:r>
          </w:p>
        </w:tc>
        <w:tc>
          <w:tcPr>
            <w:tcW w:w="156" w:type="pct"/>
            <w:noWrap w:val="0"/>
            <w:vAlign w:val="center"/>
          </w:tcPr>
          <w:p w14:paraId="74151DFA">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4BE1A16C">
            <w:pPr>
              <w:widowControl/>
              <w:jc w:val="center"/>
              <w:textAlignment w:val="center"/>
              <w:rPr>
                <w:color w:val="000000"/>
                <w:sz w:val="18"/>
                <w:szCs w:val="18"/>
              </w:rPr>
            </w:pPr>
            <w:r>
              <w:rPr>
                <w:color w:val="000000"/>
                <w:kern w:val="0"/>
                <w:sz w:val="18"/>
                <w:szCs w:val="18"/>
                <w:lang w:bidi="ar"/>
              </w:rPr>
              <w:t>77</w:t>
            </w:r>
          </w:p>
        </w:tc>
        <w:tc>
          <w:tcPr>
            <w:tcW w:w="174" w:type="pct"/>
            <w:noWrap w:val="0"/>
            <w:vAlign w:val="center"/>
          </w:tcPr>
          <w:p w14:paraId="61C0751E">
            <w:pPr>
              <w:widowControl/>
              <w:jc w:val="center"/>
              <w:textAlignment w:val="center"/>
              <w:rPr>
                <w:color w:val="000000"/>
                <w:sz w:val="18"/>
                <w:szCs w:val="18"/>
              </w:rPr>
            </w:pPr>
            <w:r>
              <w:rPr>
                <w:color w:val="000000"/>
                <w:kern w:val="0"/>
                <w:sz w:val="18"/>
                <w:szCs w:val="18"/>
                <w:lang w:bidi="ar"/>
              </w:rPr>
              <w:t>21</w:t>
            </w:r>
          </w:p>
        </w:tc>
        <w:tc>
          <w:tcPr>
            <w:tcW w:w="174" w:type="pct"/>
            <w:noWrap w:val="0"/>
            <w:vAlign w:val="center"/>
          </w:tcPr>
          <w:p w14:paraId="4BBF4A11">
            <w:pPr>
              <w:widowControl/>
              <w:jc w:val="center"/>
              <w:textAlignment w:val="center"/>
              <w:rPr>
                <w:color w:val="000000"/>
                <w:sz w:val="18"/>
                <w:szCs w:val="18"/>
              </w:rPr>
            </w:pPr>
            <w:r>
              <w:rPr>
                <w:color w:val="000000"/>
                <w:kern w:val="0"/>
                <w:sz w:val="18"/>
                <w:szCs w:val="18"/>
                <w:lang w:bidi="ar"/>
              </w:rPr>
              <w:t>36</w:t>
            </w:r>
          </w:p>
        </w:tc>
        <w:tc>
          <w:tcPr>
            <w:tcW w:w="177" w:type="pct"/>
            <w:noWrap w:val="0"/>
            <w:vAlign w:val="center"/>
          </w:tcPr>
          <w:p w14:paraId="48F1757C">
            <w:pPr>
              <w:widowControl/>
              <w:jc w:val="center"/>
              <w:textAlignment w:val="center"/>
              <w:rPr>
                <w:color w:val="000000"/>
                <w:sz w:val="18"/>
                <w:szCs w:val="18"/>
              </w:rPr>
            </w:pPr>
            <w:r>
              <w:rPr>
                <w:color w:val="000000"/>
                <w:kern w:val="0"/>
                <w:sz w:val="18"/>
                <w:szCs w:val="18"/>
                <w:lang w:bidi="ar"/>
              </w:rPr>
              <w:t>54</w:t>
            </w:r>
          </w:p>
        </w:tc>
        <w:tc>
          <w:tcPr>
            <w:tcW w:w="215" w:type="pct"/>
            <w:noWrap w:val="0"/>
            <w:vAlign w:val="center"/>
          </w:tcPr>
          <w:p w14:paraId="67B54854">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283AD4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6D018931">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3218FF9E">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5FEF831A">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15CE02C">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54E54DD7">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7BA2E9DA">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78118BDD">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570008F">
            <w:pPr>
              <w:widowControl/>
              <w:jc w:val="center"/>
              <w:textAlignment w:val="center"/>
              <w:rPr>
                <w:color w:val="000000"/>
                <w:sz w:val="18"/>
                <w:szCs w:val="18"/>
              </w:rPr>
            </w:pPr>
            <w:r>
              <w:rPr>
                <w:color w:val="000000"/>
                <w:kern w:val="0"/>
                <w:sz w:val="18"/>
                <w:szCs w:val="18"/>
                <w:lang w:bidi="ar"/>
              </w:rPr>
              <w:t xml:space="preserve">50 </w:t>
            </w:r>
          </w:p>
        </w:tc>
      </w:tr>
      <w:tr w14:paraId="30145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32D1846">
            <w:pPr>
              <w:widowControl/>
              <w:jc w:val="center"/>
              <w:textAlignment w:val="center"/>
              <w:rPr>
                <w:color w:val="000000"/>
                <w:kern w:val="0"/>
                <w:sz w:val="18"/>
                <w:szCs w:val="18"/>
                <w:lang w:bidi="ar"/>
              </w:rPr>
            </w:pPr>
            <w:r>
              <w:rPr>
                <w:color w:val="000000"/>
                <w:kern w:val="0"/>
                <w:sz w:val="18"/>
                <w:szCs w:val="18"/>
                <w:lang w:bidi="ar"/>
              </w:rPr>
              <w:t>26</w:t>
            </w:r>
          </w:p>
        </w:tc>
        <w:tc>
          <w:tcPr>
            <w:tcW w:w="463" w:type="pct"/>
            <w:noWrap w:val="0"/>
            <w:vAlign w:val="center"/>
          </w:tcPr>
          <w:p w14:paraId="7A7B53EE">
            <w:pPr>
              <w:widowControl/>
              <w:jc w:val="center"/>
              <w:textAlignment w:val="center"/>
              <w:rPr>
                <w:color w:val="000000"/>
                <w:sz w:val="18"/>
                <w:szCs w:val="18"/>
              </w:rPr>
            </w:pPr>
            <w:r>
              <w:rPr>
                <w:color w:val="000000"/>
                <w:sz w:val="18"/>
                <w:szCs w:val="18"/>
              </w:rPr>
              <w:t>切割机</w:t>
            </w:r>
            <w:r>
              <w:rPr>
                <w:rFonts w:hint="eastAsia"/>
                <w:color w:val="000000"/>
                <w:sz w:val="18"/>
                <w:szCs w:val="18"/>
              </w:rPr>
              <w:t>4#</w:t>
            </w:r>
          </w:p>
        </w:tc>
        <w:tc>
          <w:tcPr>
            <w:tcW w:w="181" w:type="pct"/>
            <w:noWrap w:val="0"/>
            <w:vAlign w:val="center"/>
          </w:tcPr>
          <w:p w14:paraId="42F50ECB">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5C539296">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0C114D3B">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73E0C5A">
            <w:pPr>
              <w:widowControl/>
              <w:jc w:val="center"/>
              <w:textAlignment w:val="center"/>
              <w:rPr>
                <w:color w:val="000000"/>
                <w:sz w:val="18"/>
                <w:szCs w:val="18"/>
              </w:rPr>
            </w:pPr>
            <w:r>
              <w:rPr>
                <w:rFonts w:hint="eastAsia"/>
                <w:color w:val="000000"/>
                <w:sz w:val="18"/>
                <w:szCs w:val="18"/>
              </w:rPr>
              <w:t>44</w:t>
            </w:r>
          </w:p>
        </w:tc>
        <w:tc>
          <w:tcPr>
            <w:tcW w:w="206" w:type="pct"/>
            <w:noWrap w:val="0"/>
            <w:vAlign w:val="center"/>
          </w:tcPr>
          <w:p w14:paraId="09332C40">
            <w:pPr>
              <w:widowControl/>
              <w:jc w:val="center"/>
              <w:textAlignment w:val="center"/>
              <w:rPr>
                <w:color w:val="000000"/>
                <w:sz w:val="18"/>
                <w:szCs w:val="18"/>
              </w:rPr>
            </w:pPr>
            <w:r>
              <w:rPr>
                <w:rFonts w:hint="eastAsia"/>
                <w:color w:val="000000"/>
                <w:sz w:val="18"/>
                <w:szCs w:val="18"/>
              </w:rPr>
              <w:t>42</w:t>
            </w:r>
          </w:p>
        </w:tc>
        <w:tc>
          <w:tcPr>
            <w:tcW w:w="156" w:type="pct"/>
            <w:noWrap w:val="0"/>
            <w:vAlign w:val="center"/>
          </w:tcPr>
          <w:p w14:paraId="1A325C38">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5B51B0A8">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162070A0">
            <w:pPr>
              <w:widowControl/>
              <w:jc w:val="center"/>
              <w:textAlignment w:val="center"/>
              <w:rPr>
                <w:color w:val="000000"/>
                <w:sz w:val="18"/>
                <w:szCs w:val="18"/>
              </w:rPr>
            </w:pPr>
            <w:r>
              <w:rPr>
                <w:color w:val="000000"/>
                <w:kern w:val="0"/>
                <w:sz w:val="18"/>
                <w:szCs w:val="18"/>
                <w:lang w:bidi="ar"/>
              </w:rPr>
              <w:t>21</w:t>
            </w:r>
          </w:p>
        </w:tc>
        <w:tc>
          <w:tcPr>
            <w:tcW w:w="174" w:type="pct"/>
            <w:noWrap w:val="0"/>
            <w:vAlign w:val="center"/>
          </w:tcPr>
          <w:p w14:paraId="7BEA825F">
            <w:pPr>
              <w:widowControl/>
              <w:jc w:val="center"/>
              <w:textAlignment w:val="center"/>
              <w:rPr>
                <w:color w:val="000000"/>
                <w:sz w:val="18"/>
                <w:szCs w:val="18"/>
              </w:rPr>
            </w:pPr>
            <w:r>
              <w:rPr>
                <w:color w:val="000000"/>
                <w:kern w:val="0"/>
                <w:sz w:val="18"/>
                <w:szCs w:val="18"/>
                <w:lang w:bidi="ar"/>
              </w:rPr>
              <w:t>44</w:t>
            </w:r>
          </w:p>
        </w:tc>
        <w:tc>
          <w:tcPr>
            <w:tcW w:w="177" w:type="pct"/>
            <w:noWrap w:val="0"/>
            <w:vAlign w:val="center"/>
          </w:tcPr>
          <w:p w14:paraId="10083E00">
            <w:pPr>
              <w:widowControl/>
              <w:jc w:val="center"/>
              <w:textAlignment w:val="center"/>
              <w:rPr>
                <w:color w:val="000000"/>
                <w:sz w:val="18"/>
                <w:szCs w:val="18"/>
              </w:rPr>
            </w:pPr>
            <w:r>
              <w:rPr>
                <w:color w:val="000000"/>
                <w:kern w:val="0"/>
                <w:sz w:val="18"/>
                <w:szCs w:val="18"/>
                <w:lang w:bidi="ar"/>
              </w:rPr>
              <w:t>54</w:t>
            </w:r>
          </w:p>
        </w:tc>
        <w:tc>
          <w:tcPr>
            <w:tcW w:w="215" w:type="pct"/>
            <w:noWrap w:val="0"/>
            <w:vAlign w:val="center"/>
          </w:tcPr>
          <w:p w14:paraId="04A1414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8536D0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F014643">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7103310B">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12CBF384">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7728355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EBD79F4">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78FFC2A">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1CD2023">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3B290587">
            <w:pPr>
              <w:widowControl/>
              <w:jc w:val="center"/>
              <w:textAlignment w:val="center"/>
              <w:rPr>
                <w:color w:val="000000"/>
                <w:sz w:val="18"/>
                <w:szCs w:val="18"/>
              </w:rPr>
            </w:pPr>
            <w:r>
              <w:rPr>
                <w:color w:val="000000"/>
                <w:kern w:val="0"/>
                <w:sz w:val="18"/>
                <w:szCs w:val="18"/>
                <w:lang w:bidi="ar"/>
              </w:rPr>
              <w:t xml:space="preserve">50 </w:t>
            </w:r>
          </w:p>
        </w:tc>
      </w:tr>
      <w:tr w14:paraId="5EBAF7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45218A62">
            <w:pPr>
              <w:widowControl/>
              <w:jc w:val="center"/>
              <w:textAlignment w:val="center"/>
              <w:rPr>
                <w:color w:val="000000"/>
                <w:kern w:val="0"/>
                <w:sz w:val="18"/>
                <w:szCs w:val="18"/>
                <w:lang w:bidi="ar"/>
              </w:rPr>
            </w:pPr>
            <w:r>
              <w:rPr>
                <w:color w:val="000000"/>
                <w:kern w:val="0"/>
                <w:sz w:val="18"/>
                <w:szCs w:val="18"/>
                <w:lang w:bidi="ar"/>
              </w:rPr>
              <w:t>27</w:t>
            </w:r>
          </w:p>
        </w:tc>
        <w:tc>
          <w:tcPr>
            <w:tcW w:w="463" w:type="pct"/>
            <w:noWrap w:val="0"/>
            <w:vAlign w:val="center"/>
          </w:tcPr>
          <w:p w14:paraId="4F10F7B2">
            <w:pPr>
              <w:widowControl/>
              <w:jc w:val="center"/>
              <w:textAlignment w:val="center"/>
              <w:rPr>
                <w:color w:val="000000"/>
                <w:sz w:val="18"/>
                <w:szCs w:val="18"/>
              </w:rPr>
            </w:pPr>
            <w:r>
              <w:rPr>
                <w:color w:val="000000"/>
                <w:sz w:val="18"/>
                <w:szCs w:val="18"/>
              </w:rPr>
              <w:t>切割机</w:t>
            </w:r>
            <w:r>
              <w:rPr>
                <w:rFonts w:hint="eastAsia"/>
                <w:color w:val="000000"/>
                <w:sz w:val="18"/>
                <w:szCs w:val="18"/>
              </w:rPr>
              <w:t>5#</w:t>
            </w:r>
          </w:p>
        </w:tc>
        <w:tc>
          <w:tcPr>
            <w:tcW w:w="181" w:type="pct"/>
            <w:noWrap w:val="0"/>
            <w:vAlign w:val="center"/>
          </w:tcPr>
          <w:p w14:paraId="6700EECA">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892F0D4">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1BFD829">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ABE8F51">
            <w:pPr>
              <w:widowControl/>
              <w:jc w:val="center"/>
              <w:textAlignment w:val="center"/>
              <w:rPr>
                <w:color w:val="000000"/>
                <w:sz w:val="18"/>
                <w:szCs w:val="18"/>
              </w:rPr>
            </w:pPr>
            <w:r>
              <w:rPr>
                <w:rFonts w:hint="eastAsia"/>
                <w:color w:val="000000"/>
                <w:sz w:val="18"/>
                <w:szCs w:val="18"/>
              </w:rPr>
              <w:t>52</w:t>
            </w:r>
          </w:p>
        </w:tc>
        <w:tc>
          <w:tcPr>
            <w:tcW w:w="206" w:type="pct"/>
            <w:noWrap w:val="0"/>
            <w:vAlign w:val="center"/>
          </w:tcPr>
          <w:p w14:paraId="09852280">
            <w:pPr>
              <w:widowControl/>
              <w:jc w:val="center"/>
              <w:textAlignment w:val="center"/>
              <w:rPr>
                <w:color w:val="000000"/>
                <w:sz w:val="18"/>
                <w:szCs w:val="18"/>
              </w:rPr>
            </w:pPr>
            <w:r>
              <w:rPr>
                <w:rFonts w:hint="eastAsia"/>
                <w:color w:val="000000"/>
                <w:sz w:val="18"/>
                <w:szCs w:val="18"/>
              </w:rPr>
              <w:t>42</w:t>
            </w:r>
          </w:p>
        </w:tc>
        <w:tc>
          <w:tcPr>
            <w:tcW w:w="156" w:type="pct"/>
            <w:noWrap w:val="0"/>
            <w:vAlign w:val="center"/>
          </w:tcPr>
          <w:p w14:paraId="6C490114">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74F827CC">
            <w:pPr>
              <w:widowControl/>
              <w:jc w:val="center"/>
              <w:textAlignment w:val="center"/>
              <w:rPr>
                <w:color w:val="000000"/>
                <w:sz w:val="18"/>
                <w:szCs w:val="18"/>
              </w:rPr>
            </w:pPr>
            <w:r>
              <w:rPr>
                <w:color w:val="000000"/>
                <w:kern w:val="0"/>
                <w:sz w:val="18"/>
                <w:szCs w:val="18"/>
                <w:lang w:bidi="ar"/>
              </w:rPr>
              <w:t>61</w:t>
            </w:r>
          </w:p>
        </w:tc>
        <w:tc>
          <w:tcPr>
            <w:tcW w:w="174" w:type="pct"/>
            <w:noWrap w:val="0"/>
            <w:vAlign w:val="center"/>
          </w:tcPr>
          <w:p w14:paraId="123C5B2D">
            <w:pPr>
              <w:widowControl/>
              <w:jc w:val="center"/>
              <w:textAlignment w:val="center"/>
              <w:rPr>
                <w:color w:val="000000"/>
                <w:sz w:val="18"/>
                <w:szCs w:val="18"/>
              </w:rPr>
            </w:pPr>
            <w:r>
              <w:rPr>
                <w:color w:val="000000"/>
                <w:kern w:val="0"/>
                <w:sz w:val="18"/>
                <w:szCs w:val="18"/>
                <w:lang w:bidi="ar"/>
              </w:rPr>
              <w:t>21</w:t>
            </w:r>
          </w:p>
        </w:tc>
        <w:tc>
          <w:tcPr>
            <w:tcW w:w="174" w:type="pct"/>
            <w:noWrap w:val="0"/>
            <w:vAlign w:val="center"/>
          </w:tcPr>
          <w:p w14:paraId="5314EE24">
            <w:pPr>
              <w:widowControl/>
              <w:jc w:val="center"/>
              <w:textAlignment w:val="center"/>
              <w:rPr>
                <w:color w:val="000000"/>
                <w:sz w:val="18"/>
                <w:szCs w:val="18"/>
              </w:rPr>
            </w:pPr>
            <w:r>
              <w:rPr>
                <w:color w:val="000000"/>
                <w:kern w:val="0"/>
                <w:sz w:val="18"/>
                <w:szCs w:val="18"/>
                <w:lang w:bidi="ar"/>
              </w:rPr>
              <w:t>52</w:t>
            </w:r>
          </w:p>
        </w:tc>
        <w:tc>
          <w:tcPr>
            <w:tcW w:w="177" w:type="pct"/>
            <w:noWrap w:val="0"/>
            <w:vAlign w:val="center"/>
          </w:tcPr>
          <w:p w14:paraId="62137549">
            <w:pPr>
              <w:widowControl/>
              <w:jc w:val="center"/>
              <w:textAlignment w:val="center"/>
              <w:rPr>
                <w:color w:val="000000"/>
                <w:sz w:val="18"/>
                <w:szCs w:val="18"/>
              </w:rPr>
            </w:pPr>
            <w:r>
              <w:rPr>
                <w:color w:val="000000"/>
                <w:kern w:val="0"/>
                <w:sz w:val="18"/>
                <w:szCs w:val="18"/>
                <w:lang w:bidi="ar"/>
              </w:rPr>
              <w:t>54</w:t>
            </w:r>
          </w:p>
        </w:tc>
        <w:tc>
          <w:tcPr>
            <w:tcW w:w="215" w:type="pct"/>
            <w:noWrap w:val="0"/>
            <w:vAlign w:val="center"/>
          </w:tcPr>
          <w:p w14:paraId="0C390D83">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8A32889">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1577308">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4204C1E4">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6ECE46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618B1FF5">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4528B97">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BCDD168">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CD840AE">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5B519939">
            <w:pPr>
              <w:widowControl/>
              <w:jc w:val="center"/>
              <w:textAlignment w:val="center"/>
              <w:rPr>
                <w:color w:val="000000"/>
                <w:sz w:val="18"/>
                <w:szCs w:val="18"/>
              </w:rPr>
            </w:pPr>
            <w:r>
              <w:rPr>
                <w:color w:val="000000"/>
                <w:kern w:val="0"/>
                <w:sz w:val="18"/>
                <w:szCs w:val="18"/>
                <w:lang w:bidi="ar"/>
              </w:rPr>
              <w:t xml:space="preserve">50 </w:t>
            </w:r>
          </w:p>
        </w:tc>
      </w:tr>
      <w:tr w14:paraId="25944F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05F27F8">
            <w:pPr>
              <w:widowControl/>
              <w:jc w:val="center"/>
              <w:textAlignment w:val="center"/>
              <w:rPr>
                <w:color w:val="000000"/>
                <w:kern w:val="0"/>
                <w:sz w:val="18"/>
                <w:szCs w:val="18"/>
                <w:lang w:bidi="ar"/>
              </w:rPr>
            </w:pPr>
            <w:r>
              <w:rPr>
                <w:color w:val="000000"/>
                <w:kern w:val="0"/>
                <w:sz w:val="18"/>
                <w:szCs w:val="18"/>
                <w:lang w:bidi="ar"/>
              </w:rPr>
              <w:t>28</w:t>
            </w:r>
          </w:p>
        </w:tc>
        <w:tc>
          <w:tcPr>
            <w:tcW w:w="463" w:type="pct"/>
            <w:noWrap w:val="0"/>
            <w:vAlign w:val="center"/>
          </w:tcPr>
          <w:p w14:paraId="233E2793">
            <w:pPr>
              <w:widowControl/>
              <w:jc w:val="center"/>
              <w:textAlignment w:val="center"/>
              <w:rPr>
                <w:color w:val="000000"/>
                <w:sz w:val="18"/>
                <w:szCs w:val="18"/>
              </w:rPr>
            </w:pPr>
            <w:r>
              <w:rPr>
                <w:rFonts w:hint="eastAsia"/>
                <w:color w:val="000000"/>
                <w:sz w:val="18"/>
                <w:szCs w:val="18"/>
              </w:rPr>
              <w:t>旋风机9#</w:t>
            </w:r>
          </w:p>
        </w:tc>
        <w:tc>
          <w:tcPr>
            <w:tcW w:w="181" w:type="pct"/>
            <w:noWrap w:val="0"/>
            <w:vAlign w:val="center"/>
          </w:tcPr>
          <w:p w14:paraId="30246F1C">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8AF41FF">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AFE629E">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4E5F3DE">
            <w:pPr>
              <w:widowControl/>
              <w:jc w:val="center"/>
              <w:textAlignment w:val="center"/>
              <w:rPr>
                <w:color w:val="000000"/>
                <w:sz w:val="18"/>
                <w:szCs w:val="18"/>
              </w:rPr>
            </w:pPr>
            <w:r>
              <w:rPr>
                <w:rFonts w:hint="eastAsia"/>
                <w:color w:val="000000"/>
                <w:sz w:val="18"/>
                <w:szCs w:val="18"/>
              </w:rPr>
              <w:t>36</w:t>
            </w:r>
          </w:p>
        </w:tc>
        <w:tc>
          <w:tcPr>
            <w:tcW w:w="206" w:type="pct"/>
            <w:noWrap w:val="0"/>
            <w:vAlign w:val="center"/>
          </w:tcPr>
          <w:p w14:paraId="199BAB95">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59F17F84">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3746F008">
            <w:pPr>
              <w:widowControl/>
              <w:jc w:val="center"/>
              <w:textAlignment w:val="center"/>
              <w:rPr>
                <w:color w:val="000000"/>
                <w:sz w:val="18"/>
                <w:szCs w:val="18"/>
              </w:rPr>
            </w:pPr>
            <w:r>
              <w:rPr>
                <w:color w:val="000000"/>
                <w:kern w:val="0"/>
                <w:sz w:val="18"/>
                <w:szCs w:val="18"/>
                <w:lang w:bidi="ar"/>
              </w:rPr>
              <w:t>77</w:t>
            </w:r>
          </w:p>
        </w:tc>
        <w:tc>
          <w:tcPr>
            <w:tcW w:w="174" w:type="pct"/>
            <w:noWrap w:val="0"/>
            <w:vAlign w:val="center"/>
          </w:tcPr>
          <w:p w14:paraId="2347338D">
            <w:pPr>
              <w:widowControl/>
              <w:jc w:val="center"/>
              <w:textAlignment w:val="center"/>
              <w:rPr>
                <w:color w:val="000000"/>
                <w:sz w:val="18"/>
                <w:szCs w:val="18"/>
              </w:rPr>
            </w:pPr>
            <w:r>
              <w:rPr>
                <w:color w:val="000000"/>
                <w:kern w:val="0"/>
                <w:sz w:val="18"/>
                <w:szCs w:val="18"/>
                <w:lang w:bidi="ar"/>
              </w:rPr>
              <w:t>18</w:t>
            </w:r>
          </w:p>
        </w:tc>
        <w:tc>
          <w:tcPr>
            <w:tcW w:w="174" w:type="pct"/>
            <w:noWrap w:val="0"/>
            <w:vAlign w:val="center"/>
          </w:tcPr>
          <w:p w14:paraId="23DC9A76">
            <w:pPr>
              <w:widowControl/>
              <w:jc w:val="center"/>
              <w:textAlignment w:val="center"/>
              <w:rPr>
                <w:color w:val="000000"/>
                <w:sz w:val="18"/>
                <w:szCs w:val="18"/>
              </w:rPr>
            </w:pPr>
            <w:r>
              <w:rPr>
                <w:color w:val="000000"/>
                <w:kern w:val="0"/>
                <w:sz w:val="18"/>
                <w:szCs w:val="18"/>
                <w:lang w:bidi="ar"/>
              </w:rPr>
              <w:t>36</w:t>
            </w:r>
          </w:p>
        </w:tc>
        <w:tc>
          <w:tcPr>
            <w:tcW w:w="177" w:type="pct"/>
            <w:noWrap w:val="0"/>
            <w:vAlign w:val="center"/>
          </w:tcPr>
          <w:p w14:paraId="0CDBCA70">
            <w:pPr>
              <w:widowControl/>
              <w:jc w:val="center"/>
              <w:textAlignment w:val="center"/>
              <w:rPr>
                <w:color w:val="000000"/>
                <w:sz w:val="18"/>
                <w:szCs w:val="18"/>
              </w:rPr>
            </w:pPr>
            <w:r>
              <w:rPr>
                <w:color w:val="000000"/>
                <w:kern w:val="0"/>
                <w:sz w:val="18"/>
                <w:szCs w:val="18"/>
                <w:lang w:bidi="ar"/>
              </w:rPr>
              <w:t>57</w:t>
            </w:r>
          </w:p>
        </w:tc>
        <w:tc>
          <w:tcPr>
            <w:tcW w:w="215" w:type="pct"/>
            <w:noWrap w:val="0"/>
            <w:vAlign w:val="center"/>
          </w:tcPr>
          <w:p w14:paraId="59B5F6A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E0FDFD8">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1174988">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FA802AE">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E90A969">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660D38B">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E3CA90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DC1273E">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12770B5C">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68586A79">
            <w:pPr>
              <w:widowControl/>
              <w:jc w:val="center"/>
              <w:textAlignment w:val="center"/>
              <w:rPr>
                <w:color w:val="000000"/>
                <w:sz w:val="18"/>
                <w:szCs w:val="18"/>
              </w:rPr>
            </w:pPr>
            <w:r>
              <w:rPr>
                <w:color w:val="000000"/>
                <w:kern w:val="0"/>
                <w:sz w:val="18"/>
                <w:szCs w:val="18"/>
                <w:lang w:bidi="ar"/>
              </w:rPr>
              <w:t xml:space="preserve">50 </w:t>
            </w:r>
          </w:p>
        </w:tc>
      </w:tr>
      <w:tr w14:paraId="0C1FB3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8F1CF75">
            <w:pPr>
              <w:widowControl/>
              <w:jc w:val="center"/>
              <w:textAlignment w:val="center"/>
              <w:rPr>
                <w:color w:val="000000"/>
                <w:kern w:val="0"/>
                <w:sz w:val="18"/>
                <w:szCs w:val="18"/>
                <w:lang w:bidi="ar"/>
              </w:rPr>
            </w:pPr>
            <w:r>
              <w:rPr>
                <w:color w:val="000000"/>
                <w:kern w:val="0"/>
                <w:sz w:val="18"/>
                <w:szCs w:val="18"/>
                <w:lang w:bidi="ar"/>
              </w:rPr>
              <w:t>29</w:t>
            </w:r>
          </w:p>
        </w:tc>
        <w:tc>
          <w:tcPr>
            <w:tcW w:w="463" w:type="pct"/>
            <w:noWrap w:val="0"/>
            <w:vAlign w:val="center"/>
          </w:tcPr>
          <w:p w14:paraId="5C309A23">
            <w:pPr>
              <w:widowControl/>
              <w:jc w:val="center"/>
              <w:textAlignment w:val="center"/>
              <w:rPr>
                <w:color w:val="000000"/>
                <w:sz w:val="18"/>
                <w:szCs w:val="18"/>
              </w:rPr>
            </w:pPr>
            <w:r>
              <w:rPr>
                <w:rFonts w:hint="eastAsia"/>
                <w:color w:val="000000"/>
                <w:sz w:val="18"/>
                <w:szCs w:val="18"/>
              </w:rPr>
              <w:t>旋风机10#</w:t>
            </w:r>
          </w:p>
        </w:tc>
        <w:tc>
          <w:tcPr>
            <w:tcW w:w="181" w:type="pct"/>
            <w:noWrap w:val="0"/>
            <w:vAlign w:val="center"/>
          </w:tcPr>
          <w:p w14:paraId="729A2D0C">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589F54DD">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6CD7835">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4BA9904">
            <w:pPr>
              <w:widowControl/>
              <w:jc w:val="center"/>
              <w:textAlignment w:val="center"/>
              <w:rPr>
                <w:color w:val="000000"/>
                <w:sz w:val="18"/>
                <w:szCs w:val="18"/>
              </w:rPr>
            </w:pPr>
            <w:r>
              <w:rPr>
                <w:rFonts w:hint="eastAsia"/>
                <w:color w:val="000000"/>
                <w:sz w:val="18"/>
                <w:szCs w:val="18"/>
              </w:rPr>
              <w:t>36</w:t>
            </w:r>
          </w:p>
        </w:tc>
        <w:tc>
          <w:tcPr>
            <w:tcW w:w="206" w:type="pct"/>
            <w:noWrap w:val="0"/>
            <w:vAlign w:val="center"/>
          </w:tcPr>
          <w:p w14:paraId="77FF0E3C">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21CE93AE">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4E409C3C">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6624CDF4">
            <w:pPr>
              <w:widowControl/>
              <w:jc w:val="center"/>
              <w:textAlignment w:val="center"/>
              <w:rPr>
                <w:color w:val="000000"/>
                <w:sz w:val="18"/>
                <w:szCs w:val="18"/>
              </w:rPr>
            </w:pPr>
            <w:r>
              <w:rPr>
                <w:color w:val="000000"/>
                <w:kern w:val="0"/>
                <w:sz w:val="18"/>
                <w:szCs w:val="18"/>
                <w:lang w:bidi="ar"/>
              </w:rPr>
              <w:t>18</w:t>
            </w:r>
          </w:p>
        </w:tc>
        <w:tc>
          <w:tcPr>
            <w:tcW w:w="174" w:type="pct"/>
            <w:noWrap w:val="0"/>
            <w:vAlign w:val="center"/>
          </w:tcPr>
          <w:p w14:paraId="0AB60A81">
            <w:pPr>
              <w:widowControl/>
              <w:jc w:val="center"/>
              <w:textAlignment w:val="center"/>
              <w:rPr>
                <w:color w:val="000000"/>
                <w:sz w:val="18"/>
                <w:szCs w:val="18"/>
              </w:rPr>
            </w:pPr>
            <w:r>
              <w:rPr>
                <w:color w:val="000000"/>
                <w:kern w:val="0"/>
                <w:sz w:val="18"/>
                <w:szCs w:val="18"/>
                <w:lang w:bidi="ar"/>
              </w:rPr>
              <w:t>44</w:t>
            </w:r>
          </w:p>
        </w:tc>
        <w:tc>
          <w:tcPr>
            <w:tcW w:w="177" w:type="pct"/>
            <w:noWrap w:val="0"/>
            <w:vAlign w:val="center"/>
          </w:tcPr>
          <w:p w14:paraId="1FE2C7AC">
            <w:pPr>
              <w:widowControl/>
              <w:jc w:val="center"/>
              <w:textAlignment w:val="center"/>
              <w:rPr>
                <w:color w:val="000000"/>
                <w:sz w:val="18"/>
                <w:szCs w:val="18"/>
              </w:rPr>
            </w:pPr>
            <w:r>
              <w:rPr>
                <w:color w:val="000000"/>
                <w:kern w:val="0"/>
                <w:sz w:val="18"/>
                <w:szCs w:val="18"/>
                <w:lang w:bidi="ar"/>
              </w:rPr>
              <w:t>57</w:t>
            </w:r>
          </w:p>
        </w:tc>
        <w:tc>
          <w:tcPr>
            <w:tcW w:w="215" w:type="pct"/>
            <w:noWrap w:val="0"/>
            <w:vAlign w:val="center"/>
          </w:tcPr>
          <w:p w14:paraId="5B77C7D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3A588B3C">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6E058684">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A9CA941">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402167D2">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6D318C4">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A55ACF4">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0EF6E5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4234B80">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32911942">
            <w:pPr>
              <w:widowControl/>
              <w:jc w:val="center"/>
              <w:textAlignment w:val="center"/>
              <w:rPr>
                <w:color w:val="000000"/>
                <w:sz w:val="18"/>
                <w:szCs w:val="18"/>
              </w:rPr>
            </w:pPr>
            <w:r>
              <w:rPr>
                <w:color w:val="000000"/>
                <w:kern w:val="0"/>
                <w:sz w:val="18"/>
                <w:szCs w:val="18"/>
                <w:lang w:bidi="ar"/>
              </w:rPr>
              <w:t xml:space="preserve">50 </w:t>
            </w:r>
          </w:p>
        </w:tc>
      </w:tr>
      <w:tr w14:paraId="3515B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4A0D9B07">
            <w:pPr>
              <w:widowControl/>
              <w:jc w:val="center"/>
              <w:textAlignment w:val="center"/>
              <w:rPr>
                <w:color w:val="000000"/>
                <w:kern w:val="0"/>
                <w:sz w:val="18"/>
                <w:szCs w:val="18"/>
                <w:lang w:bidi="ar"/>
              </w:rPr>
            </w:pPr>
            <w:r>
              <w:rPr>
                <w:color w:val="000000"/>
                <w:kern w:val="0"/>
                <w:sz w:val="18"/>
                <w:szCs w:val="18"/>
                <w:lang w:bidi="ar"/>
              </w:rPr>
              <w:t>30</w:t>
            </w:r>
          </w:p>
        </w:tc>
        <w:tc>
          <w:tcPr>
            <w:tcW w:w="463" w:type="pct"/>
            <w:noWrap w:val="0"/>
            <w:vAlign w:val="center"/>
          </w:tcPr>
          <w:p w14:paraId="724DE79A">
            <w:pPr>
              <w:widowControl/>
              <w:jc w:val="center"/>
              <w:textAlignment w:val="center"/>
              <w:rPr>
                <w:color w:val="000000"/>
                <w:sz w:val="18"/>
                <w:szCs w:val="18"/>
              </w:rPr>
            </w:pPr>
            <w:r>
              <w:rPr>
                <w:rFonts w:hint="eastAsia"/>
                <w:color w:val="000000"/>
                <w:sz w:val="18"/>
                <w:szCs w:val="18"/>
              </w:rPr>
              <w:t>旋风机11#</w:t>
            </w:r>
          </w:p>
        </w:tc>
        <w:tc>
          <w:tcPr>
            <w:tcW w:w="181" w:type="pct"/>
            <w:noWrap w:val="0"/>
            <w:vAlign w:val="center"/>
          </w:tcPr>
          <w:p w14:paraId="72CD2C17">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C4E50DF">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11DBC2AA">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0619B618">
            <w:pPr>
              <w:widowControl/>
              <w:jc w:val="center"/>
              <w:textAlignment w:val="center"/>
              <w:rPr>
                <w:color w:val="000000"/>
                <w:sz w:val="18"/>
                <w:szCs w:val="18"/>
              </w:rPr>
            </w:pPr>
            <w:r>
              <w:rPr>
                <w:rFonts w:hint="eastAsia"/>
                <w:color w:val="000000"/>
                <w:sz w:val="18"/>
                <w:szCs w:val="18"/>
              </w:rPr>
              <w:t>33</w:t>
            </w:r>
          </w:p>
        </w:tc>
        <w:tc>
          <w:tcPr>
            <w:tcW w:w="206" w:type="pct"/>
            <w:noWrap w:val="0"/>
            <w:vAlign w:val="center"/>
          </w:tcPr>
          <w:p w14:paraId="69844BF3">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1CC7A73C">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4E982669">
            <w:pPr>
              <w:widowControl/>
              <w:jc w:val="center"/>
              <w:textAlignment w:val="center"/>
              <w:rPr>
                <w:color w:val="000000"/>
                <w:sz w:val="18"/>
                <w:szCs w:val="18"/>
              </w:rPr>
            </w:pPr>
            <w:r>
              <w:rPr>
                <w:color w:val="000000"/>
                <w:kern w:val="0"/>
                <w:sz w:val="18"/>
                <w:szCs w:val="18"/>
                <w:lang w:bidi="ar"/>
              </w:rPr>
              <w:t>61</w:t>
            </w:r>
          </w:p>
        </w:tc>
        <w:tc>
          <w:tcPr>
            <w:tcW w:w="174" w:type="pct"/>
            <w:noWrap w:val="0"/>
            <w:vAlign w:val="center"/>
          </w:tcPr>
          <w:p w14:paraId="1D5E5DD7">
            <w:pPr>
              <w:widowControl/>
              <w:jc w:val="center"/>
              <w:textAlignment w:val="center"/>
              <w:rPr>
                <w:color w:val="000000"/>
                <w:sz w:val="18"/>
                <w:szCs w:val="18"/>
              </w:rPr>
            </w:pPr>
            <w:r>
              <w:rPr>
                <w:color w:val="000000"/>
                <w:kern w:val="0"/>
                <w:sz w:val="18"/>
                <w:szCs w:val="18"/>
                <w:lang w:bidi="ar"/>
              </w:rPr>
              <w:t>18</w:t>
            </w:r>
          </w:p>
        </w:tc>
        <w:tc>
          <w:tcPr>
            <w:tcW w:w="174" w:type="pct"/>
            <w:noWrap w:val="0"/>
            <w:vAlign w:val="center"/>
          </w:tcPr>
          <w:p w14:paraId="4E21F951">
            <w:pPr>
              <w:widowControl/>
              <w:jc w:val="center"/>
              <w:textAlignment w:val="center"/>
              <w:rPr>
                <w:color w:val="000000"/>
                <w:sz w:val="18"/>
                <w:szCs w:val="18"/>
              </w:rPr>
            </w:pPr>
            <w:r>
              <w:rPr>
                <w:color w:val="000000"/>
                <w:kern w:val="0"/>
                <w:sz w:val="18"/>
                <w:szCs w:val="18"/>
                <w:lang w:bidi="ar"/>
              </w:rPr>
              <w:t>52</w:t>
            </w:r>
          </w:p>
        </w:tc>
        <w:tc>
          <w:tcPr>
            <w:tcW w:w="177" w:type="pct"/>
            <w:noWrap w:val="0"/>
            <w:vAlign w:val="center"/>
          </w:tcPr>
          <w:p w14:paraId="5D7AA8B4">
            <w:pPr>
              <w:widowControl/>
              <w:jc w:val="center"/>
              <w:textAlignment w:val="center"/>
              <w:rPr>
                <w:color w:val="000000"/>
                <w:sz w:val="18"/>
                <w:szCs w:val="18"/>
              </w:rPr>
            </w:pPr>
            <w:r>
              <w:rPr>
                <w:color w:val="000000"/>
                <w:kern w:val="0"/>
                <w:sz w:val="18"/>
                <w:szCs w:val="18"/>
                <w:lang w:bidi="ar"/>
              </w:rPr>
              <w:t>57</w:t>
            </w:r>
          </w:p>
        </w:tc>
        <w:tc>
          <w:tcPr>
            <w:tcW w:w="215" w:type="pct"/>
            <w:noWrap w:val="0"/>
            <w:vAlign w:val="center"/>
          </w:tcPr>
          <w:p w14:paraId="0D0E0394">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61DB423E">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E0C8990">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2218110">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26835E56">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4374981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579600A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14FDF7F">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941B60F">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3EB2C37B">
            <w:pPr>
              <w:widowControl/>
              <w:jc w:val="center"/>
              <w:textAlignment w:val="center"/>
              <w:rPr>
                <w:color w:val="000000"/>
                <w:sz w:val="18"/>
                <w:szCs w:val="18"/>
              </w:rPr>
            </w:pPr>
            <w:r>
              <w:rPr>
                <w:color w:val="000000"/>
                <w:kern w:val="0"/>
                <w:sz w:val="18"/>
                <w:szCs w:val="18"/>
                <w:lang w:bidi="ar"/>
              </w:rPr>
              <w:t xml:space="preserve">50 </w:t>
            </w:r>
          </w:p>
        </w:tc>
      </w:tr>
      <w:tr w14:paraId="39CB7B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2DE70427">
            <w:pPr>
              <w:widowControl/>
              <w:jc w:val="center"/>
              <w:textAlignment w:val="center"/>
              <w:rPr>
                <w:color w:val="000000"/>
                <w:kern w:val="0"/>
                <w:sz w:val="18"/>
                <w:szCs w:val="18"/>
                <w:lang w:bidi="ar"/>
              </w:rPr>
            </w:pPr>
            <w:r>
              <w:rPr>
                <w:color w:val="000000"/>
                <w:kern w:val="0"/>
                <w:sz w:val="18"/>
                <w:szCs w:val="18"/>
                <w:lang w:bidi="ar"/>
              </w:rPr>
              <w:t>31</w:t>
            </w:r>
          </w:p>
        </w:tc>
        <w:tc>
          <w:tcPr>
            <w:tcW w:w="463" w:type="pct"/>
            <w:noWrap w:val="0"/>
            <w:vAlign w:val="center"/>
          </w:tcPr>
          <w:p w14:paraId="6FF54360">
            <w:pPr>
              <w:widowControl/>
              <w:jc w:val="center"/>
              <w:textAlignment w:val="center"/>
              <w:rPr>
                <w:color w:val="000000"/>
                <w:sz w:val="18"/>
                <w:szCs w:val="18"/>
              </w:rPr>
            </w:pPr>
            <w:r>
              <w:rPr>
                <w:rFonts w:hint="eastAsia"/>
                <w:color w:val="000000"/>
                <w:sz w:val="18"/>
                <w:szCs w:val="18"/>
              </w:rPr>
              <w:t>旋风机12#</w:t>
            </w:r>
          </w:p>
        </w:tc>
        <w:tc>
          <w:tcPr>
            <w:tcW w:w="181" w:type="pct"/>
            <w:noWrap w:val="0"/>
            <w:vAlign w:val="center"/>
          </w:tcPr>
          <w:p w14:paraId="1045DEEA">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B17FC30">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55E0331">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1845BEE4">
            <w:pPr>
              <w:widowControl/>
              <w:jc w:val="center"/>
              <w:textAlignment w:val="center"/>
              <w:rPr>
                <w:color w:val="000000"/>
                <w:sz w:val="18"/>
                <w:szCs w:val="18"/>
              </w:rPr>
            </w:pPr>
            <w:r>
              <w:rPr>
                <w:rFonts w:hint="eastAsia"/>
                <w:color w:val="000000"/>
                <w:sz w:val="18"/>
                <w:szCs w:val="18"/>
              </w:rPr>
              <w:t>33</w:t>
            </w:r>
          </w:p>
        </w:tc>
        <w:tc>
          <w:tcPr>
            <w:tcW w:w="206" w:type="pct"/>
            <w:noWrap w:val="0"/>
            <w:vAlign w:val="center"/>
          </w:tcPr>
          <w:p w14:paraId="05C04199">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6FB7463F">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68A9128E">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4BCBBC4F">
            <w:pPr>
              <w:widowControl/>
              <w:jc w:val="center"/>
              <w:textAlignment w:val="center"/>
              <w:rPr>
                <w:color w:val="000000"/>
                <w:sz w:val="18"/>
                <w:szCs w:val="18"/>
              </w:rPr>
            </w:pPr>
            <w:r>
              <w:rPr>
                <w:color w:val="000000"/>
                <w:kern w:val="0"/>
                <w:sz w:val="18"/>
                <w:szCs w:val="18"/>
                <w:lang w:bidi="ar"/>
              </w:rPr>
              <w:t>18</w:t>
            </w:r>
          </w:p>
        </w:tc>
        <w:tc>
          <w:tcPr>
            <w:tcW w:w="174" w:type="pct"/>
            <w:noWrap w:val="0"/>
            <w:vAlign w:val="center"/>
          </w:tcPr>
          <w:p w14:paraId="35A657ED">
            <w:pPr>
              <w:widowControl/>
              <w:jc w:val="center"/>
              <w:textAlignment w:val="center"/>
              <w:rPr>
                <w:color w:val="000000"/>
                <w:sz w:val="18"/>
                <w:szCs w:val="18"/>
              </w:rPr>
            </w:pPr>
            <w:r>
              <w:rPr>
                <w:color w:val="000000"/>
                <w:kern w:val="0"/>
                <w:sz w:val="18"/>
                <w:szCs w:val="18"/>
                <w:lang w:bidi="ar"/>
              </w:rPr>
              <w:t>60</w:t>
            </w:r>
          </w:p>
        </w:tc>
        <w:tc>
          <w:tcPr>
            <w:tcW w:w="177" w:type="pct"/>
            <w:noWrap w:val="0"/>
            <w:vAlign w:val="center"/>
          </w:tcPr>
          <w:p w14:paraId="7C2C997C">
            <w:pPr>
              <w:widowControl/>
              <w:jc w:val="center"/>
              <w:textAlignment w:val="center"/>
              <w:rPr>
                <w:color w:val="000000"/>
                <w:sz w:val="18"/>
                <w:szCs w:val="18"/>
              </w:rPr>
            </w:pPr>
            <w:r>
              <w:rPr>
                <w:color w:val="000000"/>
                <w:kern w:val="0"/>
                <w:sz w:val="18"/>
                <w:szCs w:val="18"/>
                <w:lang w:bidi="ar"/>
              </w:rPr>
              <w:t>57</w:t>
            </w:r>
          </w:p>
        </w:tc>
        <w:tc>
          <w:tcPr>
            <w:tcW w:w="215" w:type="pct"/>
            <w:noWrap w:val="0"/>
            <w:vAlign w:val="center"/>
          </w:tcPr>
          <w:p w14:paraId="31A45787">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F08A1C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CC14CDF">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5C7AB4D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203D6C46">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2F08388B">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2711434">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A2D8F76">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37523C71">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3DEF9292">
            <w:pPr>
              <w:widowControl/>
              <w:jc w:val="center"/>
              <w:textAlignment w:val="center"/>
              <w:rPr>
                <w:color w:val="000000"/>
                <w:sz w:val="18"/>
                <w:szCs w:val="18"/>
              </w:rPr>
            </w:pPr>
            <w:r>
              <w:rPr>
                <w:color w:val="000000"/>
                <w:kern w:val="0"/>
                <w:sz w:val="18"/>
                <w:szCs w:val="18"/>
                <w:lang w:bidi="ar"/>
              </w:rPr>
              <w:t xml:space="preserve">50 </w:t>
            </w:r>
          </w:p>
        </w:tc>
      </w:tr>
      <w:tr w14:paraId="3C3396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673D477">
            <w:pPr>
              <w:widowControl/>
              <w:jc w:val="center"/>
              <w:textAlignment w:val="center"/>
              <w:rPr>
                <w:color w:val="000000"/>
                <w:kern w:val="0"/>
                <w:sz w:val="18"/>
                <w:szCs w:val="18"/>
                <w:lang w:bidi="ar"/>
              </w:rPr>
            </w:pPr>
            <w:r>
              <w:rPr>
                <w:color w:val="000000"/>
                <w:kern w:val="0"/>
                <w:sz w:val="18"/>
                <w:szCs w:val="18"/>
                <w:lang w:bidi="ar"/>
              </w:rPr>
              <w:t>32</w:t>
            </w:r>
          </w:p>
        </w:tc>
        <w:tc>
          <w:tcPr>
            <w:tcW w:w="463" w:type="pct"/>
            <w:noWrap w:val="0"/>
            <w:vAlign w:val="center"/>
          </w:tcPr>
          <w:p w14:paraId="10AD4AF3">
            <w:pPr>
              <w:widowControl/>
              <w:jc w:val="center"/>
              <w:textAlignment w:val="center"/>
              <w:rPr>
                <w:color w:val="000000"/>
                <w:sz w:val="18"/>
                <w:szCs w:val="18"/>
              </w:rPr>
            </w:pPr>
            <w:r>
              <w:rPr>
                <w:rFonts w:hint="eastAsia"/>
                <w:color w:val="000000"/>
                <w:sz w:val="18"/>
                <w:szCs w:val="18"/>
              </w:rPr>
              <w:t>旋风机13#</w:t>
            </w:r>
          </w:p>
        </w:tc>
        <w:tc>
          <w:tcPr>
            <w:tcW w:w="181" w:type="pct"/>
            <w:noWrap w:val="0"/>
            <w:vAlign w:val="center"/>
          </w:tcPr>
          <w:p w14:paraId="41C14991">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0058DC1F">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5F6445B">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51AD6049">
            <w:pPr>
              <w:widowControl/>
              <w:jc w:val="center"/>
              <w:textAlignment w:val="center"/>
              <w:rPr>
                <w:color w:val="000000"/>
                <w:sz w:val="18"/>
                <w:szCs w:val="18"/>
              </w:rPr>
            </w:pPr>
            <w:r>
              <w:rPr>
                <w:rFonts w:hint="eastAsia"/>
                <w:color w:val="000000"/>
                <w:sz w:val="18"/>
                <w:szCs w:val="18"/>
              </w:rPr>
              <w:t>44</w:t>
            </w:r>
          </w:p>
        </w:tc>
        <w:tc>
          <w:tcPr>
            <w:tcW w:w="206" w:type="pct"/>
            <w:noWrap w:val="0"/>
            <w:vAlign w:val="center"/>
          </w:tcPr>
          <w:p w14:paraId="001D4021">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2A4AA73E">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402FB3A3">
            <w:pPr>
              <w:widowControl/>
              <w:jc w:val="center"/>
              <w:textAlignment w:val="center"/>
              <w:rPr>
                <w:color w:val="000000"/>
                <w:sz w:val="18"/>
                <w:szCs w:val="18"/>
              </w:rPr>
            </w:pPr>
            <w:r>
              <w:rPr>
                <w:color w:val="000000"/>
                <w:kern w:val="0"/>
                <w:sz w:val="18"/>
                <w:szCs w:val="18"/>
                <w:lang w:bidi="ar"/>
              </w:rPr>
              <w:t>77</w:t>
            </w:r>
          </w:p>
        </w:tc>
        <w:tc>
          <w:tcPr>
            <w:tcW w:w="174" w:type="pct"/>
            <w:noWrap w:val="0"/>
            <w:vAlign w:val="center"/>
          </w:tcPr>
          <w:p w14:paraId="48924FA8">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7AFF07DC">
            <w:pPr>
              <w:widowControl/>
              <w:jc w:val="center"/>
              <w:textAlignment w:val="center"/>
              <w:rPr>
                <w:color w:val="000000"/>
                <w:sz w:val="18"/>
                <w:szCs w:val="18"/>
              </w:rPr>
            </w:pPr>
            <w:r>
              <w:rPr>
                <w:color w:val="000000"/>
                <w:kern w:val="0"/>
                <w:sz w:val="18"/>
                <w:szCs w:val="18"/>
                <w:lang w:bidi="ar"/>
              </w:rPr>
              <w:t>36</w:t>
            </w:r>
          </w:p>
        </w:tc>
        <w:tc>
          <w:tcPr>
            <w:tcW w:w="177" w:type="pct"/>
            <w:noWrap w:val="0"/>
            <w:vAlign w:val="center"/>
          </w:tcPr>
          <w:p w14:paraId="16B811E5">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5123243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F2FFC0A">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481B85B7">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15C03F82">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5F5B3483">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2E7AC032">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5A33FB2A">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0270B04">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1BC82E25">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29F19B73">
            <w:pPr>
              <w:widowControl/>
              <w:jc w:val="center"/>
              <w:textAlignment w:val="center"/>
              <w:rPr>
                <w:color w:val="000000"/>
                <w:sz w:val="18"/>
                <w:szCs w:val="18"/>
              </w:rPr>
            </w:pPr>
            <w:r>
              <w:rPr>
                <w:color w:val="000000"/>
                <w:kern w:val="0"/>
                <w:sz w:val="18"/>
                <w:szCs w:val="18"/>
                <w:lang w:bidi="ar"/>
              </w:rPr>
              <w:t xml:space="preserve">50 </w:t>
            </w:r>
          </w:p>
        </w:tc>
      </w:tr>
      <w:tr w14:paraId="7F2B2B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B4D2BFB">
            <w:pPr>
              <w:widowControl/>
              <w:jc w:val="center"/>
              <w:textAlignment w:val="center"/>
              <w:rPr>
                <w:color w:val="000000"/>
                <w:kern w:val="0"/>
                <w:sz w:val="18"/>
                <w:szCs w:val="18"/>
                <w:lang w:bidi="ar"/>
              </w:rPr>
            </w:pPr>
            <w:r>
              <w:rPr>
                <w:color w:val="000000"/>
                <w:kern w:val="0"/>
                <w:sz w:val="18"/>
                <w:szCs w:val="18"/>
                <w:lang w:bidi="ar"/>
              </w:rPr>
              <w:t>33</w:t>
            </w:r>
          </w:p>
        </w:tc>
        <w:tc>
          <w:tcPr>
            <w:tcW w:w="463" w:type="pct"/>
            <w:noWrap w:val="0"/>
            <w:vAlign w:val="center"/>
          </w:tcPr>
          <w:p w14:paraId="69800491">
            <w:pPr>
              <w:widowControl/>
              <w:jc w:val="center"/>
              <w:textAlignment w:val="center"/>
              <w:rPr>
                <w:color w:val="000000"/>
                <w:sz w:val="18"/>
                <w:szCs w:val="18"/>
              </w:rPr>
            </w:pPr>
            <w:r>
              <w:rPr>
                <w:rFonts w:hint="eastAsia"/>
                <w:color w:val="000000"/>
                <w:sz w:val="18"/>
                <w:szCs w:val="18"/>
              </w:rPr>
              <w:t>旋风机14#</w:t>
            </w:r>
          </w:p>
        </w:tc>
        <w:tc>
          <w:tcPr>
            <w:tcW w:w="181" w:type="pct"/>
            <w:noWrap w:val="0"/>
            <w:vAlign w:val="center"/>
          </w:tcPr>
          <w:p w14:paraId="02EB5FB1">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6E12C4E">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1E546A4">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2C99863">
            <w:pPr>
              <w:widowControl/>
              <w:jc w:val="center"/>
              <w:textAlignment w:val="center"/>
              <w:rPr>
                <w:color w:val="000000"/>
                <w:sz w:val="18"/>
                <w:szCs w:val="18"/>
              </w:rPr>
            </w:pPr>
            <w:r>
              <w:rPr>
                <w:rFonts w:hint="eastAsia"/>
                <w:color w:val="000000"/>
                <w:sz w:val="18"/>
                <w:szCs w:val="18"/>
              </w:rPr>
              <w:t>44</w:t>
            </w:r>
          </w:p>
        </w:tc>
        <w:tc>
          <w:tcPr>
            <w:tcW w:w="206" w:type="pct"/>
            <w:noWrap w:val="0"/>
            <w:vAlign w:val="center"/>
          </w:tcPr>
          <w:p w14:paraId="37390449">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0377839A">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06566D21">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70BC23E1">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635BBD4B">
            <w:pPr>
              <w:widowControl/>
              <w:jc w:val="center"/>
              <w:textAlignment w:val="center"/>
              <w:rPr>
                <w:color w:val="000000"/>
                <w:sz w:val="18"/>
                <w:szCs w:val="18"/>
              </w:rPr>
            </w:pPr>
            <w:r>
              <w:rPr>
                <w:color w:val="000000"/>
                <w:kern w:val="0"/>
                <w:sz w:val="18"/>
                <w:szCs w:val="18"/>
                <w:lang w:bidi="ar"/>
              </w:rPr>
              <w:t>44</w:t>
            </w:r>
          </w:p>
        </w:tc>
        <w:tc>
          <w:tcPr>
            <w:tcW w:w="177" w:type="pct"/>
            <w:noWrap w:val="0"/>
            <w:vAlign w:val="center"/>
          </w:tcPr>
          <w:p w14:paraId="4DC271FC">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1F2BD713">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B9FF1A3">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7B409A1B">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599D72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EEF8132">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7BF38BE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6868929">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E62D71C">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0F20EEFE">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EB2BBBB">
            <w:pPr>
              <w:widowControl/>
              <w:jc w:val="center"/>
              <w:textAlignment w:val="center"/>
              <w:rPr>
                <w:color w:val="000000"/>
                <w:sz w:val="18"/>
                <w:szCs w:val="18"/>
              </w:rPr>
            </w:pPr>
            <w:r>
              <w:rPr>
                <w:color w:val="000000"/>
                <w:kern w:val="0"/>
                <w:sz w:val="18"/>
                <w:szCs w:val="18"/>
                <w:lang w:bidi="ar"/>
              </w:rPr>
              <w:t xml:space="preserve">50 </w:t>
            </w:r>
          </w:p>
        </w:tc>
      </w:tr>
      <w:tr w14:paraId="0B160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2ADAFCE">
            <w:pPr>
              <w:widowControl/>
              <w:jc w:val="center"/>
              <w:textAlignment w:val="center"/>
              <w:rPr>
                <w:color w:val="000000"/>
                <w:kern w:val="0"/>
                <w:sz w:val="18"/>
                <w:szCs w:val="18"/>
                <w:lang w:bidi="ar"/>
              </w:rPr>
            </w:pPr>
            <w:r>
              <w:rPr>
                <w:color w:val="000000"/>
                <w:kern w:val="0"/>
                <w:sz w:val="18"/>
                <w:szCs w:val="18"/>
                <w:lang w:bidi="ar"/>
              </w:rPr>
              <w:t>34</w:t>
            </w:r>
          </w:p>
        </w:tc>
        <w:tc>
          <w:tcPr>
            <w:tcW w:w="463" w:type="pct"/>
            <w:noWrap w:val="0"/>
            <w:vAlign w:val="center"/>
          </w:tcPr>
          <w:p w14:paraId="57906562">
            <w:pPr>
              <w:widowControl/>
              <w:jc w:val="center"/>
              <w:textAlignment w:val="center"/>
              <w:rPr>
                <w:color w:val="000000"/>
                <w:sz w:val="18"/>
                <w:szCs w:val="18"/>
              </w:rPr>
            </w:pPr>
            <w:r>
              <w:rPr>
                <w:rFonts w:hint="eastAsia"/>
                <w:color w:val="000000"/>
                <w:sz w:val="18"/>
                <w:szCs w:val="18"/>
              </w:rPr>
              <w:t>旋风机15#</w:t>
            </w:r>
          </w:p>
        </w:tc>
        <w:tc>
          <w:tcPr>
            <w:tcW w:w="181" w:type="pct"/>
            <w:noWrap w:val="0"/>
            <w:vAlign w:val="center"/>
          </w:tcPr>
          <w:p w14:paraId="16D8103F">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2BF49F3">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26E2C6D">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3EC1D2FE">
            <w:pPr>
              <w:widowControl/>
              <w:jc w:val="center"/>
              <w:textAlignment w:val="center"/>
              <w:rPr>
                <w:color w:val="000000"/>
                <w:sz w:val="18"/>
                <w:szCs w:val="18"/>
              </w:rPr>
            </w:pPr>
            <w:r>
              <w:rPr>
                <w:rFonts w:hint="eastAsia"/>
                <w:color w:val="000000"/>
                <w:sz w:val="18"/>
                <w:szCs w:val="18"/>
              </w:rPr>
              <w:t>41</w:t>
            </w:r>
          </w:p>
        </w:tc>
        <w:tc>
          <w:tcPr>
            <w:tcW w:w="206" w:type="pct"/>
            <w:noWrap w:val="0"/>
            <w:vAlign w:val="center"/>
          </w:tcPr>
          <w:p w14:paraId="540DB55C">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4E618F4B">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636F666D">
            <w:pPr>
              <w:widowControl/>
              <w:jc w:val="center"/>
              <w:textAlignment w:val="center"/>
              <w:rPr>
                <w:color w:val="000000"/>
                <w:sz w:val="18"/>
                <w:szCs w:val="18"/>
              </w:rPr>
            </w:pPr>
            <w:r>
              <w:rPr>
                <w:color w:val="000000"/>
                <w:kern w:val="0"/>
                <w:sz w:val="18"/>
                <w:szCs w:val="18"/>
                <w:lang w:bidi="ar"/>
              </w:rPr>
              <w:t>61</w:t>
            </w:r>
          </w:p>
        </w:tc>
        <w:tc>
          <w:tcPr>
            <w:tcW w:w="174" w:type="pct"/>
            <w:noWrap w:val="0"/>
            <w:vAlign w:val="center"/>
          </w:tcPr>
          <w:p w14:paraId="76FDCF9F">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0A4E727E">
            <w:pPr>
              <w:widowControl/>
              <w:jc w:val="center"/>
              <w:textAlignment w:val="center"/>
              <w:rPr>
                <w:color w:val="000000"/>
                <w:sz w:val="18"/>
                <w:szCs w:val="18"/>
              </w:rPr>
            </w:pPr>
            <w:r>
              <w:rPr>
                <w:color w:val="000000"/>
                <w:kern w:val="0"/>
                <w:sz w:val="18"/>
                <w:szCs w:val="18"/>
                <w:lang w:bidi="ar"/>
              </w:rPr>
              <w:t>52</w:t>
            </w:r>
          </w:p>
        </w:tc>
        <w:tc>
          <w:tcPr>
            <w:tcW w:w="177" w:type="pct"/>
            <w:noWrap w:val="0"/>
            <w:vAlign w:val="center"/>
          </w:tcPr>
          <w:p w14:paraId="49540D95">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0848FAFF">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2FB55EF">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3CC0F1B5">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89C7A10">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5A343F0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16730C4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6F10BB9">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12B6CAC6">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4FD097B4">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A982BBC">
            <w:pPr>
              <w:widowControl/>
              <w:jc w:val="center"/>
              <w:textAlignment w:val="center"/>
              <w:rPr>
                <w:color w:val="000000"/>
                <w:sz w:val="18"/>
                <w:szCs w:val="18"/>
              </w:rPr>
            </w:pPr>
            <w:r>
              <w:rPr>
                <w:color w:val="000000"/>
                <w:kern w:val="0"/>
                <w:sz w:val="18"/>
                <w:szCs w:val="18"/>
                <w:lang w:bidi="ar"/>
              </w:rPr>
              <w:t xml:space="preserve">50 </w:t>
            </w:r>
          </w:p>
        </w:tc>
      </w:tr>
      <w:tr w14:paraId="41313E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1127EDD3">
            <w:pPr>
              <w:widowControl/>
              <w:jc w:val="center"/>
              <w:textAlignment w:val="center"/>
              <w:rPr>
                <w:color w:val="000000"/>
                <w:kern w:val="0"/>
                <w:sz w:val="18"/>
                <w:szCs w:val="18"/>
                <w:lang w:bidi="ar"/>
              </w:rPr>
            </w:pPr>
            <w:r>
              <w:rPr>
                <w:color w:val="000000"/>
                <w:kern w:val="0"/>
                <w:sz w:val="18"/>
                <w:szCs w:val="18"/>
                <w:lang w:bidi="ar"/>
              </w:rPr>
              <w:t>35</w:t>
            </w:r>
          </w:p>
        </w:tc>
        <w:tc>
          <w:tcPr>
            <w:tcW w:w="463" w:type="pct"/>
            <w:noWrap w:val="0"/>
            <w:vAlign w:val="center"/>
          </w:tcPr>
          <w:p w14:paraId="6D36902E">
            <w:pPr>
              <w:widowControl/>
              <w:jc w:val="center"/>
              <w:textAlignment w:val="center"/>
              <w:rPr>
                <w:color w:val="000000"/>
                <w:sz w:val="18"/>
                <w:szCs w:val="18"/>
              </w:rPr>
            </w:pPr>
            <w:r>
              <w:rPr>
                <w:rFonts w:hint="eastAsia"/>
                <w:color w:val="000000"/>
                <w:sz w:val="18"/>
                <w:szCs w:val="18"/>
              </w:rPr>
              <w:t>旋风机16#</w:t>
            </w:r>
          </w:p>
        </w:tc>
        <w:tc>
          <w:tcPr>
            <w:tcW w:w="181" w:type="pct"/>
            <w:noWrap w:val="0"/>
            <w:vAlign w:val="center"/>
          </w:tcPr>
          <w:p w14:paraId="267DF7D0">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5C6AE9E6">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7F879C3B">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B6A79CC">
            <w:pPr>
              <w:widowControl/>
              <w:jc w:val="center"/>
              <w:textAlignment w:val="center"/>
              <w:rPr>
                <w:color w:val="000000"/>
                <w:sz w:val="18"/>
                <w:szCs w:val="18"/>
              </w:rPr>
            </w:pPr>
            <w:r>
              <w:rPr>
                <w:rFonts w:hint="eastAsia"/>
                <w:color w:val="000000"/>
                <w:sz w:val="18"/>
                <w:szCs w:val="18"/>
              </w:rPr>
              <w:t>41</w:t>
            </w:r>
          </w:p>
        </w:tc>
        <w:tc>
          <w:tcPr>
            <w:tcW w:w="206" w:type="pct"/>
            <w:noWrap w:val="0"/>
            <w:vAlign w:val="center"/>
          </w:tcPr>
          <w:p w14:paraId="5CD8D310">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10A1BA1A">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33CAAF77">
            <w:pPr>
              <w:widowControl/>
              <w:jc w:val="center"/>
              <w:textAlignment w:val="center"/>
              <w:rPr>
                <w:color w:val="000000"/>
                <w:sz w:val="18"/>
                <w:szCs w:val="18"/>
              </w:rPr>
            </w:pPr>
            <w:r>
              <w:rPr>
                <w:color w:val="000000"/>
                <w:kern w:val="0"/>
                <w:sz w:val="18"/>
                <w:szCs w:val="18"/>
                <w:lang w:bidi="ar"/>
              </w:rPr>
              <w:t>53</w:t>
            </w:r>
          </w:p>
        </w:tc>
        <w:tc>
          <w:tcPr>
            <w:tcW w:w="174" w:type="pct"/>
            <w:noWrap w:val="0"/>
            <w:vAlign w:val="center"/>
          </w:tcPr>
          <w:p w14:paraId="479AA1C8">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36F26A91">
            <w:pPr>
              <w:widowControl/>
              <w:jc w:val="center"/>
              <w:textAlignment w:val="center"/>
              <w:rPr>
                <w:color w:val="000000"/>
                <w:sz w:val="18"/>
                <w:szCs w:val="18"/>
              </w:rPr>
            </w:pPr>
            <w:r>
              <w:rPr>
                <w:color w:val="000000"/>
                <w:kern w:val="0"/>
                <w:sz w:val="18"/>
                <w:szCs w:val="18"/>
                <w:lang w:bidi="ar"/>
              </w:rPr>
              <w:t>60</w:t>
            </w:r>
          </w:p>
        </w:tc>
        <w:tc>
          <w:tcPr>
            <w:tcW w:w="177" w:type="pct"/>
            <w:noWrap w:val="0"/>
            <w:vAlign w:val="center"/>
          </w:tcPr>
          <w:p w14:paraId="580C34D3">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3D9E3276">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4023468">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2FF52730">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24741523">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6259D8D7">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28A01595">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F5382ED">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9C7D74A">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39547655">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5D4C0E04">
            <w:pPr>
              <w:widowControl/>
              <w:jc w:val="center"/>
              <w:textAlignment w:val="center"/>
              <w:rPr>
                <w:color w:val="000000"/>
                <w:sz w:val="18"/>
                <w:szCs w:val="18"/>
              </w:rPr>
            </w:pPr>
            <w:r>
              <w:rPr>
                <w:color w:val="000000"/>
                <w:kern w:val="0"/>
                <w:sz w:val="18"/>
                <w:szCs w:val="18"/>
                <w:lang w:bidi="ar"/>
              </w:rPr>
              <w:t xml:space="preserve">50 </w:t>
            </w:r>
          </w:p>
        </w:tc>
      </w:tr>
      <w:tr w14:paraId="6CFA85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1F4A7440">
            <w:pPr>
              <w:widowControl/>
              <w:jc w:val="center"/>
              <w:textAlignment w:val="center"/>
              <w:rPr>
                <w:color w:val="000000"/>
                <w:kern w:val="0"/>
                <w:sz w:val="18"/>
                <w:szCs w:val="18"/>
                <w:lang w:bidi="ar"/>
              </w:rPr>
            </w:pPr>
            <w:r>
              <w:rPr>
                <w:color w:val="000000"/>
                <w:kern w:val="0"/>
                <w:sz w:val="18"/>
                <w:szCs w:val="18"/>
                <w:lang w:bidi="ar"/>
              </w:rPr>
              <w:t>36</w:t>
            </w:r>
          </w:p>
        </w:tc>
        <w:tc>
          <w:tcPr>
            <w:tcW w:w="463" w:type="pct"/>
            <w:noWrap w:val="0"/>
            <w:vAlign w:val="center"/>
          </w:tcPr>
          <w:p w14:paraId="2C81A50F">
            <w:pPr>
              <w:widowControl/>
              <w:jc w:val="center"/>
              <w:textAlignment w:val="center"/>
              <w:rPr>
                <w:color w:val="000000"/>
                <w:sz w:val="18"/>
                <w:szCs w:val="18"/>
              </w:rPr>
            </w:pPr>
            <w:r>
              <w:rPr>
                <w:rFonts w:hint="eastAsia"/>
                <w:color w:val="000000"/>
                <w:sz w:val="18"/>
                <w:szCs w:val="18"/>
              </w:rPr>
              <w:t>旋风机17#</w:t>
            </w:r>
          </w:p>
        </w:tc>
        <w:tc>
          <w:tcPr>
            <w:tcW w:w="181" w:type="pct"/>
            <w:noWrap w:val="0"/>
            <w:vAlign w:val="center"/>
          </w:tcPr>
          <w:p w14:paraId="0472763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0669BEB8">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735761D">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4D394069">
            <w:pPr>
              <w:widowControl/>
              <w:jc w:val="center"/>
              <w:textAlignment w:val="center"/>
              <w:rPr>
                <w:color w:val="000000"/>
                <w:sz w:val="18"/>
                <w:szCs w:val="18"/>
              </w:rPr>
            </w:pPr>
            <w:r>
              <w:rPr>
                <w:rFonts w:hint="eastAsia"/>
                <w:color w:val="000000"/>
                <w:sz w:val="18"/>
                <w:szCs w:val="18"/>
              </w:rPr>
              <w:t>52</w:t>
            </w:r>
          </w:p>
        </w:tc>
        <w:tc>
          <w:tcPr>
            <w:tcW w:w="206" w:type="pct"/>
            <w:noWrap w:val="0"/>
            <w:vAlign w:val="center"/>
          </w:tcPr>
          <w:p w14:paraId="568A6822">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56C03ECE">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3E2A187F">
            <w:pPr>
              <w:widowControl/>
              <w:jc w:val="center"/>
              <w:textAlignment w:val="center"/>
              <w:rPr>
                <w:color w:val="000000"/>
                <w:sz w:val="18"/>
                <w:szCs w:val="18"/>
              </w:rPr>
            </w:pPr>
            <w:r>
              <w:rPr>
                <w:color w:val="000000"/>
                <w:kern w:val="0"/>
                <w:sz w:val="18"/>
                <w:szCs w:val="18"/>
                <w:lang w:bidi="ar"/>
              </w:rPr>
              <w:t>80</w:t>
            </w:r>
          </w:p>
        </w:tc>
        <w:tc>
          <w:tcPr>
            <w:tcW w:w="174" w:type="pct"/>
            <w:noWrap w:val="0"/>
            <w:vAlign w:val="center"/>
          </w:tcPr>
          <w:p w14:paraId="09E685B5">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3465829F">
            <w:pPr>
              <w:widowControl/>
              <w:jc w:val="center"/>
              <w:textAlignment w:val="center"/>
              <w:rPr>
                <w:color w:val="000000"/>
                <w:sz w:val="18"/>
                <w:szCs w:val="18"/>
              </w:rPr>
            </w:pPr>
            <w:r>
              <w:rPr>
                <w:color w:val="000000"/>
                <w:kern w:val="0"/>
                <w:sz w:val="18"/>
                <w:szCs w:val="18"/>
                <w:lang w:bidi="ar"/>
              </w:rPr>
              <w:t>33</w:t>
            </w:r>
          </w:p>
        </w:tc>
        <w:tc>
          <w:tcPr>
            <w:tcW w:w="177" w:type="pct"/>
            <w:noWrap w:val="0"/>
            <w:vAlign w:val="center"/>
          </w:tcPr>
          <w:p w14:paraId="279315B8">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3E822A4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9893A54">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79C63089">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115CB6CD">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E8DF84A">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9C79118">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0A6C022F">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0E78720B">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41220340">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494A266A">
            <w:pPr>
              <w:widowControl/>
              <w:jc w:val="center"/>
              <w:textAlignment w:val="center"/>
              <w:rPr>
                <w:color w:val="000000"/>
                <w:sz w:val="18"/>
                <w:szCs w:val="18"/>
              </w:rPr>
            </w:pPr>
            <w:r>
              <w:rPr>
                <w:color w:val="000000"/>
                <w:kern w:val="0"/>
                <w:sz w:val="18"/>
                <w:szCs w:val="18"/>
                <w:lang w:bidi="ar"/>
              </w:rPr>
              <w:t xml:space="preserve">50 </w:t>
            </w:r>
          </w:p>
        </w:tc>
      </w:tr>
      <w:tr w14:paraId="583C7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8CC1BF3">
            <w:pPr>
              <w:widowControl/>
              <w:jc w:val="center"/>
              <w:textAlignment w:val="center"/>
              <w:rPr>
                <w:color w:val="000000"/>
                <w:kern w:val="0"/>
                <w:sz w:val="18"/>
                <w:szCs w:val="18"/>
                <w:lang w:bidi="ar"/>
              </w:rPr>
            </w:pPr>
            <w:r>
              <w:rPr>
                <w:color w:val="000000"/>
                <w:kern w:val="0"/>
                <w:sz w:val="18"/>
                <w:szCs w:val="18"/>
                <w:lang w:bidi="ar"/>
              </w:rPr>
              <w:t>37</w:t>
            </w:r>
          </w:p>
        </w:tc>
        <w:tc>
          <w:tcPr>
            <w:tcW w:w="463" w:type="pct"/>
            <w:noWrap w:val="0"/>
            <w:vAlign w:val="center"/>
          </w:tcPr>
          <w:p w14:paraId="0BF23A14">
            <w:pPr>
              <w:widowControl/>
              <w:jc w:val="center"/>
              <w:textAlignment w:val="center"/>
              <w:rPr>
                <w:color w:val="000000"/>
                <w:sz w:val="18"/>
                <w:szCs w:val="18"/>
              </w:rPr>
            </w:pPr>
            <w:r>
              <w:rPr>
                <w:rFonts w:hint="eastAsia"/>
                <w:color w:val="000000"/>
                <w:sz w:val="18"/>
                <w:szCs w:val="18"/>
              </w:rPr>
              <w:t>旋风机18#</w:t>
            </w:r>
          </w:p>
        </w:tc>
        <w:tc>
          <w:tcPr>
            <w:tcW w:w="181" w:type="pct"/>
            <w:noWrap w:val="0"/>
            <w:vAlign w:val="center"/>
          </w:tcPr>
          <w:p w14:paraId="02C0473C">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64FEE2AB">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8D19B5C">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8504B9C">
            <w:pPr>
              <w:widowControl/>
              <w:jc w:val="center"/>
              <w:textAlignment w:val="center"/>
              <w:rPr>
                <w:color w:val="000000"/>
                <w:sz w:val="18"/>
                <w:szCs w:val="18"/>
              </w:rPr>
            </w:pPr>
            <w:r>
              <w:rPr>
                <w:rFonts w:hint="eastAsia"/>
                <w:color w:val="000000"/>
                <w:sz w:val="18"/>
                <w:szCs w:val="18"/>
              </w:rPr>
              <w:t>52</w:t>
            </w:r>
          </w:p>
        </w:tc>
        <w:tc>
          <w:tcPr>
            <w:tcW w:w="206" w:type="pct"/>
            <w:noWrap w:val="0"/>
            <w:vAlign w:val="center"/>
          </w:tcPr>
          <w:p w14:paraId="63C73DE9">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2DB3C4EF">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42D99525">
            <w:pPr>
              <w:widowControl/>
              <w:jc w:val="center"/>
              <w:textAlignment w:val="center"/>
              <w:rPr>
                <w:color w:val="000000"/>
                <w:sz w:val="18"/>
                <w:szCs w:val="18"/>
              </w:rPr>
            </w:pPr>
            <w:r>
              <w:rPr>
                <w:color w:val="000000"/>
                <w:kern w:val="0"/>
                <w:sz w:val="18"/>
                <w:szCs w:val="18"/>
                <w:lang w:bidi="ar"/>
              </w:rPr>
              <w:t>72</w:t>
            </w:r>
          </w:p>
        </w:tc>
        <w:tc>
          <w:tcPr>
            <w:tcW w:w="174" w:type="pct"/>
            <w:noWrap w:val="0"/>
            <w:vAlign w:val="center"/>
          </w:tcPr>
          <w:p w14:paraId="777ECA5C">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1ED10670">
            <w:pPr>
              <w:widowControl/>
              <w:jc w:val="center"/>
              <w:textAlignment w:val="center"/>
              <w:rPr>
                <w:color w:val="000000"/>
                <w:sz w:val="18"/>
                <w:szCs w:val="18"/>
              </w:rPr>
            </w:pPr>
            <w:r>
              <w:rPr>
                <w:color w:val="000000"/>
                <w:kern w:val="0"/>
                <w:sz w:val="18"/>
                <w:szCs w:val="18"/>
                <w:lang w:bidi="ar"/>
              </w:rPr>
              <w:t>41</w:t>
            </w:r>
          </w:p>
        </w:tc>
        <w:tc>
          <w:tcPr>
            <w:tcW w:w="177" w:type="pct"/>
            <w:noWrap w:val="0"/>
            <w:vAlign w:val="center"/>
          </w:tcPr>
          <w:p w14:paraId="410F11B0">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240A10C3">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442222D6">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5627E236">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30396B77">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434A44D1">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0757FD8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63B87FF2">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D938E50">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1DAEA9AD">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1E0BC818">
            <w:pPr>
              <w:widowControl/>
              <w:jc w:val="center"/>
              <w:textAlignment w:val="center"/>
              <w:rPr>
                <w:color w:val="000000"/>
                <w:sz w:val="18"/>
                <w:szCs w:val="18"/>
              </w:rPr>
            </w:pPr>
            <w:r>
              <w:rPr>
                <w:color w:val="000000"/>
                <w:kern w:val="0"/>
                <w:sz w:val="18"/>
                <w:szCs w:val="18"/>
                <w:lang w:bidi="ar"/>
              </w:rPr>
              <w:t xml:space="preserve">50 </w:t>
            </w:r>
          </w:p>
        </w:tc>
      </w:tr>
      <w:tr w14:paraId="590103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68DE7379">
            <w:pPr>
              <w:widowControl/>
              <w:jc w:val="center"/>
              <w:textAlignment w:val="center"/>
              <w:rPr>
                <w:color w:val="000000"/>
                <w:kern w:val="0"/>
                <w:sz w:val="18"/>
                <w:szCs w:val="18"/>
                <w:lang w:bidi="ar"/>
              </w:rPr>
            </w:pPr>
            <w:r>
              <w:rPr>
                <w:color w:val="000000"/>
                <w:kern w:val="0"/>
                <w:sz w:val="18"/>
                <w:szCs w:val="18"/>
                <w:lang w:bidi="ar"/>
              </w:rPr>
              <w:t>38</w:t>
            </w:r>
          </w:p>
        </w:tc>
        <w:tc>
          <w:tcPr>
            <w:tcW w:w="463" w:type="pct"/>
            <w:noWrap w:val="0"/>
            <w:vAlign w:val="center"/>
          </w:tcPr>
          <w:p w14:paraId="597FE01E">
            <w:pPr>
              <w:widowControl/>
              <w:jc w:val="center"/>
              <w:textAlignment w:val="center"/>
              <w:rPr>
                <w:color w:val="000000"/>
                <w:sz w:val="18"/>
                <w:szCs w:val="18"/>
              </w:rPr>
            </w:pPr>
            <w:r>
              <w:rPr>
                <w:rFonts w:hint="eastAsia"/>
                <w:color w:val="000000"/>
                <w:sz w:val="18"/>
                <w:szCs w:val="18"/>
              </w:rPr>
              <w:t>旋风机19#</w:t>
            </w:r>
          </w:p>
        </w:tc>
        <w:tc>
          <w:tcPr>
            <w:tcW w:w="181" w:type="pct"/>
            <w:noWrap w:val="0"/>
            <w:vAlign w:val="center"/>
          </w:tcPr>
          <w:p w14:paraId="1410BEE6">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0A61538">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496104E">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BC4244A">
            <w:pPr>
              <w:widowControl/>
              <w:jc w:val="center"/>
              <w:textAlignment w:val="center"/>
              <w:rPr>
                <w:color w:val="000000"/>
                <w:sz w:val="18"/>
                <w:szCs w:val="18"/>
              </w:rPr>
            </w:pPr>
            <w:r>
              <w:rPr>
                <w:rFonts w:hint="eastAsia"/>
                <w:color w:val="000000"/>
                <w:sz w:val="18"/>
                <w:szCs w:val="18"/>
              </w:rPr>
              <w:t>49</w:t>
            </w:r>
          </w:p>
        </w:tc>
        <w:tc>
          <w:tcPr>
            <w:tcW w:w="206" w:type="pct"/>
            <w:noWrap w:val="0"/>
            <w:vAlign w:val="center"/>
          </w:tcPr>
          <w:p w14:paraId="74C857AE">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1AC4F3F2">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0208BB77">
            <w:pPr>
              <w:widowControl/>
              <w:jc w:val="center"/>
              <w:textAlignment w:val="center"/>
              <w:rPr>
                <w:color w:val="000000"/>
                <w:sz w:val="18"/>
                <w:szCs w:val="18"/>
              </w:rPr>
            </w:pPr>
            <w:r>
              <w:rPr>
                <w:color w:val="000000"/>
                <w:kern w:val="0"/>
                <w:sz w:val="18"/>
                <w:szCs w:val="18"/>
                <w:lang w:bidi="ar"/>
              </w:rPr>
              <w:t>64</w:t>
            </w:r>
          </w:p>
        </w:tc>
        <w:tc>
          <w:tcPr>
            <w:tcW w:w="174" w:type="pct"/>
            <w:noWrap w:val="0"/>
            <w:vAlign w:val="center"/>
          </w:tcPr>
          <w:p w14:paraId="0FC9F0C6">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6B9D0EC0">
            <w:pPr>
              <w:widowControl/>
              <w:jc w:val="center"/>
              <w:textAlignment w:val="center"/>
              <w:rPr>
                <w:color w:val="000000"/>
                <w:sz w:val="18"/>
                <w:szCs w:val="18"/>
              </w:rPr>
            </w:pPr>
            <w:r>
              <w:rPr>
                <w:color w:val="000000"/>
                <w:kern w:val="0"/>
                <w:sz w:val="18"/>
                <w:szCs w:val="18"/>
                <w:lang w:bidi="ar"/>
              </w:rPr>
              <w:t>49</w:t>
            </w:r>
          </w:p>
        </w:tc>
        <w:tc>
          <w:tcPr>
            <w:tcW w:w="177" w:type="pct"/>
            <w:noWrap w:val="0"/>
            <w:vAlign w:val="center"/>
          </w:tcPr>
          <w:p w14:paraId="34C30B7C">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3CA7CD1D">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1373DFE4">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479EAE12">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08100401">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2C4058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202441A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3F4A309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F892583">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374F5076">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69A7374D">
            <w:pPr>
              <w:widowControl/>
              <w:jc w:val="center"/>
              <w:textAlignment w:val="center"/>
              <w:rPr>
                <w:color w:val="000000"/>
                <w:sz w:val="18"/>
                <w:szCs w:val="18"/>
              </w:rPr>
            </w:pPr>
            <w:r>
              <w:rPr>
                <w:color w:val="000000"/>
                <w:kern w:val="0"/>
                <w:sz w:val="18"/>
                <w:szCs w:val="18"/>
                <w:lang w:bidi="ar"/>
              </w:rPr>
              <w:t xml:space="preserve">50 </w:t>
            </w:r>
          </w:p>
        </w:tc>
      </w:tr>
      <w:tr w14:paraId="628133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0D0AB646">
            <w:pPr>
              <w:widowControl/>
              <w:jc w:val="center"/>
              <w:textAlignment w:val="center"/>
              <w:rPr>
                <w:color w:val="000000"/>
                <w:kern w:val="0"/>
                <w:sz w:val="18"/>
                <w:szCs w:val="18"/>
                <w:lang w:bidi="ar"/>
              </w:rPr>
            </w:pPr>
            <w:r>
              <w:rPr>
                <w:color w:val="000000"/>
                <w:kern w:val="0"/>
                <w:sz w:val="18"/>
                <w:szCs w:val="18"/>
                <w:lang w:bidi="ar"/>
              </w:rPr>
              <w:t>39</w:t>
            </w:r>
          </w:p>
        </w:tc>
        <w:tc>
          <w:tcPr>
            <w:tcW w:w="463" w:type="pct"/>
            <w:noWrap w:val="0"/>
            <w:vAlign w:val="center"/>
          </w:tcPr>
          <w:p w14:paraId="29BFE3D8">
            <w:pPr>
              <w:widowControl/>
              <w:jc w:val="center"/>
              <w:textAlignment w:val="center"/>
              <w:rPr>
                <w:color w:val="000000"/>
                <w:sz w:val="18"/>
                <w:szCs w:val="18"/>
              </w:rPr>
            </w:pPr>
            <w:r>
              <w:rPr>
                <w:rFonts w:hint="eastAsia"/>
                <w:color w:val="000000"/>
                <w:sz w:val="18"/>
                <w:szCs w:val="18"/>
              </w:rPr>
              <w:t>旋风机20#</w:t>
            </w:r>
          </w:p>
        </w:tc>
        <w:tc>
          <w:tcPr>
            <w:tcW w:w="181" w:type="pct"/>
            <w:noWrap w:val="0"/>
            <w:vAlign w:val="center"/>
          </w:tcPr>
          <w:p w14:paraId="76DC0C76">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6D1A272">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5F06B72D">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388D4C9">
            <w:pPr>
              <w:widowControl/>
              <w:jc w:val="center"/>
              <w:textAlignment w:val="center"/>
              <w:rPr>
                <w:color w:val="000000"/>
                <w:sz w:val="18"/>
                <w:szCs w:val="18"/>
              </w:rPr>
            </w:pPr>
            <w:r>
              <w:rPr>
                <w:rFonts w:hint="eastAsia"/>
                <w:color w:val="000000"/>
                <w:sz w:val="18"/>
                <w:szCs w:val="18"/>
              </w:rPr>
              <w:t>49</w:t>
            </w:r>
          </w:p>
        </w:tc>
        <w:tc>
          <w:tcPr>
            <w:tcW w:w="206" w:type="pct"/>
            <w:noWrap w:val="0"/>
            <w:vAlign w:val="center"/>
          </w:tcPr>
          <w:p w14:paraId="02014934">
            <w:pPr>
              <w:widowControl/>
              <w:jc w:val="center"/>
              <w:textAlignment w:val="center"/>
              <w:rPr>
                <w:color w:val="000000"/>
                <w:sz w:val="18"/>
                <w:szCs w:val="18"/>
              </w:rPr>
            </w:pPr>
            <w:r>
              <w:rPr>
                <w:rFonts w:hint="eastAsia"/>
                <w:color w:val="000000"/>
                <w:sz w:val="18"/>
                <w:szCs w:val="18"/>
              </w:rPr>
              <w:t>38</w:t>
            </w:r>
          </w:p>
        </w:tc>
        <w:tc>
          <w:tcPr>
            <w:tcW w:w="156" w:type="pct"/>
            <w:noWrap w:val="0"/>
            <w:vAlign w:val="center"/>
          </w:tcPr>
          <w:p w14:paraId="302845E6">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20A542AC">
            <w:pPr>
              <w:widowControl/>
              <w:jc w:val="center"/>
              <w:textAlignment w:val="center"/>
              <w:rPr>
                <w:color w:val="000000"/>
                <w:sz w:val="18"/>
                <w:szCs w:val="18"/>
              </w:rPr>
            </w:pPr>
            <w:r>
              <w:rPr>
                <w:color w:val="000000"/>
                <w:kern w:val="0"/>
                <w:sz w:val="18"/>
                <w:szCs w:val="18"/>
                <w:lang w:bidi="ar"/>
              </w:rPr>
              <w:t>56</w:t>
            </w:r>
          </w:p>
        </w:tc>
        <w:tc>
          <w:tcPr>
            <w:tcW w:w="174" w:type="pct"/>
            <w:noWrap w:val="0"/>
            <w:vAlign w:val="center"/>
          </w:tcPr>
          <w:p w14:paraId="71C112F2">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7EC1057E">
            <w:pPr>
              <w:widowControl/>
              <w:jc w:val="center"/>
              <w:textAlignment w:val="center"/>
              <w:rPr>
                <w:color w:val="000000"/>
                <w:sz w:val="18"/>
                <w:szCs w:val="18"/>
              </w:rPr>
            </w:pPr>
            <w:r>
              <w:rPr>
                <w:color w:val="000000"/>
                <w:kern w:val="0"/>
                <w:sz w:val="18"/>
                <w:szCs w:val="18"/>
                <w:lang w:bidi="ar"/>
              </w:rPr>
              <w:t>57</w:t>
            </w:r>
          </w:p>
        </w:tc>
        <w:tc>
          <w:tcPr>
            <w:tcW w:w="177" w:type="pct"/>
            <w:noWrap w:val="0"/>
            <w:vAlign w:val="center"/>
          </w:tcPr>
          <w:p w14:paraId="4F46EF53">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23C3677B">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2DDBEBC0">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1CB8377F">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26B7D0C6">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F70312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103A441A">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1B81C78A">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9A6B166">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5D49D0CC">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632B181C">
            <w:pPr>
              <w:widowControl/>
              <w:jc w:val="center"/>
              <w:textAlignment w:val="center"/>
              <w:rPr>
                <w:color w:val="000000"/>
                <w:sz w:val="18"/>
                <w:szCs w:val="18"/>
              </w:rPr>
            </w:pPr>
            <w:r>
              <w:rPr>
                <w:color w:val="000000"/>
                <w:kern w:val="0"/>
                <w:sz w:val="18"/>
                <w:szCs w:val="18"/>
                <w:lang w:bidi="ar"/>
              </w:rPr>
              <w:t xml:space="preserve">50 </w:t>
            </w:r>
          </w:p>
        </w:tc>
      </w:tr>
      <w:tr w14:paraId="077F86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F83CC3B">
            <w:pPr>
              <w:widowControl/>
              <w:jc w:val="center"/>
              <w:textAlignment w:val="center"/>
              <w:rPr>
                <w:color w:val="000000"/>
                <w:kern w:val="0"/>
                <w:sz w:val="18"/>
                <w:szCs w:val="18"/>
                <w:lang w:bidi="ar"/>
              </w:rPr>
            </w:pPr>
            <w:r>
              <w:rPr>
                <w:color w:val="000000"/>
                <w:kern w:val="0"/>
                <w:sz w:val="18"/>
                <w:szCs w:val="18"/>
                <w:lang w:bidi="ar"/>
              </w:rPr>
              <w:t>40</w:t>
            </w:r>
          </w:p>
        </w:tc>
        <w:tc>
          <w:tcPr>
            <w:tcW w:w="463" w:type="pct"/>
            <w:noWrap w:val="0"/>
            <w:vAlign w:val="center"/>
          </w:tcPr>
          <w:p w14:paraId="44051BD4">
            <w:pPr>
              <w:widowControl/>
              <w:jc w:val="center"/>
              <w:textAlignment w:val="center"/>
              <w:rPr>
                <w:color w:val="000000"/>
                <w:sz w:val="18"/>
                <w:szCs w:val="18"/>
              </w:rPr>
            </w:pPr>
            <w:r>
              <w:rPr>
                <w:color w:val="000000"/>
                <w:sz w:val="18"/>
                <w:szCs w:val="18"/>
              </w:rPr>
              <w:t>振动筛</w:t>
            </w:r>
            <w:r>
              <w:rPr>
                <w:rFonts w:hint="eastAsia"/>
                <w:color w:val="000000"/>
                <w:sz w:val="18"/>
                <w:szCs w:val="18"/>
              </w:rPr>
              <w:t>3#</w:t>
            </w:r>
          </w:p>
        </w:tc>
        <w:tc>
          <w:tcPr>
            <w:tcW w:w="181" w:type="pct"/>
            <w:noWrap w:val="0"/>
            <w:vAlign w:val="center"/>
          </w:tcPr>
          <w:p w14:paraId="11A2E199">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49D8DD0A">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0C1C170F">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696AA6F">
            <w:pPr>
              <w:widowControl/>
              <w:jc w:val="center"/>
              <w:textAlignment w:val="center"/>
              <w:rPr>
                <w:color w:val="000000"/>
                <w:sz w:val="18"/>
                <w:szCs w:val="18"/>
              </w:rPr>
            </w:pPr>
            <w:r>
              <w:rPr>
                <w:rFonts w:hint="eastAsia"/>
                <w:color w:val="000000"/>
                <w:sz w:val="18"/>
                <w:szCs w:val="18"/>
              </w:rPr>
              <w:t>35</w:t>
            </w:r>
          </w:p>
        </w:tc>
        <w:tc>
          <w:tcPr>
            <w:tcW w:w="206" w:type="pct"/>
            <w:noWrap w:val="0"/>
            <w:vAlign w:val="center"/>
          </w:tcPr>
          <w:p w14:paraId="389716DF">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66CB8962">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61A29CD1">
            <w:pPr>
              <w:widowControl/>
              <w:jc w:val="center"/>
              <w:textAlignment w:val="center"/>
              <w:rPr>
                <w:color w:val="000000"/>
                <w:sz w:val="18"/>
                <w:szCs w:val="18"/>
              </w:rPr>
            </w:pPr>
            <w:r>
              <w:rPr>
                <w:color w:val="000000"/>
                <w:kern w:val="0"/>
                <w:sz w:val="18"/>
                <w:szCs w:val="18"/>
                <w:lang w:bidi="ar"/>
              </w:rPr>
              <w:t>78</w:t>
            </w:r>
          </w:p>
        </w:tc>
        <w:tc>
          <w:tcPr>
            <w:tcW w:w="174" w:type="pct"/>
            <w:noWrap w:val="0"/>
            <w:vAlign w:val="center"/>
          </w:tcPr>
          <w:p w14:paraId="7801B34B">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44B1BAEB">
            <w:pPr>
              <w:widowControl/>
              <w:jc w:val="center"/>
              <w:textAlignment w:val="center"/>
              <w:rPr>
                <w:color w:val="000000"/>
                <w:sz w:val="18"/>
                <w:szCs w:val="18"/>
              </w:rPr>
            </w:pPr>
            <w:r>
              <w:rPr>
                <w:color w:val="000000"/>
                <w:kern w:val="0"/>
                <w:sz w:val="18"/>
                <w:szCs w:val="18"/>
                <w:lang w:bidi="ar"/>
              </w:rPr>
              <w:t>35</w:t>
            </w:r>
          </w:p>
        </w:tc>
        <w:tc>
          <w:tcPr>
            <w:tcW w:w="177" w:type="pct"/>
            <w:noWrap w:val="0"/>
            <w:vAlign w:val="center"/>
          </w:tcPr>
          <w:p w14:paraId="7A26D7F3">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25644A39">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5704657F">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4366924D">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35E330D0">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606395FC">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00C9EE9">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AE9FEBB">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56F7CC97">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73E7661D">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18BA574A">
            <w:pPr>
              <w:widowControl/>
              <w:jc w:val="center"/>
              <w:textAlignment w:val="center"/>
              <w:rPr>
                <w:color w:val="000000"/>
                <w:sz w:val="18"/>
                <w:szCs w:val="18"/>
              </w:rPr>
            </w:pPr>
            <w:r>
              <w:rPr>
                <w:color w:val="000000"/>
                <w:kern w:val="0"/>
                <w:sz w:val="18"/>
                <w:szCs w:val="18"/>
                <w:lang w:bidi="ar"/>
              </w:rPr>
              <w:t xml:space="preserve">50 </w:t>
            </w:r>
          </w:p>
        </w:tc>
      </w:tr>
      <w:tr w14:paraId="0B9FF4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E98C4B0">
            <w:pPr>
              <w:widowControl/>
              <w:jc w:val="center"/>
              <w:textAlignment w:val="center"/>
              <w:rPr>
                <w:color w:val="000000"/>
                <w:kern w:val="0"/>
                <w:sz w:val="18"/>
                <w:szCs w:val="18"/>
                <w:lang w:bidi="ar"/>
              </w:rPr>
            </w:pPr>
            <w:r>
              <w:rPr>
                <w:color w:val="000000"/>
                <w:kern w:val="0"/>
                <w:sz w:val="18"/>
                <w:szCs w:val="18"/>
                <w:lang w:bidi="ar"/>
              </w:rPr>
              <w:t>41</w:t>
            </w:r>
          </w:p>
        </w:tc>
        <w:tc>
          <w:tcPr>
            <w:tcW w:w="463" w:type="pct"/>
            <w:noWrap w:val="0"/>
            <w:vAlign w:val="center"/>
          </w:tcPr>
          <w:p w14:paraId="6A62EDC0">
            <w:pPr>
              <w:widowControl/>
              <w:jc w:val="center"/>
              <w:textAlignment w:val="center"/>
              <w:rPr>
                <w:color w:val="000000"/>
                <w:sz w:val="18"/>
                <w:szCs w:val="18"/>
              </w:rPr>
            </w:pPr>
            <w:r>
              <w:rPr>
                <w:color w:val="000000"/>
                <w:sz w:val="18"/>
                <w:szCs w:val="18"/>
              </w:rPr>
              <w:t>振动筛</w:t>
            </w:r>
            <w:r>
              <w:rPr>
                <w:rFonts w:hint="eastAsia"/>
                <w:color w:val="000000"/>
                <w:sz w:val="18"/>
                <w:szCs w:val="18"/>
              </w:rPr>
              <w:t>4#</w:t>
            </w:r>
          </w:p>
        </w:tc>
        <w:tc>
          <w:tcPr>
            <w:tcW w:w="181" w:type="pct"/>
            <w:noWrap w:val="0"/>
            <w:vAlign w:val="center"/>
          </w:tcPr>
          <w:p w14:paraId="479C0A35">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236E91FF">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60A0CD09">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180F6DD3">
            <w:pPr>
              <w:widowControl/>
              <w:jc w:val="center"/>
              <w:textAlignment w:val="center"/>
              <w:rPr>
                <w:color w:val="000000"/>
                <w:sz w:val="18"/>
                <w:szCs w:val="18"/>
              </w:rPr>
            </w:pPr>
            <w:r>
              <w:rPr>
                <w:rFonts w:hint="eastAsia"/>
                <w:color w:val="000000"/>
                <w:sz w:val="18"/>
                <w:szCs w:val="18"/>
              </w:rPr>
              <w:t>42</w:t>
            </w:r>
          </w:p>
        </w:tc>
        <w:tc>
          <w:tcPr>
            <w:tcW w:w="206" w:type="pct"/>
            <w:noWrap w:val="0"/>
            <w:vAlign w:val="center"/>
          </w:tcPr>
          <w:p w14:paraId="64757664">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6388C448">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0CA2BEE9">
            <w:pPr>
              <w:widowControl/>
              <w:jc w:val="center"/>
              <w:textAlignment w:val="center"/>
              <w:rPr>
                <w:color w:val="000000"/>
                <w:sz w:val="18"/>
                <w:szCs w:val="18"/>
              </w:rPr>
            </w:pPr>
            <w:r>
              <w:rPr>
                <w:color w:val="000000"/>
                <w:kern w:val="0"/>
                <w:sz w:val="18"/>
                <w:szCs w:val="18"/>
                <w:lang w:bidi="ar"/>
              </w:rPr>
              <w:t>70</w:t>
            </w:r>
          </w:p>
        </w:tc>
        <w:tc>
          <w:tcPr>
            <w:tcW w:w="174" w:type="pct"/>
            <w:noWrap w:val="0"/>
            <w:vAlign w:val="center"/>
          </w:tcPr>
          <w:p w14:paraId="6CC4C843">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4307D1C2">
            <w:pPr>
              <w:widowControl/>
              <w:jc w:val="center"/>
              <w:textAlignment w:val="center"/>
              <w:rPr>
                <w:color w:val="000000"/>
                <w:sz w:val="18"/>
                <w:szCs w:val="18"/>
              </w:rPr>
            </w:pPr>
            <w:r>
              <w:rPr>
                <w:color w:val="000000"/>
                <w:kern w:val="0"/>
                <w:sz w:val="18"/>
                <w:szCs w:val="18"/>
                <w:lang w:bidi="ar"/>
              </w:rPr>
              <w:t>43</w:t>
            </w:r>
          </w:p>
        </w:tc>
        <w:tc>
          <w:tcPr>
            <w:tcW w:w="177" w:type="pct"/>
            <w:noWrap w:val="0"/>
            <w:vAlign w:val="center"/>
          </w:tcPr>
          <w:p w14:paraId="22C3D99C">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57090C62">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03D76E5D">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55C6FCE8">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120B34D8">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073B6B81">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CA1733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21AADB67">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4461799A">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364C2BBB">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53E812F1">
            <w:pPr>
              <w:widowControl/>
              <w:jc w:val="center"/>
              <w:textAlignment w:val="center"/>
              <w:rPr>
                <w:color w:val="000000"/>
                <w:sz w:val="18"/>
                <w:szCs w:val="18"/>
              </w:rPr>
            </w:pPr>
            <w:r>
              <w:rPr>
                <w:color w:val="000000"/>
                <w:kern w:val="0"/>
                <w:sz w:val="18"/>
                <w:szCs w:val="18"/>
                <w:lang w:bidi="ar"/>
              </w:rPr>
              <w:t xml:space="preserve">50 </w:t>
            </w:r>
          </w:p>
        </w:tc>
      </w:tr>
      <w:tr w14:paraId="05F14D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7C3CC757">
            <w:pPr>
              <w:widowControl/>
              <w:jc w:val="center"/>
              <w:textAlignment w:val="center"/>
              <w:rPr>
                <w:color w:val="000000"/>
                <w:kern w:val="0"/>
                <w:sz w:val="18"/>
                <w:szCs w:val="18"/>
                <w:lang w:bidi="ar"/>
              </w:rPr>
            </w:pPr>
            <w:r>
              <w:rPr>
                <w:color w:val="000000"/>
                <w:kern w:val="0"/>
                <w:sz w:val="18"/>
                <w:szCs w:val="18"/>
                <w:lang w:bidi="ar"/>
              </w:rPr>
              <w:t>42</w:t>
            </w:r>
          </w:p>
        </w:tc>
        <w:tc>
          <w:tcPr>
            <w:tcW w:w="463" w:type="pct"/>
            <w:noWrap w:val="0"/>
            <w:vAlign w:val="center"/>
          </w:tcPr>
          <w:p w14:paraId="1D4D0438">
            <w:pPr>
              <w:widowControl/>
              <w:jc w:val="center"/>
              <w:textAlignment w:val="center"/>
              <w:rPr>
                <w:color w:val="000000"/>
                <w:sz w:val="18"/>
                <w:szCs w:val="18"/>
              </w:rPr>
            </w:pPr>
            <w:r>
              <w:rPr>
                <w:color w:val="000000"/>
                <w:sz w:val="18"/>
                <w:szCs w:val="18"/>
              </w:rPr>
              <w:t>振动筛</w:t>
            </w:r>
            <w:r>
              <w:rPr>
                <w:rFonts w:hint="eastAsia"/>
                <w:color w:val="000000"/>
                <w:sz w:val="18"/>
                <w:szCs w:val="18"/>
              </w:rPr>
              <w:t>5#</w:t>
            </w:r>
          </w:p>
        </w:tc>
        <w:tc>
          <w:tcPr>
            <w:tcW w:w="181" w:type="pct"/>
            <w:noWrap w:val="0"/>
            <w:vAlign w:val="center"/>
          </w:tcPr>
          <w:p w14:paraId="198106E8">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3F600F7B">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4028F0E5">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2AC0586E">
            <w:pPr>
              <w:widowControl/>
              <w:jc w:val="center"/>
              <w:textAlignment w:val="center"/>
              <w:rPr>
                <w:color w:val="000000"/>
                <w:sz w:val="18"/>
                <w:szCs w:val="18"/>
              </w:rPr>
            </w:pPr>
            <w:r>
              <w:rPr>
                <w:rFonts w:hint="eastAsia"/>
                <w:color w:val="000000"/>
                <w:sz w:val="18"/>
                <w:szCs w:val="18"/>
              </w:rPr>
              <w:t>50</w:t>
            </w:r>
          </w:p>
        </w:tc>
        <w:tc>
          <w:tcPr>
            <w:tcW w:w="206" w:type="pct"/>
            <w:noWrap w:val="0"/>
            <w:vAlign w:val="center"/>
          </w:tcPr>
          <w:p w14:paraId="67F6EA95">
            <w:pPr>
              <w:widowControl/>
              <w:jc w:val="center"/>
              <w:textAlignment w:val="center"/>
              <w:rPr>
                <w:color w:val="000000"/>
                <w:sz w:val="18"/>
                <w:szCs w:val="18"/>
              </w:rPr>
            </w:pPr>
            <w:r>
              <w:rPr>
                <w:rFonts w:hint="eastAsia"/>
                <w:color w:val="000000"/>
                <w:sz w:val="18"/>
                <w:szCs w:val="18"/>
              </w:rPr>
              <w:t>34</w:t>
            </w:r>
          </w:p>
        </w:tc>
        <w:tc>
          <w:tcPr>
            <w:tcW w:w="156" w:type="pct"/>
            <w:noWrap w:val="0"/>
            <w:vAlign w:val="center"/>
          </w:tcPr>
          <w:p w14:paraId="51CB7CDE">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3D4CC765">
            <w:pPr>
              <w:widowControl/>
              <w:jc w:val="center"/>
              <w:textAlignment w:val="center"/>
              <w:rPr>
                <w:color w:val="000000"/>
                <w:sz w:val="18"/>
                <w:szCs w:val="18"/>
              </w:rPr>
            </w:pPr>
            <w:r>
              <w:rPr>
                <w:color w:val="000000"/>
                <w:kern w:val="0"/>
                <w:sz w:val="18"/>
                <w:szCs w:val="18"/>
                <w:lang w:bidi="ar"/>
              </w:rPr>
              <w:t>62</w:t>
            </w:r>
          </w:p>
        </w:tc>
        <w:tc>
          <w:tcPr>
            <w:tcW w:w="174" w:type="pct"/>
            <w:noWrap w:val="0"/>
            <w:vAlign w:val="center"/>
          </w:tcPr>
          <w:p w14:paraId="76207846">
            <w:pPr>
              <w:widowControl/>
              <w:jc w:val="center"/>
              <w:textAlignment w:val="center"/>
              <w:rPr>
                <w:color w:val="000000"/>
                <w:sz w:val="18"/>
                <w:szCs w:val="18"/>
              </w:rPr>
            </w:pPr>
            <w:r>
              <w:rPr>
                <w:color w:val="000000"/>
                <w:kern w:val="0"/>
                <w:sz w:val="18"/>
                <w:szCs w:val="18"/>
                <w:lang w:bidi="ar"/>
              </w:rPr>
              <w:t>14</w:t>
            </w:r>
          </w:p>
        </w:tc>
        <w:tc>
          <w:tcPr>
            <w:tcW w:w="174" w:type="pct"/>
            <w:noWrap w:val="0"/>
            <w:vAlign w:val="center"/>
          </w:tcPr>
          <w:p w14:paraId="7E83E4AA">
            <w:pPr>
              <w:widowControl/>
              <w:jc w:val="center"/>
              <w:textAlignment w:val="center"/>
              <w:rPr>
                <w:color w:val="000000"/>
                <w:sz w:val="18"/>
                <w:szCs w:val="18"/>
              </w:rPr>
            </w:pPr>
            <w:r>
              <w:rPr>
                <w:color w:val="000000"/>
                <w:kern w:val="0"/>
                <w:sz w:val="18"/>
                <w:szCs w:val="18"/>
                <w:lang w:bidi="ar"/>
              </w:rPr>
              <w:t>51</w:t>
            </w:r>
          </w:p>
        </w:tc>
        <w:tc>
          <w:tcPr>
            <w:tcW w:w="177" w:type="pct"/>
            <w:noWrap w:val="0"/>
            <w:vAlign w:val="center"/>
          </w:tcPr>
          <w:p w14:paraId="6DD0AEAB">
            <w:pPr>
              <w:widowControl/>
              <w:jc w:val="center"/>
              <w:textAlignment w:val="center"/>
              <w:rPr>
                <w:color w:val="000000"/>
                <w:sz w:val="18"/>
                <w:szCs w:val="18"/>
              </w:rPr>
            </w:pPr>
            <w:r>
              <w:rPr>
                <w:color w:val="000000"/>
                <w:kern w:val="0"/>
                <w:sz w:val="18"/>
                <w:szCs w:val="18"/>
                <w:lang w:bidi="ar"/>
              </w:rPr>
              <w:t>61</w:t>
            </w:r>
          </w:p>
        </w:tc>
        <w:tc>
          <w:tcPr>
            <w:tcW w:w="215" w:type="pct"/>
            <w:noWrap w:val="0"/>
            <w:vAlign w:val="center"/>
          </w:tcPr>
          <w:p w14:paraId="10A2E0B2">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6AF04921">
            <w:pPr>
              <w:widowControl/>
              <w:jc w:val="center"/>
              <w:textAlignment w:val="center"/>
              <w:rPr>
                <w:color w:val="000000"/>
                <w:sz w:val="18"/>
                <w:szCs w:val="18"/>
              </w:rPr>
            </w:pPr>
            <w:r>
              <w:rPr>
                <w:color w:val="000000"/>
                <w:kern w:val="0"/>
                <w:sz w:val="18"/>
                <w:szCs w:val="18"/>
                <w:lang w:bidi="ar"/>
              </w:rPr>
              <w:t xml:space="preserve">71 </w:t>
            </w:r>
          </w:p>
        </w:tc>
        <w:tc>
          <w:tcPr>
            <w:tcW w:w="215" w:type="pct"/>
            <w:noWrap w:val="0"/>
            <w:vAlign w:val="center"/>
          </w:tcPr>
          <w:p w14:paraId="0DC8E7A6">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160B61D">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13AA8C8">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4D1273CF">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48CB9D38">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7781211F">
            <w:pPr>
              <w:widowControl/>
              <w:jc w:val="center"/>
              <w:textAlignment w:val="center"/>
              <w:rPr>
                <w:color w:val="000000"/>
                <w:sz w:val="18"/>
                <w:szCs w:val="18"/>
              </w:rPr>
            </w:pPr>
            <w:r>
              <w:rPr>
                <w:color w:val="000000"/>
                <w:kern w:val="0"/>
                <w:sz w:val="18"/>
                <w:szCs w:val="18"/>
                <w:lang w:bidi="ar"/>
              </w:rPr>
              <w:t xml:space="preserve">51 </w:t>
            </w:r>
          </w:p>
        </w:tc>
        <w:tc>
          <w:tcPr>
            <w:tcW w:w="179" w:type="pct"/>
            <w:noWrap w:val="0"/>
            <w:vAlign w:val="center"/>
          </w:tcPr>
          <w:p w14:paraId="336B14C9">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753048C1">
            <w:pPr>
              <w:widowControl/>
              <w:jc w:val="center"/>
              <w:textAlignment w:val="center"/>
              <w:rPr>
                <w:color w:val="000000"/>
                <w:sz w:val="18"/>
                <w:szCs w:val="18"/>
              </w:rPr>
            </w:pPr>
            <w:r>
              <w:rPr>
                <w:color w:val="000000"/>
                <w:kern w:val="0"/>
                <w:sz w:val="18"/>
                <w:szCs w:val="18"/>
                <w:lang w:bidi="ar"/>
              </w:rPr>
              <w:t xml:space="preserve">50 </w:t>
            </w:r>
          </w:p>
        </w:tc>
      </w:tr>
      <w:tr w14:paraId="19F7C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5A8E416B">
            <w:pPr>
              <w:widowControl/>
              <w:jc w:val="center"/>
              <w:textAlignment w:val="center"/>
              <w:rPr>
                <w:color w:val="000000"/>
                <w:kern w:val="0"/>
                <w:sz w:val="18"/>
                <w:szCs w:val="18"/>
                <w:lang w:bidi="ar"/>
              </w:rPr>
            </w:pPr>
            <w:r>
              <w:rPr>
                <w:color w:val="000000"/>
                <w:kern w:val="0"/>
                <w:sz w:val="18"/>
                <w:szCs w:val="18"/>
                <w:lang w:bidi="ar"/>
              </w:rPr>
              <w:t>43</w:t>
            </w:r>
          </w:p>
        </w:tc>
        <w:tc>
          <w:tcPr>
            <w:tcW w:w="463" w:type="pct"/>
            <w:noWrap w:val="0"/>
            <w:vAlign w:val="center"/>
          </w:tcPr>
          <w:p w14:paraId="2DD2E565">
            <w:pPr>
              <w:widowControl/>
              <w:jc w:val="center"/>
              <w:textAlignment w:val="center"/>
              <w:rPr>
                <w:color w:val="000000"/>
                <w:sz w:val="18"/>
                <w:szCs w:val="18"/>
              </w:rPr>
            </w:pPr>
            <w:r>
              <w:rPr>
                <w:rFonts w:hint="eastAsia"/>
                <w:color w:val="000000"/>
                <w:sz w:val="18"/>
                <w:szCs w:val="18"/>
              </w:rPr>
              <w:t>冷却塔</w:t>
            </w:r>
          </w:p>
        </w:tc>
        <w:tc>
          <w:tcPr>
            <w:tcW w:w="181" w:type="pct"/>
            <w:noWrap w:val="0"/>
            <w:vAlign w:val="center"/>
          </w:tcPr>
          <w:p w14:paraId="10BEBE0D">
            <w:pPr>
              <w:widowControl/>
              <w:jc w:val="center"/>
              <w:textAlignment w:val="center"/>
              <w:rPr>
                <w:color w:val="000000"/>
                <w:sz w:val="18"/>
                <w:szCs w:val="18"/>
              </w:rPr>
            </w:pPr>
            <w:r>
              <w:rPr>
                <w:rFonts w:hint="eastAsia"/>
                <w:color w:val="000000"/>
                <w:sz w:val="18"/>
                <w:szCs w:val="18"/>
              </w:rPr>
              <w:t>/</w:t>
            </w:r>
          </w:p>
        </w:tc>
        <w:tc>
          <w:tcPr>
            <w:tcW w:w="313" w:type="pct"/>
            <w:noWrap w:val="0"/>
            <w:vAlign w:val="center"/>
          </w:tcPr>
          <w:p w14:paraId="0B5B8EB8">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185E596E">
            <w:pPr>
              <w:widowControl/>
              <w:jc w:val="center"/>
              <w:textAlignment w:val="center"/>
              <w:rPr>
                <w:color w:val="000000"/>
                <w:sz w:val="18"/>
                <w:szCs w:val="18"/>
              </w:rPr>
            </w:pPr>
            <w:r>
              <w:rPr>
                <w:rFonts w:hint="eastAsia"/>
                <w:color w:val="000000"/>
                <w:sz w:val="18"/>
                <w:szCs w:val="18"/>
              </w:rPr>
              <w:t>厂房隔声</w:t>
            </w:r>
          </w:p>
        </w:tc>
        <w:tc>
          <w:tcPr>
            <w:tcW w:w="216" w:type="pct"/>
            <w:noWrap w:val="0"/>
            <w:vAlign w:val="center"/>
          </w:tcPr>
          <w:p w14:paraId="6AAEF163">
            <w:pPr>
              <w:widowControl/>
              <w:jc w:val="center"/>
              <w:textAlignment w:val="center"/>
              <w:rPr>
                <w:color w:val="000000"/>
                <w:sz w:val="18"/>
                <w:szCs w:val="18"/>
              </w:rPr>
            </w:pPr>
            <w:r>
              <w:rPr>
                <w:rFonts w:hint="eastAsia"/>
                <w:color w:val="000000"/>
                <w:sz w:val="18"/>
                <w:szCs w:val="18"/>
              </w:rPr>
              <w:t>10</w:t>
            </w:r>
          </w:p>
        </w:tc>
        <w:tc>
          <w:tcPr>
            <w:tcW w:w="206" w:type="pct"/>
            <w:noWrap w:val="0"/>
            <w:vAlign w:val="center"/>
          </w:tcPr>
          <w:p w14:paraId="451A0F8E">
            <w:pPr>
              <w:widowControl/>
              <w:jc w:val="center"/>
              <w:textAlignment w:val="center"/>
              <w:rPr>
                <w:color w:val="000000"/>
                <w:sz w:val="18"/>
                <w:szCs w:val="18"/>
              </w:rPr>
            </w:pPr>
            <w:r>
              <w:rPr>
                <w:rFonts w:hint="eastAsia"/>
                <w:color w:val="000000"/>
                <w:sz w:val="18"/>
                <w:szCs w:val="18"/>
              </w:rPr>
              <w:t>70</w:t>
            </w:r>
          </w:p>
        </w:tc>
        <w:tc>
          <w:tcPr>
            <w:tcW w:w="156" w:type="pct"/>
            <w:noWrap w:val="0"/>
            <w:vAlign w:val="center"/>
          </w:tcPr>
          <w:p w14:paraId="530DF494">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466C220E">
            <w:pPr>
              <w:widowControl/>
              <w:jc w:val="center"/>
              <w:textAlignment w:val="center"/>
              <w:rPr>
                <w:color w:val="000000"/>
                <w:sz w:val="18"/>
                <w:szCs w:val="18"/>
              </w:rPr>
            </w:pPr>
            <w:r>
              <w:rPr>
                <w:color w:val="000000"/>
                <w:kern w:val="0"/>
                <w:sz w:val="18"/>
                <w:szCs w:val="18"/>
                <w:lang w:bidi="ar"/>
              </w:rPr>
              <w:t>103</w:t>
            </w:r>
          </w:p>
        </w:tc>
        <w:tc>
          <w:tcPr>
            <w:tcW w:w="174" w:type="pct"/>
            <w:noWrap w:val="0"/>
            <w:vAlign w:val="center"/>
          </w:tcPr>
          <w:p w14:paraId="698F15F8">
            <w:pPr>
              <w:widowControl/>
              <w:jc w:val="center"/>
              <w:textAlignment w:val="center"/>
              <w:rPr>
                <w:color w:val="000000"/>
                <w:sz w:val="18"/>
                <w:szCs w:val="18"/>
              </w:rPr>
            </w:pPr>
            <w:r>
              <w:rPr>
                <w:color w:val="000000"/>
                <w:kern w:val="0"/>
                <w:sz w:val="18"/>
                <w:szCs w:val="18"/>
                <w:lang w:bidi="ar"/>
              </w:rPr>
              <w:t>46</w:t>
            </w:r>
          </w:p>
        </w:tc>
        <w:tc>
          <w:tcPr>
            <w:tcW w:w="174" w:type="pct"/>
            <w:noWrap w:val="0"/>
            <w:vAlign w:val="center"/>
          </w:tcPr>
          <w:p w14:paraId="34A2E0FB">
            <w:pPr>
              <w:widowControl/>
              <w:jc w:val="center"/>
              <w:textAlignment w:val="center"/>
              <w:rPr>
                <w:color w:val="000000"/>
                <w:sz w:val="18"/>
                <w:szCs w:val="18"/>
              </w:rPr>
            </w:pPr>
            <w:r>
              <w:rPr>
                <w:color w:val="000000"/>
                <w:kern w:val="0"/>
                <w:sz w:val="18"/>
                <w:szCs w:val="18"/>
                <w:lang w:bidi="ar"/>
              </w:rPr>
              <w:t>10</w:t>
            </w:r>
          </w:p>
        </w:tc>
        <w:tc>
          <w:tcPr>
            <w:tcW w:w="177" w:type="pct"/>
            <w:noWrap w:val="0"/>
            <w:vAlign w:val="center"/>
          </w:tcPr>
          <w:p w14:paraId="7158E686">
            <w:pPr>
              <w:widowControl/>
              <w:jc w:val="center"/>
              <w:textAlignment w:val="center"/>
              <w:rPr>
                <w:color w:val="000000"/>
                <w:sz w:val="18"/>
                <w:szCs w:val="18"/>
              </w:rPr>
            </w:pPr>
            <w:r>
              <w:rPr>
                <w:color w:val="000000"/>
                <w:kern w:val="0"/>
                <w:sz w:val="18"/>
                <w:szCs w:val="18"/>
                <w:lang w:bidi="ar"/>
              </w:rPr>
              <w:t>29</w:t>
            </w:r>
          </w:p>
        </w:tc>
        <w:tc>
          <w:tcPr>
            <w:tcW w:w="215" w:type="pct"/>
            <w:noWrap w:val="0"/>
            <w:vAlign w:val="center"/>
          </w:tcPr>
          <w:p w14:paraId="35C3EFC1">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2B088346">
            <w:pPr>
              <w:widowControl/>
              <w:jc w:val="center"/>
              <w:textAlignment w:val="center"/>
              <w:rPr>
                <w:color w:val="000000"/>
                <w:sz w:val="18"/>
                <w:szCs w:val="18"/>
              </w:rPr>
            </w:pPr>
            <w:r>
              <w:rPr>
                <w:color w:val="000000"/>
                <w:kern w:val="0"/>
                <w:sz w:val="18"/>
                <w:szCs w:val="18"/>
                <w:lang w:bidi="ar"/>
              </w:rPr>
              <w:t xml:space="preserve">75 </w:t>
            </w:r>
          </w:p>
        </w:tc>
        <w:tc>
          <w:tcPr>
            <w:tcW w:w="215" w:type="pct"/>
            <w:noWrap w:val="0"/>
            <w:vAlign w:val="center"/>
          </w:tcPr>
          <w:p w14:paraId="0D80D4B2">
            <w:pPr>
              <w:widowControl/>
              <w:jc w:val="center"/>
              <w:textAlignment w:val="center"/>
              <w:rPr>
                <w:color w:val="000000"/>
                <w:sz w:val="18"/>
                <w:szCs w:val="18"/>
              </w:rPr>
            </w:pPr>
            <w:r>
              <w:rPr>
                <w:color w:val="000000"/>
                <w:kern w:val="0"/>
                <w:sz w:val="18"/>
                <w:szCs w:val="18"/>
                <w:lang w:bidi="ar"/>
              </w:rPr>
              <w:t xml:space="preserve">76 </w:t>
            </w:r>
          </w:p>
        </w:tc>
        <w:tc>
          <w:tcPr>
            <w:tcW w:w="218" w:type="pct"/>
            <w:noWrap w:val="0"/>
            <w:vAlign w:val="center"/>
          </w:tcPr>
          <w:p w14:paraId="03F4CF81">
            <w:pPr>
              <w:widowControl/>
              <w:jc w:val="center"/>
              <w:textAlignment w:val="center"/>
              <w:rPr>
                <w:color w:val="000000"/>
                <w:sz w:val="18"/>
                <w:szCs w:val="18"/>
              </w:rPr>
            </w:pPr>
            <w:r>
              <w:rPr>
                <w:color w:val="000000"/>
                <w:kern w:val="0"/>
                <w:sz w:val="18"/>
                <w:szCs w:val="18"/>
                <w:lang w:bidi="ar"/>
              </w:rPr>
              <w:t xml:space="preserve">75 </w:t>
            </w:r>
          </w:p>
        </w:tc>
        <w:tc>
          <w:tcPr>
            <w:tcW w:w="223" w:type="pct"/>
            <w:noWrap w:val="0"/>
            <w:vAlign w:val="center"/>
          </w:tcPr>
          <w:p w14:paraId="319AE58E">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38236DE0">
            <w:pPr>
              <w:widowControl/>
              <w:jc w:val="center"/>
              <w:textAlignment w:val="center"/>
              <w:rPr>
                <w:color w:val="000000"/>
                <w:sz w:val="18"/>
                <w:szCs w:val="18"/>
              </w:rPr>
            </w:pPr>
            <w:r>
              <w:rPr>
                <w:color w:val="000000"/>
                <w:kern w:val="0"/>
                <w:sz w:val="18"/>
                <w:szCs w:val="18"/>
                <w:lang w:bidi="ar"/>
              </w:rPr>
              <w:t>20</w:t>
            </w:r>
          </w:p>
        </w:tc>
        <w:tc>
          <w:tcPr>
            <w:tcW w:w="188" w:type="pct"/>
            <w:noWrap w:val="0"/>
            <w:vAlign w:val="center"/>
          </w:tcPr>
          <w:p w14:paraId="5F2B5390">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294280EB">
            <w:pPr>
              <w:widowControl/>
              <w:jc w:val="center"/>
              <w:textAlignment w:val="center"/>
              <w:rPr>
                <w:color w:val="000000"/>
                <w:sz w:val="18"/>
                <w:szCs w:val="18"/>
              </w:rPr>
            </w:pPr>
            <w:r>
              <w:rPr>
                <w:color w:val="000000"/>
                <w:kern w:val="0"/>
                <w:sz w:val="18"/>
                <w:szCs w:val="18"/>
                <w:lang w:bidi="ar"/>
              </w:rPr>
              <w:t xml:space="preserve">55 </w:t>
            </w:r>
          </w:p>
        </w:tc>
        <w:tc>
          <w:tcPr>
            <w:tcW w:w="179" w:type="pct"/>
            <w:noWrap w:val="0"/>
            <w:vAlign w:val="center"/>
          </w:tcPr>
          <w:p w14:paraId="27A60E56">
            <w:pPr>
              <w:widowControl/>
              <w:jc w:val="center"/>
              <w:textAlignment w:val="center"/>
              <w:rPr>
                <w:color w:val="000000"/>
                <w:sz w:val="18"/>
                <w:szCs w:val="18"/>
              </w:rPr>
            </w:pPr>
            <w:r>
              <w:rPr>
                <w:color w:val="000000"/>
                <w:kern w:val="0"/>
                <w:sz w:val="18"/>
                <w:szCs w:val="18"/>
                <w:lang w:bidi="ar"/>
              </w:rPr>
              <w:t xml:space="preserve">56 </w:t>
            </w:r>
          </w:p>
        </w:tc>
        <w:tc>
          <w:tcPr>
            <w:tcW w:w="189" w:type="pct"/>
            <w:noWrap w:val="0"/>
            <w:vAlign w:val="center"/>
          </w:tcPr>
          <w:p w14:paraId="6DE22862">
            <w:pPr>
              <w:widowControl/>
              <w:jc w:val="center"/>
              <w:textAlignment w:val="center"/>
              <w:rPr>
                <w:color w:val="000000"/>
                <w:sz w:val="18"/>
                <w:szCs w:val="18"/>
              </w:rPr>
            </w:pPr>
            <w:r>
              <w:rPr>
                <w:color w:val="000000"/>
                <w:kern w:val="0"/>
                <w:sz w:val="18"/>
                <w:szCs w:val="18"/>
                <w:lang w:bidi="ar"/>
              </w:rPr>
              <w:t xml:space="preserve">55 </w:t>
            </w:r>
          </w:p>
        </w:tc>
      </w:tr>
      <w:tr w14:paraId="2EB23B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4CAEAC1">
            <w:pPr>
              <w:widowControl/>
              <w:jc w:val="center"/>
              <w:textAlignment w:val="center"/>
              <w:rPr>
                <w:color w:val="000000"/>
                <w:kern w:val="0"/>
                <w:sz w:val="18"/>
                <w:szCs w:val="18"/>
                <w:lang w:bidi="ar"/>
              </w:rPr>
            </w:pPr>
            <w:r>
              <w:rPr>
                <w:color w:val="000000"/>
                <w:kern w:val="0"/>
                <w:sz w:val="18"/>
                <w:szCs w:val="18"/>
                <w:lang w:bidi="ar"/>
              </w:rPr>
              <w:t>44</w:t>
            </w:r>
          </w:p>
        </w:tc>
        <w:tc>
          <w:tcPr>
            <w:tcW w:w="463" w:type="pct"/>
            <w:noWrap w:val="0"/>
            <w:vAlign w:val="center"/>
          </w:tcPr>
          <w:p w14:paraId="1173A1C3">
            <w:pPr>
              <w:widowControl/>
              <w:jc w:val="center"/>
              <w:textAlignment w:val="center"/>
              <w:rPr>
                <w:color w:val="000000"/>
                <w:sz w:val="18"/>
                <w:szCs w:val="18"/>
              </w:rPr>
            </w:pPr>
            <w:r>
              <w:rPr>
                <w:rFonts w:hint="eastAsia"/>
                <w:color w:val="000000"/>
                <w:sz w:val="18"/>
                <w:szCs w:val="18"/>
              </w:rPr>
              <w:t>1#废气处理设施风机</w:t>
            </w:r>
          </w:p>
        </w:tc>
        <w:tc>
          <w:tcPr>
            <w:tcW w:w="181" w:type="pct"/>
            <w:vMerge w:val="restart"/>
            <w:noWrap w:val="0"/>
            <w:vAlign w:val="center"/>
          </w:tcPr>
          <w:p w14:paraId="7994134D">
            <w:pPr>
              <w:widowControl/>
              <w:jc w:val="center"/>
              <w:textAlignment w:val="center"/>
              <w:rPr>
                <w:color w:val="000000"/>
                <w:sz w:val="18"/>
                <w:szCs w:val="18"/>
              </w:rPr>
            </w:pPr>
            <w:r>
              <w:rPr>
                <w:rFonts w:hint="eastAsia"/>
                <w:color w:val="000000"/>
                <w:sz w:val="18"/>
                <w:szCs w:val="18"/>
              </w:rPr>
              <w:t>废气机房</w:t>
            </w:r>
          </w:p>
        </w:tc>
        <w:tc>
          <w:tcPr>
            <w:tcW w:w="313" w:type="pct"/>
            <w:noWrap w:val="0"/>
            <w:vAlign w:val="center"/>
          </w:tcPr>
          <w:p w14:paraId="1CE8D5AD">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64ED6DFA">
            <w:pPr>
              <w:widowControl/>
              <w:jc w:val="center"/>
              <w:textAlignment w:val="center"/>
              <w:rPr>
                <w:color w:val="000000"/>
                <w:sz w:val="18"/>
                <w:szCs w:val="18"/>
              </w:rPr>
            </w:pPr>
            <w:r>
              <w:rPr>
                <w:rFonts w:hint="eastAsia"/>
                <w:color w:val="000000"/>
                <w:sz w:val="18"/>
                <w:szCs w:val="18"/>
              </w:rPr>
              <w:t>独立房间</w:t>
            </w:r>
          </w:p>
        </w:tc>
        <w:tc>
          <w:tcPr>
            <w:tcW w:w="216" w:type="pct"/>
            <w:noWrap w:val="0"/>
            <w:vAlign w:val="center"/>
          </w:tcPr>
          <w:p w14:paraId="7EAFCA16">
            <w:pPr>
              <w:widowControl/>
              <w:jc w:val="center"/>
              <w:textAlignment w:val="center"/>
              <w:rPr>
                <w:color w:val="000000"/>
                <w:sz w:val="18"/>
                <w:szCs w:val="18"/>
              </w:rPr>
            </w:pPr>
            <w:r>
              <w:rPr>
                <w:rFonts w:hint="eastAsia"/>
                <w:color w:val="000000"/>
                <w:sz w:val="18"/>
                <w:szCs w:val="18"/>
              </w:rPr>
              <w:t>33</w:t>
            </w:r>
          </w:p>
        </w:tc>
        <w:tc>
          <w:tcPr>
            <w:tcW w:w="206" w:type="pct"/>
            <w:noWrap w:val="0"/>
            <w:vAlign w:val="center"/>
          </w:tcPr>
          <w:p w14:paraId="3C3B0946">
            <w:pPr>
              <w:widowControl/>
              <w:jc w:val="center"/>
              <w:textAlignment w:val="center"/>
              <w:rPr>
                <w:color w:val="000000"/>
                <w:sz w:val="18"/>
                <w:szCs w:val="18"/>
              </w:rPr>
            </w:pPr>
            <w:r>
              <w:rPr>
                <w:rFonts w:hint="eastAsia"/>
                <w:color w:val="000000"/>
                <w:sz w:val="18"/>
                <w:szCs w:val="18"/>
              </w:rPr>
              <w:t>101</w:t>
            </w:r>
          </w:p>
        </w:tc>
        <w:tc>
          <w:tcPr>
            <w:tcW w:w="156" w:type="pct"/>
            <w:noWrap w:val="0"/>
            <w:vAlign w:val="center"/>
          </w:tcPr>
          <w:p w14:paraId="0C7A7C93">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7EA1011A">
            <w:pPr>
              <w:widowControl/>
              <w:jc w:val="center"/>
              <w:textAlignment w:val="center"/>
              <w:rPr>
                <w:color w:val="000000"/>
                <w:sz w:val="18"/>
                <w:szCs w:val="18"/>
              </w:rPr>
            </w:pPr>
            <w:r>
              <w:rPr>
                <w:rFonts w:hint="eastAsia"/>
                <w:color w:val="000000"/>
                <w:sz w:val="18"/>
                <w:szCs w:val="18"/>
              </w:rPr>
              <w:t>8</w:t>
            </w:r>
          </w:p>
        </w:tc>
        <w:tc>
          <w:tcPr>
            <w:tcW w:w="174" w:type="pct"/>
            <w:noWrap w:val="0"/>
            <w:vAlign w:val="center"/>
          </w:tcPr>
          <w:p w14:paraId="25847663">
            <w:pPr>
              <w:widowControl/>
              <w:jc w:val="center"/>
              <w:textAlignment w:val="center"/>
              <w:rPr>
                <w:color w:val="000000"/>
                <w:sz w:val="18"/>
                <w:szCs w:val="18"/>
              </w:rPr>
            </w:pPr>
            <w:r>
              <w:rPr>
                <w:rFonts w:hint="eastAsia"/>
                <w:color w:val="000000"/>
                <w:sz w:val="18"/>
                <w:szCs w:val="18"/>
              </w:rPr>
              <w:t>1</w:t>
            </w:r>
          </w:p>
        </w:tc>
        <w:tc>
          <w:tcPr>
            <w:tcW w:w="174" w:type="pct"/>
            <w:noWrap w:val="0"/>
            <w:vAlign w:val="center"/>
          </w:tcPr>
          <w:p w14:paraId="22EFB0D2">
            <w:pPr>
              <w:widowControl/>
              <w:jc w:val="center"/>
              <w:textAlignment w:val="center"/>
              <w:rPr>
                <w:color w:val="000000"/>
                <w:sz w:val="18"/>
                <w:szCs w:val="18"/>
              </w:rPr>
            </w:pPr>
            <w:r>
              <w:rPr>
                <w:rFonts w:hint="eastAsia"/>
                <w:color w:val="000000"/>
                <w:sz w:val="18"/>
                <w:szCs w:val="18"/>
              </w:rPr>
              <w:t>2</w:t>
            </w:r>
          </w:p>
        </w:tc>
        <w:tc>
          <w:tcPr>
            <w:tcW w:w="177" w:type="pct"/>
            <w:noWrap w:val="0"/>
            <w:vAlign w:val="center"/>
          </w:tcPr>
          <w:p w14:paraId="3141C2B1">
            <w:pPr>
              <w:widowControl/>
              <w:jc w:val="center"/>
              <w:textAlignment w:val="center"/>
              <w:rPr>
                <w:color w:val="000000"/>
                <w:sz w:val="18"/>
                <w:szCs w:val="18"/>
              </w:rPr>
            </w:pPr>
            <w:r>
              <w:rPr>
                <w:rFonts w:hint="eastAsia"/>
                <w:color w:val="000000"/>
                <w:sz w:val="18"/>
                <w:szCs w:val="18"/>
              </w:rPr>
              <w:t>1</w:t>
            </w:r>
          </w:p>
        </w:tc>
        <w:tc>
          <w:tcPr>
            <w:tcW w:w="215" w:type="pct"/>
            <w:noWrap w:val="0"/>
            <w:vAlign w:val="center"/>
          </w:tcPr>
          <w:p w14:paraId="7A40E3E0">
            <w:pPr>
              <w:widowControl/>
              <w:jc w:val="center"/>
              <w:textAlignment w:val="center"/>
              <w:rPr>
                <w:color w:val="000000"/>
                <w:sz w:val="18"/>
                <w:szCs w:val="18"/>
              </w:rPr>
            </w:pPr>
            <w:r>
              <w:rPr>
                <w:color w:val="000000"/>
                <w:kern w:val="0"/>
                <w:sz w:val="18"/>
                <w:szCs w:val="18"/>
                <w:lang w:bidi="ar"/>
              </w:rPr>
              <w:t xml:space="preserve">76 </w:t>
            </w:r>
          </w:p>
        </w:tc>
        <w:tc>
          <w:tcPr>
            <w:tcW w:w="215" w:type="pct"/>
            <w:noWrap w:val="0"/>
            <w:vAlign w:val="center"/>
          </w:tcPr>
          <w:p w14:paraId="7EDA5BB2">
            <w:pPr>
              <w:widowControl/>
              <w:jc w:val="center"/>
              <w:textAlignment w:val="center"/>
              <w:rPr>
                <w:color w:val="000000"/>
                <w:sz w:val="18"/>
                <w:szCs w:val="18"/>
              </w:rPr>
            </w:pPr>
            <w:r>
              <w:rPr>
                <w:color w:val="000000"/>
                <w:kern w:val="0"/>
                <w:sz w:val="18"/>
                <w:szCs w:val="18"/>
                <w:lang w:bidi="ar"/>
              </w:rPr>
              <w:t xml:space="preserve">83 </w:t>
            </w:r>
          </w:p>
        </w:tc>
        <w:tc>
          <w:tcPr>
            <w:tcW w:w="215" w:type="pct"/>
            <w:noWrap w:val="0"/>
            <w:vAlign w:val="center"/>
          </w:tcPr>
          <w:p w14:paraId="3F76D9DA">
            <w:pPr>
              <w:widowControl/>
              <w:jc w:val="center"/>
              <w:textAlignment w:val="center"/>
              <w:rPr>
                <w:color w:val="000000"/>
                <w:sz w:val="18"/>
                <w:szCs w:val="18"/>
              </w:rPr>
            </w:pPr>
            <w:r>
              <w:rPr>
                <w:color w:val="000000"/>
                <w:kern w:val="0"/>
                <w:sz w:val="18"/>
                <w:szCs w:val="18"/>
                <w:lang w:bidi="ar"/>
              </w:rPr>
              <w:t xml:space="preserve">79 </w:t>
            </w:r>
          </w:p>
        </w:tc>
        <w:tc>
          <w:tcPr>
            <w:tcW w:w="218" w:type="pct"/>
            <w:noWrap w:val="0"/>
            <w:vAlign w:val="center"/>
          </w:tcPr>
          <w:p w14:paraId="6DABE819">
            <w:pPr>
              <w:widowControl/>
              <w:jc w:val="center"/>
              <w:textAlignment w:val="center"/>
              <w:rPr>
                <w:color w:val="000000"/>
                <w:sz w:val="18"/>
                <w:szCs w:val="18"/>
              </w:rPr>
            </w:pPr>
            <w:r>
              <w:rPr>
                <w:color w:val="000000"/>
                <w:kern w:val="0"/>
                <w:sz w:val="18"/>
                <w:szCs w:val="18"/>
                <w:lang w:bidi="ar"/>
              </w:rPr>
              <w:t xml:space="preserve">83 </w:t>
            </w:r>
          </w:p>
        </w:tc>
        <w:tc>
          <w:tcPr>
            <w:tcW w:w="223" w:type="pct"/>
            <w:noWrap w:val="0"/>
            <w:vAlign w:val="center"/>
          </w:tcPr>
          <w:p w14:paraId="37D96A1D">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5B058A27">
            <w:pPr>
              <w:widowControl/>
              <w:jc w:val="center"/>
              <w:textAlignment w:val="center"/>
              <w:rPr>
                <w:color w:val="000000"/>
                <w:sz w:val="18"/>
                <w:szCs w:val="18"/>
              </w:rPr>
            </w:pPr>
            <w:r>
              <w:rPr>
                <w:color w:val="000000"/>
                <w:kern w:val="0"/>
                <w:sz w:val="18"/>
                <w:szCs w:val="18"/>
                <w:lang w:bidi="ar"/>
              </w:rPr>
              <w:t xml:space="preserve">46 </w:t>
            </w:r>
          </w:p>
        </w:tc>
        <w:tc>
          <w:tcPr>
            <w:tcW w:w="188" w:type="pct"/>
            <w:noWrap w:val="0"/>
            <w:vAlign w:val="center"/>
          </w:tcPr>
          <w:p w14:paraId="7E31BCFD">
            <w:pPr>
              <w:widowControl/>
              <w:jc w:val="center"/>
              <w:textAlignment w:val="center"/>
              <w:rPr>
                <w:color w:val="000000"/>
                <w:sz w:val="18"/>
                <w:szCs w:val="18"/>
              </w:rPr>
            </w:pPr>
            <w:r>
              <w:rPr>
                <w:color w:val="000000"/>
                <w:kern w:val="0"/>
                <w:sz w:val="18"/>
                <w:szCs w:val="18"/>
                <w:lang w:bidi="ar"/>
              </w:rPr>
              <w:t xml:space="preserve">53 </w:t>
            </w:r>
          </w:p>
        </w:tc>
        <w:tc>
          <w:tcPr>
            <w:tcW w:w="179" w:type="pct"/>
            <w:noWrap w:val="0"/>
            <w:vAlign w:val="center"/>
          </w:tcPr>
          <w:p w14:paraId="556C8BBA">
            <w:pPr>
              <w:widowControl/>
              <w:jc w:val="center"/>
              <w:textAlignment w:val="center"/>
              <w:rPr>
                <w:color w:val="000000"/>
                <w:sz w:val="18"/>
                <w:szCs w:val="18"/>
              </w:rPr>
            </w:pPr>
            <w:r>
              <w:rPr>
                <w:color w:val="000000"/>
                <w:kern w:val="0"/>
                <w:sz w:val="18"/>
                <w:szCs w:val="18"/>
                <w:lang w:bidi="ar"/>
              </w:rPr>
              <w:t xml:space="preserve">49 </w:t>
            </w:r>
          </w:p>
        </w:tc>
        <w:tc>
          <w:tcPr>
            <w:tcW w:w="179" w:type="pct"/>
            <w:noWrap w:val="0"/>
            <w:vAlign w:val="center"/>
          </w:tcPr>
          <w:p w14:paraId="61E9C26D">
            <w:pPr>
              <w:widowControl/>
              <w:jc w:val="center"/>
              <w:textAlignment w:val="center"/>
              <w:rPr>
                <w:color w:val="000000"/>
                <w:sz w:val="18"/>
                <w:szCs w:val="18"/>
              </w:rPr>
            </w:pPr>
            <w:r>
              <w:rPr>
                <w:color w:val="000000"/>
                <w:kern w:val="0"/>
                <w:sz w:val="18"/>
                <w:szCs w:val="18"/>
                <w:lang w:bidi="ar"/>
              </w:rPr>
              <w:t xml:space="preserve">53 </w:t>
            </w:r>
          </w:p>
        </w:tc>
        <w:tc>
          <w:tcPr>
            <w:tcW w:w="189" w:type="pct"/>
            <w:noWrap w:val="0"/>
            <w:vAlign w:val="center"/>
          </w:tcPr>
          <w:p w14:paraId="08529BED">
            <w:pPr>
              <w:widowControl/>
              <w:jc w:val="center"/>
              <w:textAlignment w:val="center"/>
              <w:rPr>
                <w:color w:val="000000"/>
                <w:sz w:val="18"/>
                <w:szCs w:val="18"/>
              </w:rPr>
            </w:pPr>
            <w:r>
              <w:rPr>
                <w:color w:val="000000"/>
                <w:kern w:val="0"/>
                <w:sz w:val="18"/>
                <w:szCs w:val="18"/>
                <w:lang w:bidi="ar"/>
              </w:rPr>
              <w:t xml:space="preserve">46 </w:t>
            </w:r>
          </w:p>
        </w:tc>
      </w:tr>
      <w:tr w14:paraId="28593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A7D053B">
            <w:pPr>
              <w:widowControl/>
              <w:jc w:val="center"/>
              <w:textAlignment w:val="center"/>
              <w:rPr>
                <w:color w:val="000000"/>
                <w:kern w:val="0"/>
                <w:sz w:val="18"/>
                <w:szCs w:val="18"/>
                <w:lang w:bidi="ar"/>
              </w:rPr>
            </w:pPr>
            <w:r>
              <w:rPr>
                <w:color w:val="000000"/>
                <w:kern w:val="0"/>
                <w:sz w:val="18"/>
                <w:szCs w:val="18"/>
                <w:lang w:bidi="ar"/>
              </w:rPr>
              <w:t>45</w:t>
            </w:r>
          </w:p>
        </w:tc>
        <w:tc>
          <w:tcPr>
            <w:tcW w:w="463" w:type="pct"/>
            <w:noWrap w:val="0"/>
            <w:vAlign w:val="center"/>
          </w:tcPr>
          <w:p w14:paraId="45A2F5E1">
            <w:pPr>
              <w:widowControl/>
              <w:jc w:val="center"/>
              <w:textAlignment w:val="center"/>
              <w:rPr>
                <w:color w:val="000000"/>
                <w:sz w:val="18"/>
                <w:szCs w:val="18"/>
              </w:rPr>
            </w:pPr>
            <w:r>
              <w:rPr>
                <w:rFonts w:hint="eastAsia"/>
                <w:color w:val="000000"/>
                <w:sz w:val="18"/>
                <w:szCs w:val="18"/>
              </w:rPr>
              <w:t>2#废气处理设施风机</w:t>
            </w:r>
          </w:p>
        </w:tc>
        <w:tc>
          <w:tcPr>
            <w:tcW w:w="181" w:type="pct"/>
            <w:vMerge w:val="continue"/>
            <w:noWrap w:val="0"/>
            <w:vAlign w:val="center"/>
          </w:tcPr>
          <w:p w14:paraId="12C65D2B">
            <w:pPr>
              <w:widowControl/>
              <w:jc w:val="center"/>
              <w:textAlignment w:val="center"/>
              <w:rPr>
                <w:color w:val="000000"/>
                <w:sz w:val="18"/>
                <w:szCs w:val="18"/>
              </w:rPr>
            </w:pPr>
          </w:p>
        </w:tc>
        <w:tc>
          <w:tcPr>
            <w:tcW w:w="313" w:type="pct"/>
            <w:noWrap w:val="0"/>
            <w:vAlign w:val="center"/>
          </w:tcPr>
          <w:p w14:paraId="2142AD14">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3774E35B">
            <w:pPr>
              <w:widowControl/>
              <w:jc w:val="center"/>
              <w:textAlignment w:val="center"/>
              <w:rPr>
                <w:color w:val="000000"/>
                <w:sz w:val="18"/>
                <w:szCs w:val="18"/>
              </w:rPr>
            </w:pPr>
            <w:r>
              <w:rPr>
                <w:rFonts w:hint="eastAsia"/>
                <w:color w:val="000000"/>
                <w:sz w:val="18"/>
                <w:szCs w:val="18"/>
              </w:rPr>
              <w:t>独立房间</w:t>
            </w:r>
          </w:p>
        </w:tc>
        <w:tc>
          <w:tcPr>
            <w:tcW w:w="216" w:type="pct"/>
            <w:noWrap w:val="0"/>
            <w:vAlign w:val="center"/>
          </w:tcPr>
          <w:p w14:paraId="47A5084C">
            <w:pPr>
              <w:widowControl/>
              <w:jc w:val="center"/>
              <w:textAlignment w:val="center"/>
              <w:rPr>
                <w:color w:val="000000"/>
                <w:sz w:val="18"/>
                <w:szCs w:val="18"/>
              </w:rPr>
            </w:pPr>
            <w:r>
              <w:rPr>
                <w:rFonts w:hint="eastAsia"/>
                <w:color w:val="000000"/>
                <w:sz w:val="18"/>
                <w:szCs w:val="18"/>
              </w:rPr>
              <w:t>30</w:t>
            </w:r>
          </w:p>
        </w:tc>
        <w:tc>
          <w:tcPr>
            <w:tcW w:w="206" w:type="pct"/>
            <w:noWrap w:val="0"/>
            <w:vAlign w:val="center"/>
          </w:tcPr>
          <w:p w14:paraId="69177B58">
            <w:pPr>
              <w:widowControl/>
              <w:jc w:val="center"/>
              <w:textAlignment w:val="center"/>
              <w:rPr>
                <w:color w:val="000000"/>
                <w:sz w:val="18"/>
                <w:szCs w:val="18"/>
              </w:rPr>
            </w:pPr>
            <w:r>
              <w:rPr>
                <w:rFonts w:hint="eastAsia"/>
                <w:color w:val="000000"/>
                <w:sz w:val="18"/>
                <w:szCs w:val="18"/>
              </w:rPr>
              <w:t>71</w:t>
            </w:r>
          </w:p>
        </w:tc>
        <w:tc>
          <w:tcPr>
            <w:tcW w:w="156" w:type="pct"/>
            <w:noWrap w:val="0"/>
            <w:vAlign w:val="center"/>
          </w:tcPr>
          <w:p w14:paraId="7416C24C">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4A9C625">
            <w:pPr>
              <w:widowControl/>
              <w:jc w:val="center"/>
              <w:textAlignment w:val="center"/>
              <w:rPr>
                <w:color w:val="000000"/>
                <w:sz w:val="18"/>
                <w:szCs w:val="18"/>
              </w:rPr>
            </w:pPr>
            <w:r>
              <w:rPr>
                <w:color w:val="000000"/>
                <w:kern w:val="0"/>
                <w:sz w:val="18"/>
                <w:szCs w:val="18"/>
                <w:lang w:bidi="ar"/>
              </w:rPr>
              <w:t>84</w:t>
            </w:r>
          </w:p>
        </w:tc>
        <w:tc>
          <w:tcPr>
            <w:tcW w:w="174" w:type="pct"/>
            <w:noWrap w:val="0"/>
            <w:vAlign w:val="center"/>
          </w:tcPr>
          <w:p w14:paraId="14D1D145">
            <w:pPr>
              <w:widowControl/>
              <w:jc w:val="center"/>
              <w:textAlignment w:val="center"/>
              <w:rPr>
                <w:color w:val="000000"/>
                <w:sz w:val="18"/>
                <w:szCs w:val="18"/>
              </w:rPr>
            </w:pPr>
            <w:r>
              <w:rPr>
                <w:color w:val="000000"/>
                <w:kern w:val="0"/>
                <w:sz w:val="18"/>
                <w:szCs w:val="18"/>
                <w:lang w:bidi="ar"/>
              </w:rPr>
              <w:t>69</w:t>
            </w:r>
          </w:p>
        </w:tc>
        <w:tc>
          <w:tcPr>
            <w:tcW w:w="174" w:type="pct"/>
            <w:noWrap w:val="0"/>
            <w:vAlign w:val="center"/>
          </w:tcPr>
          <w:p w14:paraId="42DA23C8">
            <w:pPr>
              <w:widowControl/>
              <w:jc w:val="center"/>
              <w:textAlignment w:val="center"/>
              <w:rPr>
                <w:color w:val="000000"/>
                <w:sz w:val="18"/>
                <w:szCs w:val="18"/>
              </w:rPr>
            </w:pPr>
            <w:r>
              <w:rPr>
                <w:color w:val="000000"/>
                <w:kern w:val="0"/>
                <w:sz w:val="18"/>
                <w:szCs w:val="18"/>
                <w:lang w:bidi="ar"/>
              </w:rPr>
              <w:t>29</w:t>
            </w:r>
          </w:p>
        </w:tc>
        <w:tc>
          <w:tcPr>
            <w:tcW w:w="177" w:type="pct"/>
            <w:noWrap w:val="0"/>
            <w:vAlign w:val="center"/>
          </w:tcPr>
          <w:p w14:paraId="3FCC8A95">
            <w:pPr>
              <w:widowControl/>
              <w:jc w:val="center"/>
              <w:textAlignment w:val="center"/>
              <w:rPr>
                <w:color w:val="000000"/>
                <w:sz w:val="18"/>
                <w:szCs w:val="18"/>
              </w:rPr>
            </w:pPr>
            <w:r>
              <w:rPr>
                <w:color w:val="000000"/>
                <w:kern w:val="0"/>
                <w:sz w:val="18"/>
                <w:szCs w:val="18"/>
                <w:lang w:bidi="ar"/>
              </w:rPr>
              <w:t>30</w:t>
            </w:r>
          </w:p>
        </w:tc>
        <w:tc>
          <w:tcPr>
            <w:tcW w:w="215" w:type="pct"/>
            <w:noWrap w:val="0"/>
            <w:vAlign w:val="center"/>
          </w:tcPr>
          <w:p w14:paraId="7A257A11">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1E520BD">
            <w:pPr>
              <w:widowControl/>
              <w:jc w:val="center"/>
              <w:textAlignment w:val="center"/>
              <w:rPr>
                <w:color w:val="000000"/>
                <w:sz w:val="18"/>
                <w:szCs w:val="18"/>
              </w:rPr>
            </w:pPr>
            <w:r>
              <w:rPr>
                <w:color w:val="000000"/>
                <w:kern w:val="0"/>
                <w:sz w:val="18"/>
                <w:szCs w:val="18"/>
                <w:lang w:bidi="ar"/>
              </w:rPr>
              <w:t xml:space="preserve">70 </w:t>
            </w:r>
          </w:p>
        </w:tc>
        <w:tc>
          <w:tcPr>
            <w:tcW w:w="215" w:type="pct"/>
            <w:noWrap w:val="0"/>
            <w:vAlign w:val="center"/>
          </w:tcPr>
          <w:p w14:paraId="7CE1C367">
            <w:pPr>
              <w:widowControl/>
              <w:jc w:val="center"/>
              <w:textAlignment w:val="center"/>
              <w:rPr>
                <w:color w:val="000000"/>
                <w:sz w:val="18"/>
                <w:szCs w:val="18"/>
              </w:rPr>
            </w:pPr>
            <w:r>
              <w:rPr>
                <w:color w:val="000000"/>
                <w:kern w:val="0"/>
                <w:sz w:val="18"/>
                <w:szCs w:val="18"/>
                <w:lang w:bidi="ar"/>
              </w:rPr>
              <w:t xml:space="preserve">70 </w:t>
            </w:r>
          </w:p>
        </w:tc>
        <w:tc>
          <w:tcPr>
            <w:tcW w:w="218" w:type="pct"/>
            <w:noWrap w:val="0"/>
            <w:vAlign w:val="center"/>
          </w:tcPr>
          <w:p w14:paraId="6DE7F42A">
            <w:pPr>
              <w:widowControl/>
              <w:jc w:val="center"/>
              <w:textAlignment w:val="center"/>
              <w:rPr>
                <w:color w:val="000000"/>
                <w:sz w:val="18"/>
                <w:szCs w:val="18"/>
              </w:rPr>
            </w:pPr>
            <w:r>
              <w:rPr>
                <w:color w:val="000000"/>
                <w:kern w:val="0"/>
                <w:sz w:val="18"/>
                <w:szCs w:val="18"/>
                <w:lang w:bidi="ar"/>
              </w:rPr>
              <w:t xml:space="preserve">70 </w:t>
            </w:r>
          </w:p>
        </w:tc>
        <w:tc>
          <w:tcPr>
            <w:tcW w:w="223" w:type="pct"/>
            <w:noWrap w:val="0"/>
            <w:vAlign w:val="center"/>
          </w:tcPr>
          <w:p w14:paraId="3DDD8451">
            <w:pPr>
              <w:widowControl/>
              <w:jc w:val="center"/>
              <w:textAlignment w:val="center"/>
              <w:rPr>
                <w:color w:val="000000"/>
                <w:sz w:val="18"/>
                <w:szCs w:val="18"/>
              </w:rPr>
            </w:pPr>
            <w:r>
              <w:rPr>
                <w:rFonts w:hint="eastAsia" w:cs="宋体"/>
                <w:color w:val="000000"/>
                <w:kern w:val="0"/>
                <w:sz w:val="18"/>
                <w:szCs w:val="18"/>
                <w:lang w:bidi="ar"/>
              </w:rPr>
              <w:t>昼间</w:t>
            </w:r>
          </w:p>
        </w:tc>
        <w:tc>
          <w:tcPr>
            <w:tcW w:w="409" w:type="pct"/>
            <w:noWrap w:val="0"/>
            <w:vAlign w:val="center"/>
          </w:tcPr>
          <w:p w14:paraId="0BC810D5">
            <w:pPr>
              <w:widowControl/>
              <w:jc w:val="center"/>
              <w:textAlignment w:val="center"/>
              <w:rPr>
                <w:color w:val="000000"/>
                <w:sz w:val="18"/>
                <w:szCs w:val="18"/>
              </w:rPr>
            </w:pPr>
            <w:r>
              <w:rPr>
                <w:color w:val="000000"/>
                <w:kern w:val="0"/>
                <w:sz w:val="18"/>
                <w:szCs w:val="18"/>
                <w:lang w:bidi="ar"/>
              </w:rPr>
              <w:t xml:space="preserve">50 </w:t>
            </w:r>
          </w:p>
        </w:tc>
        <w:tc>
          <w:tcPr>
            <w:tcW w:w="188" w:type="pct"/>
            <w:noWrap w:val="0"/>
            <w:vAlign w:val="center"/>
          </w:tcPr>
          <w:p w14:paraId="0935E2B5">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6B2D1891">
            <w:pPr>
              <w:widowControl/>
              <w:jc w:val="center"/>
              <w:textAlignment w:val="center"/>
              <w:rPr>
                <w:color w:val="000000"/>
                <w:sz w:val="18"/>
                <w:szCs w:val="18"/>
              </w:rPr>
            </w:pPr>
            <w:r>
              <w:rPr>
                <w:color w:val="000000"/>
                <w:kern w:val="0"/>
                <w:sz w:val="18"/>
                <w:szCs w:val="18"/>
                <w:lang w:bidi="ar"/>
              </w:rPr>
              <w:t xml:space="preserve">50 </w:t>
            </w:r>
          </w:p>
        </w:tc>
        <w:tc>
          <w:tcPr>
            <w:tcW w:w="179" w:type="pct"/>
            <w:noWrap w:val="0"/>
            <w:vAlign w:val="center"/>
          </w:tcPr>
          <w:p w14:paraId="27DA87D2">
            <w:pPr>
              <w:widowControl/>
              <w:jc w:val="center"/>
              <w:textAlignment w:val="center"/>
              <w:rPr>
                <w:color w:val="000000"/>
                <w:sz w:val="18"/>
                <w:szCs w:val="18"/>
              </w:rPr>
            </w:pPr>
            <w:r>
              <w:rPr>
                <w:color w:val="000000"/>
                <w:kern w:val="0"/>
                <w:sz w:val="18"/>
                <w:szCs w:val="18"/>
                <w:lang w:bidi="ar"/>
              </w:rPr>
              <w:t xml:space="preserve">50 </w:t>
            </w:r>
          </w:p>
        </w:tc>
        <w:tc>
          <w:tcPr>
            <w:tcW w:w="189" w:type="pct"/>
            <w:noWrap w:val="0"/>
            <w:vAlign w:val="center"/>
          </w:tcPr>
          <w:p w14:paraId="2D62E19D">
            <w:pPr>
              <w:widowControl/>
              <w:jc w:val="center"/>
              <w:textAlignment w:val="center"/>
              <w:rPr>
                <w:color w:val="000000"/>
                <w:sz w:val="18"/>
                <w:szCs w:val="18"/>
              </w:rPr>
            </w:pPr>
            <w:r>
              <w:rPr>
                <w:color w:val="000000"/>
                <w:kern w:val="0"/>
                <w:sz w:val="18"/>
                <w:szCs w:val="18"/>
                <w:lang w:bidi="ar"/>
              </w:rPr>
              <w:t xml:space="preserve">50 </w:t>
            </w:r>
          </w:p>
        </w:tc>
      </w:tr>
      <w:tr w14:paraId="1BF712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AD1271E">
            <w:pPr>
              <w:widowControl/>
              <w:jc w:val="center"/>
              <w:textAlignment w:val="center"/>
              <w:rPr>
                <w:rFonts w:eastAsia="等线"/>
                <w:color w:val="000000"/>
                <w:kern w:val="0"/>
                <w:sz w:val="18"/>
                <w:szCs w:val="18"/>
                <w:lang w:bidi="ar"/>
              </w:rPr>
            </w:pPr>
            <w:r>
              <w:rPr>
                <w:color w:val="000000"/>
                <w:kern w:val="0"/>
                <w:sz w:val="18"/>
                <w:szCs w:val="18"/>
                <w:lang w:bidi="ar"/>
              </w:rPr>
              <w:t>46</w:t>
            </w:r>
          </w:p>
        </w:tc>
        <w:tc>
          <w:tcPr>
            <w:tcW w:w="463" w:type="pct"/>
            <w:noWrap w:val="0"/>
            <w:vAlign w:val="center"/>
          </w:tcPr>
          <w:p w14:paraId="1B17A89A">
            <w:pPr>
              <w:widowControl/>
              <w:jc w:val="center"/>
              <w:textAlignment w:val="center"/>
              <w:rPr>
                <w:rFonts w:hint="eastAsia"/>
                <w:color w:val="000000"/>
                <w:sz w:val="18"/>
                <w:szCs w:val="18"/>
              </w:rPr>
            </w:pPr>
            <w:r>
              <w:rPr>
                <w:rFonts w:hint="eastAsia"/>
                <w:color w:val="000000"/>
                <w:sz w:val="18"/>
                <w:szCs w:val="18"/>
              </w:rPr>
              <w:t>3#废气处理设施风机</w:t>
            </w:r>
          </w:p>
        </w:tc>
        <w:tc>
          <w:tcPr>
            <w:tcW w:w="181" w:type="pct"/>
            <w:vMerge w:val="continue"/>
            <w:noWrap w:val="0"/>
            <w:vAlign w:val="center"/>
          </w:tcPr>
          <w:p w14:paraId="29EA0589">
            <w:pPr>
              <w:widowControl/>
              <w:jc w:val="center"/>
              <w:textAlignment w:val="center"/>
              <w:rPr>
                <w:color w:val="000000"/>
                <w:sz w:val="18"/>
                <w:szCs w:val="18"/>
              </w:rPr>
            </w:pPr>
          </w:p>
        </w:tc>
        <w:tc>
          <w:tcPr>
            <w:tcW w:w="313" w:type="pct"/>
            <w:noWrap w:val="0"/>
            <w:vAlign w:val="center"/>
          </w:tcPr>
          <w:p w14:paraId="2B7A73BD">
            <w:pPr>
              <w:widowControl/>
              <w:jc w:val="center"/>
              <w:textAlignment w:val="center"/>
              <w:rPr>
                <w:color w:val="000000"/>
                <w:sz w:val="18"/>
                <w:szCs w:val="18"/>
              </w:rPr>
            </w:pPr>
            <w:r>
              <w:rPr>
                <w:rFonts w:hint="eastAsia"/>
                <w:color w:val="000000"/>
                <w:sz w:val="18"/>
                <w:szCs w:val="18"/>
              </w:rPr>
              <w:t>85</w:t>
            </w:r>
          </w:p>
        </w:tc>
        <w:tc>
          <w:tcPr>
            <w:tcW w:w="349" w:type="pct"/>
            <w:noWrap w:val="0"/>
            <w:vAlign w:val="center"/>
          </w:tcPr>
          <w:p w14:paraId="53A6DCD6">
            <w:pPr>
              <w:widowControl/>
              <w:jc w:val="center"/>
              <w:textAlignment w:val="center"/>
              <w:rPr>
                <w:color w:val="000000"/>
                <w:sz w:val="18"/>
                <w:szCs w:val="18"/>
              </w:rPr>
            </w:pPr>
            <w:r>
              <w:rPr>
                <w:rFonts w:hint="eastAsia"/>
                <w:color w:val="000000"/>
                <w:sz w:val="18"/>
                <w:szCs w:val="18"/>
              </w:rPr>
              <w:t>独立房间</w:t>
            </w:r>
          </w:p>
        </w:tc>
        <w:tc>
          <w:tcPr>
            <w:tcW w:w="216" w:type="pct"/>
            <w:noWrap w:val="0"/>
            <w:vAlign w:val="center"/>
          </w:tcPr>
          <w:p w14:paraId="371A13BC">
            <w:pPr>
              <w:widowControl/>
              <w:jc w:val="center"/>
              <w:textAlignment w:val="center"/>
              <w:rPr>
                <w:color w:val="000000"/>
                <w:sz w:val="18"/>
                <w:szCs w:val="18"/>
              </w:rPr>
            </w:pPr>
            <w:r>
              <w:rPr>
                <w:rFonts w:hint="eastAsia"/>
                <w:color w:val="000000"/>
                <w:sz w:val="18"/>
                <w:szCs w:val="18"/>
              </w:rPr>
              <w:t>15</w:t>
            </w:r>
          </w:p>
        </w:tc>
        <w:tc>
          <w:tcPr>
            <w:tcW w:w="206" w:type="pct"/>
            <w:noWrap w:val="0"/>
            <w:vAlign w:val="center"/>
          </w:tcPr>
          <w:p w14:paraId="24C628AD">
            <w:pPr>
              <w:widowControl/>
              <w:jc w:val="center"/>
              <w:textAlignment w:val="center"/>
              <w:rPr>
                <w:color w:val="000000"/>
                <w:sz w:val="18"/>
                <w:szCs w:val="18"/>
              </w:rPr>
            </w:pPr>
            <w:r>
              <w:rPr>
                <w:rFonts w:hint="eastAsia"/>
                <w:color w:val="000000"/>
                <w:sz w:val="18"/>
                <w:szCs w:val="18"/>
              </w:rPr>
              <w:t>23</w:t>
            </w:r>
          </w:p>
        </w:tc>
        <w:tc>
          <w:tcPr>
            <w:tcW w:w="156" w:type="pct"/>
            <w:noWrap w:val="0"/>
            <w:vAlign w:val="center"/>
          </w:tcPr>
          <w:p w14:paraId="32863E2E">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23B7EB16">
            <w:pPr>
              <w:widowControl/>
              <w:jc w:val="center"/>
              <w:textAlignment w:val="center"/>
              <w:rPr>
                <w:color w:val="000000"/>
                <w:kern w:val="0"/>
                <w:sz w:val="18"/>
                <w:szCs w:val="18"/>
                <w:lang w:bidi="ar"/>
              </w:rPr>
            </w:pPr>
            <w:r>
              <w:rPr>
                <w:rFonts w:hint="eastAsia"/>
                <w:color w:val="000000"/>
                <w:kern w:val="0"/>
                <w:sz w:val="18"/>
                <w:szCs w:val="18"/>
                <w:lang w:bidi="ar"/>
              </w:rPr>
              <w:t>2</w:t>
            </w:r>
          </w:p>
        </w:tc>
        <w:tc>
          <w:tcPr>
            <w:tcW w:w="174" w:type="pct"/>
            <w:noWrap w:val="0"/>
            <w:vAlign w:val="center"/>
          </w:tcPr>
          <w:p w14:paraId="60D559E5">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174" w:type="pct"/>
            <w:noWrap w:val="0"/>
            <w:vAlign w:val="center"/>
          </w:tcPr>
          <w:p w14:paraId="26312778">
            <w:pPr>
              <w:widowControl/>
              <w:jc w:val="center"/>
              <w:textAlignment w:val="center"/>
              <w:rPr>
                <w:color w:val="000000"/>
                <w:kern w:val="0"/>
                <w:sz w:val="18"/>
                <w:szCs w:val="18"/>
                <w:lang w:bidi="ar"/>
              </w:rPr>
            </w:pPr>
            <w:r>
              <w:rPr>
                <w:rFonts w:hint="eastAsia"/>
                <w:color w:val="000000"/>
                <w:kern w:val="0"/>
                <w:sz w:val="18"/>
                <w:szCs w:val="18"/>
                <w:lang w:bidi="ar"/>
              </w:rPr>
              <w:t>6</w:t>
            </w:r>
          </w:p>
        </w:tc>
        <w:tc>
          <w:tcPr>
            <w:tcW w:w="177" w:type="pct"/>
            <w:noWrap w:val="0"/>
            <w:vAlign w:val="center"/>
          </w:tcPr>
          <w:p w14:paraId="03429C67">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215" w:type="pct"/>
            <w:noWrap w:val="0"/>
            <w:vAlign w:val="center"/>
          </w:tcPr>
          <w:p w14:paraId="059DE9D4">
            <w:pPr>
              <w:widowControl/>
              <w:jc w:val="center"/>
              <w:textAlignment w:val="center"/>
              <w:rPr>
                <w:color w:val="000000"/>
                <w:kern w:val="0"/>
                <w:sz w:val="18"/>
                <w:szCs w:val="18"/>
                <w:lang w:bidi="ar"/>
              </w:rPr>
            </w:pPr>
            <w:r>
              <w:rPr>
                <w:color w:val="000000"/>
                <w:kern w:val="0"/>
                <w:sz w:val="18"/>
                <w:szCs w:val="18"/>
                <w:lang w:bidi="ar"/>
              </w:rPr>
              <w:t xml:space="preserve">79 </w:t>
            </w:r>
          </w:p>
        </w:tc>
        <w:tc>
          <w:tcPr>
            <w:tcW w:w="215" w:type="pct"/>
            <w:noWrap w:val="0"/>
            <w:vAlign w:val="center"/>
          </w:tcPr>
          <w:p w14:paraId="1CAE31E8">
            <w:pPr>
              <w:widowControl/>
              <w:jc w:val="center"/>
              <w:textAlignment w:val="center"/>
              <w:rPr>
                <w:color w:val="000000"/>
                <w:kern w:val="0"/>
                <w:sz w:val="18"/>
                <w:szCs w:val="18"/>
                <w:lang w:bidi="ar"/>
              </w:rPr>
            </w:pPr>
            <w:r>
              <w:rPr>
                <w:color w:val="000000"/>
                <w:kern w:val="0"/>
                <w:sz w:val="18"/>
                <w:szCs w:val="18"/>
                <w:lang w:bidi="ar"/>
              </w:rPr>
              <w:t xml:space="preserve">83 </w:t>
            </w:r>
          </w:p>
        </w:tc>
        <w:tc>
          <w:tcPr>
            <w:tcW w:w="215" w:type="pct"/>
            <w:noWrap w:val="0"/>
            <w:vAlign w:val="center"/>
          </w:tcPr>
          <w:p w14:paraId="76EBAD58">
            <w:pPr>
              <w:widowControl/>
              <w:jc w:val="center"/>
              <w:textAlignment w:val="center"/>
              <w:rPr>
                <w:color w:val="000000"/>
                <w:kern w:val="0"/>
                <w:sz w:val="18"/>
                <w:szCs w:val="18"/>
                <w:lang w:bidi="ar"/>
              </w:rPr>
            </w:pPr>
            <w:r>
              <w:rPr>
                <w:color w:val="000000"/>
                <w:kern w:val="0"/>
                <w:sz w:val="18"/>
                <w:szCs w:val="18"/>
                <w:lang w:bidi="ar"/>
              </w:rPr>
              <w:t xml:space="preserve">76 </w:t>
            </w:r>
          </w:p>
        </w:tc>
        <w:tc>
          <w:tcPr>
            <w:tcW w:w="218" w:type="pct"/>
            <w:noWrap w:val="0"/>
            <w:vAlign w:val="center"/>
          </w:tcPr>
          <w:p w14:paraId="16764179">
            <w:pPr>
              <w:widowControl/>
              <w:jc w:val="center"/>
              <w:textAlignment w:val="center"/>
              <w:rPr>
                <w:color w:val="000000"/>
                <w:kern w:val="0"/>
                <w:sz w:val="18"/>
                <w:szCs w:val="18"/>
                <w:lang w:bidi="ar"/>
              </w:rPr>
            </w:pPr>
            <w:r>
              <w:rPr>
                <w:color w:val="000000"/>
                <w:kern w:val="0"/>
                <w:sz w:val="18"/>
                <w:szCs w:val="18"/>
                <w:lang w:bidi="ar"/>
              </w:rPr>
              <w:t xml:space="preserve">83 </w:t>
            </w:r>
          </w:p>
        </w:tc>
        <w:tc>
          <w:tcPr>
            <w:tcW w:w="223" w:type="pct"/>
            <w:noWrap w:val="0"/>
            <w:vAlign w:val="center"/>
          </w:tcPr>
          <w:p w14:paraId="7E58F04E">
            <w:pPr>
              <w:widowControl/>
              <w:jc w:val="center"/>
              <w:textAlignment w:val="center"/>
              <w:rPr>
                <w:rFonts w:hint="eastAsia" w:cs="宋体"/>
                <w:color w:val="000000"/>
                <w:kern w:val="0"/>
                <w:sz w:val="18"/>
                <w:szCs w:val="18"/>
                <w:lang w:bidi="ar"/>
              </w:rPr>
            </w:pPr>
            <w:r>
              <w:rPr>
                <w:rFonts w:hint="eastAsia" w:cs="宋体"/>
                <w:color w:val="000000"/>
                <w:kern w:val="0"/>
                <w:sz w:val="18"/>
                <w:szCs w:val="18"/>
                <w:lang w:bidi="ar"/>
              </w:rPr>
              <w:t>昼间</w:t>
            </w:r>
          </w:p>
        </w:tc>
        <w:tc>
          <w:tcPr>
            <w:tcW w:w="409" w:type="pct"/>
            <w:noWrap w:val="0"/>
            <w:vAlign w:val="center"/>
          </w:tcPr>
          <w:p w14:paraId="14C94921">
            <w:pPr>
              <w:widowControl/>
              <w:jc w:val="center"/>
              <w:textAlignment w:val="center"/>
              <w:rPr>
                <w:color w:val="000000"/>
                <w:kern w:val="0"/>
                <w:sz w:val="18"/>
                <w:szCs w:val="18"/>
                <w:lang w:bidi="ar"/>
              </w:rPr>
            </w:pPr>
            <w:r>
              <w:rPr>
                <w:color w:val="000000"/>
                <w:kern w:val="0"/>
                <w:sz w:val="18"/>
                <w:szCs w:val="18"/>
                <w:lang w:bidi="ar"/>
              </w:rPr>
              <w:t xml:space="preserve">49 </w:t>
            </w:r>
          </w:p>
        </w:tc>
        <w:tc>
          <w:tcPr>
            <w:tcW w:w="188" w:type="pct"/>
            <w:noWrap w:val="0"/>
            <w:vAlign w:val="center"/>
          </w:tcPr>
          <w:p w14:paraId="56B072D0">
            <w:pPr>
              <w:widowControl/>
              <w:jc w:val="center"/>
              <w:textAlignment w:val="center"/>
              <w:rPr>
                <w:color w:val="000000"/>
                <w:kern w:val="0"/>
                <w:sz w:val="18"/>
                <w:szCs w:val="18"/>
                <w:lang w:bidi="ar"/>
              </w:rPr>
            </w:pPr>
            <w:r>
              <w:rPr>
                <w:color w:val="000000"/>
                <w:kern w:val="0"/>
                <w:sz w:val="18"/>
                <w:szCs w:val="18"/>
                <w:lang w:bidi="ar"/>
              </w:rPr>
              <w:t xml:space="preserve">53 </w:t>
            </w:r>
          </w:p>
        </w:tc>
        <w:tc>
          <w:tcPr>
            <w:tcW w:w="179" w:type="pct"/>
            <w:noWrap w:val="0"/>
            <w:vAlign w:val="center"/>
          </w:tcPr>
          <w:p w14:paraId="68D5DBBD">
            <w:pPr>
              <w:widowControl/>
              <w:jc w:val="center"/>
              <w:textAlignment w:val="center"/>
              <w:rPr>
                <w:color w:val="000000"/>
                <w:kern w:val="0"/>
                <w:sz w:val="18"/>
                <w:szCs w:val="18"/>
                <w:lang w:bidi="ar"/>
              </w:rPr>
            </w:pPr>
            <w:r>
              <w:rPr>
                <w:color w:val="000000"/>
                <w:kern w:val="0"/>
                <w:sz w:val="18"/>
                <w:szCs w:val="18"/>
                <w:lang w:bidi="ar"/>
              </w:rPr>
              <w:t xml:space="preserve">46 </w:t>
            </w:r>
          </w:p>
        </w:tc>
        <w:tc>
          <w:tcPr>
            <w:tcW w:w="179" w:type="pct"/>
            <w:noWrap w:val="0"/>
            <w:vAlign w:val="center"/>
          </w:tcPr>
          <w:p w14:paraId="2CAD2275">
            <w:pPr>
              <w:widowControl/>
              <w:jc w:val="center"/>
              <w:textAlignment w:val="center"/>
              <w:rPr>
                <w:color w:val="000000"/>
                <w:kern w:val="0"/>
                <w:sz w:val="18"/>
                <w:szCs w:val="18"/>
                <w:lang w:bidi="ar"/>
              </w:rPr>
            </w:pPr>
            <w:r>
              <w:rPr>
                <w:color w:val="000000"/>
                <w:kern w:val="0"/>
                <w:sz w:val="18"/>
                <w:szCs w:val="18"/>
                <w:lang w:bidi="ar"/>
              </w:rPr>
              <w:t xml:space="preserve">53 </w:t>
            </w:r>
          </w:p>
        </w:tc>
        <w:tc>
          <w:tcPr>
            <w:tcW w:w="189" w:type="pct"/>
            <w:noWrap w:val="0"/>
            <w:vAlign w:val="center"/>
          </w:tcPr>
          <w:p w14:paraId="31926CE8">
            <w:pPr>
              <w:widowControl/>
              <w:jc w:val="center"/>
              <w:textAlignment w:val="center"/>
              <w:rPr>
                <w:color w:val="000000"/>
                <w:kern w:val="0"/>
                <w:sz w:val="18"/>
                <w:szCs w:val="18"/>
                <w:lang w:bidi="ar"/>
              </w:rPr>
            </w:pPr>
            <w:r>
              <w:rPr>
                <w:color w:val="000000"/>
                <w:kern w:val="0"/>
                <w:sz w:val="18"/>
                <w:szCs w:val="18"/>
                <w:lang w:bidi="ar"/>
              </w:rPr>
              <w:t xml:space="preserve">49 </w:t>
            </w:r>
          </w:p>
        </w:tc>
      </w:tr>
      <w:tr w14:paraId="0B53F9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3708FC62">
            <w:pPr>
              <w:widowControl/>
              <w:jc w:val="center"/>
              <w:textAlignment w:val="center"/>
              <w:rPr>
                <w:rFonts w:eastAsia="等线"/>
                <w:color w:val="000000"/>
                <w:kern w:val="0"/>
                <w:sz w:val="18"/>
                <w:szCs w:val="18"/>
                <w:lang w:bidi="ar"/>
              </w:rPr>
            </w:pPr>
            <w:r>
              <w:rPr>
                <w:color w:val="000000"/>
                <w:kern w:val="0"/>
                <w:sz w:val="18"/>
                <w:szCs w:val="18"/>
                <w:lang w:bidi="ar"/>
              </w:rPr>
              <w:t>47</w:t>
            </w:r>
          </w:p>
        </w:tc>
        <w:tc>
          <w:tcPr>
            <w:tcW w:w="463" w:type="pct"/>
            <w:noWrap w:val="0"/>
            <w:vAlign w:val="center"/>
          </w:tcPr>
          <w:p w14:paraId="2DF33692">
            <w:pPr>
              <w:widowControl/>
              <w:jc w:val="center"/>
              <w:textAlignment w:val="center"/>
              <w:rPr>
                <w:rFonts w:hint="eastAsia"/>
                <w:color w:val="000000"/>
                <w:sz w:val="18"/>
                <w:szCs w:val="18"/>
              </w:rPr>
            </w:pPr>
            <w:r>
              <w:rPr>
                <w:rFonts w:hint="eastAsia"/>
                <w:color w:val="000000"/>
                <w:sz w:val="18"/>
                <w:szCs w:val="18"/>
              </w:rPr>
              <w:t>4#废气处理设施风机</w:t>
            </w:r>
          </w:p>
        </w:tc>
        <w:tc>
          <w:tcPr>
            <w:tcW w:w="181" w:type="pct"/>
            <w:vMerge w:val="continue"/>
            <w:noWrap w:val="0"/>
            <w:vAlign w:val="center"/>
          </w:tcPr>
          <w:p w14:paraId="48CD6319">
            <w:pPr>
              <w:widowControl/>
              <w:jc w:val="center"/>
              <w:textAlignment w:val="center"/>
              <w:rPr>
                <w:rFonts w:hint="eastAsia"/>
                <w:color w:val="000000"/>
                <w:sz w:val="18"/>
                <w:szCs w:val="18"/>
              </w:rPr>
            </w:pPr>
          </w:p>
        </w:tc>
        <w:tc>
          <w:tcPr>
            <w:tcW w:w="313" w:type="pct"/>
            <w:noWrap w:val="0"/>
            <w:vAlign w:val="center"/>
          </w:tcPr>
          <w:p w14:paraId="7C32DA94">
            <w:pPr>
              <w:widowControl/>
              <w:jc w:val="center"/>
              <w:textAlignment w:val="center"/>
              <w:rPr>
                <w:color w:val="000000"/>
                <w:sz w:val="18"/>
                <w:szCs w:val="18"/>
              </w:rPr>
            </w:pPr>
            <w:r>
              <w:rPr>
                <w:rFonts w:hint="eastAsia"/>
                <w:color w:val="000000"/>
                <w:sz w:val="18"/>
                <w:szCs w:val="18"/>
              </w:rPr>
              <w:t>80</w:t>
            </w:r>
          </w:p>
        </w:tc>
        <w:tc>
          <w:tcPr>
            <w:tcW w:w="349" w:type="pct"/>
            <w:noWrap w:val="0"/>
            <w:vAlign w:val="center"/>
          </w:tcPr>
          <w:p w14:paraId="284E682D">
            <w:pPr>
              <w:widowControl/>
              <w:jc w:val="center"/>
              <w:textAlignment w:val="center"/>
              <w:rPr>
                <w:rFonts w:hint="eastAsia"/>
                <w:color w:val="000000"/>
                <w:sz w:val="18"/>
                <w:szCs w:val="18"/>
              </w:rPr>
            </w:pPr>
            <w:r>
              <w:rPr>
                <w:rFonts w:hint="eastAsia"/>
                <w:color w:val="000000"/>
                <w:sz w:val="18"/>
                <w:szCs w:val="18"/>
              </w:rPr>
              <w:t>独立房间</w:t>
            </w:r>
          </w:p>
        </w:tc>
        <w:tc>
          <w:tcPr>
            <w:tcW w:w="216" w:type="pct"/>
            <w:noWrap w:val="0"/>
            <w:vAlign w:val="center"/>
          </w:tcPr>
          <w:p w14:paraId="0F67C4AD">
            <w:pPr>
              <w:widowControl/>
              <w:jc w:val="center"/>
              <w:textAlignment w:val="center"/>
              <w:rPr>
                <w:rFonts w:hint="eastAsia"/>
                <w:color w:val="000000"/>
                <w:sz w:val="18"/>
                <w:szCs w:val="18"/>
              </w:rPr>
            </w:pPr>
            <w:r>
              <w:rPr>
                <w:rFonts w:hint="eastAsia"/>
                <w:color w:val="000000"/>
                <w:sz w:val="18"/>
                <w:szCs w:val="18"/>
              </w:rPr>
              <w:t>31</w:t>
            </w:r>
          </w:p>
        </w:tc>
        <w:tc>
          <w:tcPr>
            <w:tcW w:w="206" w:type="pct"/>
            <w:noWrap w:val="0"/>
            <w:vAlign w:val="center"/>
          </w:tcPr>
          <w:p w14:paraId="1A743746">
            <w:pPr>
              <w:widowControl/>
              <w:jc w:val="center"/>
              <w:textAlignment w:val="center"/>
              <w:rPr>
                <w:rFonts w:hint="eastAsia"/>
                <w:color w:val="000000"/>
                <w:sz w:val="18"/>
                <w:szCs w:val="18"/>
              </w:rPr>
            </w:pPr>
            <w:r>
              <w:rPr>
                <w:rFonts w:hint="eastAsia"/>
                <w:color w:val="000000"/>
                <w:sz w:val="18"/>
                <w:szCs w:val="18"/>
              </w:rPr>
              <w:t>54</w:t>
            </w:r>
          </w:p>
        </w:tc>
        <w:tc>
          <w:tcPr>
            <w:tcW w:w="156" w:type="pct"/>
            <w:noWrap w:val="0"/>
            <w:vAlign w:val="center"/>
          </w:tcPr>
          <w:p w14:paraId="6889E02F">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014EE7F8">
            <w:pPr>
              <w:widowControl/>
              <w:jc w:val="center"/>
              <w:textAlignment w:val="center"/>
              <w:rPr>
                <w:color w:val="000000"/>
                <w:kern w:val="0"/>
                <w:sz w:val="18"/>
                <w:szCs w:val="18"/>
                <w:lang w:bidi="ar"/>
              </w:rPr>
            </w:pPr>
            <w:r>
              <w:rPr>
                <w:color w:val="000000"/>
                <w:kern w:val="0"/>
                <w:sz w:val="18"/>
                <w:szCs w:val="18"/>
                <w:lang w:bidi="ar"/>
              </w:rPr>
              <w:t>79</w:t>
            </w:r>
          </w:p>
        </w:tc>
        <w:tc>
          <w:tcPr>
            <w:tcW w:w="174" w:type="pct"/>
            <w:noWrap w:val="0"/>
            <w:vAlign w:val="center"/>
          </w:tcPr>
          <w:p w14:paraId="7FDE0D6C">
            <w:pPr>
              <w:widowControl/>
              <w:jc w:val="center"/>
              <w:textAlignment w:val="center"/>
              <w:rPr>
                <w:color w:val="000000"/>
                <w:kern w:val="0"/>
                <w:sz w:val="18"/>
                <w:szCs w:val="18"/>
                <w:lang w:bidi="ar"/>
              </w:rPr>
            </w:pPr>
            <w:r>
              <w:rPr>
                <w:color w:val="000000"/>
                <w:kern w:val="0"/>
                <w:sz w:val="18"/>
                <w:szCs w:val="18"/>
                <w:lang w:bidi="ar"/>
              </w:rPr>
              <w:t>10</w:t>
            </w:r>
          </w:p>
        </w:tc>
        <w:tc>
          <w:tcPr>
            <w:tcW w:w="174" w:type="pct"/>
            <w:noWrap w:val="0"/>
            <w:vAlign w:val="center"/>
          </w:tcPr>
          <w:p w14:paraId="374AC200">
            <w:pPr>
              <w:widowControl/>
              <w:jc w:val="center"/>
              <w:textAlignment w:val="center"/>
              <w:rPr>
                <w:color w:val="000000"/>
                <w:kern w:val="0"/>
                <w:sz w:val="18"/>
                <w:szCs w:val="18"/>
                <w:lang w:bidi="ar"/>
              </w:rPr>
            </w:pPr>
            <w:r>
              <w:rPr>
                <w:color w:val="000000"/>
                <w:kern w:val="0"/>
                <w:sz w:val="18"/>
                <w:szCs w:val="18"/>
                <w:lang w:bidi="ar"/>
              </w:rPr>
              <w:t>34</w:t>
            </w:r>
          </w:p>
        </w:tc>
        <w:tc>
          <w:tcPr>
            <w:tcW w:w="177" w:type="pct"/>
            <w:noWrap w:val="0"/>
            <w:vAlign w:val="center"/>
          </w:tcPr>
          <w:p w14:paraId="6BAFC822">
            <w:pPr>
              <w:widowControl/>
              <w:jc w:val="center"/>
              <w:textAlignment w:val="center"/>
              <w:rPr>
                <w:color w:val="000000"/>
                <w:kern w:val="0"/>
                <w:sz w:val="18"/>
                <w:szCs w:val="18"/>
                <w:lang w:bidi="ar"/>
              </w:rPr>
            </w:pPr>
            <w:r>
              <w:rPr>
                <w:color w:val="000000"/>
                <w:kern w:val="0"/>
                <w:sz w:val="18"/>
                <w:szCs w:val="18"/>
                <w:lang w:bidi="ar"/>
              </w:rPr>
              <w:t>89</w:t>
            </w:r>
          </w:p>
        </w:tc>
        <w:tc>
          <w:tcPr>
            <w:tcW w:w="215" w:type="pct"/>
            <w:noWrap w:val="0"/>
            <w:vAlign w:val="center"/>
          </w:tcPr>
          <w:p w14:paraId="5921B0FF">
            <w:pPr>
              <w:widowControl/>
              <w:jc w:val="center"/>
              <w:textAlignment w:val="center"/>
              <w:rPr>
                <w:color w:val="000000"/>
                <w:kern w:val="0"/>
                <w:sz w:val="18"/>
                <w:szCs w:val="18"/>
                <w:lang w:bidi="ar"/>
              </w:rPr>
            </w:pPr>
            <w:r>
              <w:rPr>
                <w:color w:val="000000"/>
                <w:kern w:val="0"/>
                <w:sz w:val="18"/>
                <w:szCs w:val="18"/>
                <w:lang w:bidi="ar"/>
              </w:rPr>
              <w:t xml:space="preserve">70 </w:t>
            </w:r>
          </w:p>
        </w:tc>
        <w:tc>
          <w:tcPr>
            <w:tcW w:w="215" w:type="pct"/>
            <w:noWrap w:val="0"/>
            <w:vAlign w:val="center"/>
          </w:tcPr>
          <w:p w14:paraId="532BB825">
            <w:pPr>
              <w:widowControl/>
              <w:jc w:val="center"/>
              <w:textAlignment w:val="center"/>
              <w:rPr>
                <w:color w:val="000000"/>
                <w:kern w:val="0"/>
                <w:sz w:val="18"/>
                <w:szCs w:val="18"/>
                <w:lang w:bidi="ar"/>
              </w:rPr>
            </w:pPr>
            <w:r>
              <w:rPr>
                <w:color w:val="000000"/>
                <w:kern w:val="0"/>
                <w:sz w:val="18"/>
                <w:szCs w:val="18"/>
                <w:lang w:bidi="ar"/>
              </w:rPr>
              <w:t xml:space="preserve">71 </w:t>
            </w:r>
          </w:p>
        </w:tc>
        <w:tc>
          <w:tcPr>
            <w:tcW w:w="215" w:type="pct"/>
            <w:noWrap w:val="0"/>
            <w:vAlign w:val="center"/>
          </w:tcPr>
          <w:p w14:paraId="4761E025">
            <w:pPr>
              <w:widowControl/>
              <w:jc w:val="center"/>
              <w:textAlignment w:val="center"/>
              <w:rPr>
                <w:color w:val="000000"/>
                <w:kern w:val="0"/>
                <w:sz w:val="18"/>
                <w:szCs w:val="18"/>
                <w:lang w:bidi="ar"/>
              </w:rPr>
            </w:pPr>
            <w:r>
              <w:rPr>
                <w:color w:val="000000"/>
                <w:kern w:val="0"/>
                <w:sz w:val="18"/>
                <w:szCs w:val="18"/>
                <w:lang w:bidi="ar"/>
              </w:rPr>
              <w:t xml:space="preserve">70 </w:t>
            </w:r>
          </w:p>
        </w:tc>
        <w:tc>
          <w:tcPr>
            <w:tcW w:w="218" w:type="pct"/>
            <w:noWrap w:val="0"/>
            <w:vAlign w:val="center"/>
          </w:tcPr>
          <w:p w14:paraId="13862BAF">
            <w:pPr>
              <w:widowControl/>
              <w:jc w:val="center"/>
              <w:textAlignment w:val="center"/>
              <w:rPr>
                <w:color w:val="000000"/>
                <w:kern w:val="0"/>
                <w:sz w:val="18"/>
                <w:szCs w:val="18"/>
                <w:lang w:bidi="ar"/>
              </w:rPr>
            </w:pPr>
            <w:r>
              <w:rPr>
                <w:color w:val="000000"/>
                <w:kern w:val="0"/>
                <w:sz w:val="18"/>
                <w:szCs w:val="18"/>
                <w:lang w:bidi="ar"/>
              </w:rPr>
              <w:t xml:space="preserve">70 </w:t>
            </w:r>
          </w:p>
        </w:tc>
        <w:tc>
          <w:tcPr>
            <w:tcW w:w="223" w:type="pct"/>
            <w:noWrap w:val="0"/>
            <w:vAlign w:val="center"/>
          </w:tcPr>
          <w:p w14:paraId="5034E842">
            <w:pPr>
              <w:widowControl/>
              <w:jc w:val="center"/>
              <w:textAlignment w:val="center"/>
              <w:rPr>
                <w:rFonts w:hint="eastAsia" w:cs="宋体"/>
                <w:color w:val="000000"/>
                <w:kern w:val="0"/>
                <w:sz w:val="18"/>
                <w:szCs w:val="18"/>
                <w:lang w:bidi="ar"/>
              </w:rPr>
            </w:pPr>
            <w:r>
              <w:rPr>
                <w:rFonts w:hint="eastAsia" w:cs="宋体"/>
                <w:color w:val="000000"/>
                <w:kern w:val="0"/>
                <w:sz w:val="18"/>
                <w:szCs w:val="18"/>
                <w:lang w:bidi="ar"/>
              </w:rPr>
              <w:t>昼间</w:t>
            </w:r>
          </w:p>
        </w:tc>
        <w:tc>
          <w:tcPr>
            <w:tcW w:w="409" w:type="pct"/>
            <w:noWrap w:val="0"/>
            <w:vAlign w:val="center"/>
          </w:tcPr>
          <w:p w14:paraId="5F6EC33D">
            <w:pPr>
              <w:widowControl/>
              <w:jc w:val="center"/>
              <w:textAlignment w:val="center"/>
              <w:rPr>
                <w:color w:val="000000"/>
                <w:kern w:val="0"/>
                <w:sz w:val="18"/>
                <w:szCs w:val="18"/>
                <w:lang w:bidi="ar"/>
              </w:rPr>
            </w:pPr>
            <w:r>
              <w:rPr>
                <w:color w:val="000000"/>
                <w:kern w:val="0"/>
                <w:sz w:val="18"/>
                <w:szCs w:val="18"/>
                <w:lang w:bidi="ar"/>
              </w:rPr>
              <w:t xml:space="preserve">50 </w:t>
            </w:r>
          </w:p>
        </w:tc>
        <w:tc>
          <w:tcPr>
            <w:tcW w:w="188" w:type="pct"/>
            <w:noWrap w:val="0"/>
            <w:vAlign w:val="center"/>
          </w:tcPr>
          <w:p w14:paraId="2CED415E">
            <w:pPr>
              <w:widowControl/>
              <w:jc w:val="center"/>
              <w:textAlignment w:val="center"/>
              <w:rPr>
                <w:color w:val="000000"/>
                <w:kern w:val="0"/>
                <w:sz w:val="18"/>
                <w:szCs w:val="18"/>
                <w:lang w:bidi="ar"/>
              </w:rPr>
            </w:pPr>
            <w:r>
              <w:rPr>
                <w:color w:val="000000"/>
                <w:kern w:val="0"/>
                <w:sz w:val="18"/>
                <w:szCs w:val="18"/>
                <w:lang w:bidi="ar"/>
              </w:rPr>
              <w:t xml:space="preserve">51 </w:t>
            </w:r>
          </w:p>
        </w:tc>
        <w:tc>
          <w:tcPr>
            <w:tcW w:w="179" w:type="pct"/>
            <w:noWrap w:val="0"/>
            <w:vAlign w:val="center"/>
          </w:tcPr>
          <w:p w14:paraId="43237249">
            <w:pPr>
              <w:widowControl/>
              <w:jc w:val="center"/>
              <w:textAlignment w:val="center"/>
              <w:rPr>
                <w:color w:val="000000"/>
                <w:kern w:val="0"/>
                <w:sz w:val="18"/>
                <w:szCs w:val="18"/>
                <w:lang w:bidi="ar"/>
              </w:rPr>
            </w:pPr>
            <w:r>
              <w:rPr>
                <w:color w:val="000000"/>
                <w:kern w:val="0"/>
                <w:sz w:val="18"/>
                <w:szCs w:val="18"/>
                <w:lang w:bidi="ar"/>
              </w:rPr>
              <w:t xml:space="preserve">50 </w:t>
            </w:r>
          </w:p>
        </w:tc>
        <w:tc>
          <w:tcPr>
            <w:tcW w:w="179" w:type="pct"/>
            <w:noWrap w:val="0"/>
            <w:vAlign w:val="center"/>
          </w:tcPr>
          <w:p w14:paraId="6086091F">
            <w:pPr>
              <w:widowControl/>
              <w:jc w:val="center"/>
              <w:textAlignment w:val="center"/>
              <w:rPr>
                <w:color w:val="000000"/>
                <w:kern w:val="0"/>
                <w:sz w:val="18"/>
                <w:szCs w:val="18"/>
                <w:lang w:bidi="ar"/>
              </w:rPr>
            </w:pPr>
            <w:r>
              <w:rPr>
                <w:color w:val="000000"/>
                <w:kern w:val="0"/>
                <w:sz w:val="18"/>
                <w:szCs w:val="18"/>
                <w:lang w:bidi="ar"/>
              </w:rPr>
              <w:t xml:space="preserve">50 </w:t>
            </w:r>
          </w:p>
        </w:tc>
        <w:tc>
          <w:tcPr>
            <w:tcW w:w="189" w:type="pct"/>
            <w:noWrap w:val="0"/>
            <w:vAlign w:val="center"/>
          </w:tcPr>
          <w:p w14:paraId="0E5D192D">
            <w:pPr>
              <w:widowControl/>
              <w:jc w:val="center"/>
              <w:textAlignment w:val="center"/>
              <w:rPr>
                <w:color w:val="000000"/>
                <w:kern w:val="0"/>
                <w:sz w:val="18"/>
                <w:szCs w:val="18"/>
                <w:lang w:bidi="ar"/>
              </w:rPr>
            </w:pPr>
            <w:r>
              <w:rPr>
                <w:color w:val="000000"/>
                <w:kern w:val="0"/>
                <w:sz w:val="18"/>
                <w:szCs w:val="18"/>
                <w:lang w:bidi="ar"/>
              </w:rPr>
              <w:t xml:space="preserve">50 </w:t>
            </w:r>
          </w:p>
        </w:tc>
      </w:tr>
      <w:tr w14:paraId="1BE09B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23" w:hRule="atLeast"/>
        </w:trPr>
        <w:tc>
          <w:tcPr>
            <w:tcW w:w="174" w:type="pct"/>
            <w:noWrap w:val="0"/>
            <w:vAlign w:val="center"/>
          </w:tcPr>
          <w:p w14:paraId="47EF1E61">
            <w:pPr>
              <w:widowControl/>
              <w:jc w:val="center"/>
              <w:textAlignment w:val="center"/>
              <w:rPr>
                <w:rFonts w:eastAsia="等线"/>
                <w:color w:val="000000"/>
                <w:kern w:val="0"/>
                <w:sz w:val="18"/>
                <w:szCs w:val="18"/>
                <w:lang w:bidi="ar"/>
              </w:rPr>
            </w:pPr>
            <w:r>
              <w:rPr>
                <w:color w:val="000000"/>
                <w:kern w:val="0"/>
                <w:sz w:val="18"/>
                <w:szCs w:val="18"/>
                <w:lang w:bidi="ar"/>
              </w:rPr>
              <w:t>48</w:t>
            </w:r>
          </w:p>
        </w:tc>
        <w:tc>
          <w:tcPr>
            <w:tcW w:w="463" w:type="pct"/>
            <w:noWrap w:val="0"/>
            <w:vAlign w:val="center"/>
          </w:tcPr>
          <w:p w14:paraId="7239FB19">
            <w:pPr>
              <w:widowControl/>
              <w:jc w:val="center"/>
              <w:textAlignment w:val="center"/>
              <w:rPr>
                <w:rFonts w:hint="eastAsia"/>
                <w:color w:val="000000"/>
                <w:sz w:val="18"/>
                <w:szCs w:val="18"/>
              </w:rPr>
            </w:pPr>
            <w:r>
              <w:rPr>
                <w:rFonts w:hint="eastAsia"/>
                <w:color w:val="000000"/>
                <w:sz w:val="18"/>
                <w:szCs w:val="18"/>
              </w:rPr>
              <w:t>螺杆式空压机</w:t>
            </w:r>
          </w:p>
        </w:tc>
        <w:tc>
          <w:tcPr>
            <w:tcW w:w="181" w:type="pct"/>
            <w:noWrap w:val="0"/>
            <w:vAlign w:val="center"/>
          </w:tcPr>
          <w:p w14:paraId="10AAD650">
            <w:pPr>
              <w:widowControl/>
              <w:jc w:val="center"/>
              <w:textAlignment w:val="center"/>
              <w:rPr>
                <w:color w:val="000000"/>
                <w:sz w:val="18"/>
                <w:szCs w:val="18"/>
              </w:rPr>
            </w:pPr>
            <w:r>
              <w:rPr>
                <w:rFonts w:hint="eastAsia"/>
                <w:color w:val="000000"/>
                <w:sz w:val="18"/>
                <w:szCs w:val="18"/>
              </w:rPr>
              <w:t>空压机房</w:t>
            </w:r>
          </w:p>
        </w:tc>
        <w:tc>
          <w:tcPr>
            <w:tcW w:w="313" w:type="pct"/>
            <w:noWrap w:val="0"/>
            <w:vAlign w:val="center"/>
          </w:tcPr>
          <w:p w14:paraId="637940B8">
            <w:pPr>
              <w:widowControl/>
              <w:jc w:val="center"/>
              <w:textAlignment w:val="center"/>
              <w:rPr>
                <w:color w:val="000000"/>
                <w:sz w:val="18"/>
                <w:szCs w:val="18"/>
              </w:rPr>
            </w:pPr>
            <w:r>
              <w:rPr>
                <w:color w:val="000000"/>
                <w:sz w:val="18"/>
                <w:szCs w:val="18"/>
              </w:rPr>
              <w:t>8</w:t>
            </w:r>
            <w:r>
              <w:rPr>
                <w:rFonts w:hint="eastAsia"/>
                <w:color w:val="000000"/>
                <w:sz w:val="18"/>
                <w:szCs w:val="18"/>
              </w:rPr>
              <w:t>0</w:t>
            </w:r>
          </w:p>
        </w:tc>
        <w:tc>
          <w:tcPr>
            <w:tcW w:w="349" w:type="pct"/>
            <w:noWrap w:val="0"/>
            <w:vAlign w:val="center"/>
          </w:tcPr>
          <w:p w14:paraId="700FE710">
            <w:pPr>
              <w:widowControl/>
              <w:jc w:val="center"/>
              <w:textAlignment w:val="center"/>
              <w:rPr>
                <w:rFonts w:hint="eastAsia"/>
                <w:color w:val="000000"/>
                <w:sz w:val="18"/>
                <w:szCs w:val="18"/>
              </w:rPr>
            </w:pPr>
            <w:r>
              <w:rPr>
                <w:rFonts w:hint="eastAsia"/>
                <w:color w:val="000000"/>
                <w:sz w:val="18"/>
                <w:szCs w:val="18"/>
              </w:rPr>
              <w:t>独立房间</w:t>
            </w:r>
          </w:p>
        </w:tc>
        <w:tc>
          <w:tcPr>
            <w:tcW w:w="216" w:type="pct"/>
            <w:noWrap w:val="0"/>
            <w:vAlign w:val="center"/>
          </w:tcPr>
          <w:p w14:paraId="36A5A806">
            <w:pPr>
              <w:widowControl/>
              <w:jc w:val="center"/>
              <w:textAlignment w:val="center"/>
              <w:rPr>
                <w:rFonts w:hint="eastAsia"/>
                <w:color w:val="000000"/>
                <w:sz w:val="18"/>
                <w:szCs w:val="18"/>
              </w:rPr>
            </w:pPr>
            <w:r>
              <w:rPr>
                <w:rFonts w:hint="eastAsia"/>
                <w:color w:val="000000"/>
                <w:sz w:val="18"/>
                <w:szCs w:val="18"/>
              </w:rPr>
              <w:t>45</w:t>
            </w:r>
          </w:p>
        </w:tc>
        <w:tc>
          <w:tcPr>
            <w:tcW w:w="206" w:type="pct"/>
            <w:noWrap w:val="0"/>
            <w:vAlign w:val="center"/>
          </w:tcPr>
          <w:p w14:paraId="3C830A3C">
            <w:pPr>
              <w:widowControl/>
              <w:jc w:val="center"/>
              <w:textAlignment w:val="center"/>
              <w:rPr>
                <w:color w:val="000000"/>
                <w:sz w:val="18"/>
                <w:szCs w:val="18"/>
              </w:rPr>
            </w:pPr>
            <w:r>
              <w:rPr>
                <w:rFonts w:hint="eastAsia"/>
                <w:color w:val="000000"/>
                <w:sz w:val="18"/>
                <w:szCs w:val="18"/>
              </w:rPr>
              <w:t>101</w:t>
            </w:r>
          </w:p>
        </w:tc>
        <w:tc>
          <w:tcPr>
            <w:tcW w:w="156" w:type="pct"/>
            <w:noWrap w:val="0"/>
            <w:vAlign w:val="center"/>
          </w:tcPr>
          <w:p w14:paraId="62C66EDC">
            <w:pPr>
              <w:widowControl/>
              <w:jc w:val="center"/>
              <w:textAlignment w:val="center"/>
              <w:rPr>
                <w:rFonts w:hint="eastAsia"/>
                <w:color w:val="000000"/>
                <w:sz w:val="18"/>
                <w:szCs w:val="18"/>
              </w:rPr>
            </w:pPr>
            <w:r>
              <w:rPr>
                <w:rFonts w:hint="eastAsia"/>
                <w:color w:val="000000"/>
                <w:sz w:val="18"/>
                <w:szCs w:val="18"/>
              </w:rPr>
              <w:t>1</w:t>
            </w:r>
          </w:p>
        </w:tc>
        <w:tc>
          <w:tcPr>
            <w:tcW w:w="174" w:type="pct"/>
            <w:noWrap w:val="0"/>
            <w:vAlign w:val="center"/>
          </w:tcPr>
          <w:p w14:paraId="6E6ABAF8">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174" w:type="pct"/>
            <w:noWrap w:val="0"/>
            <w:vAlign w:val="center"/>
          </w:tcPr>
          <w:p w14:paraId="3D16DD79">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174" w:type="pct"/>
            <w:noWrap w:val="0"/>
            <w:vAlign w:val="center"/>
          </w:tcPr>
          <w:p w14:paraId="2E9F3F69">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177" w:type="pct"/>
            <w:noWrap w:val="0"/>
            <w:vAlign w:val="center"/>
          </w:tcPr>
          <w:p w14:paraId="476B06B5">
            <w:pPr>
              <w:widowControl/>
              <w:jc w:val="center"/>
              <w:textAlignment w:val="center"/>
              <w:rPr>
                <w:color w:val="000000"/>
                <w:kern w:val="0"/>
                <w:sz w:val="18"/>
                <w:szCs w:val="18"/>
                <w:lang w:bidi="ar"/>
              </w:rPr>
            </w:pPr>
            <w:r>
              <w:rPr>
                <w:rFonts w:hint="eastAsia"/>
                <w:color w:val="000000"/>
                <w:kern w:val="0"/>
                <w:sz w:val="18"/>
                <w:szCs w:val="18"/>
                <w:lang w:bidi="ar"/>
              </w:rPr>
              <w:t>1</w:t>
            </w:r>
          </w:p>
        </w:tc>
        <w:tc>
          <w:tcPr>
            <w:tcW w:w="215" w:type="pct"/>
            <w:noWrap w:val="0"/>
            <w:vAlign w:val="center"/>
          </w:tcPr>
          <w:p w14:paraId="76009522">
            <w:pPr>
              <w:widowControl/>
              <w:jc w:val="center"/>
              <w:textAlignment w:val="center"/>
              <w:rPr>
                <w:color w:val="000000"/>
                <w:kern w:val="0"/>
                <w:sz w:val="18"/>
                <w:szCs w:val="18"/>
                <w:lang w:bidi="ar"/>
              </w:rPr>
            </w:pPr>
            <w:r>
              <w:rPr>
                <w:color w:val="000000"/>
                <w:kern w:val="0"/>
                <w:sz w:val="18"/>
                <w:szCs w:val="18"/>
                <w:lang w:bidi="ar"/>
              </w:rPr>
              <w:t xml:space="preserve">78 </w:t>
            </w:r>
          </w:p>
        </w:tc>
        <w:tc>
          <w:tcPr>
            <w:tcW w:w="215" w:type="pct"/>
            <w:noWrap w:val="0"/>
            <w:vAlign w:val="center"/>
          </w:tcPr>
          <w:p w14:paraId="2C30118A">
            <w:pPr>
              <w:widowControl/>
              <w:jc w:val="center"/>
              <w:textAlignment w:val="center"/>
              <w:rPr>
                <w:color w:val="000000"/>
                <w:kern w:val="0"/>
                <w:sz w:val="18"/>
                <w:szCs w:val="18"/>
                <w:lang w:bidi="ar"/>
              </w:rPr>
            </w:pPr>
            <w:r>
              <w:rPr>
                <w:color w:val="000000"/>
                <w:kern w:val="0"/>
                <w:sz w:val="18"/>
                <w:szCs w:val="18"/>
                <w:lang w:bidi="ar"/>
              </w:rPr>
              <w:t xml:space="preserve">78 </w:t>
            </w:r>
          </w:p>
        </w:tc>
        <w:tc>
          <w:tcPr>
            <w:tcW w:w="215" w:type="pct"/>
            <w:noWrap w:val="0"/>
            <w:vAlign w:val="center"/>
          </w:tcPr>
          <w:p w14:paraId="1D73387F">
            <w:pPr>
              <w:widowControl/>
              <w:jc w:val="center"/>
              <w:textAlignment w:val="center"/>
              <w:rPr>
                <w:color w:val="000000"/>
                <w:kern w:val="0"/>
                <w:sz w:val="18"/>
                <w:szCs w:val="18"/>
                <w:lang w:bidi="ar"/>
              </w:rPr>
            </w:pPr>
            <w:r>
              <w:rPr>
                <w:color w:val="000000"/>
                <w:kern w:val="0"/>
                <w:sz w:val="18"/>
                <w:szCs w:val="18"/>
                <w:lang w:bidi="ar"/>
              </w:rPr>
              <w:t xml:space="preserve">78 </w:t>
            </w:r>
          </w:p>
        </w:tc>
        <w:tc>
          <w:tcPr>
            <w:tcW w:w="218" w:type="pct"/>
            <w:noWrap w:val="0"/>
            <w:vAlign w:val="center"/>
          </w:tcPr>
          <w:p w14:paraId="38D6F00F">
            <w:pPr>
              <w:widowControl/>
              <w:jc w:val="center"/>
              <w:textAlignment w:val="center"/>
              <w:rPr>
                <w:color w:val="000000"/>
                <w:kern w:val="0"/>
                <w:sz w:val="18"/>
                <w:szCs w:val="18"/>
                <w:lang w:bidi="ar"/>
              </w:rPr>
            </w:pPr>
            <w:r>
              <w:rPr>
                <w:color w:val="000000"/>
                <w:kern w:val="0"/>
                <w:sz w:val="18"/>
                <w:szCs w:val="18"/>
                <w:lang w:bidi="ar"/>
              </w:rPr>
              <w:t xml:space="preserve">78 </w:t>
            </w:r>
          </w:p>
        </w:tc>
        <w:tc>
          <w:tcPr>
            <w:tcW w:w="223" w:type="pct"/>
            <w:noWrap w:val="0"/>
            <w:vAlign w:val="center"/>
          </w:tcPr>
          <w:p w14:paraId="40683C53">
            <w:pPr>
              <w:widowControl/>
              <w:jc w:val="center"/>
              <w:textAlignment w:val="center"/>
              <w:rPr>
                <w:rFonts w:hint="eastAsia" w:cs="宋体"/>
                <w:color w:val="000000"/>
                <w:kern w:val="0"/>
                <w:sz w:val="18"/>
                <w:szCs w:val="18"/>
                <w:lang w:bidi="ar"/>
              </w:rPr>
            </w:pPr>
            <w:r>
              <w:rPr>
                <w:rFonts w:hint="eastAsia" w:cs="宋体"/>
                <w:color w:val="000000"/>
                <w:kern w:val="0"/>
                <w:sz w:val="18"/>
                <w:szCs w:val="18"/>
                <w:lang w:bidi="ar"/>
              </w:rPr>
              <w:t>昼间</w:t>
            </w:r>
          </w:p>
        </w:tc>
        <w:tc>
          <w:tcPr>
            <w:tcW w:w="409" w:type="pct"/>
            <w:noWrap w:val="0"/>
            <w:vAlign w:val="center"/>
          </w:tcPr>
          <w:p w14:paraId="784F1E70">
            <w:pPr>
              <w:widowControl/>
              <w:jc w:val="center"/>
              <w:textAlignment w:val="center"/>
              <w:rPr>
                <w:color w:val="000000"/>
                <w:kern w:val="0"/>
                <w:sz w:val="18"/>
                <w:szCs w:val="18"/>
                <w:lang w:bidi="ar"/>
              </w:rPr>
            </w:pPr>
            <w:r>
              <w:rPr>
                <w:color w:val="000000"/>
                <w:kern w:val="0"/>
                <w:sz w:val="18"/>
                <w:szCs w:val="18"/>
                <w:lang w:bidi="ar"/>
              </w:rPr>
              <w:t xml:space="preserve">48 </w:t>
            </w:r>
          </w:p>
        </w:tc>
        <w:tc>
          <w:tcPr>
            <w:tcW w:w="188" w:type="pct"/>
            <w:noWrap w:val="0"/>
            <w:vAlign w:val="center"/>
          </w:tcPr>
          <w:p w14:paraId="2AF1FB2E">
            <w:pPr>
              <w:widowControl/>
              <w:jc w:val="center"/>
              <w:textAlignment w:val="center"/>
              <w:rPr>
                <w:color w:val="000000"/>
                <w:kern w:val="0"/>
                <w:sz w:val="18"/>
                <w:szCs w:val="18"/>
                <w:lang w:bidi="ar"/>
              </w:rPr>
            </w:pPr>
            <w:r>
              <w:rPr>
                <w:color w:val="000000"/>
                <w:kern w:val="0"/>
                <w:sz w:val="18"/>
                <w:szCs w:val="18"/>
                <w:lang w:bidi="ar"/>
              </w:rPr>
              <w:t xml:space="preserve">48 </w:t>
            </w:r>
          </w:p>
        </w:tc>
        <w:tc>
          <w:tcPr>
            <w:tcW w:w="179" w:type="pct"/>
            <w:noWrap w:val="0"/>
            <w:vAlign w:val="center"/>
          </w:tcPr>
          <w:p w14:paraId="3712B646">
            <w:pPr>
              <w:widowControl/>
              <w:jc w:val="center"/>
              <w:textAlignment w:val="center"/>
              <w:rPr>
                <w:color w:val="000000"/>
                <w:kern w:val="0"/>
                <w:sz w:val="18"/>
                <w:szCs w:val="18"/>
                <w:lang w:bidi="ar"/>
              </w:rPr>
            </w:pPr>
            <w:r>
              <w:rPr>
                <w:color w:val="000000"/>
                <w:kern w:val="0"/>
                <w:sz w:val="18"/>
                <w:szCs w:val="18"/>
                <w:lang w:bidi="ar"/>
              </w:rPr>
              <w:t xml:space="preserve">48 </w:t>
            </w:r>
          </w:p>
        </w:tc>
        <w:tc>
          <w:tcPr>
            <w:tcW w:w="179" w:type="pct"/>
            <w:noWrap w:val="0"/>
            <w:vAlign w:val="center"/>
          </w:tcPr>
          <w:p w14:paraId="438966C4">
            <w:pPr>
              <w:widowControl/>
              <w:jc w:val="center"/>
              <w:textAlignment w:val="center"/>
              <w:rPr>
                <w:color w:val="000000"/>
                <w:kern w:val="0"/>
                <w:sz w:val="18"/>
                <w:szCs w:val="18"/>
                <w:lang w:bidi="ar"/>
              </w:rPr>
            </w:pPr>
            <w:r>
              <w:rPr>
                <w:color w:val="000000"/>
                <w:kern w:val="0"/>
                <w:sz w:val="18"/>
                <w:szCs w:val="18"/>
                <w:lang w:bidi="ar"/>
              </w:rPr>
              <w:t xml:space="preserve">48 </w:t>
            </w:r>
          </w:p>
        </w:tc>
        <w:tc>
          <w:tcPr>
            <w:tcW w:w="189" w:type="pct"/>
            <w:noWrap w:val="0"/>
            <w:vAlign w:val="center"/>
          </w:tcPr>
          <w:p w14:paraId="1308D5A0">
            <w:pPr>
              <w:widowControl/>
              <w:jc w:val="center"/>
              <w:textAlignment w:val="center"/>
              <w:rPr>
                <w:color w:val="000000"/>
                <w:kern w:val="0"/>
                <w:sz w:val="18"/>
                <w:szCs w:val="18"/>
                <w:lang w:bidi="ar"/>
              </w:rPr>
            </w:pPr>
            <w:r>
              <w:rPr>
                <w:color w:val="000000"/>
                <w:kern w:val="0"/>
                <w:sz w:val="18"/>
                <w:szCs w:val="18"/>
                <w:lang w:bidi="ar"/>
              </w:rPr>
              <w:t xml:space="preserve">48 </w:t>
            </w:r>
          </w:p>
        </w:tc>
      </w:tr>
    </w:tbl>
    <w:p w14:paraId="1BEAAED9">
      <w:pPr>
        <w:rPr>
          <w:color w:val="000000"/>
        </w:rPr>
      </w:pPr>
      <w:r>
        <w:rPr>
          <w:rFonts w:hint="eastAsia"/>
          <w:color w:val="000000"/>
          <w:sz w:val="21"/>
          <w:szCs w:val="21"/>
        </w:rPr>
        <w:t>注：以厂区西南角为原点（0,0,0）。声源源强为声压级，测点距离均为1</w:t>
      </w:r>
      <w:r>
        <w:rPr>
          <w:color w:val="000000"/>
          <w:sz w:val="21"/>
          <w:szCs w:val="21"/>
        </w:rPr>
        <w:t>m</w:t>
      </w:r>
      <w:r>
        <w:rPr>
          <w:rFonts w:hint="eastAsia"/>
          <w:color w:val="000000"/>
          <w:sz w:val="21"/>
          <w:szCs w:val="21"/>
        </w:rPr>
        <w:t>。建筑物插入损失考虑（TL+6），厂房隔声考虑20dB（A），1#废气处理设施风机、3#废气处理设施风机、空压机设置单独房间，独立房间噪声衰减量取30dB（A）。</w:t>
      </w:r>
    </w:p>
    <w:p w14:paraId="7FE7AA07">
      <w:pPr>
        <w:rPr>
          <w:rFonts w:hint="eastAsia"/>
          <w:color w:val="000000"/>
        </w:rPr>
        <w:sectPr>
          <w:pgSz w:w="16838" w:h="11905" w:orient="landscape"/>
          <w:pgMar w:top="1417" w:right="1440" w:bottom="1417" w:left="1440" w:header="851" w:footer="992" w:gutter="0"/>
          <w:cols w:space="720" w:num="1"/>
          <w:docGrid w:type="lines" w:linePitch="312" w:charSpace="0"/>
        </w:sectPr>
      </w:pPr>
    </w:p>
    <w:p w14:paraId="5A39FCC6">
      <w:pPr>
        <w:pStyle w:val="2"/>
        <w:spacing w:before="0" w:after="0" w:line="360" w:lineRule="auto"/>
        <w:ind w:left="0" w:firstLine="0"/>
        <w:jc w:val="center"/>
        <w:rPr>
          <w:rFonts w:hint="eastAsia" w:eastAsia="宋体" w:cs="宋体"/>
          <w:color w:val="000000"/>
        </w:rPr>
      </w:pPr>
      <w:r>
        <w:rPr>
          <w:rFonts w:hint="eastAsia" w:eastAsia="宋体" w:cs="宋体"/>
          <w:color w:val="000000"/>
        </w:rPr>
        <w:t>四、主要环境影响和保护措施</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8478"/>
      </w:tblGrid>
      <w:tr w14:paraId="0D65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3" w:type="dxa"/>
            <w:noWrap w:val="0"/>
            <w:vAlign w:val="center"/>
          </w:tcPr>
          <w:p w14:paraId="114D0582">
            <w:pPr>
              <w:adjustRightInd w:val="0"/>
              <w:snapToGrid w:val="0"/>
              <w:jc w:val="left"/>
              <w:rPr>
                <w:bCs/>
                <w:color w:val="000000"/>
                <w:szCs w:val="21"/>
              </w:rPr>
            </w:pPr>
            <w:r>
              <w:rPr>
                <w:bCs/>
                <w:color w:val="000000"/>
                <w:szCs w:val="21"/>
              </w:rPr>
              <w:t>运</w:t>
            </w:r>
          </w:p>
          <w:p w14:paraId="431C08EB">
            <w:pPr>
              <w:adjustRightInd w:val="0"/>
              <w:snapToGrid w:val="0"/>
              <w:jc w:val="left"/>
              <w:rPr>
                <w:bCs/>
                <w:color w:val="000000"/>
                <w:szCs w:val="21"/>
              </w:rPr>
            </w:pPr>
            <w:r>
              <w:rPr>
                <w:bCs/>
                <w:color w:val="000000"/>
                <w:szCs w:val="21"/>
              </w:rPr>
              <w:t>营</w:t>
            </w:r>
          </w:p>
          <w:p w14:paraId="2DC180AA">
            <w:pPr>
              <w:adjustRightInd w:val="0"/>
              <w:snapToGrid w:val="0"/>
              <w:jc w:val="left"/>
              <w:rPr>
                <w:bCs/>
                <w:color w:val="000000"/>
                <w:szCs w:val="21"/>
              </w:rPr>
            </w:pPr>
            <w:r>
              <w:rPr>
                <w:bCs/>
                <w:color w:val="000000"/>
                <w:szCs w:val="21"/>
              </w:rPr>
              <w:t>期</w:t>
            </w:r>
          </w:p>
          <w:p w14:paraId="6CBEAB28">
            <w:pPr>
              <w:adjustRightInd w:val="0"/>
              <w:snapToGrid w:val="0"/>
              <w:jc w:val="left"/>
              <w:rPr>
                <w:bCs/>
                <w:color w:val="000000"/>
                <w:szCs w:val="21"/>
              </w:rPr>
            </w:pPr>
            <w:r>
              <w:rPr>
                <w:bCs/>
                <w:color w:val="000000"/>
                <w:szCs w:val="21"/>
              </w:rPr>
              <w:t>环</w:t>
            </w:r>
          </w:p>
          <w:p w14:paraId="500C203C">
            <w:pPr>
              <w:adjustRightInd w:val="0"/>
              <w:snapToGrid w:val="0"/>
              <w:jc w:val="left"/>
              <w:rPr>
                <w:bCs/>
                <w:color w:val="000000"/>
                <w:szCs w:val="21"/>
              </w:rPr>
            </w:pPr>
            <w:r>
              <w:rPr>
                <w:bCs/>
                <w:color w:val="000000"/>
                <w:szCs w:val="21"/>
              </w:rPr>
              <w:t>境</w:t>
            </w:r>
          </w:p>
          <w:p w14:paraId="1E5D60E1">
            <w:pPr>
              <w:adjustRightInd w:val="0"/>
              <w:snapToGrid w:val="0"/>
              <w:jc w:val="left"/>
              <w:rPr>
                <w:bCs/>
                <w:color w:val="000000"/>
                <w:szCs w:val="21"/>
              </w:rPr>
            </w:pPr>
            <w:r>
              <w:rPr>
                <w:bCs/>
                <w:color w:val="000000"/>
                <w:szCs w:val="21"/>
              </w:rPr>
              <w:t>影</w:t>
            </w:r>
          </w:p>
          <w:p w14:paraId="723C3B4B">
            <w:pPr>
              <w:adjustRightInd w:val="0"/>
              <w:snapToGrid w:val="0"/>
              <w:jc w:val="left"/>
              <w:rPr>
                <w:bCs/>
                <w:color w:val="000000"/>
                <w:szCs w:val="21"/>
              </w:rPr>
            </w:pPr>
            <w:r>
              <w:rPr>
                <w:bCs/>
                <w:color w:val="000000"/>
                <w:szCs w:val="21"/>
              </w:rPr>
              <w:t>响</w:t>
            </w:r>
          </w:p>
          <w:p w14:paraId="44742AE2">
            <w:pPr>
              <w:adjustRightInd w:val="0"/>
              <w:snapToGrid w:val="0"/>
              <w:jc w:val="left"/>
              <w:rPr>
                <w:bCs/>
                <w:color w:val="000000"/>
                <w:szCs w:val="21"/>
              </w:rPr>
            </w:pPr>
            <w:r>
              <w:rPr>
                <w:bCs/>
                <w:color w:val="000000"/>
                <w:szCs w:val="21"/>
              </w:rPr>
              <w:t>和</w:t>
            </w:r>
          </w:p>
          <w:p w14:paraId="2D74C4F6">
            <w:pPr>
              <w:adjustRightInd w:val="0"/>
              <w:snapToGrid w:val="0"/>
              <w:jc w:val="left"/>
              <w:rPr>
                <w:bCs/>
                <w:color w:val="000000"/>
                <w:szCs w:val="21"/>
              </w:rPr>
            </w:pPr>
            <w:r>
              <w:rPr>
                <w:bCs/>
                <w:color w:val="000000"/>
                <w:szCs w:val="21"/>
              </w:rPr>
              <w:t>保</w:t>
            </w:r>
          </w:p>
          <w:p w14:paraId="5CFAB153">
            <w:pPr>
              <w:adjustRightInd w:val="0"/>
              <w:snapToGrid w:val="0"/>
              <w:jc w:val="left"/>
              <w:rPr>
                <w:bCs/>
                <w:color w:val="000000"/>
                <w:szCs w:val="21"/>
              </w:rPr>
            </w:pPr>
            <w:r>
              <w:rPr>
                <w:bCs/>
                <w:color w:val="000000"/>
                <w:szCs w:val="21"/>
              </w:rPr>
              <w:t>护</w:t>
            </w:r>
          </w:p>
          <w:p w14:paraId="62003C05">
            <w:pPr>
              <w:adjustRightInd w:val="0"/>
              <w:snapToGrid w:val="0"/>
              <w:jc w:val="left"/>
              <w:rPr>
                <w:bCs/>
                <w:color w:val="000000"/>
                <w:szCs w:val="21"/>
              </w:rPr>
            </w:pPr>
            <w:r>
              <w:rPr>
                <w:bCs/>
                <w:color w:val="000000"/>
                <w:szCs w:val="21"/>
              </w:rPr>
              <w:t>措</w:t>
            </w:r>
          </w:p>
          <w:p w14:paraId="1296E979">
            <w:pPr>
              <w:jc w:val="left"/>
              <w:rPr>
                <w:rFonts w:hint="eastAsia"/>
                <w:color w:val="000000"/>
              </w:rPr>
            </w:pPr>
            <w:r>
              <w:rPr>
                <w:bCs/>
                <w:color w:val="000000"/>
                <w:szCs w:val="21"/>
              </w:rPr>
              <w:t>施</w:t>
            </w:r>
          </w:p>
        </w:tc>
        <w:tc>
          <w:tcPr>
            <w:tcW w:w="8478" w:type="dxa"/>
            <w:noWrap w:val="0"/>
            <w:vAlign w:val="top"/>
          </w:tcPr>
          <w:p w14:paraId="43221118">
            <w:pPr>
              <w:spacing w:line="360" w:lineRule="auto"/>
              <w:ind w:firstLine="480"/>
              <w:rPr>
                <w:b/>
                <w:snapToGrid w:val="0"/>
                <w:color w:val="000000"/>
                <w:kern w:val="0"/>
              </w:rPr>
            </w:pPr>
            <w:r>
              <w:rPr>
                <w:rFonts w:hint="eastAsia"/>
                <w:b/>
                <w:bCs/>
                <w:color w:val="000000"/>
              </w:rPr>
              <w:t>（2）</w:t>
            </w:r>
            <w:r>
              <w:rPr>
                <w:b/>
                <w:snapToGrid w:val="0"/>
                <w:color w:val="000000"/>
                <w:kern w:val="0"/>
              </w:rPr>
              <w:t>预测模式</w:t>
            </w:r>
          </w:p>
          <w:p w14:paraId="1CC3BBB3">
            <w:pPr>
              <w:spacing w:line="360" w:lineRule="auto"/>
              <w:ind w:firstLine="480"/>
              <w:rPr>
                <w:color w:val="000000"/>
              </w:rPr>
            </w:pPr>
            <w:r>
              <w:rPr>
                <w:rFonts w:hint="eastAsia"/>
                <w:color w:val="000000"/>
              </w:rPr>
              <w:t>预测模式根据《环境影响评价技术导则声环境》（HJ2.4－2021）附录A进行预测。</w:t>
            </w:r>
          </w:p>
          <w:p w14:paraId="61D1DC54">
            <w:pPr>
              <w:spacing w:line="360" w:lineRule="auto"/>
              <w:ind w:firstLine="480"/>
              <w:rPr>
                <w:color w:val="000000"/>
              </w:rPr>
            </w:pPr>
            <w:r>
              <w:rPr>
                <w:rFonts w:hint="eastAsia"/>
                <w:color w:val="000000"/>
              </w:rPr>
              <w:t>本评价室外声源采用《环境影响评价技术导则声环境》（HJ2.4-2021）中在全声场或半声场中关于几个声压级的叠加公式以及噪声衰减公式来预测该项目服务期产生的噪声。</w:t>
            </w:r>
          </w:p>
          <w:p w14:paraId="25762B92">
            <w:pPr>
              <w:pStyle w:val="37"/>
              <w:spacing w:before="0" w:after="0" w:line="360" w:lineRule="auto"/>
              <w:ind w:firstLine="480"/>
              <w:rPr>
                <w:rFonts w:ascii="Times New Roman" w:hAnsi="Times New Roman" w:cs="Times New Roman"/>
                <w:color w:val="000000"/>
              </w:rPr>
            </w:pPr>
            <w:r>
              <w:rPr>
                <w:rFonts w:hint="eastAsia" w:ascii="Times New Roman" w:hAnsi="Times New Roman" w:cs="Times New Roman"/>
                <w:color w:val="000000"/>
              </w:rPr>
              <w:drawing>
                <wp:inline distT="0" distB="0" distL="114300" distR="114300">
                  <wp:extent cx="3898900" cy="304165"/>
                  <wp:effectExtent l="0" t="0" r="6350" b="635"/>
                  <wp:docPr id="5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2"/>
                          <pic:cNvPicPr>
                            <a:picLocks noChangeAspect="1"/>
                          </pic:cNvPicPr>
                        </pic:nvPicPr>
                        <pic:blipFill>
                          <a:blip r:embed="rId23"/>
                          <a:stretch>
                            <a:fillRect/>
                          </a:stretch>
                        </pic:blipFill>
                        <pic:spPr>
                          <a:xfrm>
                            <a:off x="0" y="0"/>
                            <a:ext cx="3898900" cy="304165"/>
                          </a:xfrm>
                          <a:prstGeom prst="rect">
                            <a:avLst/>
                          </a:prstGeom>
                          <a:noFill/>
                          <a:ln>
                            <a:noFill/>
                          </a:ln>
                        </pic:spPr>
                      </pic:pic>
                    </a:graphicData>
                  </a:graphic>
                </wp:inline>
              </w:drawing>
            </w:r>
          </w:p>
          <w:p w14:paraId="73570D44">
            <w:pPr>
              <w:spacing w:line="360" w:lineRule="auto"/>
              <w:ind w:firstLine="480"/>
              <w:rPr>
                <w:color w:val="000000"/>
              </w:rPr>
            </w:pPr>
            <w:r>
              <w:rPr>
                <w:rFonts w:hint="eastAsia"/>
                <w:color w:val="000000"/>
              </w:rPr>
              <w:t>式中：Lp（r）—距声源r处的A声级，dB；</w:t>
            </w:r>
          </w:p>
          <w:p w14:paraId="7ADC3ACE">
            <w:pPr>
              <w:spacing w:line="360" w:lineRule="auto"/>
              <w:ind w:firstLine="991" w:firstLineChars="472"/>
              <w:rPr>
                <w:color w:val="000000"/>
              </w:rPr>
            </w:pPr>
            <w:r>
              <w:rPr>
                <w:rFonts w:hint="eastAsia"/>
                <w:color w:val="000000"/>
              </w:rPr>
              <w:t>Lp（ro）—参考位置r0处的A声级，dB</w:t>
            </w:r>
          </w:p>
          <w:p w14:paraId="3EBDA22A">
            <w:pPr>
              <w:spacing w:line="360" w:lineRule="auto"/>
              <w:ind w:firstLine="991" w:firstLineChars="472"/>
              <w:rPr>
                <w:color w:val="000000"/>
              </w:rPr>
            </w:pPr>
            <w:r>
              <w:rPr>
                <w:rFonts w:hint="eastAsia"/>
                <w:color w:val="000000"/>
              </w:rPr>
              <w:t>Dc—指向性校正，它描述点声源的等效连续声压级与产生声功率级L.的全向点声源在规定方向的声级的偏差程度，dB；</w:t>
            </w:r>
          </w:p>
          <w:p w14:paraId="2537C92C">
            <w:pPr>
              <w:spacing w:line="360" w:lineRule="auto"/>
              <w:ind w:firstLine="991" w:firstLineChars="472"/>
              <w:rPr>
                <w:color w:val="000000"/>
              </w:rPr>
            </w:pPr>
            <w:r>
              <w:rPr>
                <w:rFonts w:hint="eastAsia"/>
                <w:color w:val="000000"/>
              </w:rPr>
              <w:t>A</w:t>
            </w:r>
            <w:r>
              <w:rPr>
                <w:rFonts w:hint="eastAsia"/>
                <w:color w:val="000000"/>
                <w:vertAlign w:val="subscript"/>
              </w:rPr>
              <w:t>div</w:t>
            </w:r>
            <w:r>
              <w:rPr>
                <w:rFonts w:hint="eastAsia"/>
                <w:color w:val="000000"/>
              </w:rPr>
              <w:t>—声源几何发散引起的A声级衰减量（20Lgr/r0），dB；</w:t>
            </w:r>
          </w:p>
          <w:p w14:paraId="13486374">
            <w:pPr>
              <w:spacing w:line="360" w:lineRule="auto"/>
              <w:ind w:firstLine="991" w:firstLineChars="472"/>
              <w:rPr>
                <w:color w:val="000000"/>
              </w:rPr>
            </w:pPr>
            <w:r>
              <w:rPr>
                <w:rFonts w:hint="eastAsia"/>
                <w:color w:val="000000"/>
              </w:rPr>
              <w:t>A</w:t>
            </w:r>
            <w:r>
              <w:rPr>
                <w:rFonts w:hint="eastAsia"/>
                <w:color w:val="000000"/>
                <w:vertAlign w:val="subscript"/>
              </w:rPr>
              <w:t>bar</w:t>
            </w:r>
            <w:r>
              <w:rPr>
                <w:rFonts w:hint="eastAsia"/>
                <w:color w:val="000000"/>
              </w:rPr>
              <w:t>—声屏障引起的A声级衰减量，dB；</w:t>
            </w:r>
          </w:p>
          <w:p w14:paraId="6E561C54">
            <w:pPr>
              <w:spacing w:line="360" w:lineRule="auto"/>
              <w:ind w:firstLine="991" w:firstLineChars="472"/>
              <w:rPr>
                <w:color w:val="000000"/>
              </w:rPr>
            </w:pPr>
            <w:r>
              <w:rPr>
                <w:rFonts w:hint="eastAsia"/>
                <w:color w:val="000000"/>
              </w:rPr>
              <w:t>A</w:t>
            </w:r>
            <w:r>
              <w:rPr>
                <w:rFonts w:hint="eastAsia"/>
                <w:color w:val="000000"/>
                <w:vertAlign w:val="subscript"/>
              </w:rPr>
              <w:t>atm</w:t>
            </w:r>
            <w:r>
              <w:rPr>
                <w:rFonts w:hint="eastAsia"/>
                <w:color w:val="000000"/>
              </w:rPr>
              <w:t>—空气吸收引起的A声级衰减量，dB；</w:t>
            </w:r>
          </w:p>
          <w:p w14:paraId="4A78B1D5">
            <w:pPr>
              <w:spacing w:line="360" w:lineRule="auto"/>
              <w:ind w:firstLine="991" w:firstLineChars="472"/>
              <w:rPr>
                <w:color w:val="000000"/>
              </w:rPr>
            </w:pPr>
            <w:r>
              <w:rPr>
                <w:rFonts w:hint="eastAsia"/>
                <w:color w:val="000000"/>
              </w:rPr>
              <w:t>A</w:t>
            </w:r>
            <w:r>
              <w:rPr>
                <w:rFonts w:hint="eastAsia"/>
                <w:color w:val="000000"/>
                <w:vertAlign w:val="subscript"/>
              </w:rPr>
              <w:t>gr</w:t>
            </w:r>
            <w:r>
              <w:rPr>
                <w:rFonts w:hint="eastAsia"/>
                <w:color w:val="000000"/>
              </w:rPr>
              <w:t>—地面效应引起的衰减，dB；</w:t>
            </w:r>
          </w:p>
          <w:p w14:paraId="38A16537">
            <w:pPr>
              <w:spacing w:line="360" w:lineRule="auto"/>
              <w:ind w:firstLine="991" w:firstLineChars="472"/>
              <w:rPr>
                <w:color w:val="000000"/>
              </w:rPr>
            </w:pPr>
            <w:r>
              <w:rPr>
                <w:rFonts w:hint="eastAsia"/>
                <w:color w:val="000000"/>
              </w:rPr>
              <w:t>A</w:t>
            </w:r>
            <w:r>
              <w:rPr>
                <w:rFonts w:hint="eastAsia"/>
                <w:color w:val="000000"/>
                <w:vertAlign w:val="subscript"/>
              </w:rPr>
              <w:t>misc</w:t>
            </w:r>
            <w:r>
              <w:rPr>
                <w:rFonts w:hint="eastAsia"/>
                <w:color w:val="000000"/>
              </w:rPr>
              <w:t>—附加衰减量，dB；</w:t>
            </w:r>
          </w:p>
          <w:p w14:paraId="18168E55">
            <w:pPr>
              <w:spacing w:line="360" w:lineRule="auto"/>
              <w:ind w:firstLine="480"/>
              <w:rPr>
                <w:color w:val="000000"/>
              </w:rPr>
            </w:pPr>
            <w:r>
              <w:rPr>
                <w:rFonts w:hint="eastAsia"/>
                <w:color w:val="000000"/>
              </w:rPr>
              <w:t>①点源户外传播声级衰减计算模式（仅考虑几何衰减）</w:t>
            </w:r>
          </w:p>
          <w:p w14:paraId="7DA66B78">
            <w:pPr>
              <w:spacing w:line="360" w:lineRule="auto"/>
              <w:jc w:val="center"/>
              <w:rPr>
                <w:color w:val="000000"/>
              </w:rPr>
            </w:pPr>
            <w:r>
              <w:rPr>
                <w:rFonts w:hint="eastAsia"/>
                <w:color w:val="000000"/>
              </w:rPr>
              <w:t>L</w:t>
            </w:r>
            <w:r>
              <w:rPr>
                <w:rFonts w:hint="eastAsia"/>
                <w:color w:val="000000"/>
                <w:vertAlign w:val="subscript"/>
              </w:rPr>
              <w:t>A（r）</w:t>
            </w:r>
            <w:r>
              <w:rPr>
                <w:rFonts w:hint="eastAsia"/>
                <w:color w:val="000000"/>
              </w:rPr>
              <w:t>=L</w:t>
            </w:r>
            <w:r>
              <w:rPr>
                <w:rFonts w:hint="eastAsia"/>
                <w:color w:val="000000"/>
                <w:vertAlign w:val="subscript"/>
              </w:rPr>
              <w:t>A（ro）</w:t>
            </w:r>
            <w:r>
              <w:rPr>
                <w:rFonts w:hint="eastAsia"/>
                <w:color w:val="000000"/>
              </w:rPr>
              <w:t>-20lg（r）</w:t>
            </w:r>
          </w:p>
          <w:p w14:paraId="681D65CD">
            <w:pPr>
              <w:spacing w:line="360" w:lineRule="auto"/>
              <w:ind w:firstLine="480"/>
              <w:rPr>
                <w:color w:val="000000"/>
              </w:rPr>
            </w:pPr>
            <w:r>
              <w:rPr>
                <w:rFonts w:hint="eastAsia"/>
                <w:color w:val="000000"/>
              </w:rPr>
              <w:t>式中：L</w:t>
            </w:r>
            <w:r>
              <w:rPr>
                <w:rFonts w:hint="eastAsia"/>
                <w:color w:val="000000"/>
                <w:vertAlign w:val="subscript"/>
              </w:rPr>
              <w:t>A（r）</w:t>
            </w:r>
            <w:r>
              <w:rPr>
                <w:rFonts w:hint="eastAsia"/>
                <w:color w:val="000000"/>
              </w:rPr>
              <w:t>—距离声源r处的A声级，dB（A）；</w:t>
            </w:r>
          </w:p>
          <w:p w14:paraId="7EAAF25D">
            <w:pPr>
              <w:spacing w:line="360" w:lineRule="auto"/>
              <w:ind w:firstLine="480"/>
              <w:rPr>
                <w:color w:val="000000"/>
              </w:rPr>
            </w:pPr>
            <w:r>
              <w:rPr>
                <w:rFonts w:hint="eastAsia"/>
                <w:color w:val="000000"/>
              </w:rPr>
              <w:t>L</w:t>
            </w:r>
            <w:r>
              <w:rPr>
                <w:rFonts w:hint="eastAsia"/>
                <w:color w:val="000000"/>
                <w:vertAlign w:val="subscript"/>
              </w:rPr>
              <w:t>A（r0）</w:t>
            </w:r>
            <w:r>
              <w:rPr>
                <w:rFonts w:hint="eastAsia"/>
                <w:color w:val="000000"/>
              </w:rPr>
              <w:t>—已知声源r0处的A，dB（A）；</w:t>
            </w:r>
          </w:p>
          <w:p w14:paraId="4C8B41EB">
            <w:pPr>
              <w:spacing w:line="360" w:lineRule="auto"/>
              <w:ind w:firstLine="480"/>
              <w:rPr>
                <w:color w:val="000000"/>
              </w:rPr>
            </w:pPr>
            <w:r>
              <w:rPr>
                <w:rFonts w:hint="eastAsia"/>
                <w:color w:val="000000"/>
              </w:rPr>
              <w:t>②室内传播声级衰减计算模式</w:t>
            </w:r>
          </w:p>
          <w:p w14:paraId="707D65D9">
            <w:pPr>
              <w:spacing w:line="360" w:lineRule="auto"/>
              <w:ind w:firstLine="480"/>
              <w:rPr>
                <w:color w:val="000000"/>
              </w:rPr>
            </w:pPr>
            <w:r>
              <w:rPr>
                <w:rFonts w:hint="eastAsia"/>
                <w:color w:val="000000"/>
              </w:rPr>
              <w:t>室内声源采用《环境影响评价技术导则 声环境》（HJ2.4-2021）中室内声源的方式来预测该项目服务期产生的噪声：</w:t>
            </w:r>
          </w:p>
          <w:p w14:paraId="7DFF7D34">
            <w:pPr>
              <w:spacing w:line="360" w:lineRule="auto"/>
              <w:ind w:firstLine="480"/>
              <w:rPr>
                <w:color w:val="000000"/>
              </w:rPr>
            </w:pPr>
            <w:r>
              <w:rPr>
                <w:rFonts w:hint="eastAsia"/>
                <w:color w:val="000000"/>
              </w:rPr>
              <w:t>室内声源可采用等效室外声源声功率级法进行计算，计算公式如下：</w:t>
            </w:r>
          </w:p>
          <w:p w14:paraId="7C80FAD9">
            <w:pPr>
              <w:spacing w:line="360" w:lineRule="auto"/>
              <w:jc w:val="center"/>
              <w:rPr>
                <w:color w:val="000000"/>
              </w:rPr>
            </w:pPr>
            <w:r>
              <w:rPr>
                <w:rFonts w:hint="eastAsia"/>
                <w:color w:val="000000"/>
              </w:rPr>
              <w:drawing>
                <wp:inline distT="0" distB="0" distL="114300" distR="114300">
                  <wp:extent cx="1743075" cy="295275"/>
                  <wp:effectExtent l="0" t="0" r="9525" b="9525"/>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pic:cNvPicPr>
                        </pic:nvPicPr>
                        <pic:blipFill>
                          <a:blip r:embed="rId24"/>
                          <a:stretch>
                            <a:fillRect/>
                          </a:stretch>
                        </pic:blipFill>
                        <pic:spPr>
                          <a:xfrm>
                            <a:off x="0" y="0"/>
                            <a:ext cx="1743075" cy="295275"/>
                          </a:xfrm>
                          <a:prstGeom prst="rect">
                            <a:avLst/>
                          </a:prstGeom>
                          <a:noFill/>
                          <a:ln>
                            <a:noFill/>
                          </a:ln>
                        </pic:spPr>
                      </pic:pic>
                    </a:graphicData>
                  </a:graphic>
                </wp:inline>
              </w:drawing>
            </w:r>
          </w:p>
          <w:p w14:paraId="0D6B4B23">
            <w:pPr>
              <w:spacing w:line="360" w:lineRule="auto"/>
              <w:ind w:firstLine="480"/>
              <w:rPr>
                <w:color w:val="000000"/>
              </w:rPr>
            </w:pPr>
            <w:r>
              <w:rPr>
                <w:rFonts w:hint="eastAsia"/>
                <w:color w:val="000000"/>
              </w:rPr>
              <w:t>式中：Lp</w:t>
            </w:r>
            <w:r>
              <w:rPr>
                <w:rFonts w:hint="eastAsia"/>
                <w:color w:val="000000"/>
                <w:vertAlign w:val="subscript"/>
              </w:rPr>
              <w:t>1</w:t>
            </w:r>
            <w:r>
              <w:rPr>
                <w:rFonts w:hint="eastAsia"/>
                <w:color w:val="000000"/>
              </w:rPr>
              <w:t>——靠近开口处（或窗户）室内某倍频带的声压级或A声级；</w:t>
            </w:r>
          </w:p>
          <w:p w14:paraId="25164562">
            <w:pPr>
              <w:spacing w:line="360" w:lineRule="auto"/>
              <w:ind w:firstLine="480"/>
              <w:rPr>
                <w:color w:val="000000"/>
              </w:rPr>
            </w:pPr>
            <w:r>
              <w:rPr>
                <w:rFonts w:hint="eastAsia"/>
                <w:color w:val="000000"/>
              </w:rPr>
              <w:t>Lp</w:t>
            </w:r>
            <w:r>
              <w:rPr>
                <w:rFonts w:hint="eastAsia"/>
                <w:color w:val="000000"/>
                <w:vertAlign w:val="subscript"/>
              </w:rPr>
              <w:t>2</w:t>
            </w:r>
            <w:r>
              <w:rPr>
                <w:rFonts w:hint="eastAsia"/>
                <w:color w:val="000000"/>
              </w:rPr>
              <w:t>——靠近开口处（或窗户）室外某倍频带的声压级或A声级，dB；</w:t>
            </w:r>
          </w:p>
          <w:p w14:paraId="39499495">
            <w:pPr>
              <w:spacing w:line="360" w:lineRule="auto"/>
              <w:ind w:firstLine="480"/>
              <w:rPr>
                <w:color w:val="000000"/>
              </w:rPr>
            </w:pPr>
            <w:r>
              <w:rPr>
                <w:rFonts w:hint="eastAsia"/>
                <w:color w:val="000000"/>
              </w:rPr>
              <w:t>TL——隔墙（或窗户）倍频带或A声级的隔声量，dB。</w:t>
            </w:r>
          </w:p>
          <w:p w14:paraId="705F5528">
            <w:pPr>
              <w:spacing w:line="360" w:lineRule="auto"/>
              <w:ind w:firstLine="480"/>
              <w:rPr>
                <w:color w:val="000000"/>
              </w:rPr>
            </w:pPr>
            <w:r>
              <w:rPr>
                <w:rFonts w:hint="eastAsia"/>
                <w:color w:val="000000"/>
              </w:rPr>
              <w:t>本评价以最不利情况作为预测情景，仅考虑几何发散引起的衰减，计算公式如下：</w:t>
            </w:r>
          </w:p>
          <w:p w14:paraId="7AF445AF">
            <w:pPr>
              <w:pStyle w:val="37"/>
              <w:spacing w:before="0" w:after="0" w:line="360" w:lineRule="auto"/>
              <w:ind w:firstLine="480"/>
              <w:rPr>
                <w:rFonts w:ascii="Times New Roman" w:hAnsi="Times New Roman" w:cs="Times New Roman"/>
                <w:color w:val="000000"/>
              </w:rPr>
            </w:pPr>
            <w:r>
              <w:rPr>
                <w:rFonts w:hint="eastAsia" w:ascii="Times New Roman" w:hAnsi="Times New Roman" w:cs="Times New Roman"/>
                <w:color w:val="000000"/>
              </w:rPr>
              <w:drawing>
                <wp:inline distT="0" distB="0" distL="114300" distR="114300">
                  <wp:extent cx="1533525" cy="342900"/>
                  <wp:effectExtent l="0" t="0" r="9525" b="0"/>
                  <wp:docPr id="6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4"/>
                          <pic:cNvPicPr>
                            <a:picLocks noChangeAspect="1"/>
                          </pic:cNvPicPr>
                        </pic:nvPicPr>
                        <pic:blipFill>
                          <a:blip r:embed="rId25"/>
                          <a:stretch>
                            <a:fillRect/>
                          </a:stretch>
                        </pic:blipFill>
                        <pic:spPr>
                          <a:xfrm>
                            <a:off x="0" y="0"/>
                            <a:ext cx="1533525" cy="342900"/>
                          </a:xfrm>
                          <a:prstGeom prst="rect">
                            <a:avLst/>
                          </a:prstGeom>
                          <a:noFill/>
                          <a:ln>
                            <a:noFill/>
                          </a:ln>
                        </pic:spPr>
                      </pic:pic>
                    </a:graphicData>
                  </a:graphic>
                </wp:inline>
              </w:drawing>
            </w:r>
          </w:p>
          <w:p w14:paraId="314CA4A1">
            <w:pPr>
              <w:spacing w:line="360" w:lineRule="auto"/>
              <w:ind w:firstLine="480"/>
              <w:rPr>
                <w:color w:val="000000"/>
              </w:rPr>
            </w:pPr>
            <w:r>
              <w:rPr>
                <w:rFonts w:hint="eastAsia"/>
                <w:color w:val="000000"/>
              </w:rPr>
              <w:t>式中：</w:t>
            </w:r>
            <w:r>
              <w:rPr>
                <w:rFonts w:hint="eastAsia"/>
                <w:color w:val="000000"/>
              </w:rPr>
              <w:drawing>
                <wp:inline distT="0" distB="0" distL="114300" distR="114300">
                  <wp:extent cx="390525" cy="219075"/>
                  <wp:effectExtent l="0" t="0" r="8890" b="6985"/>
                  <wp:docPr id="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pic:cNvPicPr>
                            <a:picLocks noChangeAspect="1"/>
                          </pic:cNvPicPr>
                        </pic:nvPicPr>
                        <pic:blipFill>
                          <a:blip r:embed="rId26"/>
                          <a:stretch>
                            <a:fillRect/>
                          </a:stretch>
                        </pic:blipFill>
                        <pic:spPr>
                          <a:xfrm>
                            <a:off x="0" y="0"/>
                            <a:ext cx="390525" cy="219075"/>
                          </a:xfrm>
                          <a:prstGeom prst="rect">
                            <a:avLst/>
                          </a:prstGeom>
                          <a:noFill/>
                          <a:ln>
                            <a:noFill/>
                          </a:ln>
                        </pic:spPr>
                      </pic:pic>
                    </a:graphicData>
                  </a:graphic>
                </wp:inline>
              </w:drawing>
            </w:r>
            <w:r>
              <w:rPr>
                <w:rFonts w:hint="eastAsia"/>
                <w:color w:val="000000"/>
              </w:rPr>
              <w:t>—距声源r处的A声级，dB；</w:t>
            </w:r>
          </w:p>
          <w:p w14:paraId="7BE2F0D3">
            <w:pPr>
              <w:spacing w:line="360" w:lineRule="auto"/>
              <w:ind w:firstLine="480"/>
              <w:rPr>
                <w:color w:val="000000"/>
              </w:rPr>
            </w:pPr>
            <w:r>
              <w:rPr>
                <w:rFonts w:hint="eastAsia"/>
                <w:color w:val="000000"/>
              </w:rPr>
              <w:drawing>
                <wp:inline distT="0" distB="0" distL="114300" distR="114300">
                  <wp:extent cx="447675" cy="228600"/>
                  <wp:effectExtent l="0" t="0" r="8890" b="0"/>
                  <wp:docPr id="6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6"/>
                          <pic:cNvPicPr>
                            <a:picLocks noChangeAspect="1"/>
                          </pic:cNvPicPr>
                        </pic:nvPicPr>
                        <pic:blipFill>
                          <a:blip r:embed="rId27"/>
                          <a:stretch>
                            <a:fillRect/>
                          </a:stretch>
                        </pic:blipFill>
                        <pic:spPr>
                          <a:xfrm>
                            <a:off x="0" y="0"/>
                            <a:ext cx="447675" cy="228600"/>
                          </a:xfrm>
                          <a:prstGeom prst="rect">
                            <a:avLst/>
                          </a:prstGeom>
                          <a:noFill/>
                          <a:ln>
                            <a:noFill/>
                          </a:ln>
                        </pic:spPr>
                      </pic:pic>
                    </a:graphicData>
                  </a:graphic>
                </wp:inline>
              </w:drawing>
            </w:r>
            <w:r>
              <w:rPr>
                <w:rFonts w:hint="eastAsia"/>
                <w:color w:val="000000"/>
              </w:rPr>
              <w:t>—参考位置r</w:t>
            </w:r>
            <w:r>
              <w:rPr>
                <w:rFonts w:hint="eastAsia"/>
                <w:color w:val="000000"/>
                <w:vertAlign w:val="subscript"/>
              </w:rPr>
              <w:t>0</w:t>
            </w:r>
            <w:r>
              <w:rPr>
                <w:rFonts w:hint="eastAsia"/>
                <w:color w:val="000000"/>
              </w:rPr>
              <w:t>处的声级，dB；</w:t>
            </w:r>
          </w:p>
          <w:p w14:paraId="3B192AFB">
            <w:pPr>
              <w:spacing w:line="360" w:lineRule="auto"/>
              <w:ind w:firstLine="480"/>
              <w:rPr>
                <w:color w:val="000000"/>
              </w:rPr>
            </w:pPr>
            <w:r>
              <w:rPr>
                <w:rFonts w:hint="eastAsia"/>
                <w:color w:val="000000"/>
              </w:rPr>
              <w:t>A</w:t>
            </w:r>
            <w:r>
              <w:rPr>
                <w:rFonts w:hint="eastAsia"/>
                <w:color w:val="000000"/>
                <w:vertAlign w:val="subscript"/>
              </w:rPr>
              <w:t>div</w:t>
            </w:r>
            <w:r>
              <w:rPr>
                <w:rFonts w:hint="eastAsia"/>
                <w:color w:val="000000"/>
              </w:rPr>
              <w:t>——几何发散引起的衰减，dB；</w:t>
            </w:r>
          </w:p>
          <w:p w14:paraId="59AAA825">
            <w:pPr>
              <w:spacing w:line="360" w:lineRule="auto"/>
              <w:ind w:firstLine="480"/>
              <w:jc w:val="center"/>
              <w:rPr>
                <w:color w:val="000000"/>
              </w:rPr>
            </w:pPr>
            <w:r>
              <w:rPr>
                <w:rFonts w:hint="eastAsia"/>
                <w:color w:val="000000"/>
              </w:rPr>
              <w:drawing>
                <wp:inline distT="0" distB="0" distL="114300" distR="114300">
                  <wp:extent cx="1466850" cy="304800"/>
                  <wp:effectExtent l="0" t="0" r="0" b="0"/>
                  <wp:docPr id="6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7"/>
                          <pic:cNvPicPr>
                            <a:picLocks noChangeAspect="1"/>
                          </pic:cNvPicPr>
                        </pic:nvPicPr>
                        <pic:blipFill>
                          <a:blip r:embed="rId28"/>
                          <a:stretch>
                            <a:fillRect/>
                          </a:stretch>
                        </pic:blipFill>
                        <pic:spPr>
                          <a:xfrm>
                            <a:off x="0" y="0"/>
                            <a:ext cx="1466850" cy="304800"/>
                          </a:xfrm>
                          <a:prstGeom prst="rect">
                            <a:avLst/>
                          </a:prstGeom>
                          <a:noFill/>
                          <a:ln>
                            <a:noFill/>
                          </a:ln>
                        </pic:spPr>
                      </pic:pic>
                    </a:graphicData>
                  </a:graphic>
                </wp:inline>
              </w:drawing>
            </w:r>
          </w:p>
          <w:p w14:paraId="31F283D6">
            <w:pPr>
              <w:spacing w:line="360" w:lineRule="auto"/>
              <w:ind w:firstLine="480"/>
              <w:rPr>
                <w:rFonts w:hint="eastAsia"/>
                <w:color w:val="000000"/>
              </w:rPr>
            </w:pPr>
            <w:r>
              <w:rPr>
                <w:rFonts w:hint="eastAsia"/>
                <w:color w:val="000000"/>
              </w:rPr>
              <w:t>计算某一室内声源靠近围护结构处产生的倍频带声压级或A声级，计算公式如下：</w:t>
            </w:r>
          </w:p>
          <w:p w14:paraId="2D9F18AF">
            <w:pPr>
              <w:spacing w:line="360" w:lineRule="auto"/>
              <w:jc w:val="center"/>
              <w:rPr>
                <w:rFonts w:hint="eastAsia"/>
                <w:color w:val="000000"/>
              </w:rPr>
            </w:pPr>
            <w:r>
              <w:rPr>
                <w:color w:val="000000"/>
              </w:rPr>
              <w:drawing>
                <wp:inline distT="0" distB="0" distL="114300" distR="114300">
                  <wp:extent cx="1764030" cy="452755"/>
                  <wp:effectExtent l="0" t="0" r="7620" b="4445"/>
                  <wp:docPr id="4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8"/>
                          <pic:cNvPicPr>
                            <a:picLocks noChangeAspect="1"/>
                          </pic:cNvPicPr>
                        </pic:nvPicPr>
                        <pic:blipFill>
                          <a:blip r:embed="rId29"/>
                          <a:stretch>
                            <a:fillRect/>
                          </a:stretch>
                        </pic:blipFill>
                        <pic:spPr>
                          <a:xfrm>
                            <a:off x="0" y="0"/>
                            <a:ext cx="1764030" cy="452755"/>
                          </a:xfrm>
                          <a:prstGeom prst="rect">
                            <a:avLst/>
                          </a:prstGeom>
                          <a:noFill/>
                          <a:ln>
                            <a:noFill/>
                          </a:ln>
                        </pic:spPr>
                      </pic:pic>
                    </a:graphicData>
                  </a:graphic>
                </wp:inline>
              </w:drawing>
            </w:r>
          </w:p>
          <w:p w14:paraId="7A76428B">
            <w:pPr>
              <w:spacing w:line="360" w:lineRule="auto"/>
              <w:ind w:firstLine="480"/>
              <w:rPr>
                <w:rFonts w:hint="eastAsia"/>
                <w:color w:val="000000"/>
              </w:rPr>
            </w:pPr>
            <w:r>
              <w:rPr>
                <w:rFonts w:hint="eastAsia"/>
                <w:color w:val="000000"/>
              </w:rPr>
              <w:t>式中：Lp1——靠近开口处（或窗户）室内某倍频带的声压级或A声级，dB；</w:t>
            </w:r>
          </w:p>
          <w:p w14:paraId="15B21527">
            <w:pPr>
              <w:spacing w:line="360" w:lineRule="auto"/>
              <w:ind w:firstLine="480"/>
              <w:rPr>
                <w:rFonts w:hint="eastAsia"/>
                <w:color w:val="000000"/>
              </w:rPr>
            </w:pPr>
            <w:r>
              <w:rPr>
                <w:rFonts w:hint="eastAsia"/>
                <w:color w:val="000000"/>
              </w:rPr>
              <w:t>Lw——点声源声功率级（A 计权或倍频带），dB；</w:t>
            </w:r>
          </w:p>
          <w:p w14:paraId="48893F38">
            <w:pPr>
              <w:spacing w:line="360" w:lineRule="auto"/>
              <w:ind w:firstLine="480"/>
              <w:rPr>
                <w:rFonts w:hint="eastAsia"/>
                <w:color w:val="000000"/>
              </w:rPr>
            </w:pPr>
            <w:r>
              <w:rPr>
                <w:rFonts w:hint="eastAsia"/>
                <w:color w:val="000000"/>
              </w:rPr>
              <w:t>Q——指向性因数；通常对无指向性声源，当声源放在房间中心时，Q=1；当放在一面墙的中心时，Q=2；当放在两面墙夹角处时，Q=4；当放在三面墙夹角处时，Q=8；</w:t>
            </w:r>
          </w:p>
          <w:p w14:paraId="5A19399B">
            <w:pPr>
              <w:spacing w:line="360" w:lineRule="auto"/>
              <w:ind w:firstLine="480"/>
              <w:rPr>
                <w:rFonts w:hint="eastAsia"/>
                <w:color w:val="000000"/>
              </w:rPr>
            </w:pPr>
            <w:r>
              <w:rPr>
                <w:rFonts w:hint="eastAsia"/>
                <w:color w:val="000000"/>
              </w:rPr>
              <w:t>R——房间常数；R=Sα/（1-α），S为房间内表面面积，m²；α为平均吸声系数；</w:t>
            </w:r>
          </w:p>
          <w:p w14:paraId="0489563B">
            <w:pPr>
              <w:spacing w:line="360" w:lineRule="auto"/>
              <w:ind w:firstLine="480"/>
              <w:rPr>
                <w:rFonts w:hint="eastAsia"/>
                <w:color w:val="000000"/>
              </w:rPr>
            </w:pPr>
            <w:r>
              <w:rPr>
                <w:rFonts w:hint="eastAsia"/>
                <w:color w:val="000000"/>
              </w:rPr>
              <w:t>r——声源到靠近围护结构某点处的距离，m。</w:t>
            </w:r>
          </w:p>
          <w:p w14:paraId="6ADA3AAE">
            <w:pPr>
              <w:spacing w:line="360" w:lineRule="auto"/>
              <w:ind w:firstLine="480"/>
              <w:rPr>
                <w:color w:val="000000"/>
              </w:rPr>
            </w:pPr>
            <w:r>
              <w:rPr>
                <w:rFonts w:hint="eastAsia"/>
                <w:color w:val="000000"/>
              </w:rPr>
              <w:t>③所有声源在预测点的计权声级叠加结果（未叠加背景值）计算模式</w:t>
            </w:r>
          </w:p>
          <w:p w14:paraId="40762480">
            <w:pPr>
              <w:spacing w:line="360" w:lineRule="auto"/>
              <w:jc w:val="center"/>
              <w:rPr>
                <w:color w:val="000000"/>
              </w:rPr>
            </w:pPr>
            <w:r>
              <w:rPr>
                <w:rFonts w:hint="eastAsia"/>
                <w:color w:val="000000"/>
              </w:rPr>
              <w:object>
                <v:shape id="_x0000_i1025" o:spt="75" type="#_x0000_t75" style="height:44.9pt;width:101pt;" o:ole="t" filled="f" o:preferrelative="t" stroked="f" coordsize="21600,21600">
                  <v:path/>
                  <v:fill on="f" focussize="0,0"/>
                  <v:stroke on="f"/>
                  <v:imagedata r:id="rId31" o:title=""/>
                  <o:lock v:ext="edit" aspectratio="t"/>
                  <w10:wrap type="none"/>
                  <w10:anchorlock/>
                </v:shape>
                <o:OLEObject Type="Embed" ProgID="Equation.3" ShapeID="_x0000_i1025" DrawAspect="Content" ObjectID="_1468075725" r:id="rId30">
                  <o:LockedField>false</o:LockedField>
                </o:OLEObject>
              </w:object>
            </w:r>
          </w:p>
          <w:p w14:paraId="5630DCF7">
            <w:pPr>
              <w:spacing w:line="360" w:lineRule="auto"/>
              <w:ind w:firstLine="480"/>
              <w:rPr>
                <w:color w:val="000000"/>
              </w:rPr>
            </w:pPr>
            <w:r>
              <w:rPr>
                <w:rFonts w:hint="eastAsia"/>
                <w:color w:val="000000"/>
              </w:rPr>
              <w:t>式中：L总—所有声源在预测点的计权声级叠加结果，dB（A）；</w:t>
            </w:r>
          </w:p>
          <w:p w14:paraId="051C9BB6">
            <w:pPr>
              <w:pStyle w:val="25"/>
              <w:adjustRightInd w:val="0"/>
              <w:ind w:firstLine="1200" w:firstLineChars="500"/>
              <w:jc w:val="left"/>
              <w:rPr>
                <w:snapToGrid w:val="0"/>
                <w:color w:val="000000"/>
                <w:kern w:val="0"/>
              </w:rPr>
            </w:pPr>
            <w:r>
              <w:rPr>
                <w:rFonts w:hint="eastAsia"/>
                <w:color w:val="000000"/>
              </w:rPr>
              <w:t>Li—单个声源的声压级，dB（A）。</w:t>
            </w:r>
          </w:p>
          <w:p w14:paraId="170992B9">
            <w:pPr>
              <w:spacing w:line="360" w:lineRule="auto"/>
              <w:ind w:firstLine="420" w:firstLineChars="200"/>
              <w:outlineLvl w:val="4"/>
              <w:rPr>
                <w:rFonts w:hint="eastAsia"/>
                <w:b/>
                <w:bCs/>
                <w:color w:val="000000"/>
              </w:rPr>
            </w:pPr>
            <w:bookmarkStart w:id="31" w:name="_Toc438049059"/>
            <w:bookmarkStart w:id="32" w:name="_Toc436205513"/>
            <w:bookmarkStart w:id="33" w:name="_Toc510172008"/>
            <w:bookmarkStart w:id="34" w:name="_Toc509163554"/>
            <w:bookmarkStart w:id="35" w:name="_Toc435084227"/>
            <w:bookmarkStart w:id="36" w:name="_Toc489977152"/>
            <w:bookmarkStart w:id="37" w:name="_Toc510000345"/>
            <w:bookmarkStart w:id="38" w:name="_Toc434422883"/>
            <w:r>
              <w:rPr>
                <w:rFonts w:hint="eastAsia"/>
                <w:b/>
                <w:bCs/>
                <w:color w:val="000000"/>
              </w:rPr>
              <w:t>（3）衰减因素选取</w:t>
            </w:r>
            <w:bookmarkEnd w:id="31"/>
            <w:bookmarkEnd w:id="32"/>
            <w:bookmarkEnd w:id="33"/>
            <w:bookmarkEnd w:id="34"/>
            <w:bookmarkEnd w:id="35"/>
            <w:bookmarkEnd w:id="36"/>
            <w:bookmarkEnd w:id="37"/>
            <w:bookmarkEnd w:id="38"/>
          </w:p>
          <w:p w14:paraId="5443CA90">
            <w:pPr>
              <w:spacing w:line="360" w:lineRule="auto"/>
              <w:ind w:firstLine="420" w:firstLineChars="200"/>
              <w:rPr>
                <w:color w:val="000000"/>
              </w:rPr>
            </w:pPr>
            <w:r>
              <w:rPr>
                <w:rFonts w:hint="eastAsia"/>
                <w:color w:val="000000"/>
              </w:rPr>
              <w:t>预测计算时，在满足工程所需精度的前提下，采用了较为保守的考虑，在噪声衰减时考虑了几何发散（</w:t>
            </w:r>
            <w:r>
              <w:rPr>
                <w:color w:val="000000"/>
              </w:rPr>
              <w:t>Adiv）、大气吸收（Aatm）、地面效应（Agr）、屏障屏蔽（Abar）引起的衰减，而未考虑其他多方面效应（Amisc）以及绿化林带引起的衰减。</w:t>
            </w:r>
          </w:p>
          <w:p w14:paraId="52C353DA">
            <w:pPr>
              <w:keepNext/>
              <w:keepLines/>
              <w:spacing w:before="156" w:beforeLines="50" w:line="360" w:lineRule="auto"/>
              <w:jc w:val="center"/>
              <w:outlineLvl w:val="3"/>
              <w:rPr>
                <w:b/>
                <w:bCs/>
                <w:color w:val="000000"/>
              </w:rPr>
            </w:pPr>
            <w:r>
              <w:rPr>
                <w:b/>
                <w:bCs/>
                <w:color w:val="000000"/>
              </w:rPr>
              <w:t>表</w:t>
            </w:r>
            <w:r>
              <w:rPr>
                <w:rFonts w:hint="eastAsia"/>
                <w:b/>
                <w:bCs/>
                <w:color w:val="000000"/>
              </w:rPr>
              <w:t>4-18</w:t>
            </w:r>
            <w:r>
              <w:rPr>
                <w:b/>
                <w:bCs/>
                <w:color w:val="000000"/>
              </w:rPr>
              <w:t xml:space="preserve">  </w:t>
            </w:r>
            <w:r>
              <w:rPr>
                <w:rFonts w:hint="eastAsia"/>
                <w:b/>
                <w:bCs/>
                <w:color w:val="000000"/>
              </w:rPr>
              <w:t>噪声衰减考虑的主要</w:t>
            </w:r>
            <w:r>
              <w:rPr>
                <w:b/>
                <w:bCs/>
                <w:color w:val="000000"/>
              </w:rPr>
              <w:t>建</w:t>
            </w:r>
            <w:r>
              <w:rPr>
                <w:rFonts w:hint="eastAsia"/>
                <w:b/>
                <w:bCs/>
                <w:color w:val="000000"/>
              </w:rPr>
              <w:t>（构）</w:t>
            </w:r>
            <w:r>
              <w:rPr>
                <w:b/>
                <w:bCs/>
                <w:color w:val="000000"/>
              </w:rPr>
              <w:t>筑物</w:t>
            </w:r>
            <w:r>
              <w:rPr>
                <w:rFonts w:hint="eastAsia"/>
                <w:b/>
                <w:bCs/>
                <w:color w:val="000000"/>
              </w:rPr>
              <w:t>尺寸</w:t>
            </w:r>
            <w:r>
              <w:rPr>
                <w:b/>
                <w:bCs/>
                <w:color w:val="000000"/>
              </w:rPr>
              <w:t>一览表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237"/>
              <w:gridCol w:w="2612"/>
              <w:gridCol w:w="2615"/>
            </w:tblGrid>
            <w:tr w14:paraId="2FE592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6B6A5958">
                  <w:pPr>
                    <w:overflowPunct w:val="0"/>
                    <w:jc w:val="center"/>
                    <w:textAlignment w:val="baseline"/>
                    <w:rPr>
                      <w:rFonts w:hint="eastAsia"/>
                      <w:b/>
                      <w:color w:val="000000"/>
                      <w:sz w:val="21"/>
                      <w:szCs w:val="21"/>
                    </w:rPr>
                  </w:pPr>
                  <w:r>
                    <w:rPr>
                      <w:rFonts w:hint="eastAsia"/>
                      <w:b/>
                      <w:color w:val="000000"/>
                      <w:sz w:val="21"/>
                      <w:szCs w:val="21"/>
                    </w:rPr>
                    <w:t>序号</w:t>
                  </w:r>
                </w:p>
              </w:tc>
              <w:tc>
                <w:tcPr>
                  <w:tcW w:w="1354" w:type="pct"/>
                  <w:noWrap w:val="0"/>
                  <w:vAlign w:val="center"/>
                </w:tcPr>
                <w:p w14:paraId="77CF63AF">
                  <w:pPr>
                    <w:overflowPunct w:val="0"/>
                    <w:jc w:val="center"/>
                    <w:textAlignment w:val="baseline"/>
                    <w:rPr>
                      <w:rFonts w:hint="eastAsia"/>
                      <w:b/>
                      <w:color w:val="000000"/>
                      <w:sz w:val="21"/>
                      <w:szCs w:val="21"/>
                    </w:rPr>
                  </w:pPr>
                  <w:r>
                    <w:rPr>
                      <w:rFonts w:hint="eastAsia"/>
                      <w:b/>
                      <w:color w:val="000000"/>
                      <w:sz w:val="21"/>
                      <w:szCs w:val="21"/>
                    </w:rPr>
                    <w:t>名称</w:t>
                  </w:r>
                </w:p>
              </w:tc>
              <w:tc>
                <w:tcPr>
                  <w:tcW w:w="1581" w:type="pct"/>
                  <w:noWrap w:val="0"/>
                  <w:vAlign w:val="center"/>
                </w:tcPr>
                <w:p w14:paraId="7ED49F0B">
                  <w:pPr>
                    <w:overflowPunct w:val="0"/>
                    <w:jc w:val="center"/>
                    <w:textAlignment w:val="baseline"/>
                    <w:rPr>
                      <w:rFonts w:hint="eastAsia"/>
                      <w:b/>
                      <w:color w:val="000000"/>
                      <w:sz w:val="21"/>
                      <w:szCs w:val="21"/>
                    </w:rPr>
                  </w:pPr>
                  <w:r>
                    <w:rPr>
                      <w:rFonts w:hint="eastAsia"/>
                      <w:b/>
                      <w:color w:val="000000"/>
                      <w:sz w:val="21"/>
                      <w:szCs w:val="21"/>
                    </w:rPr>
                    <w:t>尺寸（长m×宽m×高m）</w:t>
                  </w:r>
                </w:p>
              </w:tc>
              <w:tc>
                <w:tcPr>
                  <w:tcW w:w="1582" w:type="pct"/>
                  <w:noWrap w:val="0"/>
                  <w:vAlign w:val="center"/>
                </w:tcPr>
                <w:p w14:paraId="52F12012">
                  <w:pPr>
                    <w:overflowPunct w:val="0"/>
                    <w:jc w:val="center"/>
                    <w:textAlignment w:val="baseline"/>
                    <w:rPr>
                      <w:b/>
                      <w:color w:val="000000"/>
                      <w:sz w:val="21"/>
                      <w:szCs w:val="21"/>
                    </w:rPr>
                  </w:pPr>
                  <w:r>
                    <w:rPr>
                      <w:rFonts w:hint="eastAsia"/>
                      <w:b/>
                      <w:color w:val="000000"/>
                      <w:sz w:val="21"/>
                      <w:szCs w:val="21"/>
                    </w:rPr>
                    <w:t>隔声损失</w:t>
                  </w:r>
                  <w:r>
                    <w:rPr>
                      <w:b/>
                      <w:color w:val="000000"/>
                      <w:sz w:val="21"/>
                      <w:szCs w:val="21"/>
                    </w:rPr>
                    <w:t>dB（A）</w:t>
                  </w:r>
                </w:p>
              </w:tc>
            </w:tr>
            <w:tr w14:paraId="1B7A35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7228530A">
                  <w:pPr>
                    <w:adjustRightInd w:val="0"/>
                    <w:jc w:val="center"/>
                    <w:textAlignment w:val="center"/>
                    <w:rPr>
                      <w:rFonts w:hint="eastAsia"/>
                      <w:color w:val="000000"/>
                      <w:sz w:val="21"/>
                      <w:szCs w:val="21"/>
                    </w:rPr>
                  </w:pPr>
                  <w:r>
                    <w:rPr>
                      <w:rFonts w:hint="eastAsia"/>
                      <w:color w:val="000000"/>
                      <w:sz w:val="21"/>
                      <w:szCs w:val="21"/>
                    </w:rPr>
                    <w:t>1</w:t>
                  </w:r>
                </w:p>
              </w:tc>
              <w:tc>
                <w:tcPr>
                  <w:tcW w:w="1354" w:type="pct"/>
                  <w:noWrap w:val="0"/>
                  <w:vAlign w:val="center"/>
                </w:tcPr>
                <w:p w14:paraId="5300C0F5">
                  <w:pPr>
                    <w:adjustRightInd w:val="0"/>
                    <w:jc w:val="center"/>
                    <w:textAlignment w:val="center"/>
                    <w:rPr>
                      <w:color w:val="000000"/>
                      <w:sz w:val="21"/>
                      <w:szCs w:val="21"/>
                    </w:rPr>
                  </w:pPr>
                  <w:r>
                    <w:rPr>
                      <w:rFonts w:hint="eastAsia"/>
                      <w:color w:val="000000"/>
                      <w:sz w:val="21"/>
                      <w:szCs w:val="21"/>
                    </w:rPr>
                    <w:t>1号厂房</w:t>
                  </w:r>
                </w:p>
              </w:tc>
              <w:tc>
                <w:tcPr>
                  <w:tcW w:w="1581" w:type="pct"/>
                  <w:noWrap w:val="0"/>
                  <w:vAlign w:val="center"/>
                </w:tcPr>
                <w:p w14:paraId="2A20E1C5">
                  <w:pPr>
                    <w:adjustRightInd w:val="0"/>
                    <w:jc w:val="center"/>
                    <w:textAlignment w:val="center"/>
                    <w:rPr>
                      <w:rFonts w:hint="eastAsia"/>
                      <w:color w:val="000000"/>
                      <w:sz w:val="21"/>
                      <w:szCs w:val="21"/>
                    </w:rPr>
                  </w:pPr>
                  <w:r>
                    <w:rPr>
                      <w:rFonts w:hint="eastAsia"/>
                      <w:color w:val="000000"/>
                      <w:sz w:val="21"/>
                      <w:szCs w:val="21"/>
                    </w:rPr>
                    <w:t>100×30×5</w:t>
                  </w:r>
                </w:p>
              </w:tc>
              <w:tc>
                <w:tcPr>
                  <w:tcW w:w="1582" w:type="pct"/>
                  <w:noWrap w:val="0"/>
                  <w:vAlign w:val="center"/>
                </w:tcPr>
                <w:p w14:paraId="17D101C2">
                  <w:pPr>
                    <w:adjustRightInd w:val="0"/>
                    <w:jc w:val="center"/>
                    <w:textAlignment w:val="center"/>
                    <w:rPr>
                      <w:color w:val="000000"/>
                      <w:sz w:val="21"/>
                      <w:szCs w:val="21"/>
                    </w:rPr>
                  </w:pPr>
                  <w:r>
                    <w:rPr>
                      <w:rFonts w:hint="eastAsia"/>
                      <w:color w:val="000000"/>
                      <w:sz w:val="21"/>
                      <w:szCs w:val="21"/>
                    </w:rPr>
                    <w:t>20</w:t>
                  </w:r>
                </w:p>
              </w:tc>
            </w:tr>
            <w:tr w14:paraId="5825B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2D8F1702">
                  <w:pPr>
                    <w:adjustRightInd w:val="0"/>
                    <w:jc w:val="center"/>
                    <w:textAlignment w:val="center"/>
                    <w:rPr>
                      <w:rFonts w:hint="eastAsia"/>
                      <w:color w:val="000000"/>
                      <w:sz w:val="21"/>
                      <w:szCs w:val="21"/>
                    </w:rPr>
                  </w:pPr>
                  <w:r>
                    <w:rPr>
                      <w:rFonts w:hint="eastAsia"/>
                      <w:color w:val="000000"/>
                      <w:sz w:val="21"/>
                      <w:szCs w:val="21"/>
                    </w:rPr>
                    <w:t>2</w:t>
                  </w:r>
                </w:p>
              </w:tc>
              <w:tc>
                <w:tcPr>
                  <w:tcW w:w="1354" w:type="pct"/>
                  <w:noWrap w:val="0"/>
                  <w:vAlign w:val="center"/>
                </w:tcPr>
                <w:p w14:paraId="0247F139">
                  <w:pPr>
                    <w:adjustRightInd w:val="0"/>
                    <w:jc w:val="center"/>
                    <w:textAlignment w:val="center"/>
                    <w:rPr>
                      <w:rFonts w:hint="eastAsia"/>
                      <w:color w:val="000000"/>
                      <w:sz w:val="21"/>
                      <w:szCs w:val="21"/>
                    </w:rPr>
                  </w:pPr>
                  <w:r>
                    <w:rPr>
                      <w:rFonts w:hint="eastAsia"/>
                      <w:color w:val="000000"/>
                      <w:sz w:val="21"/>
                      <w:szCs w:val="21"/>
                    </w:rPr>
                    <w:t>2号厂房</w:t>
                  </w:r>
                </w:p>
              </w:tc>
              <w:tc>
                <w:tcPr>
                  <w:tcW w:w="1581" w:type="pct"/>
                  <w:noWrap w:val="0"/>
                  <w:vAlign w:val="center"/>
                </w:tcPr>
                <w:p w14:paraId="08B590AA">
                  <w:pPr>
                    <w:adjustRightInd w:val="0"/>
                    <w:jc w:val="center"/>
                    <w:textAlignment w:val="center"/>
                    <w:rPr>
                      <w:rFonts w:hint="eastAsia"/>
                      <w:color w:val="000000"/>
                      <w:sz w:val="21"/>
                      <w:szCs w:val="21"/>
                    </w:rPr>
                  </w:pPr>
                  <w:r>
                    <w:rPr>
                      <w:rFonts w:hint="eastAsia"/>
                      <w:color w:val="000000"/>
                      <w:sz w:val="21"/>
                      <w:szCs w:val="21"/>
                    </w:rPr>
                    <w:t>100×30×5</w:t>
                  </w:r>
                </w:p>
              </w:tc>
              <w:tc>
                <w:tcPr>
                  <w:tcW w:w="1582" w:type="pct"/>
                  <w:noWrap w:val="0"/>
                  <w:vAlign w:val="center"/>
                </w:tcPr>
                <w:p w14:paraId="39AC05E1">
                  <w:pPr>
                    <w:adjustRightInd w:val="0"/>
                    <w:jc w:val="center"/>
                    <w:textAlignment w:val="center"/>
                    <w:rPr>
                      <w:rFonts w:hint="eastAsia"/>
                      <w:color w:val="000000"/>
                      <w:sz w:val="21"/>
                      <w:szCs w:val="21"/>
                    </w:rPr>
                  </w:pPr>
                  <w:r>
                    <w:rPr>
                      <w:rFonts w:hint="eastAsia"/>
                      <w:color w:val="000000"/>
                      <w:sz w:val="21"/>
                      <w:szCs w:val="21"/>
                    </w:rPr>
                    <w:t>20</w:t>
                  </w:r>
                </w:p>
              </w:tc>
            </w:tr>
            <w:tr w14:paraId="546CE2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6FAEC839">
                  <w:pPr>
                    <w:adjustRightInd w:val="0"/>
                    <w:jc w:val="center"/>
                    <w:textAlignment w:val="center"/>
                    <w:rPr>
                      <w:color w:val="000000"/>
                      <w:sz w:val="21"/>
                      <w:szCs w:val="21"/>
                    </w:rPr>
                  </w:pPr>
                  <w:r>
                    <w:rPr>
                      <w:rFonts w:hint="eastAsia"/>
                      <w:color w:val="000000"/>
                      <w:sz w:val="21"/>
                      <w:szCs w:val="21"/>
                    </w:rPr>
                    <w:t>3</w:t>
                  </w:r>
                </w:p>
              </w:tc>
              <w:tc>
                <w:tcPr>
                  <w:tcW w:w="1354" w:type="pct"/>
                  <w:noWrap w:val="0"/>
                  <w:vAlign w:val="center"/>
                </w:tcPr>
                <w:p w14:paraId="621C72A6">
                  <w:pPr>
                    <w:adjustRightInd w:val="0"/>
                    <w:jc w:val="center"/>
                    <w:textAlignment w:val="center"/>
                    <w:rPr>
                      <w:color w:val="000000"/>
                      <w:sz w:val="21"/>
                      <w:szCs w:val="21"/>
                    </w:rPr>
                  </w:pPr>
                  <w:r>
                    <w:rPr>
                      <w:rFonts w:hint="eastAsia"/>
                      <w:color w:val="000000"/>
                      <w:sz w:val="21"/>
                      <w:szCs w:val="21"/>
                    </w:rPr>
                    <w:t>综合楼</w:t>
                  </w:r>
                </w:p>
              </w:tc>
              <w:tc>
                <w:tcPr>
                  <w:tcW w:w="1581" w:type="pct"/>
                  <w:noWrap w:val="0"/>
                  <w:vAlign w:val="center"/>
                </w:tcPr>
                <w:p w14:paraId="3C4721C2">
                  <w:pPr>
                    <w:adjustRightInd w:val="0"/>
                    <w:jc w:val="center"/>
                    <w:textAlignment w:val="center"/>
                    <w:rPr>
                      <w:color w:val="000000"/>
                      <w:sz w:val="21"/>
                      <w:szCs w:val="21"/>
                    </w:rPr>
                  </w:pPr>
                  <w:r>
                    <w:rPr>
                      <w:rFonts w:hint="eastAsia"/>
                      <w:color w:val="000000"/>
                      <w:sz w:val="21"/>
                      <w:szCs w:val="21"/>
                    </w:rPr>
                    <w:t>75×12×12</w:t>
                  </w:r>
                </w:p>
              </w:tc>
              <w:tc>
                <w:tcPr>
                  <w:tcW w:w="1582" w:type="pct"/>
                  <w:noWrap w:val="0"/>
                  <w:vAlign w:val="center"/>
                </w:tcPr>
                <w:p w14:paraId="3709032A">
                  <w:pPr>
                    <w:adjustRightInd w:val="0"/>
                    <w:jc w:val="center"/>
                    <w:textAlignment w:val="center"/>
                    <w:rPr>
                      <w:color w:val="000000"/>
                      <w:sz w:val="21"/>
                      <w:szCs w:val="21"/>
                    </w:rPr>
                  </w:pPr>
                  <w:r>
                    <w:rPr>
                      <w:rFonts w:hint="eastAsia"/>
                      <w:color w:val="000000"/>
                      <w:sz w:val="21"/>
                      <w:szCs w:val="21"/>
                    </w:rPr>
                    <w:t>40</w:t>
                  </w:r>
                </w:p>
              </w:tc>
            </w:tr>
            <w:tr w14:paraId="6EC8BD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0FEDEEDD">
                  <w:pPr>
                    <w:adjustRightInd w:val="0"/>
                    <w:jc w:val="center"/>
                    <w:textAlignment w:val="center"/>
                    <w:rPr>
                      <w:color w:val="000000"/>
                      <w:sz w:val="21"/>
                      <w:szCs w:val="21"/>
                    </w:rPr>
                  </w:pPr>
                  <w:r>
                    <w:rPr>
                      <w:rFonts w:hint="eastAsia"/>
                      <w:color w:val="000000"/>
                      <w:sz w:val="21"/>
                      <w:szCs w:val="21"/>
                    </w:rPr>
                    <w:t>4</w:t>
                  </w:r>
                </w:p>
              </w:tc>
              <w:tc>
                <w:tcPr>
                  <w:tcW w:w="1354" w:type="pct"/>
                  <w:noWrap w:val="0"/>
                  <w:vAlign w:val="center"/>
                </w:tcPr>
                <w:p w14:paraId="7ABC959A">
                  <w:pPr>
                    <w:adjustRightInd w:val="0"/>
                    <w:jc w:val="center"/>
                    <w:textAlignment w:val="center"/>
                    <w:rPr>
                      <w:color w:val="000000"/>
                      <w:sz w:val="21"/>
                      <w:szCs w:val="21"/>
                    </w:rPr>
                  </w:pPr>
                  <w:r>
                    <w:rPr>
                      <w:rFonts w:hint="eastAsia"/>
                      <w:color w:val="000000"/>
                      <w:sz w:val="21"/>
                      <w:szCs w:val="21"/>
                    </w:rPr>
                    <w:t>废气机房1</w:t>
                  </w:r>
                </w:p>
              </w:tc>
              <w:tc>
                <w:tcPr>
                  <w:tcW w:w="1581" w:type="pct"/>
                  <w:noWrap w:val="0"/>
                  <w:vAlign w:val="center"/>
                </w:tcPr>
                <w:p w14:paraId="5160B3F3">
                  <w:pPr>
                    <w:adjustRightInd w:val="0"/>
                    <w:jc w:val="center"/>
                    <w:textAlignment w:val="center"/>
                    <w:rPr>
                      <w:color w:val="000000"/>
                      <w:sz w:val="21"/>
                      <w:szCs w:val="21"/>
                    </w:rPr>
                  </w:pPr>
                  <w:r>
                    <w:rPr>
                      <w:rFonts w:hint="eastAsia"/>
                      <w:color w:val="000000"/>
                      <w:sz w:val="21"/>
                      <w:szCs w:val="21"/>
                    </w:rPr>
                    <w:t>10×3×2.5</w:t>
                  </w:r>
                </w:p>
              </w:tc>
              <w:tc>
                <w:tcPr>
                  <w:tcW w:w="1582" w:type="pct"/>
                  <w:noWrap w:val="0"/>
                  <w:vAlign w:val="center"/>
                </w:tcPr>
                <w:p w14:paraId="17FFFE7B">
                  <w:pPr>
                    <w:adjustRightInd w:val="0"/>
                    <w:jc w:val="center"/>
                    <w:textAlignment w:val="center"/>
                    <w:rPr>
                      <w:color w:val="000000"/>
                      <w:sz w:val="21"/>
                      <w:szCs w:val="21"/>
                    </w:rPr>
                  </w:pPr>
                  <w:r>
                    <w:rPr>
                      <w:rFonts w:hint="eastAsia"/>
                      <w:color w:val="000000"/>
                      <w:sz w:val="21"/>
                      <w:szCs w:val="21"/>
                    </w:rPr>
                    <w:t>30</w:t>
                  </w:r>
                </w:p>
              </w:tc>
            </w:tr>
            <w:tr w14:paraId="62DB4F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01F59D64">
                  <w:pPr>
                    <w:adjustRightInd w:val="0"/>
                    <w:jc w:val="center"/>
                    <w:textAlignment w:val="center"/>
                    <w:rPr>
                      <w:color w:val="000000"/>
                      <w:sz w:val="21"/>
                      <w:szCs w:val="21"/>
                    </w:rPr>
                  </w:pPr>
                  <w:r>
                    <w:rPr>
                      <w:rFonts w:hint="eastAsia"/>
                      <w:color w:val="000000"/>
                      <w:sz w:val="21"/>
                      <w:szCs w:val="21"/>
                    </w:rPr>
                    <w:t>5</w:t>
                  </w:r>
                </w:p>
              </w:tc>
              <w:tc>
                <w:tcPr>
                  <w:tcW w:w="1354" w:type="pct"/>
                  <w:noWrap w:val="0"/>
                  <w:vAlign w:val="center"/>
                </w:tcPr>
                <w:p w14:paraId="25DD1D5F">
                  <w:pPr>
                    <w:adjustRightInd w:val="0"/>
                    <w:jc w:val="center"/>
                    <w:textAlignment w:val="center"/>
                    <w:rPr>
                      <w:color w:val="000000"/>
                      <w:sz w:val="21"/>
                      <w:szCs w:val="21"/>
                    </w:rPr>
                  </w:pPr>
                  <w:r>
                    <w:rPr>
                      <w:rFonts w:hint="eastAsia"/>
                      <w:color w:val="000000"/>
                      <w:sz w:val="21"/>
                      <w:szCs w:val="21"/>
                    </w:rPr>
                    <w:t>废气机房2</w:t>
                  </w:r>
                </w:p>
              </w:tc>
              <w:tc>
                <w:tcPr>
                  <w:tcW w:w="1581" w:type="pct"/>
                  <w:noWrap w:val="0"/>
                  <w:vAlign w:val="center"/>
                </w:tcPr>
                <w:p w14:paraId="6DA30950">
                  <w:pPr>
                    <w:adjustRightInd w:val="0"/>
                    <w:jc w:val="center"/>
                    <w:textAlignment w:val="center"/>
                    <w:rPr>
                      <w:color w:val="000000"/>
                      <w:sz w:val="21"/>
                      <w:szCs w:val="21"/>
                    </w:rPr>
                  </w:pPr>
                  <w:r>
                    <w:rPr>
                      <w:rFonts w:hint="eastAsia"/>
                      <w:color w:val="000000"/>
                      <w:sz w:val="21"/>
                      <w:szCs w:val="21"/>
                    </w:rPr>
                    <w:t>8×3×2.5</w:t>
                  </w:r>
                </w:p>
              </w:tc>
              <w:tc>
                <w:tcPr>
                  <w:tcW w:w="1582" w:type="pct"/>
                  <w:noWrap w:val="0"/>
                  <w:vAlign w:val="center"/>
                </w:tcPr>
                <w:p w14:paraId="6CE32F1C">
                  <w:pPr>
                    <w:adjustRightInd w:val="0"/>
                    <w:jc w:val="center"/>
                    <w:textAlignment w:val="center"/>
                    <w:rPr>
                      <w:color w:val="000000"/>
                      <w:sz w:val="21"/>
                      <w:szCs w:val="21"/>
                    </w:rPr>
                  </w:pPr>
                  <w:r>
                    <w:rPr>
                      <w:rFonts w:hint="eastAsia"/>
                      <w:color w:val="000000"/>
                      <w:sz w:val="21"/>
                      <w:szCs w:val="21"/>
                    </w:rPr>
                    <w:t>30</w:t>
                  </w:r>
                </w:p>
              </w:tc>
            </w:tr>
            <w:tr w14:paraId="59678D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64ED7502">
                  <w:pPr>
                    <w:adjustRightInd w:val="0"/>
                    <w:jc w:val="center"/>
                    <w:textAlignment w:val="center"/>
                    <w:rPr>
                      <w:rFonts w:hint="eastAsia"/>
                      <w:color w:val="000000"/>
                      <w:sz w:val="21"/>
                      <w:szCs w:val="21"/>
                    </w:rPr>
                  </w:pPr>
                  <w:r>
                    <w:rPr>
                      <w:rFonts w:hint="eastAsia"/>
                      <w:color w:val="000000"/>
                      <w:sz w:val="21"/>
                      <w:szCs w:val="21"/>
                    </w:rPr>
                    <w:t>6</w:t>
                  </w:r>
                </w:p>
              </w:tc>
              <w:tc>
                <w:tcPr>
                  <w:tcW w:w="1354" w:type="pct"/>
                  <w:noWrap w:val="0"/>
                  <w:vAlign w:val="center"/>
                </w:tcPr>
                <w:p w14:paraId="5587A505">
                  <w:pPr>
                    <w:adjustRightInd w:val="0"/>
                    <w:jc w:val="center"/>
                    <w:textAlignment w:val="center"/>
                    <w:rPr>
                      <w:color w:val="000000"/>
                      <w:sz w:val="21"/>
                      <w:szCs w:val="21"/>
                    </w:rPr>
                  </w:pPr>
                  <w:r>
                    <w:rPr>
                      <w:rFonts w:hint="eastAsia"/>
                      <w:color w:val="000000"/>
                      <w:sz w:val="21"/>
                      <w:szCs w:val="21"/>
                    </w:rPr>
                    <w:t>空压机房</w:t>
                  </w:r>
                </w:p>
              </w:tc>
              <w:tc>
                <w:tcPr>
                  <w:tcW w:w="1581" w:type="pct"/>
                  <w:noWrap w:val="0"/>
                  <w:vAlign w:val="center"/>
                </w:tcPr>
                <w:p w14:paraId="07699EE3">
                  <w:pPr>
                    <w:adjustRightInd w:val="0"/>
                    <w:jc w:val="center"/>
                    <w:textAlignment w:val="center"/>
                    <w:rPr>
                      <w:rFonts w:hint="eastAsia"/>
                      <w:color w:val="000000"/>
                      <w:sz w:val="21"/>
                      <w:szCs w:val="21"/>
                    </w:rPr>
                  </w:pPr>
                  <w:r>
                    <w:rPr>
                      <w:rFonts w:hint="eastAsia"/>
                      <w:color w:val="000000"/>
                      <w:sz w:val="21"/>
                      <w:szCs w:val="21"/>
                    </w:rPr>
                    <w:t>3×3×2.5</w:t>
                  </w:r>
                </w:p>
              </w:tc>
              <w:tc>
                <w:tcPr>
                  <w:tcW w:w="1582" w:type="pct"/>
                  <w:noWrap w:val="0"/>
                  <w:vAlign w:val="center"/>
                </w:tcPr>
                <w:p w14:paraId="05964BC2">
                  <w:pPr>
                    <w:adjustRightInd w:val="0"/>
                    <w:jc w:val="center"/>
                    <w:textAlignment w:val="center"/>
                    <w:rPr>
                      <w:color w:val="000000"/>
                      <w:sz w:val="21"/>
                      <w:szCs w:val="21"/>
                    </w:rPr>
                  </w:pPr>
                  <w:r>
                    <w:rPr>
                      <w:rFonts w:hint="eastAsia"/>
                      <w:color w:val="000000"/>
                      <w:sz w:val="21"/>
                      <w:szCs w:val="21"/>
                    </w:rPr>
                    <w:t>30</w:t>
                  </w:r>
                </w:p>
              </w:tc>
            </w:tr>
            <w:tr w14:paraId="0E9B1E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2F3B61C6">
                  <w:pPr>
                    <w:adjustRightInd w:val="0"/>
                    <w:jc w:val="center"/>
                    <w:textAlignment w:val="center"/>
                    <w:rPr>
                      <w:color w:val="000000"/>
                      <w:sz w:val="21"/>
                      <w:szCs w:val="21"/>
                    </w:rPr>
                  </w:pPr>
                  <w:r>
                    <w:rPr>
                      <w:rFonts w:hint="eastAsia"/>
                      <w:color w:val="000000"/>
                      <w:sz w:val="21"/>
                      <w:szCs w:val="21"/>
                    </w:rPr>
                    <w:t>7</w:t>
                  </w:r>
                </w:p>
              </w:tc>
              <w:tc>
                <w:tcPr>
                  <w:tcW w:w="1354" w:type="pct"/>
                  <w:noWrap w:val="0"/>
                  <w:vAlign w:val="center"/>
                </w:tcPr>
                <w:p w14:paraId="6F262A8A">
                  <w:pPr>
                    <w:adjustRightInd w:val="0"/>
                    <w:jc w:val="center"/>
                    <w:textAlignment w:val="center"/>
                    <w:rPr>
                      <w:color w:val="000000"/>
                      <w:sz w:val="21"/>
                      <w:szCs w:val="21"/>
                    </w:rPr>
                  </w:pPr>
                  <w:r>
                    <w:rPr>
                      <w:rFonts w:hint="eastAsia"/>
                      <w:color w:val="000000"/>
                      <w:sz w:val="21"/>
                      <w:szCs w:val="21"/>
                    </w:rPr>
                    <w:t>一般工业废物暂存间</w:t>
                  </w:r>
                </w:p>
              </w:tc>
              <w:tc>
                <w:tcPr>
                  <w:tcW w:w="1581" w:type="pct"/>
                  <w:noWrap w:val="0"/>
                  <w:vAlign w:val="center"/>
                </w:tcPr>
                <w:p w14:paraId="3ED430FD">
                  <w:pPr>
                    <w:adjustRightInd w:val="0"/>
                    <w:jc w:val="center"/>
                    <w:textAlignment w:val="center"/>
                    <w:rPr>
                      <w:rFonts w:hint="eastAsia"/>
                      <w:color w:val="000000"/>
                      <w:sz w:val="21"/>
                      <w:szCs w:val="21"/>
                    </w:rPr>
                  </w:pPr>
                  <w:r>
                    <w:rPr>
                      <w:rFonts w:hint="eastAsia"/>
                      <w:color w:val="000000"/>
                      <w:sz w:val="21"/>
                      <w:szCs w:val="21"/>
                    </w:rPr>
                    <w:t>16×3×2.5</w:t>
                  </w:r>
                </w:p>
              </w:tc>
              <w:tc>
                <w:tcPr>
                  <w:tcW w:w="1582" w:type="pct"/>
                  <w:noWrap w:val="0"/>
                  <w:vAlign w:val="center"/>
                </w:tcPr>
                <w:p w14:paraId="3CAFDE80">
                  <w:pPr>
                    <w:adjustRightInd w:val="0"/>
                    <w:jc w:val="center"/>
                    <w:textAlignment w:val="center"/>
                    <w:rPr>
                      <w:color w:val="000000"/>
                      <w:sz w:val="21"/>
                      <w:szCs w:val="21"/>
                    </w:rPr>
                  </w:pPr>
                  <w:r>
                    <w:rPr>
                      <w:rFonts w:hint="eastAsia"/>
                      <w:color w:val="000000"/>
                      <w:sz w:val="21"/>
                      <w:szCs w:val="21"/>
                    </w:rPr>
                    <w:t>30</w:t>
                  </w:r>
                </w:p>
              </w:tc>
            </w:tr>
            <w:tr w14:paraId="58C488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1" w:type="pct"/>
                  <w:noWrap w:val="0"/>
                  <w:vAlign w:val="center"/>
                </w:tcPr>
                <w:p w14:paraId="089D8F4C">
                  <w:pPr>
                    <w:adjustRightInd w:val="0"/>
                    <w:jc w:val="center"/>
                    <w:textAlignment w:val="center"/>
                    <w:rPr>
                      <w:color w:val="000000"/>
                      <w:sz w:val="21"/>
                      <w:szCs w:val="21"/>
                    </w:rPr>
                  </w:pPr>
                  <w:r>
                    <w:rPr>
                      <w:rFonts w:hint="eastAsia"/>
                      <w:color w:val="000000"/>
                      <w:sz w:val="21"/>
                      <w:szCs w:val="21"/>
                    </w:rPr>
                    <w:t>8</w:t>
                  </w:r>
                </w:p>
              </w:tc>
              <w:tc>
                <w:tcPr>
                  <w:tcW w:w="1354" w:type="pct"/>
                  <w:noWrap w:val="0"/>
                  <w:vAlign w:val="center"/>
                </w:tcPr>
                <w:p w14:paraId="7BF31F29">
                  <w:pPr>
                    <w:adjustRightInd w:val="0"/>
                    <w:jc w:val="center"/>
                    <w:textAlignment w:val="center"/>
                    <w:rPr>
                      <w:color w:val="000000"/>
                      <w:sz w:val="21"/>
                      <w:szCs w:val="21"/>
                    </w:rPr>
                  </w:pPr>
                  <w:r>
                    <w:rPr>
                      <w:rFonts w:hint="eastAsia"/>
                      <w:color w:val="000000"/>
                      <w:sz w:val="21"/>
                      <w:szCs w:val="21"/>
                    </w:rPr>
                    <w:t>原料罐区</w:t>
                  </w:r>
                </w:p>
              </w:tc>
              <w:tc>
                <w:tcPr>
                  <w:tcW w:w="1581" w:type="pct"/>
                  <w:noWrap w:val="0"/>
                  <w:vAlign w:val="center"/>
                </w:tcPr>
                <w:p w14:paraId="44795CC4">
                  <w:pPr>
                    <w:adjustRightInd w:val="0"/>
                    <w:jc w:val="center"/>
                    <w:textAlignment w:val="center"/>
                    <w:rPr>
                      <w:color w:val="000000"/>
                      <w:sz w:val="21"/>
                      <w:szCs w:val="21"/>
                    </w:rPr>
                  </w:pPr>
                  <w:r>
                    <w:rPr>
                      <w:rFonts w:hint="eastAsia"/>
                      <w:color w:val="000000"/>
                      <w:sz w:val="21"/>
                      <w:szCs w:val="21"/>
                    </w:rPr>
                    <w:t>24×3.5×8</w:t>
                  </w:r>
                </w:p>
              </w:tc>
              <w:tc>
                <w:tcPr>
                  <w:tcW w:w="1582" w:type="pct"/>
                  <w:noWrap w:val="0"/>
                  <w:vAlign w:val="center"/>
                </w:tcPr>
                <w:p w14:paraId="47F93606">
                  <w:pPr>
                    <w:adjustRightInd w:val="0"/>
                    <w:jc w:val="center"/>
                    <w:textAlignment w:val="center"/>
                    <w:rPr>
                      <w:color w:val="000000"/>
                      <w:sz w:val="21"/>
                      <w:szCs w:val="21"/>
                    </w:rPr>
                  </w:pPr>
                  <w:r>
                    <w:rPr>
                      <w:rFonts w:hint="eastAsia"/>
                      <w:color w:val="000000"/>
                      <w:sz w:val="21"/>
                      <w:szCs w:val="21"/>
                    </w:rPr>
                    <w:t>20</w:t>
                  </w:r>
                </w:p>
              </w:tc>
            </w:tr>
          </w:tbl>
          <w:p w14:paraId="28A4DA7A">
            <w:pPr>
              <w:pStyle w:val="38"/>
              <w:tabs>
                <w:tab w:val="left" w:pos="6300"/>
              </w:tabs>
              <w:adjustRightInd w:val="0"/>
              <w:spacing w:after="0" w:line="360" w:lineRule="auto"/>
              <w:ind w:left="0" w:leftChars="0" w:firstLine="482"/>
              <w:rPr>
                <w:b/>
                <w:snapToGrid w:val="0"/>
                <w:color w:val="000000"/>
                <w:kern w:val="0"/>
                <w:szCs w:val="24"/>
              </w:rPr>
            </w:pPr>
            <w:r>
              <w:rPr>
                <w:rFonts w:hint="eastAsia"/>
                <w:b/>
                <w:snapToGrid w:val="0"/>
                <w:color w:val="000000"/>
                <w:kern w:val="0"/>
                <w:szCs w:val="24"/>
              </w:rPr>
              <w:t>（4</w:t>
            </w:r>
            <w:r>
              <w:rPr>
                <w:b/>
                <w:snapToGrid w:val="0"/>
                <w:color w:val="000000"/>
                <w:kern w:val="0"/>
                <w:szCs w:val="24"/>
              </w:rPr>
              <w:t>）</w:t>
            </w:r>
            <w:r>
              <w:rPr>
                <w:rFonts w:hint="eastAsia"/>
                <w:b/>
                <w:snapToGrid w:val="0"/>
                <w:color w:val="000000"/>
                <w:kern w:val="0"/>
                <w:szCs w:val="24"/>
              </w:rPr>
              <w:t>厂界</w:t>
            </w:r>
            <w:r>
              <w:rPr>
                <w:b/>
                <w:snapToGrid w:val="0"/>
                <w:color w:val="000000"/>
                <w:kern w:val="0"/>
                <w:szCs w:val="24"/>
              </w:rPr>
              <w:t>噪声预测及达标性分析</w:t>
            </w:r>
          </w:p>
          <w:p w14:paraId="636D49C4">
            <w:pPr>
              <w:pStyle w:val="38"/>
              <w:tabs>
                <w:tab w:val="left" w:pos="6300"/>
              </w:tabs>
              <w:adjustRightInd w:val="0"/>
              <w:spacing w:after="0" w:line="360" w:lineRule="auto"/>
              <w:ind w:left="0" w:leftChars="0"/>
              <w:rPr>
                <w:snapToGrid w:val="0"/>
                <w:color w:val="000000"/>
                <w:kern w:val="0"/>
                <w:szCs w:val="24"/>
              </w:rPr>
            </w:pPr>
            <w:bookmarkStart w:id="39" w:name="_Hlk12482658"/>
            <w:r>
              <w:rPr>
                <w:rFonts w:hint="eastAsia"/>
                <w:snapToGrid w:val="0"/>
                <w:color w:val="000000"/>
                <w:kern w:val="0"/>
                <w:szCs w:val="24"/>
              </w:rPr>
              <w:t>本项目夜间不生产，根据EIAProN预测软件预测结果，</w:t>
            </w:r>
            <w:r>
              <w:rPr>
                <w:snapToGrid w:val="0"/>
                <w:color w:val="000000"/>
                <w:kern w:val="0"/>
                <w:szCs w:val="24"/>
              </w:rPr>
              <w:t>预测结果</w:t>
            </w:r>
            <w:bookmarkEnd w:id="39"/>
            <w:r>
              <w:rPr>
                <w:snapToGrid w:val="0"/>
                <w:color w:val="000000"/>
                <w:kern w:val="0"/>
                <w:szCs w:val="24"/>
              </w:rPr>
              <w:t>见</w:t>
            </w:r>
            <w:r>
              <w:rPr>
                <w:color w:val="000000"/>
              </w:rPr>
              <w:t>表</w:t>
            </w:r>
            <w:r>
              <w:rPr>
                <w:rFonts w:hint="eastAsia"/>
                <w:color w:val="000000"/>
              </w:rPr>
              <w:t>4-19</w:t>
            </w:r>
            <w:r>
              <w:rPr>
                <w:snapToGrid w:val="0"/>
                <w:color w:val="000000"/>
                <w:kern w:val="0"/>
                <w:szCs w:val="24"/>
              </w:rPr>
              <w:t>。</w:t>
            </w:r>
          </w:p>
          <w:p w14:paraId="0EA9FECA">
            <w:pPr>
              <w:adjustRightInd w:val="0"/>
              <w:spacing w:line="360" w:lineRule="auto"/>
              <w:ind w:firstLine="420" w:firstLineChars="200"/>
              <w:contextualSpacing/>
              <w:jc w:val="center"/>
              <w:rPr>
                <w:b/>
                <w:color w:val="000000"/>
              </w:rPr>
            </w:pPr>
            <w:r>
              <w:rPr>
                <w:b/>
                <w:bCs/>
                <w:color w:val="000000"/>
              </w:rPr>
              <w:t>表</w:t>
            </w:r>
            <w:r>
              <w:rPr>
                <w:rFonts w:hint="eastAsia"/>
                <w:b/>
                <w:bCs/>
                <w:color w:val="000000"/>
              </w:rPr>
              <w:t>4-19</w:t>
            </w:r>
            <w:r>
              <w:rPr>
                <w:b/>
                <w:color w:val="000000"/>
              </w:rPr>
              <w:t xml:space="preserve">  </w:t>
            </w:r>
            <w:r>
              <w:rPr>
                <w:rFonts w:hint="eastAsia"/>
                <w:b/>
                <w:color w:val="000000"/>
              </w:rPr>
              <w:t>企业厂</w:t>
            </w:r>
            <w:r>
              <w:rPr>
                <w:b/>
                <w:color w:val="000000"/>
              </w:rPr>
              <w:t>界预测结果  单位：dB（A）</w:t>
            </w:r>
          </w:p>
          <w:tbl>
            <w:tblPr>
              <w:tblStyle w:val="16"/>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530"/>
              <w:gridCol w:w="1546"/>
              <w:gridCol w:w="1361"/>
              <w:gridCol w:w="1456"/>
              <w:gridCol w:w="1366"/>
            </w:tblGrid>
            <w:tr w14:paraId="2773CE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31" w:type="pct"/>
                  <w:noWrap w:val="0"/>
                  <w:vAlign w:val="center"/>
                </w:tcPr>
                <w:p w14:paraId="47DA46B6">
                  <w:pPr>
                    <w:adjustRightInd w:val="0"/>
                    <w:snapToGrid w:val="0"/>
                    <w:jc w:val="center"/>
                    <w:rPr>
                      <w:b/>
                      <w:bCs/>
                      <w:color w:val="000000"/>
                      <w:sz w:val="21"/>
                      <w:szCs w:val="21"/>
                    </w:rPr>
                  </w:pPr>
                  <w:r>
                    <w:rPr>
                      <w:b/>
                      <w:bCs/>
                      <w:color w:val="000000"/>
                      <w:sz w:val="21"/>
                      <w:szCs w:val="21"/>
                    </w:rPr>
                    <w:t>设备名称</w:t>
                  </w:r>
                </w:p>
              </w:tc>
              <w:tc>
                <w:tcPr>
                  <w:tcW w:w="936" w:type="pct"/>
                  <w:noWrap w:val="0"/>
                  <w:vAlign w:val="center"/>
                </w:tcPr>
                <w:p w14:paraId="577EC41F">
                  <w:pPr>
                    <w:adjustRightInd w:val="0"/>
                    <w:snapToGrid w:val="0"/>
                    <w:jc w:val="center"/>
                    <w:rPr>
                      <w:b/>
                      <w:bCs/>
                      <w:color w:val="000000"/>
                      <w:sz w:val="21"/>
                      <w:szCs w:val="21"/>
                    </w:rPr>
                  </w:pPr>
                  <w:r>
                    <w:rPr>
                      <w:b/>
                      <w:bCs/>
                      <w:color w:val="000000"/>
                      <w:sz w:val="21"/>
                      <w:szCs w:val="21"/>
                    </w:rPr>
                    <w:t>东</w:t>
                  </w:r>
                  <w:r>
                    <w:rPr>
                      <w:rFonts w:hint="eastAsia"/>
                      <w:b/>
                      <w:bCs/>
                      <w:color w:val="000000"/>
                      <w:sz w:val="21"/>
                      <w:szCs w:val="21"/>
                    </w:rPr>
                    <w:t>厂界</w:t>
                  </w:r>
                </w:p>
              </w:tc>
              <w:tc>
                <w:tcPr>
                  <w:tcW w:w="824" w:type="pct"/>
                  <w:noWrap w:val="0"/>
                  <w:vAlign w:val="center"/>
                </w:tcPr>
                <w:p w14:paraId="390A0959">
                  <w:pPr>
                    <w:adjustRightInd w:val="0"/>
                    <w:snapToGrid w:val="0"/>
                    <w:jc w:val="center"/>
                    <w:rPr>
                      <w:b/>
                      <w:bCs/>
                      <w:color w:val="000000"/>
                      <w:sz w:val="21"/>
                      <w:szCs w:val="21"/>
                    </w:rPr>
                  </w:pPr>
                  <w:r>
                    <w:rPr>
                      <w:b/>
                      <w:bCs/>
                      <w:color w:val="000000"/>
                      <w:sz w:val="21"/>
                      <w:szCs w:val="21"/>
                    </w:rPr>
                    <w:t>南</w:t>
                  </w:r>
                  <w:r>
                    <w:rPr>
                      <w:rFonts w:hint="eastAsia"/>
                      <w:b/>
                      <w:bCs/>
                      <w:color w:val="000000"/>
                      <w:sz w:val="21"/>
                      <w:szCs w:val="21"/>
                    </w:rPr>
                    <w:t>厂</w:t>
                  </w:r>
                  <w:r>
                    <w:rPr>
                      <w:b/>
                      <w:bCs/>
                      <w:color w:val="000000"/>
                      <w:sz w:val="21"/>
                      <w:szCs w:val="21"/>
                    </w:rPr>
                    <w:t>界</w:t>
                  </w:r>
                </w:p>
              </w:tc>
              <w:tc>
                <w:tcPr>
                  <w:tcW w:w="881" w:type="pct"/>
                  <w:noWrap w:val="0"/>
                  <w:vAlign w:val="center"/>
                </w:tcPr>
                <w:p w14:paraId="3FA47A6A">
                  <w:pPr>
                    <w:adjustRightInd w:val="0"/>
                    <w:snapToGrid w:val="0"/>
                    <w:jc w:val="center"/>
                    <w:rPr>
                      <w:b/>
                      <w:bCs/>
                      <w:color w:val="000000"/>
                      <w:sz w:val="21"/>
                      <w:szCs w:val="21"/>
                    </w:rPr>
                  </w:pPr>
                  <w:r>
                    <w:rPr>
                      <w:b/>
                      <w:bCs/>
                      <w:color w:val="000000"/>
                      <w:sz w:val="21"/>
                      <w:szCs w:val="21"/>
                    </w:rPr>
                    <w:t>西</w:t>
                  </w:r>
                  <w:r>
                    <w:rPr>
                      <w:rFonts w:hint="eastAsia"/>
                      <w:b/>
                      <w:bCs/>
                      <w:color w:val="000000"/>
                      <w:sz w:val="21"/>
                      <w:szCs w:val="21"/>
                    </w:rPr>
                    <w:t>厂</w:t>
                  </w:r>
                  <w:r>
                    <w:rPr>
                      <w:b/>
                      <w:bCs/>
                      <w:color w:val="000000"/>
                      <w:sz w:val="21"/>
                      <w:szCs w:val="21"/>
                    </w:rPr>
                    <w:t>界</w:t>
                  </w:r>
                </w:p>
              </w:tc>
              <w:tc>
                <w:tcPr>
                  <w:tcW w:w="827" w:type="pct"/>
                  <w:noWrap w:val="0"/>
                  <w:vAlign w:val="center"/>
                </w:tcPr>
                <w:p w14:paraId="24B0B358">
                  <w:pPr>
                    <w:adjustRightInd w:val="0"/>
                    <w:snapToGrid w:val="0"/>
                    <w:jc w:val="center"/>
                    <w:rPr>
                      <w:b/>
                      <w:bCs/>
                      <w:color w:val="000000"/>
                      <w:sz w:val="21"/>
                      <w:szCs w:val="21"/>
                    </w:rPr>
                  </w:pPr>
                  <w:r>
                    <w:rPr>
                      <w:b/>
                      <w:bCs/>
                      <w:color w:val="000000"/>
                      <w:sz w:val="21"/>
                      <w:szCs w:val="21"/>
                    </w:rPr>
                    <w:t>北</w:t>
                  </w:r>
                  <w:r>
                    <w:rPr>
                      <w:rFonts w:hint="eastAsia"/>
                      <w:b/>
                      <w:bCs/>
                      <w:color w:val="000000"/>
                      <w:sz w:val="21"/>
                      <w:szCs w:val="21"/>
                    </w:rPr>
                    <w:t>厂</w:t>
                  </w:r>
                  <w:r>
                    <w:rPr>
                      <w:b/>
                      <w:bCs/>
                      <w:color w:val="000000"/>
                      <w:sz w:val="21"/>
                      <w:szCs w:val="21"/>
                    </w:rPr>
                    <w:t>界</w:t>
                  </w:r>
                </w:p>
              </w:tc>
            </w:tr>
            <w:tr w14:paraId="19B49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31" w:type="pct"/>
                  <w:noWrap w:val="0"/>
                  <w:vAlign w:val="center"/>
                </w:tcPr>
                <w:p w14:paraId="54CEC2DF">
                  <w:pPr>
                    <w:adjustRightInd w:val="0"/>
                    <w:snapToGrid w:val="0"/>
                    <w:jc w:val="center"/>
                    <w:rPr>
                      <w:rFonts w:hint="eastAsia"/>
                      <w:color w:val="000000"/>
                      <w:sz w:val="21"/>
                      <w:szCs w:val="21"/>
                    </w:rPr>
                  </w:pPr>
                  <w:r>
                    <w:rPr>
                      <w:rFonts w:hint="eastAsia"/>
                      <w:color w:val="000000"/>
                      <w:sz w:val="21"/>
                      <w:szCs w:val="21"/>
                    </w:rPr>
                    <w:t>最大贡献值/dB（A）</w:t>
                  </w:r>
                </w:p>
              </w:tc>
              <w:tc>
                <w:tcPr>
                  <w:tcW w:w="936" w:type="pct"/>
                  <w:noWrap w:val="0"/>
                  <w:vAlign w:val="center"/>
                </w:tcPr>
                <w:p w14:paraId="5C051B88">
                  <w:pPr>
                    <w:adjustRightInd w:val="0"/>
                    <w:snapToGrid w:val="0"/>
                    <w:jc w:val="center"/>
                    <w:rPr>
                      <w:color w:val="000000"/>
                      <w:sz w:val="21"/>
                      <w:szCs w:val="21"/>
                    </w:rPr>
                  </w:pPr>
                  <w:r>
                    <w:rPr>
                      <w:rFonts w:hint="eastAsia"/>
                      <w:color w:val="000000"/>
                      <w:sz w:val="21"/>
                      <w:szCs w:val="21"/>
                    </w:rPr>
                    <w:t>46.6</w:t>
                  </w:r>
                </w:p>
              </w:tc>
              <w:tc>
                <w:tcPr>
                  <w:tcW w:w="824" w:type="pct"/>
                  <w:noWrap w:val="0"/>
                  <w:vAlign w:val="center"/>
                </w:tcPr>
                <w:p w14:paraId="709C43EF">
                  <w:pPr>
                    <w:adjustRightInd w:val="0"/>
                    <w:snapToGrid w:val="0"/>
                    <w:jc w:val="center"/>
                    <w:rPr>
                      <w:color w:val="000000"/>
                      <w:sz w:val="21"/>
                      <w:szCs w:val="21"/>
                    </w:rPr>
                  </w:pPr>
                  <w:r>
                    <w:rPr>
                      <w:rFonts w:hint="eastAsia"/>
                      <w:color w:val="000000"/>
                      <w:sz w:val="21"/>
                      <w:szCs w:val="21"/>
                    </w:rPr>
                    <w:t>54.4</w:t>
                  </w:r>
                </w:p>
              </w:tc>
              <w:tc>
                <w:tcPr>
                  <w:tcW w:w="881" w:type="pct"/>
                  <w:noWrap w:val="0"/>
                  <w:vAlign w:val="center"/>
                </w:tcPr>
                <w:p w14:paraId="30C4B66E">
                  <w:pPr>
                    <w:adjustRightInd w:val="0"/>
                    <w:snapToGrid w:val="0"/>
                    <w:jc w:val="center"/>
                    <w:rPr>
                      <w:color w:val="000000"/>
                      <w:sz w:val="21"/>
                      <w:szCs w:val="21"/>
                    </w:rPr>
                  </w:pPr>
                  <w:r>
                    <w:rPr>
                      <w:rFonts w:hint="eastAsia"/>
                      <w:color w:val="000000"/>
                      <w:sz w:val="21"/>
                      <w:szCs w:val="21"/>
                    </w:rPr>
                    <w:t>57.4</w:t>
                  </w:r>
                </w:p>
              </w:tc>
              <w:tc>
                <w:tcPr>
                  <w:tcW w:w="827" w:type="pct"/>
                  <w:noWrap w:val="0"/>
                  <w:vAlign w:val="center"/>
                </w:tcPr>
                <w:p w14:paraId="50E112ED">
                  <w:pPr>
                    <w:adjustRightInd w:val="0"/>
                    <w:snapToGrid w:val="0"/>
                    <w:jc w:val="center"/>
                    <w:rPr>
                      <w:color w:val="000000"/>
                      <w:sz w:val="21"/>
                      <w:szCs w:val="21"/>
                    </w:rPr>
                  </w:pPr>
                  <w:r>
                    <w:rPr>
                      <w:rFonts w:hint="eastAsia"/>
                      <w:color w:val="000000"/>
                      <w:sz w:val="21"/>
                      <w:szCs w:val="21"/>
                    </w:rPr>
                    <w:t>53.3</w:t>
                  </w:r>
                </w:p>
              </w:tc>
            </w:tr>
            <w:tr w14:paraId="34E13F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31" w:type="pct"/>
                  <w:noWrap w:val="0"/>
                  <w:vAlign w:val="center"/>
                </w:tcPr>
                <w:p w14:paraId="3D74818F">
                  <w:pPr>
                    <w:adjustRightInd w:val="0"/>
                    <w:snapToGrid w:val="0"/>
                    <w:jc w:val="center"/>
                    <w:rPr>
                      <w:rFonts w:hint="eastAsia"/>
                      <w:color w:val="000000"/>
                      <w:sz w:val="21"/>
                      <w:szCs w:val="21"/>
                    </w:rPr>
                  </w:pPr>
                  <w:r>
                    <w:rPr>
                      <w:rFonts w:hint="eastAsia"/>
                      <w:color w:val="000000"/>
                      <w:sz w:val="21"/>
                      <w:szCs w:val="21"/>
                    </w:rPr>
                    <w:t>执行标准/dB（A）</w:t>
                  </w:r>
                </w:p>
              </w:tc>
              <w:tc>
                <w:tcPr>
                  <w:tcW w:w="936" w:type="pct"/>
                  <w:noWrap w:val="0"/>
                  <w:vAlign w:val="bottom"/>
                </w:tcPr>
                <w:p w14:paraId="550BC614">
                  <w:pPr>
                    <w:widowControl/>
                    <w:adjustRightInd w:val="0"/>
                    <w:snapToGrid w:val="0"/>
                    <w:contextualSpacing/>
                    <w:jc w:val="center"/>
                    <w:rPr>
                      <w:color w:val="000000"/>
                      <w:sz w:val="21"/>
                      <w:szCs w:val="21"/>
                    </w:rPr>
                  </w:pPr>
                  <w:r>
                    <w:rPr>
                      <w:rFonts w:hint="eastAsia"/>
                      <w:color w:val="000000"/>
                      <w:sz w:val="21"/>
                      <w:szCs w:val="21"/>
                    </w:rPr>
                    <w:t>昼间≤70</w:t>
                  </w:r>
                </w:p>
              </w:tc>
              <w:tc>
                <w:tcPr>
                  <w:tcW w:w="2532" w:type="pct"/>
                  <w:gridSpan w:val="3"/>
                  <w:noWrap w:val="0"/>
                  <w:vAlign w:val="bottom"/>
                </w:tcPr>
                <w:p w14:paraId="547B2A29">
                  <w:pPr>
                    <w:widowControl/>
                    <w:adjustRightInd w:val="0"/>
                    <w:snapToGrid w:val="0"/>
                    <w:contextualSpacing/>
                    <w:jc w:val="center"/>
                    <w:rPr>
                      <w:color w:val="000000"/>
                      <w:sz w:val="21"/>
                      <w:szCs w:val="21"/>
                    </w:rPr>
                  </w:pPr>
                  <w:r>
                    <w:rPr>
                      <w:rFonts w:hint="eastAsia"/>
                      <w:color w:val="000000"/>
                      <w:sz w:val="21"/>
                      <w:szCs w:val="21"/>
                    </w:rPr>
                    <w:t>昼间≤65</w:t>
                  </w:r>
                </w:p>
              </w:tc>
            </w:tr>
          </w:tbl>
          <w:p w14:paraId="2825684D">
            <w:pPr>
              <w:pStyle w:val="38"/>
              <w:tabs>
                <w:tab w:val="left" w:pos="6300"/>
              </w:tabs>
              <w:adjustRightInd w:val="0"/>
              <w:snapToGrid w:val="0"/>
              <w:spacing w:after="0" w:line="360" w:lineRule="auto"/>
              <w:ind w:left="0" w:leftChars="0"/>
              <w:rPr>
                <w:snapToGrid w:val="0"/>
                <w:color w:val="000000"/>
                <w:kern w:val="0"/>
                <w:szCs w:val="24"/>
              </w:rPr>
            </w:pPr>
            <w:r>
              <w:rPr>
                <w:snapToGrid w:val="0"/>
                <w:color w:val="000000"/>
                <w:kern w:val="0"/>
                <w:szCs w:val="24"/>
              </w:rPr>
              <w:t>根据预测，本项目投入使用后，</w:t>
            </w:r>
            <w:r>
              <w:rPr>
                <w:rFonts w:hint="eastAsia"/>
                <w:snapToGrid w:val="0"/>
                <w:color w:val="000000"/>
                <w:kern w:val="0"/>
                <w:szCs w:val="24"/>
              </w:rPr>
              <w:t>本项目南侧、西侧、北侧厂界</w:t>
            </w:r>
            <w:r>
              <w:rPr>
                <w:snapToGrid w:val="0"/>
                <w:color w:val="000000"/>
                <w:kern w:val="0"/>
                <w:szCs w:val="24"/>
              </w:rPr>
              <w:t>噪声值</w:t>
            </w:r>
            <w:r>
              <w:rPr>
                <w:rFonts w:hint="eastAsia"/>
                <w:snapToGrid w:val="0"/>
                <w:color w:val="000000"/>
                <w:kern w:val="0"/>
                <w:szCs w:val="24"/>
              </w:rPr>
              <w:t>均</w:t>
            </w:r>
            <w:r>
              <w:rPr>
                <w:snapToGrid w:val="0"/>
                <w:color w:val="000000"/>
                <w:kern w:val="0"/>
                <w:szCs w:val="24"/>
              </w:rPr>
              <w:t>满足《工业企业厂界环境噪声排放标准》（GB12348-2008）</w:t>
            </w:r>
            <w:r>
              <w:rPr>
                <w:rFonts w:hint="eastAsia"/>
                <w:snapToGrid w:val="0"/>
                <w:color w:val="000000"/>
                <w:kern w:val="0"/>
                <w:szCs w:val="24"/>
              </w:rPr>
              <w:t>3类</w:t>
            </w:r>
            <w:r>
              <w:rPr>
                <w:snapToGrid w:val="0"/>
                <w:color w:val="000000"/>
                <w:kern w:val="0"/>
                <w:szCs w:val="24"/>
              </w:rPr>
              <w:t>标准</w:t>
            </w:r>
            <w:r>
              <w:rPr>
                <w:rFonts w:hint="eastAsia"/>
                <w:snapToGrid w:val="0"/>
                <w:color w:val="000000"/>
                <w:kern w:val="0"/>
                <w:szCs w:val="24"/>
              </w:rPr>
              <w:t>，东侧厂侧满足4类</w:t>
            </w:r>
            <w:r>
              <w:rPr>
                <w:snapToGrid w:val="0"/>
                <w:color w:val="000000"/>
                <w:kern w:val="0"/>
                <w:szCs w:val="24"/>
              </w:rPr>
              <w:t>。</w:t>
            </w:r>
          </w:p>
          <w:p w14:paraId="21E3736D">
            <w:pPr>
              <w:pStyle w:val="38"/>
              <w:tabs>
                <w:tab w:val="left" w:pos="6300"/>
              </w:tabs>
              <w:adjustRightInd w:val="0"/>
              <w:snapToGrid w:val="0"/>
              <w:spacing w:after="0" w:line="360" w:lineRule="auto"/>
              <w:ind w:left="0" w:leftChars="0" w:firstLine="482"/>
              <w:rPr>
                <w:b/>
                <w:snapToGrid w:val="0"/>
                <w:color w:val="000000"/>
                <w:kern w:val="0"/>
                <w:szCs w:val="24"/>
              </w:rPr>
            </w:pPr>
            <w:r>
              <w:rPr>
                <w:rFonts w:hint="eastAsia"/>
                <w:b/>
                <w:snapToGrid w:val="0"/>
                <w:color w:val="000000"/>
                <w:kern w:val="0"/>
                <w:szCs w:val="24"/>
              </w:rPr>
              <w:t>（5</w:t>
            </w:r>
            <w:r>
              <w:rPr>
                <w:b/>
                <w:snapToGrid w:val="0"/>
                <w:color w:val="000000"/>
                <w:kern w:val="0"/>
                <w:szCs w:val="24"/>
              </w:rPr>
              <w:t>）</w:t>
            </w:r>
            <w:r>
              <w:rPr>
                <w:rFonts w:hint="eastAsia"/>
                <w:b/>
                <w:snapToGrid w:val="0"/>
                <w:color w:val="000000"/>
                <w:kern w:val="0"/>
                <w:szCs w:val="24"/>
              </w:rPr>
              <w:t>项目噪声防治措施</w:t>
            </w:r>
          </w:p>
          <w:p w14:paraId="3DCB9FA0">
            <w:pPr>
              <w:pStyle w:val="38"/>
              <w:tabs>
                <w:tab w:val="left" w:pos="6300"/>
              </w:tabs>
              <w:adjustRightInd w:val="0"/>
              <w:snapToGrid w:val="0"/>
              <w:spacing w:after="0" w:line="360" w:lineRule="auto"/>
              <w:ind w:left="0" w:leftChars="0"/>
              <w:rPr>
                <w:rFonts w:hint="eastAsia"/>
                <w:snapToGrid w:val="0"/>
                <w:color w:val="000000"/>
                <w:kern w:val="0"/>
                <w:szCs w:val="24"/>
              </w:rPr>
            </w:pPr>
            <w:r>
              <w:rPr>
                <w:rFonts w:hint="eastAsia"/>
                <w:snapToGrid w:val="0"/>
                <w:color w:val="000000"/>
                <w:kern w:val="0"/>
                <w:szCs w:val="24"/>
              </w:rPr>
              <w:t>本项目采取的噪声防治措施：</w:t>
            </w:r>
          </w:p>
          <w:p w14:paraId="6EFF83DC">
            <w:pPr>
              <w:pStyle w:val="38"/>
              <w:tabs>
                <w:tab w:val="left" w:pos="6300"/>
              </w:tabs>
              <w:adjustRightInd w:val="0"/>
              <w:snapToGrid w:val="0"/>
              <w:spacing w:after="0" w:line="360" w:lineRule="auto"/>
              <w:ind w:left="0" w:leftChars="0"/>
              <w:rPr>
                <w:rFonts w:hint="eastAsia"/>
                <w:snapToGrid w:val="0"/>
                <w:color w:val="000000"/>
                <w:kern w:val="0"/>
                <w:szCs w:val="24"/>
              </w:rPr>
            </w:pPr>
            <w:r>
              <w:rPr>
                <w:snapToGrid w:val="0"/>
                <w:color w:val="000000"/>
                <w:kern w:val="0"/>
                <w:szCs w:val="24"/>
              </w:rPr>
              <w:fldChar w:fldCharType="begin"/>
            </w:r>
            <w:r>
              <w:rPr>
                <w:snapToGrid w:val="0"/>
                <w:color w:val="000000"/>
                <w:kern w:val="0"/>
                <w:szCs w:val="24"/>
              </w:rPr>
              <w:instrText xml:space="preserve"> = 1 \* GB3 \* MERGEFORMAT </w:instrText>
            </w:r>
            <w:r>
              <w:rPr>
                <w:snapToGrid w:val="0"/>
                <w:color w:val="000000"/>
                <w:kern w:val="0"/>
                <w:szCs w:val="24"/>
              </w:rPr>
              <w:fldChar w:fldCharType="separate"/>
            </w:r>
            <w:r>
              <w:rPr>
                <w:color w:val="000000"/>
              </w:rPr>
              <w:t>①</w:t>
            </w:r>
            <w:r>
              <w:rPr>
                <w:snapToGrid w:val="0"/>
                <w:color w:val="000000"/>
                <w:kern w:val="0"/>
                <w:szCs w:val="24"/>
              </w:rPr>
              <w:fldChar w:fldCharType="end"/>
            </w:r>
            <w:r>
              <w:rPr>
                <w:rFonts w:hint="eastAsia"/>
                <w:snapToGrid w:val="0"/>
                <w:color w:val="000000"/>
                <w:kern w:val="0"/>
                <w:szCs w:val="24"/>
              </w:rPr>
              <w:t>螺杆式空压机、厂房外的废气处理设施风机置于独立机房内；</w:t>
            </w:r>
          </w:p>
          <w:p w14:paraId="3E07C6C7">
            <w:pPr>
              <w:pStyle w:val="38"/>
              <w:tabs>
                <w:tab w:val="left" w:pos="6300"/>
              </w:tabs>
              <w:adjustRightInd w:val="0"/>
              <w:snapToGrid w:val="0"/>
              <w:spacing w:after="0" w:line="360" w:lineRule="auto"/>
              <w:ind w:left="0" w:leftChars="0"/>
              <w:rPr>
                <w:snapToGrid w:val="0"/>
                <w:color w:val="000000"/>
                <w:kern w:val="0"/>
                <w:szCs w:val="24"/>
              </w:rPr>
            </w:pPr>
            <w:r>
              <w:rPr>
                <w:snapToGrid w:val="0"/>
                <w:color w:val="000000"/>
                <w:kern w:val="0"/>
                <w:szCs w:val="24"/>
              </w:rPr>
              <w:t>②</w:t>
            </w:r>
            <w:r>
              <w:rPr>
                <w:rFonts w:hint="eastAsia"/>
                <w:snapToGrid w:val="0"/>
                <w:color w:val="000000"/>
                <w:kern w:val="0"/>
                <w:szCs w:val="24"/>
              </w:rPr>
              <w:t>选用低噪声设备，进行基础减震，定期对设备进行保养。</w:t>
            </w:r>
          </w:p>
          <w:p w14:paraId="5499AE40">
            <w:pPr>
              <w:adjustRightInd w:val="0"/>
              <w:snapToGrid w:val="0"/>
              <w:spacing w:line="360" w:lineRule="auto"/>
              <w:rPr>
                <w:snapToGrid w:val="0"/>
                <w:color w:val="000000"/>
                <w:kern w:val="0"/>
              </w:rPr>
            </w:pPr>
            <w:r>
              <w:rPr>
                <w:rFonts w:hint="eastAsia"/>
                <w:b/>
                <w:bCs/>
                <w:snapToGrid w:val="0"/>
                <w:color w:val="000000"/>
                <w:kern w:val="0"/>
              </w:rPr>
              <w:t>4.2.3.2</w:t>
            </w:r>
            <w:r>
              <w:rPr>
                <w:b/>
                <w:bCs/>
                <w:color w:val="000000"/>
              </w:rPr>
              <w:t>营运期监测</w:t>
            </w:r>
          </w:p>
          <w:p w14:paraId="39E43671">
            <w:pPr>
              <w:spacing w:line="360" w:lineRule="auto"/>
              <w:ind w:firstLine="420" w:firstLineChars="200"/>
              <w:jc w:val="left"/>
              <w:rPr>
                <w:color w:val="000000"/>
              </w:rPr>
            </w:pPr>
            <w:r>
              <w:rPr>
                <w:color w:val="000000"/>
              </w:rPr>
              <w:t>根据《排污单位自行监测技术指南 总则》（HJ819-2017），排污单位应按照最新的监测方案开展检测活动，可根据自身条件和</w:t>
            </w:r>
            <w:r>
              <w:rPr>
                <w:color w:val="000000"/>
                <w:kern w:val="24"/>
              </w:rPr>
              <w:t>能力</w:t>
            </w:r>
            <w:r>
              <w:rPr>
                <w:color w:val="000000"/>
              </w:rPr>
              <w:t>，利用自有人员，场所和设备自行监测，也可委托其他有资质的检测机构代其开展自行监测，结合拟建项目排污特点，本项目噪声监测计划。</w:t>
            </w:r>
          </w:p>
          <w:p w14:paraId="169C64CC">
            <w:pPr>
              <w:spacing w:line="360" w:lineRule="auto"/>
              <w:jc w:val="center"/>
              <w:rPr>
                <w:b/>
                <w:bCs/>
                <w:color w:val="000000"/>
              </w:rPr>
            </w:pPr>
            <w:r>
              <w:rPr>
                <w:b/>
                <w:bCs/>
                <w:color w:val="000000"/>
              </w:rPr>
              <w:t>表</w:t>
            </w:r>
            <w:r>
              <w:rPr>
                <w:rFonts w:hint="eastAsia"/>
                <w:b/>
                <w:bCs/>
                <w:color w:val="000000"/>
              </w:rPr>
              <w:t>4-20</w:t>
            </w:r>
            <w:r>
              <w:rPr>
                <w:b/>
                <w:bCs/>
                <w:color w:val="000000"/>
              </w:rPr>
              <w:t xml:space="preserve">  监测计划表</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28"/>
              <w:gridCol w:w="1074"/>
              <w:gridCol w:w="1155"/>
              <w:gridCol w:w="1732"/>
              <w:gridCol w:w="3673"/>
            </w:tblGrid>
            <w:tr w14:paraId="3BAE1C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380" w:type="pct"/>
                  <w:noWrap w:val="0"/>
                  <w:vAlign w:val="center"/>
                </w:tcPr>
                <w:p w14:paraId="583D93A8">
                  <w:pPr>
                    <w:jc w:val="center"/>
                    <w:rPr>
                      <w:color w:val="000000"/>
                      <w:sz w:val="21"/>
                      <w:szCs w:val="21"/>
                    </w:rPr>
                  </w:pPr>
                  <w:r>
                    <w:rPr>
                      <w:color w:val="000000"/>
                      <w:sz w:val="21"/>
                      <w:szCs w:val="21"/>
                    </w:rPr>
                    <w:t>类别</w:t>
                  </w:r>
                </w:p>
              </w:tc>
              <w:tc>
                <w:tcPr>
                  <w:tcW w:w="650" w:type="pct"/>
                  <w:noWrap w:val="0"/>
                  <w:vAlign w:val="center"/>
                </w:tcPr>
                <w:p w14:paraId="14CF80FE">
                  <w:pPr>
                    <w:jc w:val="center"/>
                    <w:rPr>
                      <w:color w:val="000000"/>
                      <w:sz w:val="21"/>
                      <w:szCs w:val="21"/>
                    </w:rPr>
                  </w:pPr>
                  <w:r>
                    <w:rPr>
                      <w:color w:val="000000"/>
                      <w:sz w:val="21"/>
                      <w:szCs w:val="21"/>
                    </w:rPr>
                    <w:t>监测点位</w:t>
                  </w:r>
                </w:p>
              </w:tc>
              <w:tc>
                <w:tcPr>
                  <w:tcW w:w="699" w:type="pct"/>
                  <w:noWrap w:val="0"/>
                  <w:vAlign w:val="center"/>
                </w:tcPr>
                <w:p w14:paraId="1F706A08">
                  <w:pPr>
                    <w:jc w:val="center"/>
                    <w:rPr>
                      <w:color w:val="000000"/>
                      <w:sz w:val="21"/>
                      <w:szCs w:val="21"/>
                    </w:rPr>
                  </w:pPr>
                  <w:r>
                    <w:rPr>
                      <w:color w:val="000000"/>
                      <w:sz w:val="21"/>
                      <w:szCs w:val="21"/>
                    </w:rPr>
                    <w:t>监测项目</w:t>
                  </w:r>
                </w:p>
              </w:tc>
              <w:tc>
                <w:tcPr>
                  <w:tcW w:w="1048" w:type="pct"/>
                  <w:noWrap w:val="0"/>
                  <w:vAlign w:val="center"/>
                </w:tcPr>
                <w:p w14:paraId="3F87B2E3">
                  <w:pPr>
                    <w:jc w:val="center"/>
                    <w:rPr>
                      <w:color w:val="000000"/>
                      <w:sz w:val="21"/>
                      <w:szCs w:val="21"/>
                    </w:rPr>
                  </w:pPr>
                  <w:r>
                    <w:rPr>
                      <w:color w:val="000000"/>
                      <w:sz w:val="21"/>
                      <w:szCs w:val="21"/>
                    </w:rPr>
                    <w:t>监测频率</w:t>
                  </w:r>
                </w:p>
              </w:tc>
              <w:tc>
                <w:tcPr>
                  <w:tcW w:w="2222" w:type="pct"/>
                  <w:noWrap w:val="0"/>
                  <w:vAlign w:val="top"/>
                </w:tcPr>
                <w:p w14:paraId="5798D9EF">
                  <w:pPr>
                    <w:jc w:val="center"/>
                    <w:rPr>
                      <w:color w:val="000000"/>
                      <w:sz w:val="21"/>
                      <w:szCs w:val="21"/>
                    </w:rPr>
                  </w:pPr>
                  <w:r>
                    <w:rPr>
                      <w:color w:val="000000"/>
                      <w:sz w:val="21"/>
                      <w:szCs w:val="21"/>
                    </w:rPr>
                    <w:t>执行标准</w:t>
                  </w:r>
                </w:p>
              </w:tc>
            </w:tr>
            <w:tr w14:paraId="29D899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24" w:hRule="atLeast"/>
                <w:jc w:val="center"/>
              </w:trPr>
              <w:tc>
                <w:tcPr>
                  <w:tcW w:w="380" w:type="pct"/>
                  <w:noWrap w:val="0"/>
                  <w:vAlign w:val="center"/>
                </w:tcPr>
                <w:p w14:paraId="1C61BBB4">
                  <w:pPr>
                    <w:jc w:val="center"/>
                    <w:rPr>
                      <w:color w:val="000000"/>
                      <w:sz w:val="21"/>
                      <w:szCs w:val="21"/>
                    </w:rPr>
                  </w:pPr>
                  <w:r>
                    <w:rPr>
                      <w:color w:val="000000"/>
                      <w:sz w:val="21"/>
                      <w:szCs w:val="21"/>
                    </w:rPr>
                    <w:t>噪声</w:t>
                  </w:r>
                </w:p>
              </w:tc>
              <w:tc>
                <w:tcPr>
                  <w:tcW w:w="650" w:type="pct"/>
                  <w:noWrap w:val="0"/>
                  <w:vAlign w:val="center"/>
                </w:tcPr>
                <w:p w14:paraId="042D99D7">
                  <w:pPr>
                    <w:jc w:val="center"/>
                    <w:rPr>
                      <w:color w:val="000000"/>
                      <w:sz w:val="21"/>
                      <w:szCs w:val="21"/>
                    </w:rPr>
                  </w:pPr>
                  <w:r>
                    <w:rPr>
                      <w:color w:val="000000"/>
                      <w:sz w:val="21"/>
                      <w:szCs w:val="21"/>
                    </w:rPr>
                    <w:t>四周厂界</w:t>
                  </w:r>
                </w:p>
              </w:tc>
              <w:tc>
                <w:tcPr>
                  <w:tcW w:w="699" w:type="pct"/>
                  <w:noWrap w:val="0"/>
                  <w:vAlign w:val="center"/>
                </w:tcPr>
                <w:p w14:paraId="4724C18C">
                  <w:pPr>
                    <w:jc w:val="center"/>
                    <w:rPr>
                      <w:color w:val="000000"/>
                      <w:sz w:val="21"/>
                      <w:szCs w:val="21"/>
                    </w:rPr>
                  </w:pPr>
                  <w:r>
                    <w:rPr>
                      <w:color w:val="000000"/>
                      <w:sz w:val="21"/>
                      <w:szCs w:val="21"/>
                    </w:rPr>
                    <w:t>昼间噪声</w:t>
                  </w:r>
                </w:p>
              </w:tc>
              <w:tc>
                <w:tcPr>
                  <w:tcW w:w="1048" w:type="pct"/>
                  <w:noWrap w:val="0"/>
                  <w:vAlign w:val="center"/>
                </w:tcPr>
                <w:p w14:paraId="2D682F70">
                  <w:pPr>
                    <w:jc w:val="center"/>
                    <w:rPr>
                      <w:color w:val="000000"/>
                      <w:sz w:val="21"/>
                      <w:szCs w:val="21"/>
                    </w:rPr>
                  </w:pPr>
                  <w:r>
                    <w:rPr>
                      <w:rFonts w:hint="eastAsia"/>
                      <w:color w:val="000000"/>
                      <w:kern w:val="0"/>
                      <w:sz w:val="21"/>
                      <w:szCs w:val="21"/>
                    </w:rPr>
                    <w:t>验收时一次，以后</w:t>
                  </w:r>
                  <w:r>
                    <w:rPr>
                      <w:color w:val="000000"/>
                      <w:kern w:val="0"/>
                      <w:sz w:val="21"/>
                      <w:szCs w:val="21"/>
                    </w:rPr>
                    <w:t>每季度一次</w:t>
                  </w:r>
                </w:p>
              </w:tc>
              <w:tc>
                <w:tcPr>
                  <w:tcW w:w="2222" w:type="pct"/>
                  <w:noWrap w:val="0"/>
                  <w:vAlign w:val="top"/>
                </w:tcPr>
                <w:p w14:paraId="5C46E1C8">
                  <w:pPr>
                    <w:jc w:val="center"/>
                    <w:rPr>
                      <w:color w:val="000000"/>
                      <w:kern w:val="0"/>
                      <w:sz w:val="21"/>
                      <w:szCs w:val="21"/>
                    </w:rPr>
                  </w:pPr>
                  <w:r>
                    <w:rPr>
                      <w:rFonts w:hint="eastAsia"/>
                      <w:color w:val="000000"/>
                      <w:kern w:val="0"/>
                      <w:sz w:val="21"/>
                      <w:szCs w:val="21"/>
                    </w:rPr>
                    <w:t>《工业企业厂界环境噪声排放标准》（GB 12348-2008）3类、4类标准</w:t>
                  </w:r>
                </w:p>
              </w:tc>
            </w:tr>
          </w:tbl>
          <w:p w14:paraId="29703F65">
            <w:pPr>
              <w:snapToGrid w:val="0"/>
              <w:spacing w:line="360" w:lineRule="auto"/>
              <w:jc w:val="left"/>
              <w:rPr>
                <w:color w:val="000000"/>
              </w:rPr>
            </w:pPr>
            <w:r>
              <w:rPr>
                <w:b/>
                <w:bCs/>
                <w:snapToGrid w:val="0"/>
                <w:color w:val="000000"/>
                <w:kern w:val="0"/>
              </w:rPr>
              <w:t>4.2.4</w:t>
            </w:r>
            <w:r>
              <w:rPr>
                <w:b/>
                <w:bCs/>
                <w:color w:val="000000"/>
              </w:rPr>
              <w:t>固废</w:t>
            </w:r>
          </w:p>
          <w:p w14:paraId="248AD669">
            <w:pPr>
              <w:adjustRightInd w:val="0"/>
              <w:snapToGrid w:val="0"/>
              <w:spacing w:line="360" w:lineRule="auto"/>
              <w:rPr>
                <w:rFonts w:hint="eastAsia"/>
                <w:b/>
                <w:bCs/>
                <w:snapToGrid w:val="0"/>
                <w:color w:val="000000"/>
                <w:kern w:val="0"/>
              </w:rPr>
            </w:pPr>
            <w:r>
              <w:rPr>
                <w:rFonts w:hint="eastAsia"/>
                <w:b/>
                <w:bCs/>
                <w:snapToGrid w:val="0"/>
                <w:color w:val="000000"/>
                <w:kern w:val="0"/>
              </w:rPr>
              <w:t>4.2.4.1固体废物产生量</w:t>
            </w:r>
          </w:p>
          <w:p w14:paraId="33764845">
            <w:pPr>
              <w:spacing w:line="360" w:lineRule="auto"/>
              <w:ind w:firstLine="420" w:firstLineChars="200"/>
              <w:jc w:val="left"/>
              <w:rPr>
                <w:rFonts w:hint="eastAsia"/>
                <w:color w:val="000000"/>
              </w:rPr>
            </w:pPr>
            <w:r>
              <w:rPr>
                <w:rFonts w:hint="eastAsia"/>
                <w:color w:val="000000"/>
              </w:rPr>
              <w:t>本项目运营期产生的固体废物可分为一般工业固体废物、危险废物和生活垃圾。</w:t>
            </w:r>
          </w:p>
          <w:p w14:paraId="4B000729">
            <w:pPr>
              <w:spacing w:line="360" w:lineRule="auto"/>
              <w:ind w:firstLine="420" w:firstLineChars="200"/>
              <w:jc w:val="left"/>
              <w:rPr>
                <w:rFonts w:hint="eastAsia"/>
                <w:b/>
                <w:bCs/>
                <w:color w:val="000000"/>
              </w:rPr>
            </w:pPr>
            <w:r>
              <w:rPr>
                <w:b/>
                <w:bCs/>
                <w:color w:val="000000"/>
              </w:rPr>
              <w:t>⑴</w:t>
            </w:r>
            <w:r>
              <w:rPr>
                <w:rFonts w:hint="eastAsia"/>
                <w:b/>
                <w:bCs/>
                <w:color w:val="000000"/>
              </w:rPr>
              <w:t>一般工业固体废物</w:t>
            </w:r>
          </w:p>
          <w:p w14:paraId="52364569">
            <w:pPr>
              <w:spacing w:line="360" w:lineRule="auto"/>
              <w:ind w:firstLine="420" w:firstLineChars="200"/>
              <w:jc w:val="left"/>
              <w:rPr>
                <w:rFonts w:hint="eastAsia"/>
                <w:color w:val="000000"/>
              </w:rPr>
            </w:pPr>
            <w:r>
              <w:rPr>
                <w:rFonts w:hint="eastAsia"/>
                <w:color w:val="000000"/>
              </w:rPr>
              <w:t>根据工艺流程和产排污环节分析，一般工业固体废物包括：S1废包装袋、S2质检塑料废样、S3除尘灰、S</w:t>
            </w:r>
            <w:r>
              <w:rPr>
                <w:rFonts w:hint="eastAsia"/>
                <w:color w:val="000000"/>
                <w:lang w:val="en-US" w:eastAsia="zh-CN"/>
              </w:rPr>
              <w:t>10</w:t>
            </w:r>
            <w:r>
              <w:rPr>
                <w:rFonts w:hint="eastAsia"/>
                <w:color w:val="000000"/>
              </w:rPr>
              <w:t>沉渣</w:t>
            </w:r>
            <w:r>
              <w:rPr>
                <w:rFonts w:hint="eastAsia"/>
                <w:color w:val="000000"/>
                <w:lang w:eastAsia="zh-CN"/>
              </w:rPr>
              <w:t>、</w:t>
            </w:r>
            <w:r>
              <w:rPr>
                <w:rFonts w:hint="eastAsia"/>
                <w:color w:val="000000"/>
                <w:lang w:val="en-US" w:eastAsia="zh-CN"/>
              </w:rPr>
              <w:t>S16废布袋</w:t>
            </w:r>
            <w:r>
              <w:rPr>
                <w:rFonts w:hint="eastAsia"/>
                <w:color w:val="000000"/>
              </w:rPr>
              <w:t>。</w:t>
            </w:r>
          </w:p>
          <w:p w14:paraId="62ACC0AE">
            <w:pPr>
              <w:spacing w:line="360" w:lineRule="auto"/>
              <w:ind w:firstLine="420" w:firstLineChars="200"/>
              <w:jc w:val="left"/>
              <w:rPr>
                <w:color w:val="000000"/>
              </w:rPr>
            </w:pPr>
            <w:r>
              <w:rPr>
                <w:rFonts w:hint="eastAsia"/>
                <w:color w:val="000000"/>
              </w:rPr>
              <w:t>①废包装袋：各原料塑料外包装编织袋以及原辅材料包装袋等，主要为纸或塑料材质。产生量约为3.5t/a，经收集后交物资回收单位处置。</w:t>
            </w:r>
          </w:p>
          <w:p w14:paraId="5A9A4885">
            <w:pPr>
              <w:spacing w:line="360" w:lineRule="auto"/>
              <w:ind w:firstLine="420" w:firstLineChars="200"/>
              <w:jc w:val="left"/>
              <w:rPr>
                <w:color w:val="000000"/>
              </w:rPr>
            </w:pPr>
            <w:r>
              <w:rPr>
                <w:rFonts w:hint="eastAsia"/>
                <w:color w:val="000000"/>
              </w:rPr>
              <w:t>②质检塑料废样：产品需要进行抽样质检，质检室质检产品后产生废样，产生量约为0.5t，一般固废暂存区暂存，交物资回收单位处置。</w:t>
            </w:r>
          </w:p>
          <w:p w14:paraId="3E7F4C8C">
            <w:pPr>
              <w:spacing w:line="360" w:lineRule="auto"/>
              <w:ind w:firstLine="420" w:firstLineChars="200"/>
              <w:jc w:val="left"/>
              <w:rPr>
                <w:rFonts w:hint="eastAsia"/>
                <w:color w:val="000000"/>
              </w:rPr>
            </w:pPr>
            <w:r>
              <w:rPr>
                <w:rFonts w:hint="eastAsia"/>
                <w:color w:val="000000"/>
              </w:rPr>
              <w:t>③除尘灰：项目产生的粉尘经布袋除尘器处理，产生量约为</w:t>
            </w:r>
            <w:r>
              <w:rPr>
                <w:rFonts w:hint="eastAsia"/>
                <w:color w:val="000000"/>
                <w:lang w:val="en-US" w:eastAsia="zh-CN"/>
              </w:rPr>
              <w:t>9.47</w:t>
            </w:r>
            <w:r>
              <w:rPr>
                <w:rFonts w:hint="eastAsia"/>
                <w:color w:val="000000"/>
              </w:rPr>
              <w:t>t/a，经收集后外售综合利用。</w:t>
            </w:r>
          </w:p>
          <w:p w14:paraId="5C17F999">
            <w:pPr>
              <w:spacing w:line="360" w:lineRule="auto"/>
              <w:ind w:firstLine="420" w:firstLineChars="200"/>
              <w:jc w:val="left"/>
              <w:rPr>
                <w:rFonts w:hint="eastAsia"/>
                <w:color w:val="000000"/>
              </w:rPr>
            </w:pPr>
            <w:r>
              <w:rPr>
                <w:rFonts w:hint="eastAsia"/>
                <w:color w:val="000000"/>
              </w:rPr>
              <w:fldChar w:fldCharType="begin"/>
            </w:r>
            <w:r>
              <w:rPr>
                <w:rFonts w:hint="eastAsia"/>
                <w:color w:val="000000"/>
              </w:rPr>
              <w:instrText xml:space="preserve"> = 4 \* GB3 \* MERGEFORMAT </w:instrText>
            </w:r>
            <w:r>
              <w:rPr>
                <w:rFonts w:hint="eastAsia"/>
                <w:color w:val="000000"/>
              </w:rPr>
              <w:fldChar w:fldCharType="separate"/>
            </w:r>
            <w:r>
              <w:rPr>
                <w:color w:val="000000"/>
              </w:rPr>
              <w:t>④</w:t>
            </w:r>
            <w:r>
              <w:rPr>
                <w:rFonts w:hint="eastAsia"/>
                <w:color w:val="000000"/>
              </w:rPr>
              <w:fldChar w:fldCharType="end"/>
            </w:r>
            <w:r>
              <w:rPr>
                <w:rFonts w:hint="eastAsia"/>
                <w:color w:val="000000"/>
              </w:rPr>
              <w:t>沉渣：日常运行中沉淀池会定期清掏产生的沉渣，产生量约为0.25t/a，运至一般工业固废填埋场处理。</w:t>
            </w:r>
          </w:p>
          <w:p w14:paraId="648CAD96">
            <w:pPr>
              <w:spacing w:line="360" w:lineRule="auto"/>
              <w:ind w:firstLine="420" w:firstLineChars="200"/>
              <w:jc w:val="left"/>
              <w:rPr>
                <w:rFonts w:hint="eastAsia" w:eastAsia="宋体"/>
                <w:color w:val="000000"/>
                <w:lang w:val="en-US" w:eastAsia="zh-CN"/>
              </w:rPr>
            </w:pPr>
            <w:r>
              <w:rPr>
                <w:rFonts w:hint="eastAsia"/>
                <w:color w:val="000000"/>
                <w:lang w:val="en-US" w:eastAsia="zh-CN"/>
              </w:rPr>
              <w:t>⑤废布袋：布袋除尘器每两年更换一次布袋，每次更换产生约0.4t废布袋，平均年产生量约为0.2</w:t>
            </w:r>
            <w:r>
              <w:rPr>
                <w:rFonts w:hint="eastAsia"/>
                <w:color w:val="000000"/>
              </w:rPr>
              <w:t>t/a，一般固废暂存区暂存，交物资回收单位处置。</w:t>
            </w:r>
          </w:p>
          <w:p w14:paraId="48D36BCA">
            <w:pPr>
              <w:spacing w:line="360" w:lineRule="auto"/>
              <w:ind w:firstLine="420" w:firstLineChars="200"/>
              <w:jc w:val="left"/>
              <w:rPr>
                <w:rFonts w:hint="eastAsia"/>
                <w:b/>
                <w:bCs/>
                <w:color w:val="000000"/>
              </w:rPr>
            </w:pPr>
            <w:r>
              <w:rPr>
                <w:rFonts w:hint="eastAsia"/>
                <w:b/>
                <w:bCs/>
                <w:color w:val="000000"/>
              </w:rPr>
              <w:t>⑵危险废物</w:t>
            </w:r>
          </w:p>
          <w:p w14:paraId="21B12E28">
            <w:pPr>
              <w:spacing w:line="360" w:lineRule="auto"/>
              <w:ind w:firstLine="420" w:firstLineChars="200"/>
              <w:jc w:val="left"/>
              <w:rPr>
                <w:rFonts w:hint="eastAsia"/>
                <w:color w:val="000000"/>
              </w:rPr>
            </w:pPr>
            <w:r>
              <w:rPr>
                <w:rFonts w:hint="eastAsia"/>
                <w:color w:val="000000"/>
              </w:rPr>
              <w:t>项目危险废物主要包括：S4废活性炭、S5废静电油、S6废光氧灯管、S7废催化剂、S</w:t>
            </w:r>
            <w:r>
              <w:rPr>
                <w:rFonts w:hint="eastAsia"/>
                <w:color w:val="000000"/>
                <w:lang w:val="en-US" w:eastAsia="zh-CN"/>
              </w:rPr>
              <w:t>9</w:t>
            </w:r>
            <w:r>
              <w:rPr>
                <w:rFonts w:hint="eastAsia"/>
                <w:color w:val="000000"/>
              </w:rPr>
              <w:t>隔油渣、S1</w:t>
            </w:r>
            <w:r>
              <w:rPr>
                <w:rFonts w:hint="eastAsia"/>
                <w:color w:val="000000"/>
                <w:lang w:val="en-US" w:eastAsia="zh-CN"/>
              </w:rPr>
              <w:t>1</w:t>
            </w:r>
            <w:r>
              <w:rPr>
                <w:rFonts w:hint="eastAsia"/>
                <w:color w:val="000000"/>
              </w:rPr>
              <w:t>废机油、S1</w:t>
            </w:r>
            <w:r>
              <w:rPr>
                <w:rFonts w:hint="eastAsia"/>
                <w:color w:val="000000"/>
                <w:lang w:val="en-US" w:eastAsia="zh-CN"/>
              </w:rPr>
              <w:t>2</w:t>
            </w:r>
            <w:r>
              <w:rPr>
                <w:rFonts w:hint="eastAsia"/>
                <w:color w:val="000000"/>
              </w:rPr>
              <w:t>废油桶、S1</w:t>
            </w:r>
            <w:r>
              <w:rPr>
                <w:rFonts w:hint="eastAsia"/>
                <w:color w:val="000000"/>
                <w:lang w:val="en-US" w:eastAsia="zh-CN"/>
              </w:rPr>
              <w:t>3</w:t>
            </w:r>
            <w:r>
              <w:rPr>
                <w:rFonts w:hint="eastAsia"/>
                <w:color w:val="000000"/>
              </w:rPr>
              <w:t>含油废手套等劳保用品、S1</w:t>
            </w:r>
            <w:r>
              <w:rPr>
                <w:rFonts w:hint="eastAsia"/>
                <w:color w:val="000000"/>
                <w:lang w:val="en-US" w:eastAsia="zh-CN"/>
              </w:rPr>
              <w:t>4</w:t>
            </w:r>
            <w:r>
              <w:rPr>
                <w:rFonts w:hint="eastAsia"/>
                <w:color w:val="000000"/>
              </w:rPr>
              <w:t>叉车废蓄电池，于危险废物贮存点内暂存，交有资质单位处置。</w:t>
            </w:r>
          </w:p>
          <w:p w14:paraId="6A39D21B">
            <w:pPr>
              <w:spacing w:line="360" w:lineRule="auto"/>
              <w:ind w:firstLine="420" w:firstLineChars="200"/>
              <w:jc w:val="left"/>
              <w:rPr>
                <w:rFonts w:hint="eastAsia"/>
                <w:color w:val="000000"/>
              </w:rPr>
            </w:pPr>
            <w:r>
              <w:rPr>
                <w:rFonts w:hint="eastAsia"/>
                <w:color w:val="000000"/>
              </w:rPr>
              <w:t>①废活性炭：本项目废气处理设施活性炭处理装置产生废活性炭，危废类别为“HW49其他废物”，代码900-039-49。根据前文废气源强核算，1#废气处理设施、3#废气处理设施活性炭装填量分别为9.9m</w:t>
            </w:r>
            <w:r>
              <w:rPr>
                <w:rFonts w:hint="eastAsia"/>
                <w:color w:val="000000"/>
                <w:vertAlign w:val="superscript"/>
              </w:rPr>
              <w:t>3</w:t>
            </w:r>
            <w:r>
              <w:rPr>
                <w:rFonts w:hint="eastAsia"/>
                <w:color w:val="000000"/>
              </w:rPr>
              <w:t>、6.2m</w:t>
            </w:r>
            <w:r>
              <w:rPr>
                <w:rFonts w:hint="eastAsia"/>
                <w:color w:val="000000"/>
                <w:vertAlign w:val="superscript"/>
              </w:rPr>
              <w:t>3</w:t>
            </w:r>
            <w:r>
              <w:rPr>
                <w:rFonts w:hint="eastAsia"/>
                <w:color w:val="000000"/>
              </w:rPr>
              <w:t>，每两个月换一次，活性炭使用量为48.3t/a，废活性炭产生量约为58t/a。项目废活性炭产生量较大，及时与危废处置单位沟通，更换一次处置一次，及时清运，避免二次污染。</w:t>
            </w:r>
          </w:p>
          <w:p w14:paraId="5A752A17">
            <w:pPr>
              <w:spacing w:line="360" w:lineRule="auto"/>
              <w:ind w:firstLine="420" w:firstLineChars="200"/>
              <w:rPr>
                <w:rFonts w:hint="eastAsia"/>
                <w:color w:val="000000"/>
              </w:rPr>
            </w:pPr>
            <w:r>
              <w:rPr>
                <w:rFonts w:hint="eastAsia"/>
                <w:color w:val="000000"/>
              </w:rPr>
              <w:t>②废静电油：废气处理设施的静电除油器产生废静电油，危废类别为“HW08废矿物油与含矿物油废物”，代码为900-213-08，根据前文计算其产生量约</w:t>
            </w:r>
            <w:r>
              <w:rPr>
                <w:rFonts w:hint="eastAsia"/>
                <w:color w:val="000000"/>
                <w:lang w:val="en-US" w:eastAsia="zh-CN"/>
              </w:rPr>
              <w:t>2.339</w:t>
            </w:r>
            <w:r>
              <w:rPr>
                <w:rFonts w:hint="eastAsia"/>
                <w:color w:val="000000"/>
              </w:rPr>
              <w:t>t/a。</w:t>
            </w:r>
          </w:p>
          <w:p w14:paraId="33DE23CF">
            <w:pPr>
              <w:spacing w:line="360" w:lineRule="auto"/>
              <w:ind w:firstLine="420" w:firstLineChars="200"/>
              <w:jc w:val="left"/>
              <w:rPr>
                <w:rFonts w:hint="eastAsia"/>
                <w:color w:val="000000"/>
              </w:rPr>
            </w:pPr>
            <w:r>
              <w:rPr>
                <w:rFonts w:hint="eastAsia"/>
                <w:color w:val="000000"/>
              </w:rPr>
              <w:t>③废光氧灯管：废气处理设施中UV光氧催化产生废光氧灯管，危废类别为“HW29含汞废物”，代码为900-023-29。项目运营期光氧灯管达到使用寿命或损坏时需进行更换，产生量约为0.02t/a。</w:t>
            </w:r>
          </w:p>
          <w:p w14:paraId="02505299">
            <w:pPr>
              <w:spacing w:line="360" w:lineRule="auto"/>
              <w:ind w:firstLine="420" w:firstLineChars="200"/>
              <w:rPr>
                <w:rFonts w:hint="eastAsia"/>
                <w:color w:val="000000"/>
              </w:rPr>
            </w:pPr>
            <w:r>
              <w:rPr>
                <w:rFonts w:hint="eastAsia"/>
                <w:color w:val="000000"/>
              </w:rPr>
              <w:t>④</w:t>
            </w:r>
            <w:r>
              <w:rPr>
                <w:rFonts w:hint="eastAsia" w:cs="Segoe UI"/>
                <w:color w:val="000000"/>
                <w:shd w:val="clear" w:color="auto" w:fill="FFFFFF"/>
              </w:rPr>
              <w:t>废催化剂：</w:t>
            </w:r>
            <w:r>
              <w:rPr>
                <w:rFonts w:hint="eastAsia"/>
                <w:color w:val="000000"/>
              </w:rPr>
              <w:t>废气处理设施中UV光氧催化产生废催化剂，其主中成分为二氧化钛，危废类别为“HW49其他废物”，代码为900-041-49。日常运行中一般3~5年更换，产生量约为0.05t/a。</w:t>
            </w:r>
          </w:p>
          <w:p w14:paraId="6F8D9A3F">
            <w:pPr>
              <w:spacing w:line="360" w:lineRule="auto"/>
              <w:ind w:firstLine="420" w:firstLineChars="200"/>
              <w:rPr>
                <w:rFonts w:hint="eastAsia"/>
                <w:color w:val="000000"/>
              </w:rPr>
            </w:pPr>
            <w:r>
              <w:rPr>
                <w:rFonts w:hint="eastAsia"/>
                <w:color w:val="000000"/>
              </w:rPr>
              <w:t>⑤废氢氧化钠包装袋</w:t>
            </w:r>
            <w:r>
              <w:rPr>
                <w:rFonts w:hint="eastAsia" w:cs="Segoe UI"/>
                <w:color w:val="000000"/>
                <w:shd w:val="clear" w:color="auto" w:fill="FFFFFF"/>
              </w:rPr>
              <w:t>：</w:t>
            </w:r>
            <w:r>
              <w:rPr>
                <w:rFonts w:hint="eastAsia"/>
                <w:color w:val="000000"/>
              </w:rPr>
              <w:t>废气处理设施中酸雾洗涤塔使用袋装氢氧化钠产生废氢氧化钠包装袋，其主中成分为氢氧化钠，危废类别为“HW49其他废物”，代码为900-041-49，产生量约为0.02t/a。</w:t>
            </w:r>
          </w:p>
          <w:p w14:paraId="14180D52">
            <w:pPr>
              <w:spacing w:line="360" w:lineRule="auto"/>
              <w:ind w:firstLine="420" w:firstLineChars="200"/>
              <w:rPr>
                <w:rFonts w:hint="eastAsia"/>
                <w:color w:val="000000"/>
              </w:rPr>
            </w:pPr>
            <w:r>
              <w:rPr>
                <w:rFonts w:hint="eastAsia"/>
                <w:color w:val="000000"/>
                <w:lang w:val="en-US" w:eastAsia="zh-CN"/>
              </w:rPr>
              <w:t>⑥</w:t>
            </w:r>
            <w:r>
              <w:rPr>
                <w:rFonts w:hint="eastAsia" w:cs="Segoe UI"/>
                <w:color w:val="000000"/>
                <w:shd w:val="clear" w:color="auto" w:fill="FFFFFF"/>
              </w:rPr>
              <w:t>隔油渣：废水预处理设施产生隔油渣，</w:t>
            </w:r>
            <w:r>
              <w:rPr>
                <w:rFonts w:hint="eastAsia"/>
                <w:color w:val="000000"/>
              </w:rPr>
              <w:t>危废类别为“HW08废矿物油与含矿物油废物”，代码为900-210-08。日常运行中隔油池会定期产生收集的废油，产生量约为0.05t/a。</w:t>
            </w:r>
          </w:p>
          <w:p w14:paraId="67293A5D">
            <w:pPr>
              <w:spacing w:line="360" w:lineRule="auto"/>
              <w:ind w:firstLine="420" w:firstLineChars="200"/>
              <w:rPr>
                <w:rFonts w:hint="eastAsia"/>
                <w:color w:val="000000"/>
              </w:rPr>
            </w:pPr>
            <w:r>
              <w:rPr>
                <w:rFonts w:hint="eastAsia"/>
                <w:color w:val="000000"/>
                <w:lang w:val="en-US" w:eastAsia="zh-CN"/>
              </w:rPr>
              <w:t>⑦</w:t>
            </w:r>
            <w:r>
              <w:rPr>
                <w:rFonts w:hint="eastAsia"/>
                <w:color w:val="000000"/>
              </w:rPr>
              <w:t>废机油：部分设备使用机油进行保养，危废类别为“HW08废矿物油与含矿物油废物”，代码为900-217-08。项目运营期设备维护保养产生的少量废润滑油，产生量约0.5t/a。</w:t>
            </w:r>
          </w:p>
          <w:p w14:paraId="10E56E91">
            <w:pPr>
              <w:spacing w:line="360" w:lineRule="auto"/>
              <w:ind w:firstLine="420" w:firstLineChars="200"/>
              <w:rPr>
                <w:rFonts w:hint="eastAsia"/>
                <w:color w:val="000000"/>
              </w:rPr>
            </w:pPr>
            <w:r>
              <w:rPr>
                <w:rFonts w:hint="eastAsia"/>
                <w:color w:val="000000"/>
                <w:lang w:val="en-US" w:eastAsia="zh-CN"/>
              </w:rPr>
              <w:t>⑧</w:t>
            </w:r>
            <w:r>
              <w:rPr>
                <w:rFonts w:hint="eastAsia"/>
                <w:color w:val="000000"/>
              </w:rPr>
              <w:t>废油桶：危废类别为“HW08废矿物油与含矿物油废物”，代码为900-249-08。项目运营期设备维护保养产生少量废油桶，产生量约为0.1t/a。</w:t>
            </w:r>
          </w:p>
          <w:p w14:paraId="726DCF3A">
            <w:pPr>
              <w:spacing w:line="360" w:lineRule="auto"/>
              <w:ind w:firstLine="420" w:firstLineChars="200"/>
              <w:rPr>
                <w:color w:val="000000"/>
              </w:rPr>
            </w:pPr>
            <w:r>
              <w:rPr>
                <w:rFonts w:hint="eastAsia"/>
                <w:color w:val="000000"/>
                <w:lang w:val="en-US" w:eastAsia="zh-CN"/>
              </w:rPr>
              <w:t>⑨</w:t>
            </w:r>
            <w:r>
              <w:rPr>
                <w:rFonts w:hint="eastAsia"/>
                <w:color w:val="000000"/>
              </w:rPr>
              <w:t>含油废手套等劳保用品：项目日常保养维护过程产生废手套等，危废类别为“HW49其他废物”，代码900-041-49。项目运营期设备维护保养产生少量的废含油棉纱和手套，产生量约为0.05t/a。</w:t>
            </w:r>
          </w:p>
          <w:p w14:paraId="7A60386A">
            <w:pPr>
              <w:spacing w:line="360" w:lineRule="auto"/>
              <w:ind w:firstLine="420" w:firstLineChars="200"/>
              <w:jc w:val="left"/>
              <w:rPr>
                <w:rFonts w:hint="eastAsia"/>
                <w:color w:val="000000"/>
              </w:rPr>
            </w:pPr>
            <w:r>
              <w:rPr>
                <w:rFonts w:hint="eastAsia"/>
                <w:color w:val="000000"/>
                <w:lang w:val="en-US" w:eastAsia="zh-CN"/>
              </w:rPr>
              <w:t>⑩</w:t>
            </w:r>
            <w:r>
              <w:rPr>
                <w:rFonts w:hint="eastAsia"/>
                <w:color w:val="000000"/>
              </w:rPr>
              <w:t>叉车废蓄电池：厂内转运使用电瓶叉车，日常更换电池产生废蓄电池，危废类别为“HW31含铅废物”，代码为900-052-31。日常运行中叉车废蓄电池每3~5年换一次电池，产生量约为0.2t/a。</w:t>
            </w:r>
          </w:p>
          <w:p w14:paraId="4035D139">
            <w:pPr>
              <w:spacing w:line="360" w:lineRule="auto"/>
              <w:ind w:firstLine="420" w:firstLineChars="200"/>
              <w:jc w:val="left"/>
              <w:rPr>
                <w:rFonts w:hint="eastAsia"/>
                <w:color w:val="000000"/>
              </w:rPr>
            </w:pPr>
            <w:r>
              <w:rPr>
                <w:rFonts w:hint="eastAsia"/>
                <w:color w:val="000000"/>
              </w:rPr>
              <w:t>⑶生活垃圾</w:t>
            </w:r>
          </w:p>
          <w:p w14:paraId="6F0F68D1">
            <w:pPr>
              <w:spacing w:line="360" w:lineRule="auto"/>
              <w:ind w:firstLine="420" w:firstLineChars="200"/>
              <w:jc w:val="left"/>
              <w:rPr>
                <w:rFonts w:hint="eastAsia"/>
                <w:color w:val="000000"/>
              </w:rPr>
            </w:pPr>
            <w:r>
              <w:rPr>
                <w:rFonts w:hint="eastAsia"/>
                <w:color w:val="000000"/>
              </w:rPr>
              <w:t>员工生活产生生活垃圾。员工办公、生活产生一定量垃圾，按人均产生量0.5kg/d计，项目劳动定员50人，预计生活垃圾年产生量7.5t/a，由环卫部门清运。</w:t>
            </w:r>
          </w:p>
          <w:p w14:paraId="1AA887A0">
            <w:pPr>
              <w:adjustRightInd w:val="0"/>
              <w:snapToGrid w:val="0"/>
              <w:spacing w:line="360" w:lineRule="auto"/>
              <w:rPr>
                <w:rFonts w:hint="eastAsia"/>
                <w:color w:val="000000"/>
              </w:rPr>
            </w:pPr>
            <w:r>
              <w:rPr>
                <w:rFonts w:hint="eastAsia"/>
                <w:b/>
                <w:bCs/>
                <w:snapToGrid w:val="0"/>
                <w:color w:val="000000"/>
                <w:kern w:val="0"/>
              </w:rPr>
              <w:t>4.2.4.2固体废物产生情况</w:t>
            </w:r>
          </w:p>
          <w:p w14:paraId="27F8854F">
            <w:pPr>
              <w:pStyle w:val="5"/>
              <w:spacing w:after="0" w:line="360" w:lineRule="auto"/>
              <w:ind w:firstLine="480"/>
              <w:contextualSpacing/>
              <w:rPr>
                <w:color w:val="000000"/>
                <w:sz w:val="24"/>
                <w:szCs w:val="22"/>
              </w:rPr>
            </w:pPr>
            <w:r>
              <w:rPr>
                <w:rFonts w:hint="eastAsia"/>
                <w:color w:val="000000"/>
                <w:sz w:val="24"/>
                <w:szCs w:val="22"/>
              </w:rPr>
              <w:t>本项目</w:t>
            </w:r>
            <w:r>
              <w:rPr>
                <w:color w:val="000000"/>
                <w:sz w:val="24"/>
                <w:szCs w:val="22"/>
              </w:rPr>
              <w:t>固废产生情况见表</w:t>
            </w:r>
            <w:r>
              <w:rPr>
                <w:rFonts w:hint="eastAsia"/>
                <w:color w:val="000000"/>
                <w:sz w:val="24"/>
                <w:szCs w:val="22"/>
              </w:rPr>
              <w:t>4-21。</w:t>
            </w:r>
          </w:p>
          <w:p w14:paraId="3D75A7D4">
            <w:pPr>
              <w:pStyle w:val="5"/>
              <w:spacing w:after="0" w:line="360" w:lineRule="auto"/>
              <w:ind w:firstLine="482"/>
              <w:contextualSpacing/>
              <w:jc w:val="center"/>
              <w:rPr>
                <w:rFonts w:hint="eastAsia"/>
                <w:b/>
                <w:color w:val="000000"/>
                <w:sz w:val="24"/>
                <w:szCs w:val="24"/>
              </w:rPr>
            </w:pPr>
            <w:r>
              <w:rPr>
                <w:rFonts w:hint="eastAsia"/>
                <w:b/>
                <w:color w:val="000000"/>
                <w:sz w:val="24"/>
                <w:szCs w:val="24"/>
              </w:rPr>
              <w:t>表4-21  本项目固体废物产生情况一览表</w:t>
            </w:r>
          </w:p>
          <w:tbl>
            <w:tblPr>
              <w:tblStyle w:val="16"/>
              <w:tblW w:w="826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1056"/>
              <w:gridCol w:w="1209"/>
              <w:gridCol w:w="996"/>
              <w:gridCol w:w="3210"/>
            </w:tblGrid>
            <w:tr w14:paraId="5DDFCE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noWrap w:val="0"/>
                  <w:vAlign w:val="center"/>
                </w:tcPr>
                <w:p w14:paraId="52114974">
                  <w:pPr>
                    <w:jc w:val="center"/>
                    <w:rPr>
                      <w:b/>
                      <w:color w:val="000000"/>
                      <w:sz w:val="21"/>
                      <w:szCs w:val="21"/>
                    </w:rPr>
                  </w:pPr>
                  <w:r>
                    <w:rPr>
                      <w:b/>
                      <w:color w:val="000000"/>
                      <w:sz w:val="21"/>
                      <w:szCs w:val="21"/>
                    </w:rPr>
                    <w:t>固废</w:t>
                  </w:r>
                  <w:r>
                    <w:rPr>
                      <w:rFonts w:hint="eastAsia"/>
                      <w:b/>
                      <w:color w:val="000000"/>
                      <w:sz w:val="21"/>
                      <w:szCs w:val="21"/>
                    </w:rPr>
                    <w:t>名称</w:t>
                  </w:r>
                </w:p>
              </w:tc>
              <w:tc>
                <w:tcPr>
                  <w:tcW w:w="0" w:type="auto"/>
                  <w:noWrap w:val="0"/>
                  <w:vAlign w:val="center"/>
                </w:tcPr>
                <w:p w14:paraId="6B0F1C59">
                  <w:pPr>
                    <w:jc w:val="center"/>
                    <w:rPr>
                      <w:b/>
                      <w:color w:val="000000"/>
                      <w:sz w:val="21"/>
                      <w:szCs w:val="21"/>
                    </w:rPr>
                  </w:pPr>
                  <w:r>
                    <w:rPr>
                      <w:rFonts w:hint="eastAsia"/>
                      <w:b/>
                      <w:color w:val="000000"/>
                      <w:sz w:val="21"/>
                      <w:szCs w:val="21"/>
                    </w:rPr>
                    <w:t>固废</w:t>
                  </w:r>
                  <w:r>
                    <w:rPr>
                      <w:b/>
                      <w:color w:val="000000"/>
                      <w:sz w:val="21"/>
                      <w:szCs w:val="21"/>
                    </w:rPr>
                    <w:t>类别</w:t>
                  </w:r>
                </w:p>
              </w:tc>
              <w:tc>
                <w:tcPr>
                  <w:tcW w:w="0" w:type="auto"/>
                  <w:noWrap w:val="0"/>
                  <w:vAlign w:val="center"/>
                </w:tcPr>
                <w:p w14:paraId="12CEA4F9">
                  <w:pPr>
                    <w:jc w:val="center"/>
                    <w:rPr>
                      <w:b/>
                      <w:color w:val="000000"/>
                      <w:sz w:val="21"/>
                      <w:szCs w:val="21"/>
                    </w:rPr>
                  </w:pPr>
                  <w:r>
                    <w:rPr>
                      <w:rFonts w:hint="eastAsia"/>
                      <w:b/>
                      <w:color w:val="000000"/>
                      <w:sz w:val="21"/>
                      <w:szCs w:val="21"/>
                    </w:rPr>
                    <w:t>废物代码</w:t>
                  </w:r>
                </w:p>
              </w:tc>
              <w:tc>
                <w:tcPr>
                  <w:tcW w:w="0" w:type="auto"/>
                  <w:noWrap w:val="0"/>
                  <w:vAlign w:val="center"/>
                </w:tcPr>
                <w:p w14:paraId="09741F0C">
                  <w:pPr>
                    <w:jc w:val="center"/>
                    <w:rPr>
                      <w:b/>
                      <w:color w:val="000000"/>
                      <w:sz w:val="21"/>
                      <w:szCs w:val="21"/>
                    </w:rPr>
                  </w:pPr>
                  <w:r>
                    <w:rPr>
                      <w:b/>
                      <w:color w:val="000000"/>
                      <w:sz w:val="21"/>
                      <w:szCs w:val="21"/>
                    </w:rPr>
                    <w:t>产生量t/a</w:t>
                  </w:r>
                </w:p>
              </w:tc>
              <w:tc>
                <w:tcPr>
                  <w:tcW w:w="0" w:type="auto"/>
                  <w:noWrap w:val="0"/>
                  <w:vAlign w:val="center"/>
                </w:tcPr>
                <w:p w14:paraId="14675D24">
                  <w:pPr>
                    <w:jc w:val="center"/>
                    <w:rPr>
                      <w:rFonts w:hint="eastAsia"/>
                      <w:b/>
                      <w:color w:val="000000"/>
                      <w:sz w:val="21"/>
                      <w:szCs w:val="21"/>
                    </w:rPr>
                  </w:pPr>
                  <w:r>
                    <w:rPr>
                      <w:rFonts w:hint="eastAsia"/>
                      <w:b/>
                      <w:color w:val="000000"/>
                      <w:sz w:val="21"/>
                      <w:szCs w:val="21"/>
                    </w:rPr>
                    <w:t>处置方式</w:t>
                  </w:r>
                </w:p>
              </w:tc>
            </w:tr>
            <w:tr w14:paraId="127BD9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715B7205">
                  <w:pPr>
                    <w:jc w:val="center"/>
                    <w:rPr>
                      <w:rFonts w:hint="eastAsia"/>
                      <w:color w:val="000000"/>
                      <w:sz w:val="21"/>
                      <w:szCs w:val="21"/>
                    </w:rPr>
                  </w:pPr>
                  <w:r>
                    <w:rPr>
                      <w:rFonts w:hint="eastAsia"/>
                      <w:color w:val="000000"/>
                      <w:sz w:val="21"/>
                      <w:szCs w:val="21"/>
                    </w:rPr>
                    <w:t>废包装袋</w:t>
                  </w:r>
                </w:p>
              </w:tc>
              <w:tc>
                <w:tcPr>
                  <w:tcW w:w="0" w:type="auto"/>
                  <w:noWrap w:val="0"/>
                  <w:vAlign w:val="center"/>
                </w:tcPr>
                <w:p w14:paraId="78EE6B20">
                  <w:pPr>
                    <w:jc w:val="center"/>
                    <w:rPr>
                      <w:color w:val="000000"/>
                      <w:sz w:val="21"/>
                      <w:szCs w:val="21"/>
                    </w:rPr>
                  </w:pPr>
                  <w:r>
                    <w:rPr>
                      <w:rFonts w:hint="eastAsia"/>
                      <w:color w:val="000000"/>
                      <w:sz w:val="21"/>
                      <w:szCs w:val="21"/>
                    </w:rPr>
                    <w:t>一般固废</w:t>
                  </w:r>
                </w:p>
              </w:tc>
              <w:tc>
                <w:tcPr>
                  <w:tcW w:w="0" w:type="auto"/>
                  <w:noWrap w:val="0"/>
                  <w:vAlign w:val="center"/>
                </w:tcPr>
                <w:p w14:paraId="23EBE3EF">
                  <w:pPr>
                    <w:jc w:val="center"/>
                    <w:rPr>
                      <w:color w:val="000000"/>
                      <w:sz w:val="21"/>
                      <w:szCs w:val="21"/>
                    </w:rPr>
                  </w:pPr>
                  <w:r>
                    <w:rPr>
                      <w:rFonts w:hint="eastAsia"/>
                      <w:color w:val="000000"/>
                      <w:sz w:val="21"/>
                      <w:szCs w:val="21"/>
                    </w:rPr>
                    <w:t>900-003-S17</w:t>
                  </w:r>
                </w:p>
              </w:tc>
              <w:tc>
                <w:tcPr>
                  <w:tcW w:w="0" w:type="auto"/>
                  <w:noWrap w:val="0"/>
                  <w:vAlign w:val="center"/>
                </w:tcPr>
                <w:p w14:paraId="13414BDE">
                  <w:pPr>
                    <w:jc w:val="center"/>
                    <w:rPr>
                      <w:color w:val="000000"/>
                      <w:sz w:val="21"/>
                      <w:szCs w:val="21"/>
                    </w:rPr>
                  </w:pPr>
                  <w:r>
                    <w:rPr>
                      <w:rFonts w:hint="eastAsia"/>
                      <w:color w:val="000000"/>
                      <w:sz w:val="21"/>
                      <w:szCs w:val="21"/>
                    </w:rPr>
                    <w:t>3.5</w:t>
                  </w:r>
                </w:p>
              </w:tc>
              <w:tc>
                <w:tcPr>
                  <w:tcW w:w="0" w:type="auto"/>
                  <w:noWrap w:val="0"/>
                  <w:vAlign w:val="center"/>
                </w:tcPr>
                <w:p w14:paraId="2C81EB5B">
                  <w:pPr>
                    <w:jc w:val="center"/>
                    <w:rPr>
                      <w:rFonts w:hint="eastAsia"/>
                      <w:color w:val="000000"/>
                      <w:sz w:val="21"/>
                      <w:szCs w:val="21"/>
                    </w:rPr>
                  </w:pPr>
                  <w:r>
                    <w:rPr>
                      <w:rFonts w:hint="eastAsia"/>
                      <w:color w:val="000000"/>
                      <w:sz w:val="21"/>
                      <w:szCs w:val="21"/>
                    </w:rPr>
                    <w:t>经收集后交物资回收单位处置</w:t>
                  </w:r>
                </w:p>
              </w:tc>
            </w:tr>
            <w:tr w14:paraId="4FB552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78E25583">
                  <w:pPr>
                    <w:jc w:val="center"/>
                    <w:rPr>
                      <w:color w:val="000000"/>
                      <w:sz w:val="21"/>
                      <w:szCs w:val="21"/>
                    </w:rPr>
                  </w:pPr>
                  <w:r>
                    <w:rPr>
                      <w:rFonts w:hint="eastAsia"/>
                      <w:color w:val="000000"/>
                      <w:sz w:val="21"/>
                      <w:szCs w:val="21"/>
                    </w:rPr>
                    <w:t>质检塑料废样</w:t>
                  </w:r>
                </w:p>
              </w:tc>
              <w:tc>
                <w:tcPr>
                  <w:tcW w:w="0" w:type="auto"/>
                  <w:noWrap w:val="0"/>
                  <w:vAlign w:val="center"/>
                </w:tcPr>
                <w:p w14:paraId="13FCF0D2">
                  <w:pPr>
                    <w:jc w:val="center"/>
                    <w:rPr>
                      <w:color w:val="000000"/>
                      <w:sz w:val="21"/>
                      <w:szCs w:val="21"/>
                    </w:rPr>
                  </w:pPr>
                  <w:r>
                    <w:rPr>
                      <w:rFonts w:hint="eastAsia"/>
                      <w:color w:val="000000"/>
                      <w:sz w:val="21"/>
                      <w:szCs w:val="21"/>
                    </w:rPr>
                    <w:t>一般固废</w:t>
                  </w:r>
                </w:p>
              </w:tc>
              <w:tc>
                <w:tcPr>
                  <w:tcW w:w="0" w:type="auto"/>
                  <w:noWrap w:val="0"/>
                  <w:vAlign w:val="center"/>
                </w:tcPr>
                <w:p w14:paraId="77298404">
                  <w:pPr>
                    <w:jc w:val="center"/>
                    <w:rPr>
                      <w:rFonts w:hint="eastAsia"/>
                      <w:color w:val="000000"/>
                      <w:sz w:val="21"/>
                      <w:szCs w:val="21"/>
                    </w:rPr>
                  </w:pPr>
                  <w:r>
                    <w:rPr>
                      <w:rFonts w:hint="eastAsia"/>
                      <w:color w:val="000000"/>
                      <w:sz w:val="21"/>
                      <w:szCs w:val="21"/>
                    </w:rPr>
                    <w:t>900-003-S17</w:t>
                  </w:r>
                </w:p>
              </w:tc>
              <w:tc>
                <w:tcPr>
                  <w:tcW w:w="0" w:type="auto"/>
                  <w:noWrap w:val="0"/>
                  <w:vAlign w:val="center"/>
                </w:tcPr>
                <w:p w14:paraId="522ACD69">
                  <w:pPr>
                    <w:jc w:val="center"/>
                    <w:rPr>
                      <w:color w:val="000000"/>
                      <w:sz w:val="21"/>
                      <w:szCs w:val="21"/>
                    </w:rPr>
                  </w:pPr>
                  <w:r>
                    <w:rPr>
                      <w:rFonts w:hint="eastAsia"/>
                      <w:color w:val="000000"/>
                      <w:sz w:val="21"/>
                      <w:szCs w:val="21"/>
                    </w:rPr>
                    <w:t>0.5</w:t>
                  </w:r>
                </w:p>
              </w:tc>
              <w:tc>
                <w:tcPr>
                  <w:tcW w:w="0" w:type="auto"/>
                  <w:noWrap w:val="0"/>
                  <w:vAlign w:val="center"/>
                </w:tcPr>
                <w:p w14:paraId="7EF76FB9">
                  <w:pPr>
                    <w:jc w:val="center"/>
                    <w:rPr>
                      <w:rFonts w:hint="eastAsia"/>
                      <w:color w:val="000000"/>
                      <w:sz w:val="21"/>
                      <w:szCs w:val="21"/>
                    </w:rPr>
                  </w:pPr>
                  <w:r>
                    <w:rPr>
                      <w:rFonts w:hint="eastAsia"/>
                      <w:color w:val="000000"/>
                      <w:sz w:val="21"/>
                      <w:szCs w:val="21"/>
                    </w:rPr>
                    <w:t>一般固废暂存区暂存，交物资回收单位处置</w:t>
                  </w:r>
                </w:p>
              </w:tc>
            </w:tr>
            <w:tr w14:paraId="4724E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07DF1471">
                  <w:pPr>
                    <w:jc w:val="center"/>
                    <w:rPr>
                      <w:rFonts w:hint="eastAsia"/>
                      <w:color w:val="000000"/>
                      <w:sz w:val="21"/>
                      <w:szCs w:val="21"/>
                    </w:rPr>
                  </w:pPr>
                  <w:r>
                    <w:rPr>
                      <w:rFonts w:hint="eastAsia"/>
                      <w:color w:val="000000"/>
                      <w:sz w:val="21"/>
                      <w:szCs w:val="21"/>
                    </w:rPr>
                    <w:t>除尘灰</w:t>
                  </w:r>
                </w:p>
              </w:tc>
              <w:tc>
                <w:tcPr>
                  <w:tcW w:w="0" w:type="auto"/>
                  <w:noWrap w:val="0"/>
                  <w:vAlign w:val="center"/>
                </w:tcPr>
                <w:p w14:paraId="34DC8F17">
                  <w:pPr>
                    <w:jc w:val="center"/>
                    <w:rPr>
                      <w:rFonts w:hint="eastAsia"/>
                      <w:color w:val="000000"/>
                      <w:sz w:val="21"/>
                      <w:szCs w:val="21"/>
                    </w:rPr>
                  </w:pPr>
                  <w:r>
                    <w:rPr>
                      <w:rFonts w:hint="eastAsia"/>
                      <w:color w:val="000000"/>
                      <w:sz w:val="21"/>
                      <w:szCs w:val="21"/>
                    </w:rPr>
                    <w:t>一般固废</w:t>
                  </w:r>
                </w:p>
              </w:tc>
              <w:tc>
                <w:tcPr>
                  <w:tcW w:w="0" w:type="auto"/>
                  <w:noWrap w:val="0"/>
                  <w:vAlign w:val="center"/>
                </w:tcPr>
                <w:p w14:paraId="47874AA1">
                  <w:pPr>
                    <w:jc w:val="center"/>
                    <w:rPr>
                      <w:rFonts w:hint="eastAsia"/>
                      <w:color w:val="000000"/>
                      <w:sz w:val="21"/>
                      <w:szCs w:val="21"/>
                    </w:rPr>
                  </w:pPr>
                  <w:r>
                    <w:rPr>
                      <w:rFonts w:hint="eastAsia"/>
                      <w:color w:val="000000"/>
                      <w:sz w:val="21"/>
                      <w:szCs w:val="21"/>
                    </w:rPr>
                    <w:t>900-003-S17</w:t>
                  </w:r>
                </w:p>
              </w:tc>
              <w:tc>
                <w:tcPr>
                  <w:tcW w:w="0" w:type="auto"/>
                  <w:noWrap w:val="0"/>
                  <w:vAlign w:val="center"/>
                </w:tcPr>
                <w:p w14:paraId="7A8F6A46">
                  <w:pPr>
                    <w:jc w:val="center"/>
                    <w:rPr>
                      <w:rFonts w:hint="default" w:eastAsia="宋体"/>
                      <w:color w:val="000000"/>
                      <w:sz w:val="21"/>
                      <w:szCs w:val="21"/>
                      <w:lang w:val="en-US" w:eastAsia="zh-CN"/>
                    </w:rPr>
                  </w:pPr>
                  <w:r>
                    <w:rPr>
                      <w:rFonts w:hint="eastAsia"/>
                      <w:color w:val="000000"/>
                      <w:sz w:val="21"/>
                      <w:szCs w:val="21"/>
                      <w:lang w:val="en-US" w:eastAsia="zh-CN"/>
                    </w:rPr>
                    <w:t>9.47</w:t>
                  </w:r>
                </w:p>
              </w:tc>
              <w:tc>
                <w:tcPr>
                  <w:tcW w:w="0" w:type="auto"/>
                  <w:noWrap w:val="0"/>
                  <w:vAlign w:val="center"/>
                </w:tcPr>
                <w:p w14:paraId="00D0F938">
                  <w:pPr>
                    <w:jc w:val="center"/>
                    <w:rPr>
                      <w:rFonts w:hint="eastAsia"/>
                      <w:color w:val="000000"/>
                      <w:sz w:val="21"/>
                      <w:szCs w:val="21"/>
                    </w:rPr>
                  </w:pPr>
                  <w:r>
                    <w:rPr>
                      <w:rFonts w:hint="eastAsia"/>
                      <w:color w:val="000000"/>
                      <w:sz w:val="21"/>
                      <w:szCs w:val="21"/>
                    </w:rPr>
                    <w:t>经收集后外售综合利用</w:t>
                  </w:r>
                </w:p>
              </w:tc>
            </w:tr>
            <w:tr w14:paraId="510280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7AF41295">
                  <w:pPr>
                    <w:jc w:val="center"/>
                    <w:rPr>
                      <w:color w:val="000000"/>
                      <w:sz w:val="21"/>
                      <w:szCs w:val="21"/>
                    </w:rPr>
                  </w:pPr>
                  <w:r>
                    <w:rPr>
                      <w:rFonts w:hint="eastAsia"/>
                      <w:color w:val="000000"/>
                      <w:sz w:val="21"/>
                      <w:szCs w:val="21"/>
                    </w:rPr>
                    <w:t>沉渣</w:t>
                  </w:r>
                </w:p>
              </w:tc>
              <w:tc>
                <w:tcPr>
                  <w:tcW w:w="0" w:type="auto"/>
                  <w:noWrap w:val="0"/>
                  <w:vAlign w:val="center"/>
                </w:tcPr>
                <w:p w14:paraId="7BE2AF31">
                  <w:pPr>
                    <w:jc w:val="center"/>
                    <w:rPr>
                      <w:rFonts w:hint="eastAsia"/>
                      <w:color w:val="000000"/>
                      <w:sz w:val="21"/>
                      <w:szCs w:val="21"/>
                    </w:rPr>
                  </w:pPr>
                  <w:r>
                    <w:rPr>
                      <w:rFonts w:hint="eastAsia"/>
                      <w:color w:val="000000"/>
                      <w:sz w:val="21"/>
                      <w:szCs w:val="21"/>
                    </w:rPr>
                    <w:t>一般固废</w:t>
                  </w:r>
                </w:p>
              </w:tc>
              <w:tc>
                <w:tcPr>
                  <w:tcW w:w="0" w:type="auto"/>
                  <w:noWrap w:val="0"/>
                  <w:vAlign w:val="center"/>
                </w:tcPr>
                <w:p w14:paraId="3362DEA4">
                  <w:pPr>
                    <w:jc w:val="center"/>
                    <w:rPr>
                      <w:color w:val="000000"/>
                      <w:sz w:val="21"/>
                      <w:szCs w:val="21"/>
                    </w:rPr>
                  </w:pPr>
                  <w:r>
                    <w:rPr>
                      <w:rFonts w:hint="eastAsia"/>
                      <w:color w:val="000000"/>
                      <w:sz w:val="21"/>
                      <w:szCs w:val="21"/>
                    </w:rPr>
                    <w:t>900-099-S07</w:t>
                  </w:r>
                </w:p>
              </w:tc>
              <w:tc>
                <w:tcPr>
                  <w:tcW w:w="0" w:type="auto"/>
                  <w:noWrap w:val="0"/>
                  <w:vAlign w:val="center"/>
                </w:tcPr>
                <w:p w14:paraId="0BDA117C">
                  <w:pPr>
                    <w:jc w:val="center"/>
                    <w:rPr>
                      <w:color w:val="000000"/>
                      <w:sz w:val="21"/>
                      <w:szCs w:val="21"/>
                    </w:rPr>
                  </w:pPr>
                  <w:r>
                    <w:rPr>
                      <w:rFonts w:hint="eastAsia"/>
                      <w:color w:val="000000"/>
                      <w:sz w:val="21"/>
                      <w:szCs w:val="21"/>
                    </w:rPr>
                    <w:t>0.25</w:t>
                  </w:r>
                </w:p>
              </w:tc>
              <w:tc>
                <w:tcPr>
                  <w:tcW w:w="0" w:type="auto"/>
                  <w:noWrap w:val="0"/>
                  <w:vAlign w:val="center"/>
                </w:tcPr>
                <w:p w14:paraId="0ED4147E">
                  <w:pPr>
                    <w:jc w:val="center"/>
                    <w:rPr>
                      <w:rFonts w:hint="eastAsia"/>
                      <w:color w:val="000000"/>
                      <w:sz w:val="21"/>
                      <w:szCs w:val="21"/>
                    </w:rPr>
                  </w:pPr>
                  <w:r>
                    <w:rPr>
                      <w:rFonts w:hint="eastAsia"/>
                      <w:color w:val="000000"/>
                      <w:sz w:val="21"/>
                      <w:szCs w:val="21"/>
                    </w:rPr>
                    <w:t>运至一般工业固废填埋场处理</w:t>
                  </w:r>
                </w:p>
              </w:tc>
            </w:tr>
            <w:tr w14:paraId="6E3667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3957F59A">
                  <w:pPr>
                    <w:jc w:val="center"/>
                    <w:rPr>
                      <w:rFonts w:hint="default" w:eastAsia="宋体"/>
                      <w:color w:val="000000"/>
                      <w:sz w:val="21"/>
                      <w:szCs w:val="21"/>
                      <w:lang w:val="en-US" w:eastAsia="zh-CN"/>
                    </w:rPr>
                  </w:pPr>
                  <w:r>
                    <w:rPr>
                      <w:rFonts w:hint="eastAsia"/>
                      <w:color w:val="000000"/>
                      <w:sz w:val="21"/>
                      <w:szCs w:val="21"/>
                      <w:lang w:val="en-US" w:eastAsia="zh-CN"/>
                    </w:rPr>
                    <w:t>废布袋</w:t>
                  </w:r>
                </w:p>
              </w:tc>
              <w:tc>
                <w:tcPr>
                  <w:tcW w:w="0" w:type="auto"/>
                  <w:noWrap w:val="0"/>
                  <w:vAlign w:val="center"/>
                </w:tcPr>
                <w:p w14:paraId="41A7B267">
                  <w:pPr>
                    <w:jc w:val="center"/>
                    <w:rPr>
                      <w:rFonts w:hint="eastAsia"/>
                      <w:color w:val="000000"/>
                      <w:sz w:val="21"/>
                      <w:szCs w:val="21"/>
                    </w:rPr>
                  </w:pPr>
                  <w:r>
                    <w:rPr>
                      <w:rFonts w:hint="eastAsia"/>
                      <w:color w:val="000000"/>
                      <w:sz w:val="21"/>
                      <w:szCs w:val="21"/>
                    </w:rPr>
                    <w:t>一般固废</w:t>
                  </w:r>
                </w:p>
              </w:tc>
              <w:tc>
                <w:tcPr>
                  <w:tcW w:w="0" w:type="auto"/>
                  <w:noWrap w:val="0"/>
                  <w:vAlign w:val="center"/>
                </w:tcPr>
                <w:p w14:paraId="1C89E0B2">
                  <w:pPr>
                    <w:jc w:val="center"/>
                    <w:rPr>
                      <w:rFonts w:hint="default" w:eastAsia="宋体"/>
                      <w:color w:val="000000"/>
                      <w:sz w:val="21"/>
                      <w:szCs w:val="21"/>
                      <w:lang w:val="en-US" w:eastAsia="zh-CN"/>
                    </w:rPr>
                  </w:pPr>
                  <w:r>
                    <w:rPr>
                      <w:rFonts w:hint="eastAsia"/>
                      <w:color w:val="000000"/>
                      <w:sz w:val="21"/>
                      <w:szCs w:val="21"/>
                    </w:rPr>
                    <w:t>900-003-S17</w:t>
                  </w:r>
                </w:p>
              </w:tc>
              <w:tc>
                <w:tcPr>
                  <w:tcW w:w="0" w:type="auto"/>
                  <w:noWrap w:val="0"/>
                  <w:vAlign w:val="center"/>
                </w:tcPr>
                <w:p w14:paraId="546CC2B8">
                  <w:pPr>
                    <w:jc w:val="center"/>
                    <w:rPr>
                      <w:rFonts w:hint="default" w:eastAsia="宋体"/>
                      <w:color w:val="000000"/>
                      <w:sz w:val="21"/>
                      <w:szCs w:val="21"/>
                      <w:lang w:val="en-US" w:eastAsia="zh-CN"/>
                    </w:rPr>
                  </w:pPr>
                  <w:r>
                    <w:rPr>
                      <w:rFonts w:hint="eastAsia"/>
                      <w:color w:val="000000"/>
                      <w:sz w:val="21"/>
                      <w:szCs w:val="21"/>
                      <w:lang w:val="en-US" w:eastAsia="zh-CN"/>
                    </w:rPr>
                    <w:t>0.2</w:t>
                  </w:r>
                </w:p>
              </w:tc>
              <w:tc>
                <w:tcPr>
                  <w:tcW w:w="0" w:type="auto"/>
                  <w:noWrap w:val="0"/>
                  <w:vAlign w:val="center"/>
                </w:tcPr>
                <w:p w14:paraId="7A97FBA9">
                  <w:pPr>
                    <w:jc w:val="center"/>
                    <w:rPr>
                      <w:rFonts w:hint="eastAsia"/>
                      <w:color w:val="000000"/>
                      <w:sz w:val="21"/>
                      <w:szCs w:val="21"/>
                    </w:rPr>
                  </w:pPr>
                  <w:r>
                    <w:rPr>
                      <w:rFonts w:hint="eastAsia"/>
                      <w:color w:val="000000"/>
                      <w:sz w:val="21"/>
                      <w:szCs w:val="21"/>
                    </w:rPr>
                    <w:t>一般固废暂存区暂存，交物资回收单位处置</w:t>
                  </w:r>
                </w:p>
              </w:tc>
            </w:tr>
            <w:tr w14:paraId="5BDE24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1D255C48">
                  <w:pPr>
                    <w:jc w:val="center"/>
                    <w:rPr>
                      <w:rFonts w:hint="eastAsia"/>
                      <w:color w:val="000000"/>
                      <w:sz w:val="21"/>
                      <w:szCs w:val="21"/>
                    </w:rPr>
                  </w:pPr>
                  <w:r>
                    <w:rPr>
                      <w:rFonts w:hint="eastAsia"/>
                      <w:color w:val="000000"/>
                      <w:sz w:val="21"/>
                      <w:szCs w:val="21"/>
                    </w:rPr>
                    <w:t>废活性炭</w:t>
                  </w:r>
                </w:p>
              </w:tc>
              <w:tc>
                <w:tcPr>
                  <w:tcW w:w="0" w:type="auto"/>
                  <w:noWrap w:val="0"/>
                  <w:vAlign w:val="center"/>
                </w:tcPr>
                <w:p w14:paraId="042D3DDA">
                  <w:pPr>
                    <w:jc w:val="center"/>
                    <w:rPr>
                      <w:color w:val="000000"/>
                      <w:sz w:val="21"/>
                      <w:szCs w:val="21"/>
                    </w:rPr>
                  </w:pPr>
                  <w:r>
                    <w:rPr>
                      <w:rFonts w:hint="eastAsia"/>
                      <w:color w:val="000000"/>
                      <w:sz w:val="21"/>
                      <w:szCs w:val="21"/>
                    </w:rPr>
                    <w:t>危险废物</w:t>
                  </w:r>
                </w:p>
              </w:tc>
              <w:tc>
                <w:tcPr>
                  <w:tcW w:w="0" w:type="auto"/>
                  <w:noWrap w:val="0"/>
                  <w:vAlign w:val="center"/>
                </w:tcPr>
                <w:p w14:paraId="7B823502">
                  <w:pPr>
                    <w:jc w:val="center"/>
                    <w:rPr>
                      <w:rFonts w:hint="eastAsia"/>
                      <w:color w:val="000000"/>
                      <w:sz w:val="21"/>
                      <w:szCs w:val="21"/>
                    </w:rPr>
                  </w:pPr>
                  <w:r>
                    <w:rPr>
                      <w:rFonts w:hint="eastAsia"/>
                      <w:color w:val="000000"/>
                      <w:sz w:val="21"/>
                      <w:szCs w:val="21"/>
                    </w:rPr>
                    <w:t>900-039-49</w:t>
                  </w:r>
                </w:p>
              </w:tc>
              <w:tc>
                <w:tcPr>
                  <w:tcW w:w="0" w:type="auto"/>
                  <w:noWrap w:val="0"/>
                  <w:vAlign w:val="center"/>
                </w:tcPr>
                <w:p w14:paraId="2487A54C">
                  <w:pPr>
                    <w:jc w:val="center"/>
                    <w:rPr>
                      <w:color w:val="000000"/>
                      <w:sz w:val="21"/>
                      <w:szCs w:val="21"/>
                    </w:rPr>
                  </w:pPr>
                  <w:r>
                    <w:rPr>
                      <w:rFonts w:hint="eastAsia"/>
                      <w:color w:val="000000"/>
                      <w:sz w:val="21"/>
                      <w:szCs w:val="21"/>
                    </w:rPr>
                    <w:t>58</w:t>
                  </w:r>
                </w:p>
              </w:tc>
              <w:tc>
                <w:tcPr>
                  <w:tcW w:w="0" w:type="auto"/>
                  <w:vMerge w:val="restart"/>
                  <w:noWrap w:val="0"/>
                  <w:vAlign w:val="center"/>
                </w:tcPr>
                <w:p w14:paraId="50DB4BAC">
                  <w:pPr>
                    <w:jc w:val="center"/>
                    <w:rPr>
                      <w:color w:val="000000"/>
                      <w:sz w:val="21"/>
                      <w:szCs w:val="21"/>
                    </w:rPr>
                  </w:pPr>
                  <w:r>
                    <w:rPr>
                      <w:rFonts w:hint="eastAsia"/>
                      <w:color w:val="000000"/>
                      <w:sz w:val="21"/>
                      <w:szCs w:val="21"/>
                    </w:rPr>
                    <w:t>交有对应危险废物资质单位处置</w:t>
                  </w:r>
                </w:p>
              </w:tc>
            </w:tr>
            <w:tr w14:paraId="3786CF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63B09FE3">
                  <w:pPr>
                    <w:jc w:val="center"/>
                    <w:rPr>
                      <w:color w:val="000000"/>
                      <w:sz w:val="21"/>
                      <w:szCs w:val="21"/>
                    </w:rPr>
                  </w:pPr>
                  <w:r>
                    <w:rPr>
                      <w:rFonts w:hint="eastAsia"/>
                      <w:color w:val="000000"/>
                      <w:sz w:val="21"/>
                      <w:szCs w:val="21"/>
                    </w:rPr>
                    <w:t>废静电油</w:t>
                  </w:r>
                </w:p>
              </w:tc>
              <w:tc>
                <w:tcPr>
                  <w:tcW w:w="0" w:type="auto"/>
                  <w:noWrap w:val="0"/>
                  <w:vAlign w:val="center"/>
                </w:tcPr>
                <w:p w14:paraId="58225DB4">
                  <w:pPr>
                    <w:jc w:val="center"/>
                    <w:rPr>
                      <w:color w:val="000000"/>
                      <w:sz w:val="21"/>
                      <w:szCs w:val="21"/>
                    </w:rPr>
                  </w:pPr>
                  <w:r>
                    <w:rPr>
                      <w:rFonts w:hint="eastAsia"/>
                      <w:color w:val="000000"/>
                      <w:sz w:val="21"/>
                      <w:szCs w:val="21"/>
                    </w:rPr>
                    <w:t>危险废物</w:t>
                  </w:r>
                </w:p>
              </w:tc>
              <w:tc>
                <w:tcPr>
                  <w:tcW w:w="0" w:type="auto"/>
                  <w:noWrap w:val="0"/>
                  <w:vAlign w:val="center"/>
                </w:tcPr>
                <w:p w14:paraId="6A5216D0">
                  <w:pPr>
                    <w:jc w:val="center"/>
                    <w:rPr>
                      <w:rFonts w:hint="eastAsia"/>
                      <w:color w:val="000000"/>
                      <w:sz w:val="21"/>
                      <w:szCs w:val="21"/>
                    </w:rPr>
                  </w:pPr>
                  <w:r>
                    <w:rPr>
                      <w:rFonts w:hint="eastAsia"/>
                      <w:color w:val="000000"/>
                      <w:sz w:val="21"/>
                      <w:szCs w:val="21"/>
                    </w:rPr>
                    <w:t>900-213-08</w:t>
                  </w:r>
                </w:p>
              </w:tc>
              <w:tc>
                <w:tcPr>
                  <w:tcW w:w="0" w:type="auto"/>
                  <w:noWrap w:val="0"/>
                  <w:vAlign w:val="center"/>
                </w:tcPr>
                <w:p w14:paraId="658D50F9">
                  <w:pPr>
                    <w:jc w:val="center"/>
                    <w:rPr>
                      <w:rFonts w:hint="default" w:eastAsia="宋体"/>
                      <w:color w:val="000000"/>
                      <w:sz w:val="21"/>
                      <w:szCs w:val="21"/>
                      <w:lang w:val="en-US" w:eastAsia="zh-CN"/>
                    </w:rPr>
                  </w:pPr>
                  <w:r>
                    <w:rPr>
                      <w:rFonts w:hint="eastAsia"/>
                      <w:color w:val="000000"/>
                      <w:sz w:val="21"/>
                      <w:szCs w:val="21"/>
                    </w:rPr>
                    <w:t>2.</w:t>
                  </w:r>
                  <w:r>
                    <w:rPr>
                      <w:rFonts w:hint="eastAsia"/>
                      <w:color w:val="000000"/>
                      <w:sz w:val="21"/>
                      <w:szCs w:val="21"/>
                      <w:lang w:val="en-US" w:eastAsia="zh-CN"/>
                    </w:rPr>
                    <w:t>339</w:t>
                  </w:r>
                </w:p>
              </w:tc>
              <w:tc>
                <w:tcPr>
                  <w:tcW w:w="0" w:type="auto"/>
                  <w:vMerge w:val="continue"/>
                  <w:noWrap w:val="0"/>
                  <w:vAlign w:val="center"/>
                </w:tcPr>
                <w:p w14:paraId="6CCFD0E8">
                  <w:pPr>
                    <w:jc w:val="center"/>
                    <w:rPr>
                      <w:rFonts w:hint="eastAsia"/>
                      <w:color w:val="000000"/>
                      <w:sz w:val="21"/>
                      <w:szCs w:val="21"/>
                    </w:rPr>
                  </w:pPr>
                </w:p>
              </w:tc>
            </w:tr>
            <w:tr w14:paraId="646329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57E2233D">
                  <w:pPr>
                    <w:jc w:val="center"/>
                    <w:rPr>
                      <w:rFonts w:hint="eastAsia"/>
                      <w:color w:val="000000"/>
                      <w:sz w:val="21"/>
                      <w:szCs w:val="21"/>
                    </w:rPr>
                  </w:pPr>
                  <w:r>
                    <w:rPr>
                      <w:rFonts w:hint="eastAsia"/>
                      <w:color w:val="000000"/>
                      <w:sz w:val="21"/>
                      <w:szCs w:val="21"/>
                    </w:rPr>
                    <w:t>废光氧灯管</w:t>
                  </w:r>
                </w:p>
              </w:tc>
              <w:tc>
                <w:tcPr>
                  <w:tcW w:w="0" w:type="auto"/>
                  <w:noWrap w:val="0"/>
                  <w:vAlign w:val="center"/>
                </w:tcPr>
                <w:p w14:paraId="2781DEDE">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73319DE7">
                  <w:pPr>
                    <w:jc w:val="center"/>
                    <w:rPr>
                      <w:rFonts w:hint="eastAsia"/>
                      <w:color w:val="000000"/>
                      <w:sz w:val="21"/>
                      <w:szCs w:val="21"/>
                    </w:rPr>
                  </w:pPr>
                  <w:r>
                    <w:rPr>
                      <w:rFonts w:hint="eastAsia"/>
                      <w:color w:val="000000"/>
                      <w:sz w:val="21"/>
                      <w:szCs w:val="21"/>
                    </w:rPr>
                    <w:t>900-023-29</w:t>
                  </w:r>
                </w:p>
              </w:tc>
              <w:tc>
                <w:tcPr>
                  <w:tcW w:w="0" w:type="auto"/>
                  <w:noWrap w:val="0"/>
                  <w:vAlign w:val="center"/>
                </w:tcPr>
                <w:p w14:paraId="5405252E">
                  <w:pPr>
                    <w:jc w:val="center"/>
                    <w:rPr>
                      <w:color w:val="000000"/>
                      <w:sz w:val="21"/>
                      <w:szCs w:val="21"/>
                    </w:rPr>
                  </w:pPr>
                  <w:r>
                    <w:rPr>
                      <w:rFonts w:hint="eastAsia"/>
                      <w:color w:val="000000"/>
                      <w:sz w:val="21"/>
                      <w:szCs w:val="21"/>
                    </w:rPr>
                    <w:t>0.02</w:t>
                  </w:r>
                </w:p>
              </w:tc>
              <w:tc>
                <w:tcPr>
                  <w:tcW w:w="0" w:type="auto"/>
                  <w:vMerge w:val="continue"/>
                  <w:noWrap w:val="0"/>
                  <w:vAlign w:val="center"/>
                </w:tcPr>
                <w:p w14:paraId="3500C263">
                  <w:pPr>
                    <w:jc w:val="center"/>
                    <w:rPr>
                      <w:rFonts w:hint="eastAsia"/>
                      <w:color w:val="000000"/>
                      <w:sz w:val="21"/>
                      <w:szCs w:val="21"/>
                    </w:rPr>
                  </w:pPr>
                </w:p>
              </w:tc>
            </w:tr>
            <w:tr w14:paraId="524C7C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3DAA2C4D">
                  <w:pPr>
                    <w:jc w:val="center"/>
                    <w:rPr>
                      <w:rFonts w:hint="eastAsia"/>
                      <w:color w:val="000000"/>
                      <w:sz w:val="21"/>
                      <w:szCs w:val="21"/>
                    </w:rPr>
                  </w:pPr>
                  <w:r>
                    <w:rPr>
                      <w:rFonts w:hint="eastAsia"/>
                      <w:color w:val="000000"/>
                      <w:sz w:val="21"/>
                      <w:szCs w:val="21"/>
                    </w:rPr>
                    <w:t>废催化剂</w:t>
                  </w:r>
                </w:p>
              </w:tc>
              <w:tc>
                <w:tcPr>
                  <w:tcW w:w="0" w:type="auto"/>
                  <w:noWrap w:val="0"/>
                  <w:vAlign w:val="center"/>
                </w:tcPr>
                <w:p w14:paraId="5F255102">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55882654">
                  <w:pPr>
                    <w:jc w:val="center"/>
                    <w:rPr>
                      <w:rFonts w:hint="eastAsia"/>
                      <w:color w:val="000000"/>
                      <w:sz w:val="21"/>
                      <w:szCs w:val="21"/>
                    </w:rPr>
                  </w:pPr>
                  <w:r>
                    <w:rPr>
                      <w:rFonts w:hint="eastAsia"/>
                      <w:color w:val="000000"/>
                      <w:sz w:val="21"/>
                      <w:szCs w:val="21"/>
                    </w:rPr>
                    <w:t>900-041-49</w:t>
                  </w:r>
                </w:p>
              </w:tc>
              <w:tc>
                <w:tcPr>
                  <w:tcW w:w="0" w:type="auto"/>
                  <w:noWrap w:val="0"/>
                  <w:vAlign w:val="center"/>
                </w:tcPr>
                <w:p w14:paraId="38309300">
                  <w:pPr>
                    <w:jc w:val="center"/>
                    <w:rPr>
                      <w:color w:val="000000"/>
                      <w:sz w:val="21"/>
                      <w:szCs w:val="21"/>
                    </w:rPr>
                  </w:pPr>
                  <w:r>
                    <w:rPr>
                      <w:rFonts w:hint="eastAsia"/>
                      <w:color w:val="000000"/>
                      <w:sz w:val="21"/>
                      <w:szCs w:val="21"/>
                    </w:rPr>
                    <w:t>0.05</w:t>
                  </w:r>
                </w:p>
              </w:tc>
              <w:tc>
                <w:tcPr>
                  <w:tcW w:w="0" w:type="auto"/>
                  <w:vMerge w:val="continue"/>
                  <w:noWrap w:val="0"/>
                  <w:vAlign w:val="center"/>
                </w:tcPr>
                <w:p w14:paraId="4D1C383D">
                  <w:pPr>
                    <w:jc w:val="center"/>
                    <w:rPr>
                      <w:rFonts w:hint="eastAsia"/>
                      <w:color w:val="000000"/>
                      <w:sz w:val="21"/>
                      <w:szCs w:val="21"/>
                    </w:rPr>
                  </w:pPr>
                </w:p>
              </w:tc>
            </w:tr>
            <w:tr w14:paraId="797468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5AC37A90">
                  <w:pPr>
                    <w:jc w:val="center"/>
                    <w:rPr>
                      <w:rFonts w:hint="eastAsia"/>
                      <w:color w:val="000000"/>
                      <w:sz w:val="21"/>
                      <w:szCs w:val="21"/>
                    </w:rPr>
                  </w:pPr>
                  <w:r>
                    <w:rPr>
                      <w:rFonts w:hint="eastAsia"/>
                      <w:color w:val="000000"/>
                      <w:sz w:val="21"/>
                      <w:szCs w:val="21"/>
                    </w:rPr>
                    <w:t>废氢氧化钠包装袋</w:t>
                  </w:r>
                </w:p>
              </w:tc>
              <w:tc>
                <w:tcPr>
                  <w:tcW w:w="1056" w:type="dxa"/>
                  <w:noWrap w:val="0"/>
                  <w:vAlign w:val="center"/>
                </w:tcPr>
                <w:p w14:paraId="0193D62C">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18FF4691">
                  <w:pPr>
                    <w:jc w:val="center"/>
                    <w:rPr>
                      <w:rFonts w:hint="eastAsia"/>
                      <w:color w:val="000000"/>
                      <w:sz w:val="21"/>
                      <w:szCs w:val="21"/>
                    </w:rPr>
                  </w:pPr>
                  <w:r>
                    <w:rPr>
                      <w:rFonts w:hint="eastAsia"/>
                      <w:color w:val="000000"/>
                      <w:sz w:val="21"/>
                      <w:szCs w:val="21"/>
                    </w:rPr>
                    <w:t>900-041-49</w:t>
                  </w:r>
                </w:p>
              </w:tc>
              <w:tc>
                <w:tcPr>
                  <w:tcW w:w="0" w:type="auto"/>
                  <w:noWrap w:val="0"/>
                  <w:vAlign w:val="center"/>
                </w:tcPr>
                <w:p w14:paraId="7BAF24B1">
                  <w:pPr>
                    <w:jc w:val="center"/>
                    <w:rPr>
                      <w:color w:val="000000"/>
                      <w:sz w:val="21"/>
                      <w:szCs w:val="21"/>
                    </w:rPr>
                  </w:pPr>
                  <w:r>
                    <w:rPr>
                      <w:rFonts w:hint="eastAsia"/>
                      <w:color w:val="000000"/>
                      <w:sz w:val="21"/>
                      <w:szCs w:val="21"/>
                    </w:rPr>
                    <w:t>0.02</w:t>
                  </w:r>
                </w:p>
              </w:tc>
              <w:tc>
                <w:tcPr>
                  <w:tcW w:w="0" w:type="auto"/>
                  <w:vMerge w:val="continue"/>
                  <w:noWrap w:val="0"/>
                  <w:vAlign w:val="center"/>
                </w:tcPr>
                <w:p w14:paraId="27357A1F">
                  <w:pPr>
                    <w:jc w:val="center"/>
                    <w:rPr>
                      <w:rFonts w:hint="eastAsia"/>
                      <w:color w:val="000000"/>
                      <w:sz w:val="21"/>
                      <w:szCs w:val="21"/>
                    </w:rPr>
                  </w:pPr>
                </w:p>
              </w:tc>
            </w:tr>
            <w:tr w14:paraId="633D0B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234ABF7F">
                  <w:pPr>
                    <w:jc w:val="center"/>
                    <w:rPr>
                      <w:color w:val="000000"/>
                      <w:sz w:val="21"/>
                      <w:szCs w:val="21"/>
                    </w:rPr>
                  </w:pPr>
                  <w:r>
                    <w:rPr>
                      <w:rFonts w:hint="eastAsia"/>
                      <w:color w:val="000000"/>
                      <w:sz w:val="21"/>
                      <w:szCs w:val="21"/>
                    </w:rPr>
                    <w:t>隔油渣</w:t>
                  </w:r>
                </w:p>
              </w:tc>
              <w:tc>
                <w:tcPr>
                  <w:tcW w:w="0" w:type="auto"/>
                  <w:noWrap w:val="0"/>
                  <w:vAlign w:val="center"/>
                </w:tcPr>
                <w:p w14:paraId="16A58AF1">
                  <w:pPr>
                    <w:jc w:val="center"/>
                    <w:rPr>
                      <w:color w:val="000000"/>
                      <w:sz w:val="21"/>
                      <w:szCs w:val="21"/>
                    </w:rPr>
                  </w:pPr>
                  <w:r>
                    <w:rPr>
                      <w:rFonts w:hint="eastAsia"/>
                      <w:color w:val="000000"/>
                      <w:sz w:val="21"/>
                      <w:szCs w:val="21"/>
                    </w:rPr>
                    <w:t>危险废物</w:t>
                  </w:r>
                </w:p>
              </w:tc>
              <w:tc>
                <w:tcPr>
                  <w:tcW w:w="0" w:type="auto"/>
                  <w:noWrap w:val="0"/>
                  <w:vAlign w:val="center"/>
                </w:tcPr>
                <w:p w14:paraId="2E47A869">
                  <w:pPr>
                    <w:jc w:val="center"/>
                    <w:rPr>
                      <w:rFonts w:hint="eastAsia"/>
                      <w:color w:val="000000"/>
                      <w:sz w:val="21"/>
                      <w:szCs w:val="21"/>
                    </w:rPr>
                  </w:pPr>
                  <w:r>
                    <w:rPr>
                      <w:rFonts w:hint="eastAsia"/>
                      <w:color w:val="000000"/>
                      <w:sz w:val="21"/>
                      <w:szCs w:val="21"/>
                    </w:rPr>
                    <w:t>900-210-08</w:t>
                  </w:r>
                </w:p>
              </w:tc>
              <w:tc>
                <w:tcPr>
                  <w:tcW w:w="0" w:type="auto"/>
                  <w:noWrap w:val="0"/>
                  <w:vAlign w:val="center"/>
                </w:tcPr>
                <w:p w14:paraId="65287D29">
                  <w:pPr>
                    <w:jc w:val="center"/>
                    <w:rPr>
                      <w:color w:val="000000"/>
                      <w:sz w:val="21"/>
                      <w:szCs w:val="21"/>
                    </w:rPr>
                  </w:pPr>
                  <w:r>
                    <w:rPr>
                      <w:rFonts w:hint="eastAsia"/>
                      <w:color w:val="000000"/>
                      <w:sz w:val="21"/>
                      <w:szCs w:val="21"/>
                    </w:rPr>
                    <w:t>0.05</w:t>
                  </w:r>
                </w:p>
              </w:tc>
              <w:tc>
                <w:tcPr>
                  <w:tcW w:w="0" w:type="auto"/>
                  <w:vMerge w:val="continue"/>
                  <w:noWrap w:val="0"/>
                  <w:vAlign w:val="center"/>
                </w:tcPr>
                <w:p w14:paraId="3050719A">
                  <w:pPr>
                    <w:jc w:val="center"/>
                    <w:rPr>
                      <w:rFonts w:hint="eastAsia"/>
                      <w:color w:val="000000"/>
                      <w:sz w:val="21"/>
                      <w:szCs w:val="21"/>
                    </w:rPr>
                  </w:pPr>
                </w:p>
              </w:tc>
            </w:tr>
            <w:tr w14:paraId="06A73E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002DB867">
                  <w:pPr>
                    <w:jc w:val="center"/>
                    <w:rPr>
                      <w:rFonts w:hint="eastAsia"/>
                      <w:color w:val="000000"/>
                      <w:sz w:val="21"/>
                      <w:szCs w:val="21"/>
                    </w:rPr>
                  </w:pPr>
                  <w:r>
                    <w:rPr>
                      <w:rFonts w:hint="eastAsia"/>
                      <w:color w:val="000000"/>
                      <w:sz w:val="21"/>
                      <w:szCs w:val="21"/>
                    </w:rPr>
                    <w:t>废机油</w:t>
                  </w:r>
                </w:p>
              </w:tc>
              <w:tc>
                <w:tcPr>
                  <w:tcW w:w="0" w:type="auto"/>
                  <w:noWrap w:val="0"/>
                  <w:vAlign w:val="center"/>
                </w:tcPr>
                <w:p w14:paraId="7297C827">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33AD3C3F">
                  <w:pPr>
                    <w:jc w:val="center"/>
                    <w:rPr>
                      <w:rFonts w:hint="eastAsia"/>
                      <w:color w:val="000000"/>
                      <w:sz w:val="21"/>
                      <w:szCs w:val="21"/>
                    </w:rPr>
                  </w:pPr>
                  <w:r>
                    <w:rPr>
                      <w:rFonts w:hint="eastAsia"/>
                      <w:color w:val="000000"/>
                      <w:sz w:val="21"/>
                      <w:szCs w:val="21"/>
                    </w:rPr>
                    <w:t>900-217-08</w:t>
                  </w:r>
                </w:p>
              </w:tc>
              <w:tc>
                <w:tcPr>
                  <w:tcW w:w="0" w:type="auto"/>
                  <w:noWrap w:val="0"/>
                  <w:vAlign w:val="center"/>
                </w:tcPr>
                <w:p w14:paraId="18FE0829">
                  <w:pPr>
                    <w:jc w:val="center"/>
                    <w:rPr>
                      <w:rFonts w:hint="eastAsia"/>
                      <w:color w:val="000000"/>
                      <w:sz w:val="21"/>
                      <w:szCs w:val="21"/>
                    </w:rPr>
                  </w:pPr>
                  <w:r>
                    <w:rPr>
                      <w:rFonts w:hint="eastAsia"/>
                      <w:color w:val="000000"/>
                      <w:sz w:val="21"/>
                      <w:szCs w:val="21"/>
                    </w:rPr>
                    <w:t>0.5</w:t>
                  </w:r>
                </w:p>
              </w:tc>
              <w:tc>
                <w:tcPr>
                  <w:tcW w:w="0" w:type="auto"/>
                  <w:vMerge w:val="continue"/>
                  <w:noWrap w:val="0"/>
                  <w:vAlign w:val="center"/>
                </w:tcPr>
                <w:p w14:paraId="63BC7995">
                  <w:pPr>
                    <w:jc w:val="center"/>
                    <w:rPr>
                      <w:rFonts w:hint="eastAsia"/>
                      <w:color w:val="000000"/>
                      <w:sz w:val="21"/>
                      <w:szCs w:val="21"/>
                    </w:rPr>
                  </w:pPr>
                </w:p>
              </w:tc>
            </w:tr>
            <w:tr w14:paraId="7FD267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5BF5B962">
                  <w:pPr>
                    <w:jc w:val="center"/>
                    <w:rPr>
                      <w:rFonts w:hint="eastAsia"/>
                      <w:color w:val="000000"/>
                      <w:sz w:val="21"/>
                      <w:szCs w:val="21"/>
                    </w:rPr>
                  </w:pPr>
                  <w:r>
                    <w:rPr>
                      <w:rFonts w:hint="eastAsia"/>
                      <w:color w:val="000000"/>
                      <w:sz w:val="21"/>
                      <w:szCs w:val="21"/>
                    </w:rPr>
                    <w:t>废油桶</w:t>
                  </w:r>
                </w:p>
              </w:tc>
              <w:tc>
                <w:tcPr>
                  <w:tcW w:w="0" w:type="auto"/>
                  <w:noWrap w:val="0"/>
                  <w:vAlign w:val="center"/>
                </w:tcPr>
                <w:p w14:paraId="1A8F3883">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6CE0C450">
                  <w:pPr>
                    <w:jc w:val="center"/>
                    <w:rPr>
                      <w:rFonts w:hint="eastAsia"/>
                      <w:color w:val="000000"/>
                      <w:sz w:val="21"/>
                      <w:szCs w:val="21"/>
                    </w:rPr>
                  </w:pPr>
                  <w:r>
                    <w:rPr>
                      <w:rFonts w:hint="eastAsia"/>
                      <w:color w:val="000000"/>
                      <w:sz w:val="21"/>
                      <w:szCs w:val="21"/>
                    </w:rPr>
                    <w:t>900-249-08</w:t>
                  </w:r>
                </w:p>
              </w:tc>
              <w:tc>
                <w:tcPr>
                  <w:tcW w:w="0" w:type="auto"/>
                  <w:noWrap w:val="0"/>
                  <w:vAlign w:val="center"/>
                </w:tcPr>
                <w:p w14:paraId="08CA80A8">
                  <w:pPr>
                    <w:jc w:val="center"/>
                    <w:rPr>
                      <w:color w:val="000000"/>
                      <w:sz w:val="21"/>
                      <w:szCs w:val="21"/>
                    </w:rPr>
                  </w:pPr>
                  <w:r>
                    <w:rPr>
                      <w:rFonts w:hint="eastAsia"/>
                      <w:color w:val="000000"/>
                      <w:sz w:val="21"/>
                      <w:szCs w:val="21"/>
                    </w:rPr>
                    <w:t>0.1</w:t>
                  </w:r>
                </w:p>
              </w:tc>
              <w:tc>
                <w:tcPr>
                  <w:tcW w:w="0" w:type="auto"/>
                  <w:vMerge w:val="continue"/>
                  <w:noWrap w:val="0"/>
                  <w:vAlign w:val="center"/>
                </w:tcPr>
                <w:p w14:paraId="36A9638B">
                  <w:pPr>
                    <w:jc w:val="center"/>
                    <w:rPr>
                      <w:rFonts w:hint="eastAsia"/>
                      <w:color w:val="000000"/>
                      <w:sz w:val="21"/>
                      <w:szCs w:val="21"/>
                    </w:rPr>
                  </w:pPr>
                </w:p>
              </w:tc>
            </w:tr>
            <w:tr w14:paraId="778787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5D805BAC">
                  <w:pPr>
                    <w:jc w:val="center"/>
                    <w:rPr>
                      <w:rFonts w:hint="eastAsia"/>
                      <w:color w:val="000000"/>
                      <w:sz w:val="21"/>
                      <w:szCs w:val="21"/>
                    </w:rPr>
                  </w:pPr>
                  <w:r>
                    <w:rPr>
                      <w:rFonts w:hint="eastAsia"/>
                      <w:color w:val="000000"/>
                      <w:sz w:val="21"/>
                      <w:szCs w:val="21"/>
                    </w:rPr>
                    <w:t>含油废手套等劳保用品</w:t>
                  </w:r>
                </w:p>
              </w:tc>
              <w:tc>
                <w:tcPr>
                  <w:tcW w:w="0" w:type="auto"/>
                  <w:noWrap w:val="0"/>
                  <w:vAlign w:val="center"/>
                </w:tcPr>
                <w:p w14:paraId="483B05AD">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7F720DC1">
                  <w:pPr>
                    <w:jc w:val="center"/>
                    <w:rPr>
                      <w:rFonts w:hint="eastAsia"/>
                      <w:color w:val="000000"/>
                      <w:sz w:val="21"/>
                      <w:szCs w:val="21"/>
                    </w:rPr>
                  </w:pPr>
                  <w:r>
                    <w:rPr>
                      <w:rFonts w:hint="eastAsia"/>
                      <w:color w:val="000000"/>
                      <w:sz w:val="21"/>
                      <w:szCs w:val="21"/>
                    </w:rPr>
                    <w:t>900-041-49</w:t>
                  </w:r>
                </w:p>
              </w:tc>
              <w:tc>
                <w:tcPr>
                  <w:tcW w:w="0" w:type="auto"/>
                  <w:noWrap w:val="0"/>
                  <w:vAlign w:val="center"/>
                </w:tcPr>
                <w:p w14:paraId="01DA8869">
                  <w:pPr>
                    <w:jc w:val="center"/>
                    <w:rPr>
                      <w:color w:val="000000"/>
                      <w:sz w:val="21"/>
                      <w:szCs w:val="21"/>
                    </w:rPr>
                  </w:pPr>
                  <w:r>
                    <w:rPr>
                      <w:rFonts w:hint="eastAsia"/>
                      <w:color w:val="000000"/>
                      <w:sz w:val="21"/>
                      <w:szCs w:val="21"/>
                    </w:rPr>
                    <w:t>0.05</w:t>
                  </w:r>
                </w:p>
              </w:tc>
              <w:tc>
                <w:tcPr>
                  <w:tcW w:w="0" w:type="auto"/>
                  <w:vMerge w:val="continue"/>
                  <w:noWrap w:val="0"/>
                  <w:vAlign w:val="center"/>
                </w:tcPr>
                <w:p w14:paraId="3F7FCA61">
                  <w:pPr>
                    <w:jc w:val="center"/>
                    <w:rPr>
                      <w:rFonts w:hint="eastAsia"/>
                      <w:color w:val="000000"/>
                      <w:sz w:val="21"/>
                      <w:szCs w:val="21"/>
                    </w:rPr>
                  </w:pPr>
                </w:p>
              </w:tc>
            </w:tr>
            <w:tr w14:paraId="3813E8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62DDF4F9">
                  <w:pPr>
                    <w:jc w:val="center"/>
                    <w:rPr>
                      <w:rFonts w:hint="eastAsia"/>
                      <w:color w:val="000000"/>
                      <w:sz w:val="21"/>
                      <w:szCs w:val="21"/>
                    </w:rPr>
                  </w:pPr>
                  <w:r>
                    <w:rPr>
                      <w:rFonts w:hint="eastAsia"/>
                      <w:color w:val="000000"/>
                      <w:sz w:val="21"/>
                      <w:szCs w:val="21"/>
                    </w:rPr>
                    <w:t>叉车废蓄电池</w:t>
                  </w:r>
                </w:p>
              </w:tc>
              <w:tc>
                <w:tcPr>
                  <w:tcW w:w="0" w:type="auto"/>
                  <w:noWrap w:val="0"/>
                  <w:vAlign w:val="center"/>
                </w:tcPr>
                <w:p w14:paraId="5B52CECD">
                  <w:pPr>
                    <w:jc w:val="center"/>
                    <w:rPr>
                      <w:rFonts w:hint="eastAsia"/>
                      <w:color w:val="000000"/>
                      <w:sz w:val="21"/>
                      <w:szCs w:val="21"/>
                    </w:rPr>
                  </w:pPr>
                  <w:r>
                    <w:rPr>
                      <w:rFonts w:hint="eastAsia"/>
                      <w:color w:val="000000"/>
                      <w:sz w:val="21"/>
                      <w:szCs w:val="21"/>
                    </w:rPr>
                    <w:t>危险废物</w:t>
                  </w:r>
                </w:p>
              </w:tc>
              <w:tc>
                <w:tcPr>
                  <w:tcW w:w="0" w:type="auto"/>
                  <w:noWrap w:val="0"/>
                  <w:vAlign w:val="center"/>
                </w:tcPr>
                <w:p w14:paraId="7B7533BD">
                  <w:pPr>
                    <w:jc w:val="center"/>
                    <w:rPr>
                      <w:rFonts w:hint="eastAsia"/>
                      <w:color w:val="000000"/>
                      <w:sz w:val="21"/>
                      <w:szCs w:val="21"/>
                    </w:rPr>
                  </w:pPr>
                  <w:r>
                    <w:rPr>
                      <w:rFonts w:hint="eastAsia"/>
                      <w:color w:val="000000"/>
                      <w:sz w:val="21"/>
                      <w:szCs w:val="21"/>
                    </w:rPr>
                    <w:t>900-052-31</w:t>
                  </w:r>
                </w:p>
              </w:tc>
              <w:tc>
                <w:tcPr>
                  <w:tcW w:w="0" w:type="auto"/>
                  <w:noWrap w:val="0"/>
                  <w:vAlign w:val="center"/>
                </w:tcPr>
                <w:p w14:paraId="1C228390">
                  <w:pPr>
                    <w:jc w:val="center"/>
                    <w:rPr>
                      <w:color w:val="000000"/>
                      <w:sz w:val="21"/>
                      <w:szCs w:val="21"/>
                    </w:rPr>
                  </w:pPr>
                  <w:r>
                    <w:rPr>
                      <w:rFonts w:hint="eastAsia"/>
                      <w:color w:val="000000"/>
                      <w:sz w:val="21"/>
                      <w:szCs w:val="21"/>
                    </w:rPr>
                    <w:t>0.2</w:t>
                  </w:r>
                </w:p>
              </w:tc>
              <w:tc>
                <w:tcPr>
                  <w:tcW w:w="0" w:type="auto"/>
                  <w:vMerge w:val="continue"/>
                  <w:noWrap w:val="0"/>
                  <w:vAlign w:val="center"/>
                </w:tcPr>
                <w:p w14:paraId="5C4A4C88">
                  <w:pPr>
                    <w:jc w:val="center"/>
                    <w:rPr>
                      <w:rFonts w:hint="eastAsia"/>
                      <w:color w:val="000000"/>
                      <w:sz w:val="21"/>
                      <w:szCs w:val="21"/>
                    </w:rPr>
                  </w:pPr>
                </w:p>
              </w:tc>
            </w:tr>
            <w:tr w14:paraId="27DA78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7798E88A">
                  <w:pPr>
                    <w:jc w:val="center"/>
                    <w:rPr>
                      <w:rFonts w:hint="eastAsia"/>
                      <w:color w:val="000000"/>
                      <w:sz w:val="21"/>
                      <w:szCs w:val="21"/>
                    </w:rPr>
                  </w:pPr>
                  <w:r>
                    <w:rPr>
                      <w:rFonts w:hint="eastAsia"/>
                      <w:color w:val="000000"/>
                      <w:sz w:val="21"/>
                      <w:szCs w:val="21"/>
                    </w:rPr>
                    <w:t>生活垃圾</w:t>
                  </w:r>
                </w:p>
              </w:tc>
              <w:tc>
                <w:tcPr>
                  <w:tcW w:w="0" w:type="auto"/>
                  <w:noWrap w:val="0"/>
                  <w:vAlign w:val="center"/>
                </w:tcPr>
                <w:p w14:paraId="0E501C7A">
                  <w:pPr>
                    <w:jc w:val="center"/>
                    <w:rPr>
                      <w:color w:val="000000"/>
                      <w:sz w:val="21"/>
                      <w:szCs w:val="21"/>
                    </w:rPr>
                  </w:pPr>
                  <w:r>
                    <w:rPr>
                      <w:rFonts w:hint="eastAsia"/>
                      <w:color w:val="000000"/>
                      <w:sz w:val="21"/>
                      <w:szCs w:val="21"/>
                    </w:rPr>
                    <w:t>生活垃圾</w:t>
                  </w:r>
                </w:p>
              </w:tc>
              <w:tc>
                <w:tcPr>
                  <w:tcW w:w="0" w:type="auto"/>
                  <w:noWrap w:val="0"/>
                  <w:vAlign w:val="center"/>
                </w:tcPr>
                <w:p w14:paraId="4301DA08">
                  <w:pPr>
                    <w:jc w:val="center"/>
                    <w:rPr>
                      <w:color w:val="000000"/>
                      <w:sz w:val="21"/>
                      <w:szCs w:val="21"/>
                    </w:rPr>
                  </w:pPr>
                  <w:r>
                    <w:rPr>
                      <w:rFonts w:hint="eastAsia"/>
                      <w:color w:val="000000"/>
                      <w:sz w:val="21"/>
                      <w:szCs w:val="21"/>
                    </w:rPr>
                    <w:t>/</w:t>
                  </w:r>
                </w:p>
              </w:tc>
              <w:tc>
                <w:tcPr>
                  <w:tcW w:w="0" w:type="auto"/>
                  <w:noWrap w:val="0"/>
                  <w:vAlign w:val="center"/>
                </w:tcPr>
                <w:p w14:paraId="076ADF8A">
                  <w:pPr>
                    <w:jc w:val="center"/>
                    <w:rPr>
                      <w:color w:val="000000"/>
                      <w:sz w:val="21"/>
                      <w:szCs w:val="21"/>
                    </w:rPr>
                  </w:pPr>
                  <w:r>
                    <w:rPr>
                      <w:rFonts w:hint="eastAsia"/>
                      <w:color w:val="000000"/>
                      <w:sz w:val="21"/>
                      <w:szCs w:val="21"/>
                    </w:rPr>
                    <w:t>7.5</w:t>
                  </w:r>
                </w:p>
              </w:tc>
              <w:tc>
                <w:tcPr>
                  <w:tcW w:w="0" w:type="auto"/>
                  <w:noWrap w:val="0"/>
                  <w:vAlign w:val="center"/>
                </w:tcPr>
                <w:p w14:paraId="2D96DB72">
                  <w:pPr>
                    <w:jc w:val="center"/>
                    <w:rPr>
                      <w:rFonts w:hint="eastAsia"/>
                      <w:color w:val="000000"/>
                      <w:sz w:val="21"/>
                      <w:szCs w:val="21"/>
                    </w:rPr>
                  </w:pPr>
                  <w:r>
                    <w:rPr>
                      <w:rFonts w:hint="eastAsia"/>
                      <w:color w:val="000000"/>
                      <w:sz w:val="21"/>
                      <w:szCs w:val="21"/>
                    </w:rPr>
                    <w:t>交环卫部门</w:t>
                  </w:r>
                </w:p>
              </w:tc>
            </w:tr>
          </w:tbl>
          <w:p w14:paraId="26858A1E">
            <w:pPr>
              <w:pStyle w:val="12"/>
              <w:snapToGrid/>
              <w:spacing w:line="360" w:lineRule="auto"/>
              <w:ind w:firstLine="480" w:firstLineChars="200"/>
              <w:jc w:val="both"/>
              <w:rPr>
                <w:rFonts w:hint="eastAsia"/>
                <w:b/>
                <w:color w:val="000000"/>
                <w:sz w:val="24"/>
                <w:szCs w:val="24"/>
              </w:rPr>
            </w:pPr>
            <w:r>
              <w:rPr>
                <w:rFonts w:hint="eastAsia"/>
                <w:b/>
                <w:color w:val="000000"/>
                <w:sz w:val="24"/>
                <w:szCs w:val="24"/>
              </w:rPr>
              <w:t>（2）环境管理要求：</w:t>
            </w:r>
          </w:p>
          <w:p w14:paraId="46C09A8C">
            <w:pPr>
              <w:spacing w:line="360" w:lineRule="auto"/>
              <w:ind w:firstLine="420" w:firstLineChars="200"/>
              <w:jc w:val="left"/>
              <w:rPr>
                <w:rFonts w:hint="eastAsia"/>
                <w:color w:val="000000"/>
              </w:rPr>
            </w:pPr>
            <w:r>
              <w:rPr>
                <w:rFonts w:hint="eastAsia"/>
                <w:color w:val="000000"/>
              </w:rPr>
              <w:t>项目运营期产生的一般工业固废于一般工业固废暂存间内分类存放，位于厂区北侧库房内，面积约50m</w:t>
            </w:r>
            <w:r>
              <w:rPr>
                <w:rFonts w:hint="eastAsia"/>
                <w:color w:val="000000"/>
                <w:vertAlign w:val="superscript"/>
              </w:rPr>
              <w:t>2</w:t>
            </w:r>
            <w:r>
              <w:rPr>
                <w:rFonts w:hint="eastAsia"/>
                <w:color w:val="000000"/>
              </w:rPr>
              <w:t>。地面进行硬化，设置环保标识标牌，贮存过程应满足相应防渗漏、防雨淋、防扬尘等环境保护要求，不得混入生活垃圾或危险废物。</w:t>
            </w:r>
          </w:p>
          <w:p w14:paraId="4813E07B">
            <w:pPr>
              <w:spacing w:line="360" w:lineRule="auto"/>
              <w:ind w:firstLine="420" w:firstLineChars="200"/>
              <w:jc w:val="left"/>
              <w:rPr>
                <w:rFonts w:hint="eastAsia"/>
                <w:color w:val="000000"/>
              </w:rPr>
            </w:pPr>
            <w:r>
              <w:rPr>
                <w:rFonts w:hint="eastAsia"/>
                <w:color w:val="000000"/>
              </w:rPr>
              <w:t>项目运营期产生危险废物，于厂区危险废物贮存点进行妥善存放，位于厂区北侧库房内，面积约30m</w:t>
            </w:r>
            <w:r>
              <w:rPr>
                <w:rFonts w:hint="eastAsia"/>
                <w:color w:val="000000"/>
                <w:vertAlign w:val="superscript"/>
              </w:rPr>
              <w:t>2</w:t>
            </w:r>
            <w:r>
              <w:rPr>
                <w:rFonts w:hint="eastAsia"/>
                <w:color w:val="000000"/>
              </w:rPr>
              <w:t>。地坪按要求采用环氧树脂进行防腐防渗设计，并设置相应的环保标识标牌。</w:t>
            </w:r>
          </w:p>
          <w:p w14:paraId="2D0F92B1">
            <w:pPr>
              <w:spacing w:line="360" w:lineRule="auto"/>
              <w:ind w:firstLine="420" w:firstLineChars="200"/>
              <w:rPr>
                <w:rFonts w:hint="eastAsia"/>
                <w:color w:val="000000"/>
              </w:rPr>
            </w:pPr>
            <w:r>
              <w:rPr>
                <w:rFonts w:hint="eastAsia"/>
                <w:color w:val="000000"/>
              </w:rPr>
              <w:t>危险废物贮存点必须严格按照《危险废物贮存污染控制标准》（GB18597-2023）要求进行设置，采取必要的防风、防晒、防雨、防漏、防渗、防腐以及其他环境污染防治措施。按照HJ 1276要求设置危险废物贮存点或场所标志、危险废物贮存分区标志和危险废物标签等危险废物识别标志；采取技术和管理措施防止无关人员进入。必须加强危废日常管理，定期对所贮存的危险废物包装容器及贮存设施进行检查，发现破损，应及时采取措施清理更换；须做好危险废物情况的记录，记录上须注明危险废物的名称、来源、数量、特性和包装容器的类别、入库日期、存放位置、废物出库日期及接收单位名称；严禁将危险废物混入非危险废物中贮存；指定专人进行日常管理。危废定期交有资质单位派专业技术人员和专用运输车辆进行运输，危废转移应按照《危险废物转移管理办法》（生态环境部公安部 交通运输部 部令第23号）相关规定对危险废物进行登记、交接和转移的管理。</w:t>
            </w:r>
          </w:p>
          <w:p w14:paraId="4968FA2E">
            <w:pPr>
              <w:spacing w:line="360" w:lineRule="auto"/>
              <w:ind w:firstLine="420" w:firstLineChars="200"/>
              <w:jc w:val="left"/>
              <w:rPr>
                <w:rFonts w:hint="eastAsia"/>
                <w:color w:val="000000"/>
              </w:rPr>
            </w:pPr>
            <w:r>
              <w:rPr>
                <w:rFonts w:hint="eastAsia"/>
                <w:color w:val="000000"/>
              </w:rPr>
              <w:t>通过上述方法妥善处置后，本项目产生的固废对周围环境影响较小。</w:t>
            </w:r>
          </w:p>
          <w:p w14:paraId="60E12536">
            <w:pPr>
              <w:spacing w:line="360" w:lineRule="auto"/>
              <w:jc w:val="left"/>
              <w:rPr>
                <w:rFonts w:hint="eastAsia"/>
                <w:b/>
                <w:color w:val="000000"/>
              </w:rPr>
            </w:pPr>
            <w:r>
              <w:rPr>
                <w:b/>
                <w:color w:val="000000"/>
              </w:rPr>
              <w:t>4.2.</w:t>
            </w:r>
            <w:r>
              <w:rPr>
                <w:rFonts w:hint="eastAsia"/>
                <w:b/>
                <w:color w:val="000000"/>
              </w:rPr>
              <w:t>5地下水、土壤环境</w:t>
            </w:r>
            <w:r>
              <w:rPr>
                <w:b/>
                <w:color w:val="000000"/>
              </w:rPr>
              <w:t>影响分析</w:t>
            </w:r>
          </w:p>
          <w:p w14:paraId="44A5E81F">
            <w:pPr>
              <w:spacing w:line="360" w:lineRule="auto"/>
              <w:ind w:firstLine="420" w:firstLineChars="200"/>
              <w:rPr>
                <w:rFonts w:hint="eastAsia"/>
                <w:bCs/>
                <w:color w:val="000000"/>
              </w:rPr>
            </w:pPr>
            <w:r>
              <w:rPr>
                <w:rFonts w:hint="eastAsia"/>
                <w:bCs/>
                <w:color w:val="000000"/>
              </w:rPr>
              <w:t>本项目生产过程中无地下水、土壤污染途径。极端情况下，风险物质发生泄漏，有毒有害物质经地面进入地下水以及土壤，从而造成环境污染。</w:t>
            </w:r>
          </w:p>
          <w:p w14:paraId="6A625B27">
            <w:pPr>
              <w:spacing w:line="360" w:lineRule="auto"/>
              <w:ind w:firstLine="420" w:firstLineChars="200"/>
              <w:rPr>
                <w:rFonts w:hint="eastAsia"/>
                <w:bCs/>
                <w:color w:val="000000"/>
              </w:rPr>
            </w:pPr>
            <w:r>
              <w:rPr>
                <w:rFonts w:hint="eastAsia"/>
                <w:bCs/>
                <w:color w:val="000000"/>
              </w:rPr>
              <w:t>通过采取防渗措施，防治地下水、土壤污染。本项目重点防渗区域：危险废物贮存点、危险化学品原料储存间、废水预处理设施、原料罐围堰区、罐车卸料区；一般防渗区域：一般工业固废暂存间。</w:t>
            </w:r>
          </w:p>
          <w:p w14:paraId="4A2C843E">
            <w:pPr>
              <w:adjustRightInd w:val="0"/>
              <w:snapToGrid w:val="0"/>
              <w:spacing w:line="440" w:lineRule="exact"/>
              <w:ind w:firstLine="420" w:firstLineChars="200"/>
              <w:jc w:val="left"/>
              <w:rPr>
                <w:rFonts w:hint="eastAsia"/>
                <w:b/>
                <w:bCs/>
                <w:color w:val="000000"/>
                <w:spacing w:val="-10"/>
              </w:rPr>
            </w:pPr>
            <w:r>
              <w:rPr>
                <w:rFonts w:hint="eastAsia"/>
                <w:color w:val="000000"/>
              </w:rPr>
              <w:t>①</w:t>
            </w:r>
            <w:r>
              <w:rPr>
                <w:color w:val="000000"/>
              </w:rPr>
              <w:t>重点防渗区：按照</w:t>
            </w:r>
            <w:r>
              <w:rPr>
                <w:rFonts w:hint="eastAsia"/>
                <w:color w:val="000000"/>
              </w:rPr>
              <w:t>规范</w:t>
            </w:r>
            <w:r>
              <w:rPr>
                <w:color w:val="000000"/>
              </w:rPr>
              <w:t>要求，地面按照《环境影响评价技术导则</w:t>
            </w:r>
            <w:r>
              <w:rPr>
                <w:rFonts w:hint="eastAsia"/>
                <w:color w:val="000000"/>
              </w:rPr>
              <w:t xml:space="preserve"> </w:t>
            </w:r>
            <w:r>
              <w:rPr>
                <w:color w:val="000000"/>
              </w:rPr>
              <w:t>地下水环境》（HJ610-2016）中等效黏土防渗层Mb≥6.0m，渗透系数K≤1.0×10</w:t>
            </w:r>
            <w:r>
              <w:rPr>
                <w:color w:val="000000"/>
                <w:vertAlign w:val="superscript"/>
              </w:rPr>
              <w:t>-7</w:t>
            </w:r>
            <w:r>
              <w:rPr>
                <w:color w:val="000000"/>
              </w:rPr>
              <w:t>cm/s的要求。</w:t>
            </w:r>
            <w:r>
              <w:rPr>
                <w:rFonts w:hint="eastAsia"/>
                <w:color w:val="000000"/>
              </w:rPr>
              <w:t>危险废物贮存点表面防渗材料应与所接触的物料或污染物相容，可采用抗渗混凝土、高密度聚乙烯膜、钠基膨润土防水毯或其他防渗性能等效的材料，进行基础防渗，防渗层为至少1 m厚黏土层（渗透系数不大于10</w:t>
            </w:r>
            <w:r>
              <w:rPr>
                <w:rFonts w:hint="eastAsia"/>
                <w:color w:val="000000"/>
                <w:vertAlign w:val="superscript"/>
              </w:rPr>
              <w:t xml:space="preserve">-7 </w:t>
            </w:r>
            <w:r>
              <w:rPr>
                <w:rFonts w:hint="eastAsia"/>
                <w:color w:val="000000"/>
              </w:rPr>
              <w:t>cm/s），或至少2 mm厚高密度聚乙烯膜等人工防渗材料（渗透系数不大于10-</w:t>
            </w:r>
            <w:r>
              <w:rPr>
                <w:rFonts w:hint="eastAsia"/>
                <w:color w:val="000000"/>
                <w:vertAlign w:val="superscript"/>
              </w:rPr>
              <w:t>10</w:t>
            </w:r>
            <w:r>
              <w:rPr>
                <w:rFonts w:hint="eastAsia"/>
                <w:color w:val="000000"/>
              </w:rPr>
              <w:t xml:space="preserve"> cm/s），或其他防渗性能等效的材料。</w:t>
            </w:r>
          </w:p>
          <w:p w14:paraId="7AD1C453">
            <w:pPr>
              <w:spacing w:line="360" w:lineRule="auto"/>
              <w:ind w:firstLine="420" w:firstLineChars="200"/>
              <w:rPr>
                <w:rFonts w:hint="eastAsia"/>
                <w:bCs/>
                <w:color w:val="000000"/>
              </w:rPr>
            </w:pPr>
            <w:r>
              <w:rPr>
                <w:rFonts w:hint="eastAsia"/>
                <w:color w:val="000000"/>
              </w:rPr>
              <w:t>②</w:t>
            </w:r>
            <w:r>
              <w:rPr>
                <w:color w:val="000000"/>
              </w:rPr>
              <w:t>一般防渗区：防渗层的防渗性能等效黏土防渗层Mb≥1.5m，渗透系数K≤1.0×10</w:t>
            </w:r>
            <w:r>
              <w:rPr>
                <w:color w:val="000000"/>
                <w:vertAlign w:val="superscript"/>
              </w:rPr>
              <w:t>-7</w:t>
            </w:r>
            <w:r>
              <w:rPr>
                <w:color w:val="000000"/>
              </w:rPr>
              <w:t>cm/s</w:t>
            </w:r>
            <w:r>
              <w:rPr>
                <w:rFonts w:hint="eastAsia"/>
                <w:color w:val="000000"/>
              </w:rPr>
              <w:t>。</w:t>
            </w:r>
          </w:p>
          <w:p w14:paraId="3741320B">
            <w:pPr>
              <w:spacing w:line="360" w:lineRule="auto"/>
              <w:ind w:firstLine="420" w:firstLineChars="200"/>
              <w:rPr>
                <w:rFonts w:hint="eastAsia"/>
                <w:bCs/>
                <w:color w:val="000000"/>
              </w:rPr>
            </w:pPr>
            <w:r>
              <w:rPr>
                <w:rFonts w:hint="eastAsia"/>
                <w:bCs/>
                <w:color w:val="000000"/>
              </w:rPr>
              <w:t>本项目在做好相关防渗措施、应急措施后，可将对地下水、土壤环境影响降到最低，对地下水、土壤环境影响较小。</w:t>
            </w:r>
          </w:p>
          <w:p w14:paraId="682C556D">
            <w:pPr>
              <w:spacing w:line="360" w:lineRule="auto"/>
              <w:jc w:val="left"/>
              <w:rPr>
                <w:b/>
                <w:color w:val="000000"/>
              </w:rPr>
            </w:pPr>
            <w:r>
              <w:rPr>
                <w:rFonts w:hint="eastAsia"/>
                <w:b/>
                <w:color w:val="000000"/>
              </w:rPr>
              <w:t xml:space="preserve">4.2.6 </w:t>
            </w:r>
            <w:r>
              <w:rPr>
                <w:b/>
                <w:color w:val="000000"/>
              </w:rPr>
              <w:t>环境风险分析</w:t>
            </w:r>
          </w:p>
          <w:p w14:paraId="38FBD234">
            <w:pPr>
              <w:spacing w:line="360" w:lineRule="auto"/>
              <w:rPr>
                <w:b/>
                <w:color w:val="000000"/>
              </w:rPr>
            </w:pPr>
            <w:bookmarkStart w:id="40" w:name="_Toc95902512"/>
            <w:bookmarkStart w:id="41" w:name="_Toc99551059"/>
            <w:r>
              <w:rPr>
                <w:rFonts w:hint="eastAsia"/>
                <w:b/>
                <w:color w:val="000000"/>
              </w:rPr>
              <w:t>4.2.6.1风险物质识别</w:t>
            </w:r>
          </w:p>
          <w:p w14:paraId="463EE752">
            <w:pPr>
              <w:spacing w:line="360" w:lineRule="auto"/>
              <w:ind w:firstLine="480"/>
              <w:rPr>
                <w:color w:val="000000"/>
              </w:rPr>
            </w:pPr>
            <w:r>
              <w:rPr>
                <w:rFonts w:hint="eastAsia"/>
                <w:bCs/>
                <w:color w:val="000000"/>
              </w:rPr>
              <w:t>根据</w:t>
            </w:r>
            <w:r>
              <w:rPr>
                <w:rFonts w:hint="eastAsia"/>
                <w:color w:val="000000"/>
                <w:kern w:val="0"/>
                <w:lang w:bidi="ar"/>
              </w:rPr>
              <w:t>《建设项目环境风险评价技术导则》（</w:t>
            </w:r>
            <w:r>
              <w:rPr>
                <w:color w:val="000000"/>
                <w:kern w:val="0"/>
                <w:lang w:bidi="ar"/>
              </w:rPr>
              <w:t>HJ169-2018</w:t>
            </w:r>
            <w:r>
              <w:rPr>
                <w:rFonts w:hint="eastAsia"/>
                <w:color w:val="000000"/>
                <w:kern w:val="0"/>
                <w:lang w:bidi="ar"/>
              </w:rPr>
              <w:t>）附录B</w:t>
            </w:r>
            <w:r>
              <w:rPr>
                <w:rFonts w:hint="eastAsia"/>
                <w:color w:val="000000"/>
              </w:rPr>
              <w:t>，</w:t>
            </w:r>
            <w:r>
              <w:rPr>
                <w:color w:val="000000"/>
              </w:rPr>
              <w:t>本项目存在的风险物质为SB</w:t>
            </w:r>
            <w:r>
              <w:rPr>
                <w:color w:val="000000"/>
                <w:vertAlign w:val="subscript"/>
              </w:rPr>
              <w:t>2</w:t>
            </w:r>
            <w:r>
              <w:rPr>
                <w:color w:val="000000"/>
              </w:rPr>
              <w:t>O</w:t>
            </w:r>
            <w:r>
              <w:rPr>
                <w:color w:val="000000"/>
                <w:vertAlign w:val="subscript"/>
              </w:rPr>
              <w:t>3</w:t>
            </w:r>
            <w:r>
              <w:rPr>
                <w:rFonts w:hint="eastAsia"/>
                <w:color w:val="000000"/>
              </w:rPr>
              <w:t>、机油、除菌剂（次氯酸钠）、危险废物等。</w:t>
            </w:r>
          </w:p>
          <w:p w14:paraId="5FEBBDE6">
            <w:pPr>
              <w:spacing w:line="360" w:lineRule="auto"/>
              <w:ind w:firstLine="480"/>
              <w:rPr>
                <w:bCs/>
                <w:color w:val="000000"/>
              </w:rPr>
            </w:pPr>
            <w:r>
              <w:rPr>
                <w:bCs/>
                <w:color w:val="000000"/>
              </w:rPr>
              <w:t>企业存在多种化学物质，按下式计算物质数量与其临界量比值（Q）：</w:t>
            </w:r>
          </w:p>
          <w:p w14:paraId="7DB90611">
            <w:pPr>
              <w:spacing w:line="360" w:lineRule="auto"/>
              <w:ind w:firstLine="480"/>
              <w:jc w:val="center"/>
              <w:rPr>
                <w:bCs/>
                <w:color w:val="000000"/>
              </w:rPr>
            </w:pPr>
            <w:r>
              <w:rPr>
                <w:color w:val="000000"/>
                <w:position w:val="-38"/>
              </w:rPr>
              <w:object>
                <v:shape id="_x0000_i1026" o:spt="75" type="#_x0000_t75" style="height:35.2pt;width:97.05pt;" o:ole="t" filled="f" stroked="f" coordsize="21600,21600">
                  <v:path/>
                  <v:fill on="f" focussize="0,0"/>
                  <v:stroke on="f"/>
                  <v:imagedata r:id="rId33" o:title="4907312951503392713059"/>
                  <o:lock v:ext="edit" aspectratio="t"/>
                  <w10:wrap type="none"/>
                  <w10:anchorlock/>
                </v:shape>
                <o:OLEObject Type="Embed" ProgID="Excel.Sheet.8" ShapeID="_x0000_i1026" DrawAspect="Content" ObjectID="_1468075726" r:id="rId32">
                  <o:LockedField>false</o:LockedField>
                </o:OLEObject>
              </w:object>
            </w:r>
          </w:p>
          <w:p w14:paraId="705BB03B">
            <w:pPr>
              <w:spacing w:line="360" w:lineRule="auto"/>
              <w:ind w:firstLine="480"/>
              <w:rPr>
                <w:bCs/>
                <w:color w:val="000000"/>
              </w:rPr>
            </w:pPr>
            <w:r>
              <w:rPr>
                <w:bCs/>
                <w:color w:val="000000"/>
              </w:rPr>
              <w:t>式中：q</w:t>
            </w:r>
            <w:r>
              <w:rPr>
                <w:bCs/>
                <w:color w:val="000000"/>
                <w:vertAlign w:val="subscript"/>
              </w:rPr>
              <w:t>1</w:t>
            </w:r>
            <w:r>
              <w:rPr>
                <w:bCs/>
                <w:color w:val="000000"/>
              </w:rPr>
              <w:t>，q</w:t>
            </w:r>
            <w:r>
              <w:rPr>
                <w:bCs/>
                <w:color w:val="000000"/>
                <w:vertAlign w:val="subscript"/>
              </w:rPr>
              <w:t>2</w:t>
            </w:r>
            <w:r>
              <w:rPr>
                <w:bCs/>
                <w:color w:val="000000"/>
              </w:rPr>
              <w:t>，…，q</w:t>
            </w:r>
            <w:r>
              <w:rPr>
                <w:bCs/>
                <w:color w:val="000000"/>
                <w:vertAlign w:val="subscript"/>
              </w:rPr>
              <w:t>n</w:t>
            </w:r>
            <w:r>
              <w:rPr>
                <w:bCs/>
                <w:color w:val="000000"/>
              </w:rPr>
              <w:t>——每种化学物质的最大存在总量。t；</w:t>
            </w:r>
          </w:p>
          <w:p w14:paraId="14E2DE2C">
            <w:pPr>
              <w:spacing w:line="360" w:lineRule="auto"/>
              <w:ind w:firstLine="480"/>
              <w:rPr>
                <w:bCs/>
                <w:color w:val="000000"/>
              </w:rPr>
            </w:pPr>
            <w:r>
              <w:rPr>
                <w:bCs/>
                <w:color w:val="000000"/>
              </w:rPr>
              <w:t xml:space="preserve">     Q</w:t>
            </w:r>
            <w:r>
              <w:rPr>
                <w:bCs/>
                <w:color w:val="000000"/>
                <w:vertAlign w:val="subscript"/>
              </w:rPr>
              <w:t>1</w:t>
            </w:r>
            <w:r>
              <w:rPr>
                <w:bCs/>
                <w:color w:val="000000"/>
              </w:rPr>
              <w:t>，Q</w:t>
            </w:r>
            <w:r>
              <w:rPr>
                <w:bCs/>
                <w:color w:val="000000"/>
                <w:vertAlign w:val="subscript"/>
              </w:rPr>
              <w:t>2</w:t>
            </w:r>
            <w:r>
              <w:rPr>
                <w:bCs/>
                <w:color w:val="000000"/>
              </w:rPr>
              <w:t>，…，Q</w:t>
            </w:r>
            <w:r>
              <w:rPr>
                <w:bCs/>
                <w:color w:val="000000"/>
                <w:vertAlign w:val="subscript"/>
              </w:rPr>
              <w:t>n</w:t>
            </w:r>
            <w:r>
              <w:rPr>
                <w:bCs/>
                <w:color w:val="000000"/>
              </w:rPr>
              <w:t>——每种化学物质的临界量，t。</w:t>
            </w:r>
          </w:p>
          <w:p w14:paraId="6285EC3B">
            <w:pPr>
              <w:spacing w:line="360" w:lineRule="auto"/>
              <w:ind w:firstLine="480"/>
              <w:rPr>
                <w:bCs/>
                <w:color w:val="000000"/>
              </w:rPr>
            </w:pPr>
            <w:r>
              <w:rPr>
                <w:rFonts w:hint="eastAsia"/>
                <w:bCs/>
                <w:color w:val="000000"/>
              </w:rPr>
              <w:t>计算结果见表4-22。</w:t>
            </w:r>
          </w:p>
          <w:p w14:paraId="081E4349">
            <w:pPr>
              <w:ind w:firstLine="482"/>
              <w:jc w:val="center"/>
              <w:rPr>
                <w:b/>
                <w:bCs/>
                <w:color w:val="000000"/>
              </w:rPr>
            </w:pPr>
            <w:r>
              <w:rPr>
                <w:b/>
                <w:bCs/>
                <w:color w:val="000000"/>
              </w:rPr>
              <w:t>表</w:t>
            </w:r>
            <w:r>
              <w:rPr>
                <w:rFonts w:hint="eastAsia"/>
                <w:b/>
                <w:bCs/>
                <w:color w:val="000000"/>
              </w:rPr>
              <w:t>4</w:t>
            </w:r>
            <w:r>
              <w:rPr>
                <w:b/>
                <w:bCs/>
                <w:color w:val="000000"/>
              </w:rPr>
              <w:t>-</w:t>
            </w:r>
            <w:r>
              <w:rPr>
                <w:rFonts w:hint="eastAsia"/>
                <w:b/>
                <w:bCs/>
                <w:color w:val="000000"/>
              </w:rPr>
              <w:t>22</w:t>
            </w:r>
            <w:r>
              <w:rPr>
                <w:b/>
                <w:bCs/>
                <w:color w:val="000000"/>
              </w:rPr>
              <w:t xml:space="preserve">  物质数量与其临界量比值（Q）计算表</w:t>
            </w:r>
          </w:p>
          <w:tbl>
            <w:tblPr>
              <w:tblStyle w:val="1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797"/>
              <w:gridCol w:w="2378"/>
              <w:gridCol w:w="1833"/>
            </w:tblGrid>
            <w:tr w14:paraId="0CC09F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11" w:hRule="atLeast"/>
                <w:jc w:val="center"/>
              </w:trPr>
              <w:tc>
                <w:tcPr>
                  <w:tcW w:w="2242" w:type="dxa"/>
                  <w:noWrap w:val="0"/>
                  <w:vAlign w:val="center"/>
                </w:tcPr>
                <w:p w14:paraId="687FCBF7">
                  <w:pPr>
                    <w:adjustRightInd w:val="0"/>
                    <w:snapToGrid w:val="0"/>
                    <w:jc w:val="center"/>
                    <w:rPr>
                      <w:color w:val="000000"/>
                      <w:sz w:val="21"/>
                      <w:szCs w:val="21"/>
                    </w:rPr>
                  </w:pPr>
                  <w:r>
                    <w:rPr>
                      <w:color w:val="000000"/>
                      <w:sz w:val="21"/>
                      <w:szCs w:val="21"/>
                    </w:rPr>
                    <w:t>危化品名称</w:t>
                  </w:r>
                </w:p>
              </w:tc>
              <w:tc>
                <w:tcPr>
                  <w:tcW w:w="1797" w:type="dxa"/>
                  <w:noWrap w:val="0"/>
                  <w:vAlign w:val="center"/>
                </w:tcPr>
                <w:p w14:paraId="24576EFE">
                  <w:pPr>
                    <w:adjustRightInd w:val="0"/>
                    <w:snapToGrid w:val="0"/>
                    <w:jc w:val="center"/>
                    <w:rPr>
                      <w:rFonts w:hint="eastAsia"/>
                      <w:color w:val="000000"/>
                      <w:sz w:val="21"/>
                      <w:szCs w:val="21"/>
                    </w:rPr>
                  </w:pPr>
                  <w:r>
                    <w:rPr>
                      <w:color w:val="000000"/>
                      <w:sz w:val="21"/>
                      <w:szCs w:val="21"/>
                    </w:rPr>
                    <w:t>临界量</w:t>
                  </w:r>
                  <w:r>
                    <w:rPr>
                      <w:rFonts w:hint="eastAsia"/>
                      <w:color w:val="000000"/>
                      <w:sz w:val="21"/>
                      <w:szCs w:val="21"/>
                    </w:rPr>
                    <w:t>t</w:t>
                  </w:r>
                </w:p>
              </w:tc>
              <w:tc>
                <w:tcPr>
                  <w:tcW w:w="2378" w:type="dxa"/>
                  <w:noWrap w:val="0"/>
                  <w:vAlign w:val="center"/>
                </w:tcPr>
                <w:p w14:paraId="12D64A62">
                  <w:pPr>
                    <w:adjustRightInd w:val="0"/>
                    <w:snapToGrid w:val="0"/>
                    <w:jc w:val="center"/>
                    <w:rPr>
                      <w:rFonts w:hint="eastAsia"/>
                      <w:color w:val="000000"/>
                      <w:sz w:val="21"/>
                      <w:szCs w:val="21"/>
                    </w:rPr>
                  </w:pPr>
                  <w:r>
                    <w:rPr>
                      <w:color w:val="000000"/>
                      <w:sz w:val="21"/>
                      <w:szCs w:val="21"/>
                    </w:rPr>
                    <w:t>最大储存量</w:t>
                  </w:r>
                  <w:r>
                    <w:rPr>
                      <w:rFonts w:hint="eastAsia"/>
                      <w:color w:val="000000"/>
                      <w:sz w:val="21"/>
                      <w:szCs w:val="21"/>
                    </w:rPr>
                    <w:t>t</w:t>
                  </w:r>
                </w:p>
              </w:tc>
              <w:tc>
                <w:tcPr>
                  <w:tcW w:w="1833" w:type="dxa"/>
                  <w:noWrap w:val="0"/>
                  <w:vAlign w:val="center"/>
                </w:tcPr>
                <w:p w14:paraId="7E11DD11">
                  <w:pPr>
                    <w:adjustRightInd w:val="0"/>
                    <w:snapToGrid w:val="0"/>
                    <w:jc w:val="center"/>
                    <w:rPr>
                      <w:color w:val="000000"/>
                      <w:sz w:val="21"/>
                      <w:szCs w:val="21"/>
                    </w:rPr>
                  </w:pPr>
                  <w:r>
                    <w:rPr>
                      <w:color w:val="000000"/>
                      <w:sz w:val="21"/>
                      <w:szCs w:val="21"/>
                    </w:rPr>
                    <w:t>比值（Q）</w:t>
                  </w:r>
                </w:p>
              </w:tc>
            </w:tr>
            <w:tr w14:paraId="5D400F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242" w:type="dxa"/>
                  <w:noWrap w:val="0"/>
                  <w:vAlign w:val="center"/>
                </w:tcPr>
                <w:p w14:paraId="59F2431A">
                  <w:pPr>
                    <w:adjustRightInd w:val="0"/>
                    <w:snapToGrid w:val="0"/>
                    <w:jc w:val="center"/>
                    <w:rPr>
                      <w:color w:val="000000"/>
                      <w:sz w:val="21"/>
                      <w:szCs w:val="21"/>
                    </w:rPr>
                  </w:pPr>
                  <w:r>
                    <w:rPr>
                      <w:color w:val="000000"/>
                      <w:sz w:val="21"/>
                      <w:szCs w:val="21"/>
                    </w:rPr>
                    <w:t>SB</w:t>
                  </w:r>
                  <w:r>
                    <w:rPr>
                      <w:color w:val="000000"/>
                      <w:sz w:val="21"/>
                      <w:szCs w:val="21"/>
                      <w:vertAlign w:val="subscript"/>
                    </w:rPr>
                    <w:t>2</w:t>
                  </w:r>
                  <w:r>
                    <w:rPr>
                      <w:color w:val="000000"/>
                      <w:sz w:val="21"/>
                      <w:szCs w:val="21"/>
                    </w:rPr>
                    <w:t>O</w:t>
                  </w:r>
                  <w:r>
                    <w:rPr>
                      <w:color w:val="000000"/>
                      <w:sz w:val="21"/>
                      <w:szCs w:val="21"/>
                      <w:vertAlign w:val="subscript"/>
                    </w:rPr>
                    <w:t>3</w:t>
                  </w:r>
                  <w:r>
                    <w:rPr>
                      <w:rFonts w:hint="eastAsia"/>
                      <w:color w:val="000000"/>
                      <w:sz w:val="21"/>
                      <w:szCs w:val="21"/>
                    </w:rPr>
                    <w:t>（锑及其化合物）</w:t>
                  </w:r>
                </w:p>
              </w:tc>
              <w:tc>
                <w:tcPr>
                  <w:tcW w:w="1797" w:type="dxa"/>
                  <w:noWrap w:val="0"/>
                  <w:vAlign w:val="center"/>
                </w:tcPr>
                <w:p w14:paraId="6DA0A8AD">
                  <w:pPr>
                    <w:adjustRightInd w:val="0"/>
                    <w:snapToGrid w:val="0"/>
                    <w:jc w:val="center"/>
                    <w:rPr>
                      <w:color w:val="000000"/>
                      <w:sz w:val="21"/>
                      <w:szCs w:val="21"/>
                    </w:rPr>
                  </w:pPr>
                  <w:r>
                    <w:rPr>
                      <w:rFonts w:hint="eastAsia"/>
                      <w:color w:val="000000"/>
                      <w:sz w:val="21"/>
                      <w:szCs w:val="21"/>
                    </w:rPr>
                    <w:t>0.25</w:t>
                  </w:r>
                </w:p>
              </w:tc>
              <w:tc>
                <w:tcPr>
                  <w:tcW w:w="2378" w:type="dxa"/>
                  <w:noWrap w:val="0"/>
                  <w:vAlign w:val="center"/>
                </w:tcPr>
                <w:p w14:paraId="7710C59D">
                  <w:pPr>
                    <w:adjustRightInd w:val="0"/>
                    <w:snapToGrid w:val="0"/>
                    <w:jc w:val="center"/>
                    <w:rPr>
                      <w:color w:val="000000"/>
                      <w:sz w:val="21"/>
                      <w:szCs w:val="21"/>
                    </w:rPr>
                  </w:pPr>
                  <w:r>
                    <w:rPr>
                      <w:rFonts w:hint="eastAsia"/>
                      <w:color w:val="000000"/>
                      <w:sz w:val="21"/>
                      <w:szCs w:val="21"/>
                    </w:rPr>
                    <w:t>0.1</w:t>
                  </w:r>
                </w:p>
              </w:tc>
              <w:tc>
                <w:tcPr>
                  <w:tcW w:w="1833" w:type="dxa"/>
                  <w:noWrap w:val="0"/>
                  <w:vAlign w:val="center"/>
                </w:tcPr>
                <w:p w14:paraId="3D4364E8">
                  <w:pPr>
                    <w:adjustRightInd w:val="0"/>
                    <w:snapToGrid w:val="0"/>
                    <w:jc w:val="center"/>
                    <w:rPr>
                      <w:color w:val="000000"/>
                      <w:sz w:val="21"/>
                      <w:szCs w:val="21"/>
                    </w:rPr>
                  </w:pPr>
                  <w:r>
                    <w:rPr>
                      <w:rFonts w:hint="eastAsia"/>
                      <w:color w:val="000000"/>
                      <w:sz w:val="21"/>
                      <w:szCs w:val="21"/>
                    </w:rPr>
                    <w:t>0.4</w:t>
                  </w:r>
                </w:p>
              </w:tc>
            </w:tr>
            <w:tr w14:paraId="6A10C1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242" w:type="dxa"/>
                  <w:noWrap w:val="0"/>
                  <w:vAlign w:val="center"/>
                </w:tcPr>
                <w:p w14:paraId="42700987">
                  <w:pPr>
                    <w:adjustRightInd w:val="0"/>
                    <w:snapToGrid w:val="0"/>
                    <w:jc w:val="center"/>
                    <w:rPr>
                      <w:color w:val="000000"/>
                      <w:sz w:val="21"/>
                      <w:szCs w:val="21"/>
                    </w:rPr>
                  </w:pPr>
                  <w:r>
                    <w:rPr>
                      <w:rFonts w:hint="eastAsia"/>
                      <w:color w:val="000000"/>
                      <w:sz w:val="21"/>
                      <w:szCs w:val="21"/>
                    </w:rPr>
                    <w:t>机油</w:t>
                  </w:r>
                </w:p>
              </w:tc>
              <w:tc>
                <w:tcPr>
                  <w:tcW w:w="1797" w:type="dxa"/>
                  <w:noWrap w:val="0"/>
                  <w:vAlign w:val="center"/>
                </w:tcPr>
                <w:p w14:paraId="011FB2EF">
                  <w:pPr>
                    <w:adjustRightInd w:val="0"/>
                    <w:snapToGrid w:val="0"/>
                    <w:jc w:val="center"/>
                    <w:rPr>
                      <w:color w:val="000000"/>
                      <w:sz w:val="21"/>
                      <w:szCs w:val="21"/>
                    </w:rPr>
                  </w:pPr>
                  <w:r>
                    <w:rPr>
                      <w:rFonts w:hint="eastAsia"/>
                      <w:color w:val="000000"/>
                      <w:sz w:val="21"/>
                      <w:szCs w:val="21"/>
                    </w:rPr>
                    <w:t>2500</w:t>
                  </w:r>
                </w:p>
              </w:tc>
              <w:tc>
                <w:tcPr>
                  <w:tcW w:w="2378" w:type="dxa"/>
                  <w:noWrap w:val="0"/>
                  <w:vAlign w:val="center"/>
                </w:tcPr>
                <w:p w14:paraId="4FA03874">
                  <w:pPr>
                    <w:adjustRightInd w:val="0"/>
                    <w:snapToGrid w:val="0"/>
                    <w:jc w:val="center"/>
                    <w:rPr>
                      <w:color w:val="000000"/>
                      <w:sz w:val="21"/>
                      <w:szCs w:val="21"/>
                    </w:rPr>
                  </w:pPr>
                  <w:r>
                    <w:rPr>
                      <w:rFonts w:hint="eastAsia"/>
                      <w:color w:val="000000"/>
                      <w:sz w:val="21"/>
                      <w:szCs w:val="21"/>
                    </w:rPr>
                    <w:t>1</w:t>
                  </w:r>
                </w:p>
              </w:tc>
              <w:tc>
                <w:tcPr>
                  <w:tcW w:w="1833" w:type="dxa"/>
                  <w:noWrap w:val="0"/>
                  <w:vAlign w:val="center"/>
                </w:tcPr>
                <w:p w14:paraId="77698E7D">
                  <w:pPr>
                    <w:adjustRightInd w:val="0"/>
                    <w:snapToGrid w:val="0"/>
                    <w:jc w:val="center"/>
                    <w:rPr>
                      <w:color w:val="000000"/>
                      <w:sz w:val="21"/>
                      <w:szCs w:val="21"/>
                    </w:rPr>
                  </w:pPr>
                  <w:r>
                    <w:rPr>
                      <w:rFonts w:hint="eastAsia"/>
                      <w:color w:val="000000"/>
                      <w:sz w:val="21"/>
                      <w:szCs w:val="21"/>
                    </w:rPr>
                    <w:t>0.0004</w:t>
                  </w:r>
                </w:p>
              </w:tc>
            </w:tr>
            <w:tr w14:paraId="7256F2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242" w:type="dxa"/>
                  <w:noWrap w:val="0"/>
                  <w:vAlign w:val="center"/>
                </w:tcPr>
                <w:p w14:paraId="01C0F03A">
                  <w:pPr>
                    <w:adjustRightInd w:val="0"/>
                    <w:snapToGrid w:val="0"/>
                    <w:jc w:val="center"/>
                    <w:rPr>
                      <w:color w:val="000000"/>
                      <w:sz w:val="21"/>
                      <w:szCs w:val="21"/>
                    </w:rPr>
                  </w:pPr>
                  <w:r>
                    <w:rPr>
                      <w:rFonts w:hint="eastAsia"/>
                      <w:color w:val="000000"/>
                      <w:sz w:val="21"/>
                      <w:szCs w:val="21"/>
                    </w:rPr>
                    <w:t>除菌剂（次氯酸钠）</w:t>
                  </w:r>
                </w:p>
              </w:tc>
              <w:tc>
                <w:tcPr>
                  <w:tcW w:w="1797" w:type="dxa"/>
                  <w:noWrap w:val="0"/>
                  <w:vAlign w:val="center"/>
                </w:tcPr>
                <w:p w14:paraId="633AFB58">
                  <w:pPr>
                    <w:adjustRightInd w:val="0"/>
                    <w:snapToGrid w:val="0"/>
                    <w:jc w:val="center"/>
                    <w:rPr>
                      <w:color w:val="000000"/>
                      <w:sz w:val="21"/>
                      <w:szCs w:val="21"/>
                    </w:rPr>
                  </w:pPr>
                  <w:r>
                    <w:rPr>
                      <w:rFonts w:hint="eastAsia"/>
                      <w:color w:val="000000"/>
                      <w:sz w:val="21"/>
                      <w:szCs w:val="21"/>
                    </w:rPr>
                    <w:t>5</w:t>
                  </w:r>
                </w:p>
              </w:tc>
              <w:tc>
                <w:tcPr>
                  <w:tcW w:w="2378" w:type="dxa"/>
                  <w:noWrap w:val="0"/>
                  <w:vAlign w:val="center"/>
                </w:tcPr>
                <w:p w14:paraId="2C5CC2E6">
                  <w:pPr>
                    <w:adjustRightInd w:val="0"/>
                    <w:snapToGrid w:val="0"/>
                    <w:jc w:val="center"/>
                    <w:rPr>
                      <w:color w:val="000000"/>
                      <w:sz w:val="21"/>
                      <w:szCs w:val="21"/>
                    </w:rPr>
                  </w:pPr>
                  <w:r>
                    <w:rPr>
                      <w:rFonts w:hint="eastAsia"/>
                      <w:color w:val="000000"/>
                      <w:sz w:val="21"/>
                      <w:szCs w:val="21"/>
                    </w:rPr>
                    <w:t>0.01</w:t>
                  </w:r>
                </w:p>
              </w:tc>
              <w:tc>
                <w:tcPr>
                  <w:tcW w:w="1833" w:type="dxa"/>
                  <w:noWrap w:val="0"/>
                  <w:vAlign w:val="center"/>
                </w:tcPr>
                <w:p w14:paraId="68EB291A">
                  <w:pPr>
                    <w:adjustRightInd w:val="0"/>
                    <w:snapToGrid w:val="0"/>
                    <w:jc w:val="center"/>
                    <w:rPr>
                      <w:color w:val="000000"/>
                      <w:sz w:val="21"/>
                      <w:szCs w:val="21"/>
                    </w:rPr>
                  </w:pPr>
                  <w:r>
                    <w:rPr>
                      <w:rFonts w:hint="eastAsia"/>
                      <w:color w:val="000000"/>
                      <w:sz w:val="21"/>
                      <w:szCs w:val="21"/>
                    </w:rPr>
                    <w:t>0.002</w:t>
                  </w:r>
                </w:p>
              </w:tc>
            </w:tr>
            <w:tr w14:paraId="50711F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2" w:type="dxa"/>
                  <w:noWrap w:val="0"/>
                  <w:vAlign w:val="center"/>
                </w:tcPr>
                <w:p w14:paraId="30D8ACB5">
                  <w:pPr>
                    <w:pStyle w:val="39"/>
                    <w:ind w:firstLine="0" w:firstLineChars="0"/>
                    <w:jc w:val="center"/>
                    <w:rPr>
                      <w:rFonts w:ascii="Times New Roman"/>
                      <w:color w:val="000000"/>
                      <w:kern w:val="0"/>
                      <w:szCs w:val="21"/>
                      <w:lang w:bidi="ar"/>
                    </w:rPr>
                  </w:pPr>
                  <w:r>
                    <w:rPr>
                      <w:rFonts w:hint="eastAsia" w:ascii="Times New Roman"/>
                      <w:color w:val="000000"/>
                      <w:kern w:val="0"/>
                      <w:szCs w:val="21"/>
                      <w:lang w:bidi="ar"/>
                    </w:rPr>
                    <w:t>危险废物</w:t>
                  </w:r>
                </w:p>
              </w:tc>
              <w:tc>
                <w:tcPr>
                  <w:tcW w:w="1797" w:type="dxa"/>
                  <w:noWrap w:val="0"/>
                  <w:vAlign w:val="center"/>
                </w:tcPr>
                <w:p w14:paraId="34E984A2">
                  <w:pPr>
                    <w:adjustRightInd w:val="0"/>
                    <w:snapToGrid w:val="0"/>
                    <w:jc w:val="center"/>
                    <w:rPr>
                      <w:color w:val="000000"/>
                      <w:sz w:val="21"/>
                      <w:szCs w:val="21"/>
                    </w:rPr>
                  </w:pPr>
                  <w:r>
                    <w:rPr>
                      <w:rFonts w:hint="eastAsia"/>
                      <w:color w:val="000000"/>
                      <w:sz w:val="21"/>
                      <w:szCs w:val="21"/>
                    </w:rPr>
                    <w:t>50</w:t>
                  </w:r>
                </w:p>
              </w:tc>
              <w:tc>
                <w:tcPr>
                  <w:tcW w:w="2378" w:type="dxa"/>
                  <w:noWrap w:val="0"/>
                  <w:vAlign w:val="center"/>
                </w:tcPr>
                <w:p w14:paraId="367442A6">
                  <w:pPr>
                    <w:widowControl/>
                    <w:adjustRightInd w:val="0"/>
                    <w:snapToGrid w:val="0"/>
                    <w:spacing w:before="31" w:beforeLines="10" w:after="31" w:afterLines="10"/>
                    <w:jc w:val="center"/>
                    <w:rPr>
                      <w:snapToGrid w:val="0"/>
                      <w:color w:val="000000"/>
                      <w:kern w:val="0"/>
                      <w:sz w:val="21"/>
                      <w:szCs w:val="21"/>
                    </w:rPr>
                  </w:pPr>
                  <w:r>
                    <w:rPr>
                      <w:rFonts w:hint="eastAsia"/>
                      <w:snapToGrid w:val="0"/>
                      <w:color w:val="000000"/>
                      <w:kern w:val="0"/>
                      <w:sz w:val="21"/>
                      <w:szCs w:val="21"/>
                    </w:rPr>
                    <w:t>10</w:t>
                  </w:r>
                </w:p>
              </w:tc>
              <w:tc>
                <w:tcPr>
                  <w:tcW w:w="1833" w:type="dxa"/>
                  <w:noWrap w:val="0"/>
                  <w:vAlign w:val="center"/>
                </w:tcPr>
                <w:p w14:paraId="7DDF0F47">
                  <w:pPr>
                    <w:adjustRightInd w:val="0"/>
                    <w:snapToGrid w:val="0"/>
                    <w:jc w:val="center"/>
                    <w:rPr>
                      <w:color w:val="000000"/>
                      <w:sz w:val="21"/>
                      <w:szCs w:val="21"/>
                    </w:rPr>
                  </w:pPr>
                  <w:r>
                    <w:rPr>
                      <w:rFonts w:hint="eastAsia"/>
                      <w:color w:val="000000"/>
                      <w:sz w:val="21"/>
                      <w:szCs w:val="21"/>
                    </w:rPr>
                    <w:t>0.2</w:t>
                  </w:r>
                </w:p>
              </w:tc>
            </w:tr>
            <w:tr w14:paraId="526F88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242" w:type="dxa"/>
                  <w:noWrap w:val="0"/>
                  <w:vAlign w:val="center"/>
                </w:tcPr>
                <w:p w14:paraId="44D2ACF8">
                  <w:pPr>
                    <w:adjustRightInd w:val="0"/>
                    <w:snapToGrid w:val="0"/>
                    <w:jc w:val="center"/>
                    <w:rPr>
                      <w:color w:val="000000"/>
                      <w:sz w:val="21"/>
                      <w:szCs w:val="21"/>
                    </w:rPr>
                  </w:pPr>
                  <w:r>
                    <w:rPr>
                      <w:color w:val="000000"/>
                      <w:sz w:val="21"/>
                      <w:szCs w:val="21"/>
                    </w:rPr>
                    <w:t>合计</w:t>
                  </w:r>
                </w:p>
              </w:tc>
              <w:tc>
                <w:tcPr>
                  <w:tcW w:w="1797" w:type="dxa"/>
                  <w:noWrap w:val="0"/>
                  <w:vAlign w:val="center"/>
                </w:tcPr>
                <w:p w14:paraId="486831F9">
                  <w:pPr>
                    <w:adjustRightInd w:val="0"/>
                    <w:snapToGrid w:val="0"/>
                    <w:jc w:val="center"/>
                    <w:rPr>
                      <w:color w:val="000000"/>
                      <w:sz w:val="21"/>
                      <w:szCs w:val="21"/>
                    </w:rPr>
                  </w:pPr>
                  <w:r>
                    <w:rPr>
                      <w:color w:val="000000"/>
                      <w:sz w:val="21"/>
                      <w:szCs w:val="21"/>
                    </w:rPr>
                    <w:t>/</w:t>
                  </w:r>
                </w:p>
              </w:tc>
              <w:tc>
                <w:tcPr>
                  <w:tcW w:w="2378" w:type="dxa"/>
                  <w:noWrap w:val="0"/>
                  <w:vAlign w:val="center"/>
                </w:tcPr>
                <w:p w14:paraId="39607E31">
                  <w:pPr>
                    <w:adjustRightInd w:val="0"/>
                    <w:snapToGrid w:val="0"/>
                    <w:jc w:val="center"/>
                    <w:rPr>
                      <w:color w:val="000000"/>
                      <w:sz w:val="21"/>
                      <w:szCs w:val="21"/>
                    </w:rPr>
                  </w:pPr>
                  <w:r>
                    <w:rPr>
                      <w:color w:val="000000"/>
                      <w:sz w:val="21"/>
                      <w:szCs w:val="21"/>
                    </w:rPr>
                    <w:t>/</w:t>
                  </w:r>
                </w:p>
              </w:tc>
              <w:tc>
                <w:tcPr>
                  <w:tcW w:w="1833" w:type="dxa"/>
                  <w:noWrap w:val="0"/>
                  <w:vAlign w:val="center"/>
                </w:tcPr>
                <w:p w14:paraId="28DF5013">
                  <w:pPr>
                    <w:adjustRightInd w:val="0"/>
                    <w:snapToGrid w:val="0"/>
                    <w:jc w:val="center"/>
                    <w:rPr>
                      <w:color w:val="000000"/>
                      <w:sz w:val="21"/>
                      <w:szCs w:val="21"/>
                    </w:rPr>
                  </w:pPr>
                  <w:r>
                    <w:rPr>
                      <w:rFonts w:hint="eastAsia"/>
                      <w:color w:val="000000"/>
                      <w:sz w:val="21"/>
                      <w:szCs w:val="21"/>
                    </w:rPr>
                    <w:t>0.6</w:t>
                  </w:r>
                </w:p>
              </w:tc>
            </w:tr>
          </w:tbl>
          <w:p w14:paraId="1FE1E23B">
            <w:pPr>
              <w:spacing w:line="360" w:lineRule="auto"/>
              <w:ind w:firstLine="480"/>
              <w:rPr>
                <w:color w:val="000000"/>
              </w:rPr>
            </w:pPr>
            <w:r>
              <w:rPr>
                <w:rFonts w:hint="eastAsia"/>
                <w:color w:val="000000"/>
              </w:rPr>
              <w:t>根据计算可知，Q值为0.6，小于1，无需设置风险专项评价</w:t>
            </w:r>
            <w:r>
              <w:rPr>
                <w:color w:val="000000"/>
              </w:rPr>
              <w:t>。</w:t>
            </w:r>
          </w:p>
          <w:p w14:paraId="7211B16C">
            <w:pPr>
              <w:spacing w:line="360" w:lineRule="auto"/>
              <w:rPr>
                <w:b/>
                <w:color w:val="000000"/>
              </w:rPr>
            </w:pPr>
            <w:r>
              <w:rPr>
                <w:rFonts w:hint="eastAsia"/>
                <w:b/>
                <w:color w:val="000000"/>
              </w:rPr>
              <w:t>4.2.6.2</w:t>
            </w:r>
            <w:r>
              <w:rPr>
                <w:rFonts w:hint="eastAsia" w:cs="宋体"/>
                <w:b/>
                <w:bCs/>
                <w:color w:val="000000"/>
              </w:rPr>
              <w:t>贮存过程风险识别</w:t>
            </w:r>
          </w:p>
          <w:p w14:paraId="4DA11065">
            <w:pPr>
              <w:spacing w:line="360" w:lineRule="auto"/>
              <w:ind w:firstLine="480"/>
              <w:rPr>
                <w:color w:val="000000"/>
              </w:rPr>
            </w:pPr>
            <w:r>
              <w:rPr>
                <w:rFonts w:hint="eastAsia"/>
                <w:color w:val="000000"/>
              </w:rPr>
              <w:t>根据以上物质风险识别，</w:t>
            </w:r>
            <w:r>
              <w:rPr>
                <w:color w:val="000000"/>
              </w:rPr>
              <w:t>SB</w:t>
            </w:r>
            <w:r>
              <w:rPr>
                <w:color w:val="000000"/>
                <w:vertAlign w:val="subscript"/>
              </w:rPr>
              <w:t>2</w:t>
            </w:r>
            <w:r>
              <w:rPr>
                <w:color w:val="000000"/>
              </w:rPr>
              <w:t>O</w:t>
            </w:r>
            <w:r>
              <w:rPr>
                <w:color w:val="000000"/>
                <w:vertAlign w:val="subscript"/>
              </w:rPr>
              <w:t>3</w:t>
            </w:r>
            <w:r>
              <w:rPr>
                <w:rFonts w:hint="eastAsia"/>
                <w:color w:val="000000"/>
              </w:rPr>
              <w:t>、机油等物质有毒性、易燃性、腐蚀性，由于管理的疏忽和操作不当可引起危险化学品的泄漏和火灾。同时，项目使用液体原料</w:t>
            </w:r>
            <w:r>
              <w:rPr>
                <w:rFonts w:hint="eastAsia"/>
                <w:color w:val="000000"/>
                <w:szCs w:val="32"/>
              </w:rPr>
              <w:t>TOTM、DOTP、DOA、DOS、ESO、氯化石蜡有泄漏风险。</w:t>
            </w:r>
          </w:p>
          <w:p w14:paraId="5B0C8980">
            <w:pPr>
              <w:spacing w:line="360" w:lineRule="auto"/>
              <w:ind w:firstLine="480"/>
              <w:rPr>
                <w:color w:val="000000"/>
              </w:rPr>
            </w:pPr>
            <w:r>
              <w:rPr>
                <w:rFonts w:hint="eastAsia"/>
                <w:color w:val="000000"/>
              </w:rPr>
              <w:t>另外危险废物可能由于收集、暂存与移交过程处理不当发生泄漏。</w:t>
            </w:r>
          </w:p>
          <w:p w14:paraId="25E1BF4C">
            <w:pPr>
              <w:spacing w:line="360" w:lineRule="auto"/>
              <w:rPr>
                <w:rFonts w:hint="eastAsia"/>
                <w:b/>
                <w:color w:val="000000"/>
              </w:rPr>
            </w:pPr>
            <w:r>
              <w:rPr>
                <w:rFonts w:hint="eastAsia"/>
                <w:b/>
                <w:color w:val="000000"/>
              </w:rPr>
              <w:t>4.2.6.3</w:t>
            </w:r>
            <w:r>
              <w:rPr>
                <w:rFonts w:hint="eastAsia" w:cs="宋体"/>
                <w:b/>
                <w:bCs/>
                <w:color w:val="000000"/>
              </w:rPr>
              <w:t>风险防范措施</w:t>
            </w:r>
          </w:p>
          <w:p w14:paraId="3C64DA07">
            <w:pPr>
              <w:spacing w:line="360" w:lineRule="auto"/>
              <w:ind w:firstLine="480"/>
              <w:rPr>
                <w:rFonts w:hint="eastAsia"/>
                <w:color w:val="000000"/>
              </w:rPr>
            </w:pPr>
            <w:r>
              <w:rPr>
                <w:rFonts w:hint="eastAsia"/>
                <w:color w:val="000000"/>
              </w:rPr>
              <w:t>机油和废机油存放于阴凉、通风、干燥库房，远离明火、热源、高温管线，避免阳光直晒。容器必须密封完好，标签清晰，严禁与氧化剂、强酸、强碱混存。地面设置防泄漏托盘，防止渗漏扩散。库房严禁烟火，张贴警示标识，禁止吸烟和违规动火。少量泄漏：用吸油棉、沙土吸附，收集后按危废处理。大量泄漏：立即围堰围堵，严禁冲入下水道、排水沟、土壤。泄漏区域禁止明火，清理后对地面除油防滑。</w:t>
            </w:r>
          </w:p>
          <w:p w14:paraId="0F24F88B">
            <w:pPr>
              <w:spacing w:line="360" w:lineRule="auto"/>
              <w:ind w:firstLine="480"/>
              <w:rPr>
                <w:color w:val="000000"/>
              </w:rPr>
            </w:pPr>
            <w:r>
              <w:rPr>
                <w:rFonts w:hint="eastAsia"/>
                <w:color w:val="000000"/>
              </w:rPr>
              <w:t>除菌剂（次氯酸钠）密封存放于阴凉、干燥、通风处，避光、避热，远离火源。严禁与酸类（盐酸、洁厕灵、醋）、氨水、还原剂混存混放。容器耐腐蚀、无破损，标签清晰，储存区设防泄漏托盘。不可长期高温存放，避免分解失效并产生危险气体。</w:t>
            </w:r>
            <w:r>
              <w:rPr>
                <w:color w:val="000000"/>
              </w:rPr>
              <w:t>少量泄漏：用大量清水稀释冲洗，或用吸水材料吸附。</w:t>
            </w:r>
          </w:p>
          <w:p w14:paraId="01DDA8AF">
            <w:pPr>
              <w:widowControl/>
              <w:spacing w:line="360" w:lineRule="atLeast"/>
              <w:jc w:val="left"/>
              <w:rPr>
                <w:color w:val="000000"/>
              </w:rPr>
            </w:pPr>
            <w:r>
              <w:rPr>
                <w:color w:val="000000"/>
              </w:rPr>
              <w:t>大量泄漏：围堰围挡，用还原剂中和处理，严禁随意排入下水道。处置人员做好防护，保持通风。</w:t>
            </w:r>
          </w:p>
          <w:p w14:paraId="01B2C6A7">
            <w:pPr>
              <w:spacing w:line="360" w:lineRule="auto"/>
              <w:ind w:firstLine="480"/>
              <w:rPr>
                <w:color w:val="000000"/>
              </w:rPr>
            </w:pPr>
            <w:r>
              <w:rPr>
                <w:color w:val="000000"/>
              </w:rPr>
              <w:t>SB</w:t>
            </w:r>
            <w:r>
              <w:rPr>
                <w:color w:val="000000"/>
                <w:vertAlign w:val="subscript"/>
              </w:rPr>
              <w:t>2</w:t>
            </w:r>
            <w:r>
              <w:rPr>
                <w:color w:val="000000"/>
              </w:rPr>
              <w:t>O</w:t>
            </w:r>
            <w:r>
              <w:rPr>
                <w:color w:val="000000"/>
                <w:vertAlign w:val="subscript"/>
              </w:rPr>
              <w:t>3</w:t>
            </w:r>
            <w:r>
              <w:rPr>
                <w:rFonts w:hint="eastAsia"/>
                <w:color w:val="000000"/>
              </w:rPr>
              <w:t>有毒性，项目</w:t>
            </w:r>
            <w:r>
              <w:rPr>
                <w:color w:val="000000"/>
              </w:rPr>
              <w:t>投料、混合等产尘环节采用密闭式设备（如密闭</w:t>
            </w:r>
            <w:r>
              <w:rPr>
                <w:rFonts w:hint="eastAsia"/>
                <w:color w:val="000000"/>
              </w:rPr>
              <w:t>料仓</w:t>
            </w:r>
            <w:r>
              <w:rPr>
                <w:color w:val="000000"/>
              </w:rPr>
              <w:t>、封闭混合机），并配套局部排风系统，将粉尘捕集至布袋除尘器处理后排放。操作人员必须佩戴防护用品：KN95及以上防尘口罩（避免吸入粉尘）、丁腈手套（防止皮肤接触）、防护眼镜（防止粉尘入眼），严禁徒手接触原料。</w:t>
            </w:r>
          </w:p>
          <w:p w14:paraId="27692BC1">
            <w:pPr>
              <w:spacing w:line="360" w:lineRule="auto"/>
              <w:ind w:firstLine="480"/>
              <w:rPr>
                <w:color w:val="000000"/>
              </w:rPr>
            </w:pPr>
            <w:r>
              <w:rPr>
                <w:color w:val="000000"/>
              </w:rPr>
              <w:t>针对TOTM、DOTP、DOA、DOS、ESO、氯化石蜡这六种</w:t>
            </w:r>
            <w:r>
              <w:rPr>
                <w:rFonts w:hint="eastAsia"/>
                <w:color w:val="000000"/>
              </w:rPr>
              <w:t>液体</w:t>
            </w:r>
            <w:r>
              <w:rPr>
                <w:color w:val="000000"/>
              </w:rPr>
              <w:t>物料，</w:t>
            </w:r>
            <w:r>
              <w:rPr>
                <w:rFonts w:hint="eastAsia"/>
                <w:color w:val="000000"/>
              </w:rPr>
              <w:t>在储罐中</w:t>
            </w:r>
            <w:r>
              <w:rPr>
                <w:color w:val="000000"/>
              </w:rPr>
              <w:t>密闭储存，设置防泄漏围堰，</w:t>
            </w:r>
            <w:r>
              <w:rPr>
                <w:rFonts w:hint="eastAsia"/>
                <w:color w:val="000000"/>
              </w:rPr>
              <w:t>围堰尺寸为28×4.1，高1.2m，围堰有效容积为77m</w:t>
            </w:r>
            <w:r>
              <w:rPr>
                <w:rFonts w:hint="eastAsia"/>
                <w:color w:val="000000"/>
                <w:vertAlign w:val="superscript"/>
              </w:rPr>
              <w:t>3</w:t>
            </w:r>
            <w:r>
              <w:rPr>
                <w:rFonts w:hint="eastAsia"/>
                <w:color w:val="000000"/>
              </w:rPr>
              <w:t>。原料罐车卸料区设置导流沟及围挡。</w:t>
            </w:r>
            <w:r>
              <w:rPr>
                <w:color w:val="000000"/>
              </w:rPr>
              <w:t>发生泄漏立即切断火源，采用惰性吸附材料收集并按危废处置，严禁排入下水道或水体；人员出现皮肤、眼部接触或吸入、误食等情况，按规范及时冲洗、转移就医；现场落实防火防爆、防静电措施，配备适用灭火器材，废气、废液及废弃物料分类收集处置，氯化石蜡等危废交由有资质单位处理，同时加强人员培训与应急管理，全面防范健康、安全及环境风险。</w:t>
            </w:r>
          </w:p>
          <w:p w14:paraId="6055BB19">
            <w:pPr>
              <w:spacing w:line="360" w:lineRule="auto"/>
              <w:ind w:firstLine="480"/>
              <w:rPr>
                <w:rFonts w:hint="eastAsia"/>
                <w:color w:val="000000"/>
              </w:rPr>
            </w:pPr>
            <w:r>
              <w:rPr>
                <w:rFonts w:hint="eastAsia"/>
                <w:color w:val="000000"/>
              </w:rPr>
              <w:t>危险废物贮存点重点防渗，区域裙角及地面防渗设置，形成围堰容积大于最大物料包装规格。设置在远离热源和避免阳光直射的地方，禁止一切烟火，禁止使用易产生火花的机械设备和工具。库房设置明确的防火标识，严禁烟火，做好消防措施，设置一定数量的手提式干粉灭火器，并定期检查，保持有效状态。配备相应泄漏堵漏应急物资，个体防护物资以及泄漏吸附物资。</w:t>
            </w:r>
          </w:p>
          <w:p w14:paraId="6E9D16E9">
            <w:pPr>
              <w:spacing w:line="360" w:lineRule="auto"/>
              <w:ind w:firstLine="480"/>
              <w:rPr>
                <w:rFonts w:hint="eastAsia"/>
                <w:color w:val="000000"/>
              </w:rPr>
            </w:pPr>
            <w:r>
              <w:rPr>
                <w:rFonts w:hint="eastAsia"/>
                <w:color w:val="000000"/>
              </w:rPr>
              <w:t>全厂做好消防措施，保持灭火器、消防栓等有效状态。配备完善的应急救援物资，包括个体防护装备、消防物资、应急救援物资、应急处置设施等，包括但不限于：防护服、防护手套、防护靴、护目镜、防毒面具、吸油毡、备用桶、消防沙、急救箱、泄漏容器封堵材料等。加强员工管理，严格要求岗位操作规程，加强操作人员的岗位培训和职业素质教育，严禁烟火，规范生产。</w:t>
            </w:r>
          </w:p>
          <w:p w14:paraId="3F0AD3A6">
            <w:pPr>
              <w:spacing w:line="360" w:lineRule="auto"/>
              <w:ind w:firstLine="480"/>
              <w:rPr>
                <w:rFonts w:hint="eastAsia"/>
                <w:color w:val="000000"/>
              </w:rPr>
            </w:pPr>
            <w:r>
              <w:rPr>
                <w:rFonts w:hint="eastAsia"/>
                <w:color w:val="000000"/>
              </w:rPr>
              <w:t>综上，企业严格执行上述风险防范措施，发生环境风险事故的可能性将进一步降低，环境风险可以控制在可预知、可控制、可解决的情况之下，不会对外环境造成大的危害影响。</w:t>
            </w:r>
          </w:p>
          <w:p w14:paraId="570A7482">
            <w:pPr>
              <w:spacing w:line="360" w:lineRule="auto"/>
              <w:rPr>
                <w:rFonts w:hint="eastAsia"/>
                <w:b/>
                <w:color w:val="000000"/>
              </w:rPr>
            </w:pPr>
            <w:r>
              <w:rPr>
                <w:rFonts w:hint="eastAsia"/>
                <w:b/>
                <w:color w:val="000000"/>
              </w:rPr>
              <w:t>4.2.6.4 应急预案</w:t>
            </w:r>
          </w:p>
          <w:p w14:paraId="564D0FDB">
            <w:pPr>
              <w:spacing w:line="360" w:lineRule="auto"/>
              <w:ind w:firstLine="480"/>
              <w:rPr>
                <w:rFonts w:hint="eastAsia"/>
                <w:color w:val="000000"/>
              </w:rPr>
            </w:pPr>
            <w:r>
              <w:rPr>
                <w:rFonts w:hint="eastAsia"/>
                <w:color w:val="000000"/>
              </w:rPr>
              <w:t>本项目应设</w:t>
            </w:r>
            <w:r>
              <w:rPr>
                <w:color w:val="000000"/>
              </w:rPr>
              <w:t>应急机构小组，</w:t>
            </w:r>
            <w:r>
              <w:rPr>
                <w:rFonts w:hint="eastAsia"/>
                <w:color w:val="000000"/>
              </w:rPr>
              <w:t>设置项目指挥部和专业救援队伍，</w:t>
            </w:r>
            <w:r>
              <w:rPr>
                <w:rFonts w:hint="eastAsia" w:cs="宋体"/>
                <w:color w:val="000000"/>
              </w:rPr>
              <w:t>负责事故现场全面指挥。</w:t>
            </w:r>
            <w:r>
              <w:rPr>
                <w:rFonts w:hint="eastAsia"/>
                <w:color w:val="000000"/>
              </w:rPr>
              <w:t>专业救援队伍由</w:t>
            </w:r>
            <w:r>
              <w:rPr>
                <w:color w:val="000000"/>
              </w:rPr>
              <w:t>当班职工组成。</w:t>
            </w:r>
            <w:r>
              <w:rPr>
                <w:rFonts w:hint="eastAsia"/>
                <w:color w:val="000000"/>
              </w:rPr>
              <w:t>建设单位应做好企业应急预案，建立相应的事故应急响应机构、人员分工、救援应急设施，并做好应急演练等。</w:t>
            </w:r>
          </w:p>
          <w:p w14:paraId="309129B0">
            <w:pPr>
              <w:pStyle w:val="14"/>
              <w:spacing w:before="0" w:beforeAutospacing="0" w:after="0" w:afterAutospacing="0" w:line="360" w:lineRule="auto"/>
              <w:ind w:firstLine="480" w:firstLineChars="200"/>
              <w:outlineLvl w:val="0"/>
              <w:rPr>
                <w:rFonts w:hint="eastAsia" w:ascii="Times New Roman" w:hAnsi="Times New Roman"/>
                <w:color w:val="000000"/>
                <w:szCs w:val="24"/>
              </w:rPr>
            </w:pPr>
            <w:r>
              <w:rPr>
                <w:rFonts w:hint="eastAsia" w:ascii="Times New Roman" w:hAnsi="Times New Roman"/>
                <w:color w:val="000000"/>
                <w:szCs w:val="24"/>
              </w:rPr>
              <w:t>根据拟建项目具体情况，成立事故应急救援小组，建立应急组织系统，制定事故应急预案，配备必要的应急设备，明确负责人及联系电话。加强平时培训，确保在事故发生时能快速做出反应。拟建项目的事故应急预案纳入全公司事故应急预案中，不断完善。</w:t>
            </w:r>
            <w:bookmarkEnd w:id="40"/>
            <w:bookmarkEnd w:id="41"/>
          </w:p>
        </w:tc>
      </w:tr>
      <w:tr w14:paraId="04AE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noWrap w:val="0"/>
            <w:vAlign w:val="center"/>
          </w:tcPr>
          <w:p w14:paraId="793C92BA">
            <w:pPr>
              <w:jc w:val="left"/>
              <w:rPr>
                <w:bCs/>
                <w:color w:val="000000"/>
                <w:szCs w:val="21"/>
              </w:rPr>
            </w:pPr>
          </w:p>
        </w:tc>
        <w:tc>
          <w:tcPr>
            <w:tcW w:w="8478" w:type="dxa"/>
            <w:noWrap w:val="0"/>
            <w:vAlign w:val="top"/>
          </w:tcPr>
          <w:p w14:paraId="0A1DAB63">
            <w:pPr>
              <w:pStyle w:val="14"/>
              <w:spacing w:before="0" w:beforeAutospacing="0" w:after="0" w:afterAutospacing="0" w:line="360" w:lineRule="auto"/>
              <w:ind w:firstLine="480" w:firstLineChars="200"/>
              <w:outlineLvl w:val="0"/>
              <w:rPr>
                <w:rFonts w:hint="eastAsia" w:ascii="Times New Roman" w:hAnsi="Times New Roman"/>
                <w:color w:val="000000"/>
                <w:szCs w:val="24"/>
              </w:rPr>
            </w:pPr>
          </w:p>
        </w:tc>
      </w:tr>
    </w:tbl>
    <w:p w14:paraId="014B77DC">
      <w:pPr>
        <w:rPr>
          <w:rFonts w:hint="eastAsia"/>
          <w:color w:val="000000"/>
        </w:rPr>
        <w:sectPr>
          <w:pgSz w:w="11905" w:h="16838"/>
          <w:pgMar w:top="1440" w:right="1531" w:bottom="1440" w:left="1531" w:header="851" w:footer="992" w:gutter="0"/>
          <w:cols w:space="720" w:num="1"/>
          <w:docGrid w:type="lines" w:linePitch="312" w:charSpace="0"/>
        </w:sectPr>
      </w:pPr>
    </w:p>
    <w:p w14:paraId="023AD8D5">
      <w:pPr>
        <w:pStyle w:val="14"/>
        <w:spacing w:before="0" w:beforeAutospacing="0" w:after="0" w:afterAutospacing="0"/>
        <w:jc w:val="center"/>
        <w:outlineLvl w:val="0"/>
        <w:rPr>
          <w:rFonts w:ascii="Times New Roman" w:hAnsi="Times New Roman"/>
          <w:b/>
          <w:bCs/>
          <w:snapToGrid w:val="0"/>
          <w:color w:val="000000"/>
          <w:sz w:val="30"/>
          <w:szCs w:val="30"/>
        </w:rPr>
      </w:pPr>
      <w:bookmarkStart w:id="42" w:name="_Toc99551060"/>
      <w:bookmarkStart w:id="43" w:name="_Toc95902513"/>
      <w:r>
        <w:rPr>
          <w:rFonts w:ascii="Times New Roman" w:hAnsi="Times New Roman"/>
          <w:b/>
          <w:bCs/>
          <w:snapToGrid w:val="0"/>
          <w:color w:val="000000"/>
          <w:sz w:val="30"/>
          <w:szCs w:val="30"/>
        </w:rPr>
        <w:t>五、环境保护措施监督检查清单</w:t>
      </w:r>
      <w:bookmarkEnd w:id="42"/>
      <w:bookmarkEnd w:id="43"/>
    </w:p>
    <w:tbl>
      <w:tblPr>
        <w:tblStyle w:val="16"/>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589"/>
        <w:gridCol w:w="1068"/>
        <w:gridCol w:w="2897"/>
        <w:gridCol w:w="2117"/>
      </w:tblGrid>
      <w:tr w14:paraId="15574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63" w:type="pct"/>
            <w:tcBorders>
              <w:tl2br w:val="single" w:color="auto" w:sz="4" w:space="0"/>
            </w:tcBorders>
            <w:noWrap w:val="0"/>
            <w:vAlign w:val="center"/>
          </w:tcPr>
          <w:p w14:paraId="6EBBC1A5">
            <w:pPr>
              <w:adjustRightInd w:val="0"/>
              <w:snapToGrid w:val="0"/>
              <w:jc w:val="right"/>
              <w:rPr>
                <w:color w:val="000000"/>
                <w:sz w:val="21"/>
                <w:szCs w:val="21"/>
              </w:rPr>
            </w:pPr>
            <w:r>
              <w:rPr>
                <w:color w:val="000000"/>
                <w:sz w:val="21"/>
                <w:szCs w:val="21"/>
              </w:rPr>
              <w:t>内容</w:t>
            </w:r>
          </w:p>
          <w:p w14:paraId="31FD32D0">
            <w:pPr>
              <w:adjustRightInd w:val="0"/>
              <w:snapToGrid w:val="0"/>
              <w:rPr>
                <w:color w:val="000000"/>
                <w:sz w:val="21"/>
                <w:szCs w:val="21"/>
              </w:rPr>
            </w:pPr>
            <w:r>
              <w:rPr>
                <w:color w:val="000000"/>
                <w:sz w:val="21"/>
                <w:szCs w:val="21"/>
              </w:rPr>
              <w:t>要素</w:t>
            </w:r>
          </w:p>
        </w:tc>
        <w:tc>
          <w:tcPr>
            <w:tcW w:w="877" w:type="pct"/>
            <w:noWrap w:val="0"/>
            <w:vAlign w:val="center"/>
          </w:tcPr>
          <w:p w14:paraId="3847C20C">
            <w:pPr>
              <w:adjustRightInd w:val="0"/>
              <w:snapToGrid w:val="0"/>
              <w:jc w:val="center"/>
              <w:rPr>
                <w:color w:val="000000"/>
                <w:sz w:val="21"/>
                <w:szCs w:val="21"/>
              </w:rPr>
            </w:pPr>
            <w:r>
              <w:rPr>
                <w:color w:val="000000"/>
                <w:sz w:val="21"/>
                <w:szCs w:val="21"/>
              </w:rPr>
              <w:t>排放口(编号、名称）/污染源</w:t>
            </w:r>
          </w:p>
        </w:tc>
        <w:tc>
          <w:tcPr>
            <w:tcW w:w="590" w:type="pct"/>
            <w:noWrap w:val="0"/>
            <w:vAlign w:val="center"/>
          </w:tcPr>
          <w:p w14:paraId="52D966A8">
            <w:pPr>
              <w:adjustRightInd w:val="0"/>
              <w:snapToGrid w:val="0"/>
              <w:jc w:val="center"/>
              <w:rPr>
                <w:color w:val="000000"/>
                <w:sz w:val="21"/>
                <w:szCs w:val="21"/>
              </w:rPr>
            </w:pPr>
            <w:r>
              <w:rPr>
                <w:color w:val="000000"/>
                <w:sz w:val="21"/>
                <w:szCs w:val="21"/>
              </w:rPr>
              <w:t>污染物项目</w:t>
            </w:r>
          </w:p>
        </w:tc>
        <w:tc>
          <w:tcPr>
            <w:tcW w:w="1600" w:type="pct"/>
            <w:noWrap w:val="0"/>
            <w:vAlign w:val="center"/>
          </w:tcPr>
          <w:p w14:paraId="7370A9D0">
            <w:pPr>
              <w:adjustRightInd w:val="0"/>
              <w:snapToGrid w:val="0"/>
              <w:jc w:val="center"/>
              <w:rPr>
                <w:color w:val="000000"/>
                <w:sz w:val="21"/>
                <w:szCs w:val="21"/>
              </w:rPr>
            </w:pPr>
            <w:r>
              <w:rPr>
                <w:color w:val="000000"/>
                <w:sz w:val="21"/>
                <w:szCs w:val="21"/>
              </w:rPr>
              <w:t>环境保护措施</w:t>
            </w:r>
          </w:p>
        </w:tc>
        <w:tc>
          <w:tcPr>
            <w:tcW w:w="1167" w:type="pct"/>
            <w:noWrap w:val="0"/>
            <w:vAlign w:val="center"/>
          </w:tcPr>
          <w:p w14:paraId="42B9AB92">
            <w:pPr>
              <w:adjustRightInd w:val="0"/>
              <w:snapToGrid w:val="0"/>
              <w:jc w:val="center"/>
              <w:rPr>
                <w:color w:val="000000"/>
                <w:sz w:val="21"/>
                <w:szCs w:val="21"/>
              </w:rPr>
            </w:pPr>
            <w:r>
              <w:rPr>
                <w:color w:val="000000"/>
                <w:sz w:val="21"/>
                <w:szCs w:val="21"/>
              </w:rPr>
              <w:t>执行标准</w:t>
            </w:r>
          </w:p>
        </w:tc>
      </w:tr>
      <w:tr w14:paraId="3E438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vMerge w:val="restart"/>
            <w:noWrap w:val="0"/>
            <w:vAlign w:val="center"/>
          </w:tcPr>
          <w:p w14:paraId="16B88DF9">
            <w:pPr>
              <w:adjustRightInd w:val="0"/>
              <w:snapToGrid w:val="0"/>
              <w:jc w:val="center"/>
              <w:rPr>
                <w:color w:val="000000"/>
                <w:sz w:val="21"/>
                <w:szCs w:val="21"/>
              </w:rPr>
            </w:pPr>
            <w:r>
              <w:rPr>
                <w:color w:val="000000"/>
                <w:sz w:val="21"/>
                <w:szCs w:val="21"/>
              </w:rPr>
              <w:t>大气环境</w:t>
            </w:r>
          </w:p>
        </w:tc>
        <w:tc>
          <w:tcPr>
            <w:tcW w:w="877" w:type="pct"/>
            <w:noWrap w:val="0"/>
            <w:vAlign w:val="center"/>
          </w:tcPr>
          <w:p w14:paraId="5C06192B">
            <w:pPr>
              <w:jc w:val="center"/>
              <w:rPr>
                <w:color w:val="000000"/>
                <w:sz w:val="21"/>
                <w:szCs w:val="21"/>
              </w:rPr>
            </w:pPr>
            <w:r>
              <w:rPr>
                <w:color w:val="000000"/>
                <w:sz w:val="21"/>
                <w:szCs w:val="21"/>
              </w:rPr>
              <w:t>DA001</w:t>
            </w:r>
          </w:p>
        </w:tc>
        <w:tc>
          <w:tcPr>
            <w:tcW w:w="590" w:type="pct"/>
            <w:noWrap w:val="0"/>
            <w:vAlign w:val="center"/>
          </w:tcPr>
          <w:p w14:paraId="014D66C7">
            <w:pPr>
              <w:jc w:val="center"/>
              <w:rPr>
                <w:color w:val="000000"/>
                <w:sz w:val="21"/>
                <w:szCs w:val="21"/>
              </w:rPr>
            </w:pPr>
            <w:r>
              <w:rPr>
                <w:rFonts w:hint="eastAsia"/>
                <w:color w:val="000000"/>
                <w:sz w:val="21"/>
                <w:szCs w:val="21"/>
              </w:rPr>
              <w:t>颗粒物、</w:t>
            </w:r>
            <w:r>
              <w:rPr>
                <w:color w:val="000000"/>
                <w:sz w:val="21"/>
                <w:szCs w:val="21"/>
              </w:rPr>
              <w:t>非甲烷总烃</w:t>
            </w:r>
            <w:r>
              <w:rPr>
                <w:rFonts w:hint="eastAsia"/>
                <w:color w:val="000000"/>
                <w:sz w:val="21"/>
                <w:szCs w:val="21"/>
              </w:rPr>
              <w:t>、</w:t>
            </w:r>
            <w:r>
              <w:rPr>
                <w:color w:val="000000"/>
                <w:sz w:val="21"/>
                <w:szCs w:val="21"/>
              </w:rPr>
              <w:t>氯化氢、氯乙烯、臭气浓度</w:t>
            </w:r>
          </w:p>
        </w:tc>
        <w:tc>
          <w:tcPr>
            <w:tcW w:w="1600" w:type="pct"/>
            <w:noWrap w:val="0"/>
            <w:vAlign w:val="center"/>
          </w:tcPr>
          <w:p w14:paraId="5FBBCC8E">
            <w:pPr>
              <w:jc w:val="center"/>
              <w:rPr>
                <w:color w:val="000000"/>
                <w:sz w:val="21"/>
                <w:szCs w:val="21"/>
              </w:rPr>
            </w:pPr>
            <w:r>
              <w:rPr>
                <w:color w:val="000000"/>
                <w:sz w:val="21"/>
                <w:szCs w:val="21"/>
              </w:rPr>
              <w:t>废气</w:t>
            </w:r>
            <w:r>
              <w:rPr>
                <w:rFonts w:hint="eastAsia"/>
                <w:color w:val="000000"/>
                <w:sz w:val="21"/>
                <w:szCs w:val="21"/>
              </w:rPr>
              <w:t>收集后</w:t>
            </w:r>
            <w:r>
              <w:rPr>
                <w:color w:val="000000"/>
                <w:sz w:val="21"/>
                <w:szCs w:val="21"/>
              </w:rPr>
              <w:t>经</w:t>
            </w:r>
            <w:r>
              <w:rPr>
                <w:rFonts w:hint="eastAsia"/>
                <w:color w:val="000000"/>
                <w:sz w:val="21"/>
                <w:szCs w:val="21"/>
              </w:rPr>
              <w:t>1#废气处理设施（静电除油器+酸雾洗涤塔+除湿器+UV光氧催化+三级活性炭）处理，风量为11400m</w:t>
            </w:r>
            <w:r>
              <w:rPr>
                <w:rFonts w:hint="eastAsia"/>
                <w:color w:val="000000"/>
                <w:sz w:val="21"/>
                <w:szCs w:val="21"/>
                <w:vertAlign w:val="superscript"/>
              </w:rPr>
              <w:t>3</w:t>
            </w:r>
            <w:r>
              <w:rPr>
                <w:rFonts w:hint="eastAsia"/>
                <w:color w:val="000000"/>
                <w:sz w:val="21"/>
                <w:szCs w:val="21"/>
              </w:rPr>
              <w:t>/h，经15m高排气筒排放。</w:t>
            </w:r>
          </w:p>
        </w:tc>
        <w:tc>
          <w:tcPr>
            <w:tcW w:w="1167" w:type="pct"/>
            <w:noWrap w:val="0"/>
            <w:vAlign w:val="center"/>
          </w:tcPr>
          <w:p w14:paraId="36326365">
            <w:pPr>
              <w:adjustRightInd w:val="0"/>
              <w:snapToGrid w:val="0"/>
              <w:jc w:val="center"/>
              <w:rPr>
                <w:color w:val="000000"/>
                <w:sz w:val="21"/>
                <w:szCs w:val="21"/>
              </w:rPr>
            </w:pPr>
            <w:r>
              <w:rPr>
                <w:color w:val="000000"/>
                <w:sz w:val="21"/>
                <w:szCs w:val="21"/>
              </w:rPr>
              <w:t>《恶臭污染物排放标准》（GB14554-93）</w:t>
            </w:r>
          </w:p>
          <w:p w14:paraId="3D316376">
            <w:pPr>
              <w:adjustRightInd w:val="0"/>
              <w:snapToGrid w:val="0"/>
              <w:jc w:val="center"/>
              <w:rPr>
                <w:color w:val="000000"/>
                <w:sz w:val="21"/>
                <w:szCs w:val="21"/>
              </w:rPr>
            </w:pPr>
            <w:r>
              <w:rPr>
                <w:color w:val="000000"/>
                <w:sz w:val="21"/>
                <w:szCs w:val="21"/>
              </w:rPr>
              <w:t>《大气污染物综合排放标准》（DB50/418-2016）</w:t>
            </w:r>
          </w:p>
        </w:tc>
      </w:tr>
      <w:tr w14:paraId="2532D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vMerge w:val="continue"/>
            <w:noWrap w:val="0"/>
            <w:vAlign w:val="center"/>
          </w:tcPr>
          <w:p w14:paraId="5EA9161C">
            <w:pPr>
              <w:adjustRightInd w:val="0"/>
              <w:snapToGrid w:val="0"/>
              <w:jc w:val="center"/>
              <w:rPr>
                <w:color w:val="000000"/>
                <w:sz w:val="21"/>
                <w:szCs w:val="21"/>
              </w:rPr>
            </w:pPr>
          </w:p>
        </w:tc>
        <w:tc>
          <w:tcPr>
            <w:tcW w:w="877" w:type="pct"/>
            <w:noWrap w:val="0"/>
            <w:vAlign w:val="center"/>
          </w:tcPr>
          <w:p w14:paraId="4B5E0A1D">
            <w:pPr>
              <w:jc w:val="center"/>
              <w:rPr>
                <w:color w:val="000000"/>
                <w:sz w:val="21"/>
                <w:szCs w:val="21"/>
              </w:rPr>
            </w:pPr>
            <w:r>
              <w:rPr>
                <w:color w:val="000000"/>
                <w:sz w:val="21"/>
                <w:szCs w:val="21"/>
              </w:rPr>
              <w:t>DA00</w:t>
            </w:r>
            <w:r>
              <w:rPr>
                <w:rFonts w:hint="eastAsia"/>
                <w:color w:val="000000"/>
                <w:sz w:val="21"/>
                <w:szCs w:val="21"/>
              </w:rPr>
              <w:t>2</w:t>
            </w:r>
          </w:p>
        </w:tc>
        <w:tc>
          <w:tcPr>
            <w:tcW w:w="590" w:type="pct"/>
            <w:noWrap w:val="0"/>
            <w:vAlign w:val="center"/>
          </w:tcPr>
          <w:p w14:paraId="70970D53">
            <w:pPr>
              <w:jc w:val="center"/>
              <w:rPr>
                <w:color w:val="000000"/>
                <w:sz w:val="21"/>
                <w:szCs w:val="21"/>
              </w:rPr>
            </w:pPr>
            <w:r>
              <w:rPr>
                <w:color w:val="000000"/>
                <w:sz w:val="21"/>
                <w:szCs w:val="21"/>
              </w:rPr>
              <w:t>颗粒物</w:t>
            </w:r>
          </w:p>
        </w:tc>
        <w:tc>
          <w:tcPr>
            <w:tcW w:w="1600" w:type="pct"/>
            <w:noWrap w:val="0"/>
            <w:vAlign w:val="center"/>
          </w:tcPr>
          <w:p w14:paraId="186D802E">
            <w:pPr>
              <w:jc w:val="center"/>
              <w:rPr>
                <w:color w:val="000000"/>
                <w:sz w:val="21"/>
                <w:szCs w:val="21"/>
              </w:rPr>
            </w:pPr>
            <w:r>
              <w:rPr>
                <w:rFonts w:hint="eastAsia"/>
                <w:color w:val="000000"/>
                <w:sz w:val="21"/>
                <w:szCs w:val="21"/>
              </w:rPr>
              <w:t>废气经2#废气处理设施（布袋除尘器）处理，风量为4000m</w:t>
            </w:r>
            <w:r>
              <w:rPr>
                <w:rFonts w:hint="eastAsia"/>
                <w:color w:val="000000"/>
                <w:sz w:val="21"/>
                <w:szCs w:val="21"/>
                <w:vertAlign w:val="superscript"/>
              </w:rPr>
              <w:t>3</w:t>
            </w:r>
            <w:r>
              <w:rPr>
                <w:rFonts w:hint="eastAsia"/>
                <w:color w:val="000000"/>
                <w:sz w:val="21"/>
                <w:szCs w:val="21"/>
              </w:rPr>
              <w:t>/h，经15m高排气筒排放。</w:t>
            </w:r>
          </w:p>
        </w:tc>
        <w:tc>
          <w:tcPr>
            <w:tcW w:w="1167" w:type="pct"/>
            <w:noWrap w:val="0"/>
            <w:vAlign w:val="center"/>
          </w:tcPr>
          <w:p w14:paraId="786D840F">
            <w:pPr>
              <w:adjustRightInd w:val="0"/>
              <w:snapToGrid w:val="0"/>
              <w:jc w:val="center"/>
              <w:rPr>
                <w:color w:val="000000"/>
                <w:sz w:val="21"/>
                <w:szCs w:val="21"/>
              </w:rPr>
            </w:pPr>
            <w:r>
              <w:rPr>
                <w:color w:val="000000"/>
                <w:sz w:val="21"/>
                <w:szCs w:val="21"/>
              </w:rPr>
              <w:t>《大气污染物综合排放标准》（DB50/418-2016）</w:t>
            </w:r>
          </w:p>
        </w:tc>
      </w:tr>
      <w:tr w14:paraId="5D13A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vMerge w:val="continue"/>
            <w:noWrap w:val="0"/>
            <w:vAlign w:val="center"/>
          </w:tcPr>
          <w:p w14:paraId="7B62A3B9">
            <w:pPr>
              <w:adjustRightInd w:val="0"/>
              <w:snapToGrid w:val="0"/>
              <w:jc w:val="center"/>
              <w:rPr>
                <w:color w:val="000000"/>
                <w:sz w:val="21"/>
                <w:szCs w:val="21"/>
              </w:rPr>
            </w:pPr>
          </w:p>
        </w:tc>
        <w:tc>
          <w:tcPr>
            <w:tcW w:w="877" w:type="pct"/>
            <w:noWrap w:val="0"/>
            <w:vAlign w:val="center"/>
          </w:tcPr>
          <w:p w14:paraId="33D93571">
            <w:pPr>
              <w:jc w:val="center"/>
              <w:rPr>
                <w:rFonts w:hint="eastAsia"/>
                <w:color w:val="000000"/>
                <w:sz w:val="21"/>
                <w:szCs w:val="21"/>
              </w:rPr>
            </w:pPr>
            <w:r>
              <w:rPr>
                <w:color w:val="000000"/>
                <w:sz w:val="21"/>
                <w:szCs w:val="21"/>
              </w:rPr>
              <w:t>DA00</w:t>
            </w:r>
            <w:r>
              <w:rPr>
                <w:rFonts w:hint="eastAsia"/>
                <w:color w:val="000000"/>
                <w:sz w:val="21"/>
                <w:szCs w:val="21"/>
              </w:rPr>
              <w:t>3</w:t>
            </w:r>
          </w:p>
        </w:tc>
        <w:tc>
          <w:tcPr>
            <w:tcW w:w="590" w:type="pct"/>
            <w:noWrap w:val="0"/>
            <w:vAlign w:val="center"/>
          </w:tcPr>
          <w:p w14:paraId="0685A82C">
            <w:pPr>
              <w:jc w:val="center"/>
              <w:rPr>
                <w:color w:val="000000"/>
                <w:sz w:val="21"/>
                <w:szCs w:val="21"/>
              </w:rPr>
            </w:pPr>
            <w:r>
              <w:rPr>
                <w:color w:val="000000"/>
                <w:sz w:val="21"/>
                <w:szCs w:val="21"/>
              </w:rPr>
              <w:t>非甲烷总烃</w:t>
            </w:r>
            <w:r>
              <w:rPr>
                <w:rFonts w:hint="eastAsia"/>
                <w:color w:val="000000"/>
                <w:sz w:val="21"/>
                <w:szCs w:val="21"/>
              </w:rPr>
              <w:t>、</w:t>
            </w:r>
            <w:r>
              <w:rPr>
                <w:color w:val="000000"/>
                <w:sz w:val="21"/>
                <w:szCs w:val="21"/>
              </w:rPr>
              <w:t>臭气浓度</w:t>
            </w:r>
          </w:p>
        </w:tc>
        <w:tc>
          <w:tcPr>
            <w:tcW w:w="1600" w:type="pct"/>
            <w:noWrap w:val="0"/>
            <w:vAlign w:val="center"/>
          </w:tcPr>
          <w:p w14:paraId="540E0329">
            <w:pPr>
              <w:jc w:val="center"/>
              <w:rPr>
                <w:color w:val="000000"/>
                <w:sz w:val="21"/>
                <w:szCs w:val="21"/>
              </w:rPr>
            </w:pPr>
            <w:r>
              <w:rPr>
                <w:color w:val="000000"/>
                <w:sz w:val="21"/>
                <w:szCs w:val="21"/>
              </w:rPr>
              <w:t>废气</w:t>
            </w:r>
            <w:r>
              <w:rPr>
                <w:rFonts w:hint="eastAsia"/>
                <w:color w:val="000000"/>
                <w:sz w:val="21"/>
                <w:szCs w:val="21"/>
              </w:rPr>
              <w:t>收集后</w:t>
            </w:r>
            <w:r>
              <w:rPr>
                <w:color w:val="000000"/>
                <w:sz w:val="21"/>
                <w:szCs w:val="21"/>
              </w:rPr>
              <w:t>经</w:t>
            </w:r>
            <w:r>
              <w:rPr>
                <w:rFonts w:hint="eastAsia"/>
                <w:color w:val="000000"/>
                <w:sz w:val="21"/>
                <w:szCs w:val="21"/>
              </w:rPr>
              <w:t>3#废气处理设施（UV光氧催化+两级活性炭）处理，风量为21600m</w:t>
            </w:r>
            <w:r>
              <w:rPr>
                <w:rFonts w:hint="eastAsia"/>
                <w:color w:val="000000"/>
                <w:sz w:val="21"/>
                <w:szCs w:val="21"/>
                <w:vertAlign w:val="superscript"/>
              </w:rPr>
              <w:t>3</w:t>
            </w:r>
            <w:r>
              <w:rPr>
                <w:rFonts w:hint="eastAsia"/>
                <w:color w:val="000000"/>
                <w:sz w:val="21"/>
                <w:szCs w:val="21"/>
              </w:rPr>
              <w:t>/h，经15m高排气筒排放。</w:t>
            </w:r>
          </w:p>
        </w:tc>
        <w:tc>
          <w:tcPr>
            <w:tcW w:w="1167" w:type="pct"/>
            <w:noWrap w:val="0"/>
            <w:vAlign w:val="center"/>
          </w:tcPr>
          <w:p w14:paraId="1B9DF412">
            <w:pPr>
              <w:adjustRightInd w:val="0"/>
              <w:snapToGrid w:val="0"/>
              <w:jc w:val="center"/>
              <w:rPr>
                <w:color w:val="000000"/>
                <w:sz w:val="21"/>
                <w:szCs w:val="21"/>
              </w:rPr>
            </w:pPr>
            <w:r>
              <w:rPr>
                <w:color w:val="000000"/>
                <w:sz w:val="21"/>
                <w:szCs w:val="21"/>
              </w:rPr>
              <w:t>《合成树脂工业污染物排放标准》（GB31572-2015，含2024年修改单）中表5特别排放限值、《恶臭污染物排放标准》（GB14554-93）</w:t>
            </w:r>
          </w:p>
        </w:tc>
      </w:tr>
      <w:tr w14:paraId="415A9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vMerge w:val="continue"/>
            <w:noWrap w:val="0"/>
            <w:vAlign w:val="center"/>
          </w:tcPr>
          <w:p w14:paraId="741B4C9F">
            <w:pPr>
              <w:adjustRightInd w:val="0"/>
              <w:snapToGrid w:val="0"/>
              <w:jc w:val="center"/>
              <w:rPr>
                <w:color w:val="000000"/>
                <w:sz w:val="21"/>
                <w:szCs w:val="21"/>
              </w:rPr>
            </w:pPr>
          </w:p>
        </w:tc>
        <w:tc>
          <w:tcPr>
            <w:tcW w:w="877" w:type="pct"/>
            <w:noWrap w:val="0"/>
            <w:vAlign w:val="center"/>
          </w:tcPr>
          <w:p w14:paraId="6198037F">
            <w:pPr>
              <w:jc w:val="center"/>
              <w:rPr>
                <w:rFonts w:hint="eastAsia"/>
                <w:color w:val="000000"/>
                <w:sz w:val="21"/>
                <w:szCs w:val="21"/>
              </w:rPr>
            </w:pPr>
            <w:r>
              <w:rPr>
                <w:color w:val="000000"/>
                <w:sz w:val="21"/>
                <w:szCs w:val="21"/>
              </w:rPr>
              <w:t>DA00</w:t>
            </w:r>
            <w:r>
              <w:rPr>
                <w:rFonts w:hint="eastAsia"/>
                <w:color w:val="000000"/>
                <w:sz w:val="21"/>
                <w:szCs w:val="21"/>
              </w:rPr>
              <w:t>4</w:t>
            </w:r>
          </w:p>
        </w:tc>
        <w:tc>
          <w:tcPr>
            <w:tcW w:w="590" w:type="pct"/>
            <w:noWrap w:val="0"/>
            <w:vAlign w:val="center"/>
          </w:tcPr>
          <w:p w14:paraId="641C3777">
            <w:pPr>
              <w:jc w:val="center"/>
              <w:rPr>
                <w:color w:val="000000"/>
                <w:sz w:val="21"/>
                <w:szCs w:val="21"/>
              </w:rPr>
            </w:pPr>
            <w:r>
              <w:rPr>
                <w:color w:val="000000"/>
                <w:sz w:val="21"/>
                <w:szCs w:val="21"/>
              </w:rPr>
              <w:t>颗粒物</w:t>
            </w:r>
          </w:p>
        </w:tc>
        <w:tc>
          <w:tcPr>
            <w:tcW w:w="1600" w:type="pct"/>
            <w:noWrap w:val="0"/>
            <w:vAlign w:val="center"/>
          </w:tcPr>
          <w:p w14:paraId="27ADD4A6">
            <w:pPr>
              <w:jc w:val="center"/>
              <w:rPr>
                <w:color w:val="000000"/>
                <w:sz w:val="21"/>
                <w:szCs w:val="21"/>
              </w:rPr>
            </w:pPr>
            <w:r>
              <w:rPr>
                <w:rFonts w:hint="eastAsia"/>
                <w:color w:val="000000"/>
                <w:sz w:val="21"/>
                <w:szCs w:val="21"/>
              </w:rPr>
              <w:t>废气经4#废气处理设施（布袋除尘器）处理，风量为7500m</w:t>
            </w:r>
            <w:r>
              <w:rPr>
                <w:rFonts w:hint="eastAsia"/>
                <w:color w:val="000000"/>
                <w:sz w:val="21"/>
                <w:szCs w:val="21"/>
                <w:vertAlign w:val="superscript"/>
              </w:rPr>
              <w:t>3</w:t>
            </w:r>
            <w:r>
              <w:rPr>
                <w:rFonts w:hint="eastAsia"/>
                <w:color w:val="000000"/>
                <w:sz w:val="21"/>
                <w:szCs w:val="21"/>
              </w:rPr>
              <w:t>/h，经15m高排气筒排放。</w:t>
            </w:r>
          </w:p>
        </w:tc>
        <w:tc>
          <w:tcPr>
            <w:tcW w:w="1167" w:type="pct"/>
            <w:noWrap w:val="0"/>
            <w:vAlign w:val="center"/>
          </w:tcPr>
          <w:p w14:paraId="39804916">
            <w:pPr>
              <w:adjustRightInd w:val="0"/>
              <w:snapToGrid w:val="0"/>
              <w:jc w:val="center"/>
              <w:rPr>
                <w:color w:val="000000"/>
                <w:sz w:val="21"/>
                <w:szCs w:val="21"/>
              </w:rPr>
            </w:pPr>
            <w:r>
              <w:rPr>
                <w:color w:val="000000"/>
                <w:sz w:val="21"/>
                <w:szCs w:val="21"/>
              </w:rPr>
              <w:t>《合成树脂工业污染物排放标准》（GB31572-2015，含2024年修改单）中表5特别排放限值</w:t>
            </w:r>
          </w:p>
        </w:tc>
      </w:tr>
      <w:tr w14:paraId="25E18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vMerge w:val="continue"/>
            <w:noWrap w:val="0"/>
            <w:vAlign w:val="center"/>
          </w:tcPr>
          <w:p w14:paraId="5BC50E79">
            <w:pPr>
              <w:adjustRightInd w:val="0"/>
              <w:snapToGrid w:val="0"/>
              <w:jc w:val="center"/>
              <w:rPr>
                <w:color w:val="000000"/>
                <w:sz w:val="21"/>
                <w:szCs w:val="21"/>
              </w:rPr>
            </w:pPr>
          </w:p>
        </w:tc>
        <w:tc>
          <w:tcPr>
            <w:tcW w:w="877" w:type="pct"/>
            <w:noWrap w:val="0"/>
            <w:vAlign w:val="center"/>
          </w:tcPr>
          <w:p w14:paraId="2465F653">
            <w:pPr>
              <w:jc w:val="center"/>
              <w:rPr>
                <w:color w:val="000000"/>
                <w:sz w:val="21"/>
                <w:szCs w:val="21"/>
              </w:rPr>
            </w:pPr>
            <w:r>
              <w:rPr>
                <w:rFonts w:hint="eastAsia"/>
                <w:color w:val="000000"/>
                <w:sz w:val="21"/>
                <w:szCs w:val="21"/>
              </w:rPr>
              <w:t>厂房外</w:t>
            </w:r>
          </w:p>
        </w:tc>
        <w:tc>
          <w:tcPr>
            <w:tcW w:w="590" w:type="pct"/>
            <w:noWrap w:val="0"/>
            <w:vAlign w:val="center"/>
          </w:tcPr>
          <w:p w14:paraId="4E949688">
            <w:pPr>
              <w:jc w:val="center"/>
              <w:rPr>
                <w:color w:val="000000"/>
                <w:sz w:val="21"/>
                <w:szCs w:val="21"/>
              </w:rPr>
            </w:pPr>
            <w:r>
              <w:rPr>
                <w:color w:val="000000"/>
                <w:sz w:val="21"/>
                <w:szCs w:val="21"/>
              </w:rPr>
              <w:t>非甲烷总烃</w:t>
            </w:r>
          </w:p>
        </w:tc>
        <w:tc>
          <w:tcPr>
            <w:tcW w:w="1600" w:type="pct"/>
            <w:noWrap w:val="0"/>
            <w:vAlign w:val="center"/>
          </w:tcPr>
          <w:p w14:paraId="0649253E">
            <w:pPr>
              <w:adjustRightInd w:val="0"/>
              <w:snapToGrid w:val="0"/>
              <w:jc w:val="center"/>
              <w:rPr>
                <w:color w:val="000000"/>
                <w:sz w:val="21"/>
                <w:szCs w:val="21"/>
              </w:rPr>
            </w:pPr>
            <w:r>
              <w:rPr>
                <w:rFonts w:hint="eastAsia"/>
                <w:color w:val="000000"/>
                <w:sz w:val="21"/>
                <w:szCs w:val="21"/>
              </w:rPr>
              <w:t>提高废气收集率</w:t>
            </w:r>
          </w:p>
        </w:tc>
        <w:tc>
          <w:tcPr>
            <w:tcW w:w="1167" w:type="pct"/>
            <w:noWrap w:val="0"/>
            <w:vAlign w:val="center"/>
          </w:tcPr>
          <w:p w14:paraId="0E2F5161">
            <w:pPr>
              <w:adjustRightInd w:val="0"/>
              <w:snapToGrid w:val="0"/>
              <w:jc w:val="center"/>
              <w:rPr>
                <w:color w:val="000000"/>
                <w:sz w:val="21"/>
                <w:szCs w:val="21"/>
              </w:rPr>
            </w:pPr>
            <w:r>
              <w:rPr>
                <w:color w:val="000000"/>
                <w:sz w:val="21"/>
                <w:szCs w:val="21"/>
              </w:rPr>
              <w:fldChar w:fldCharType="begin"/>
            </w:r>
            <w:r>
              <w:rPr>
                <w:color w:val="000000"/>
                <w:sz w:val="21"/>
                <w:szCs w:val="21"/>
              </w:rPr>
              <w:instrText xml:space="preserve"> HYPERLINK "http://www.baidu.com/link?url=4_VsoQ6Wj0DrsF0CGrOWJK8XjkGxr17fRiEgiB6xxP16TvMacghBMd2aG4vpW-AAnP9VyuLVVIEPb1XOqMwRI9aQgbburhhbWFo8B82PoUa" \t "https://www.baidu.com/_blank" </w:instrText>
            </w:r>
            <w:r>
              <w:rPr>
                <w:color w:val="000000"/>
                <w:sz w:val="21"/>
                <w:szCs w:val="21"/>
              </w:rPr>
              <w:fldChar w:fldCharType="separate"/>
            </w:r>
            <w:r>
              <w:rPr>
                <w:color w:val="000000"/>
                <w:sz w:val="21"/>
                <w:szCs w:val="21"/>
              </w:rPr>
              <w:t>《挥发性有机物无组织排放控制标准》</w:t>
            </w:r>
            <w:r>
              <w:rPr>
                <w:color w:val="000000"/>
                <w:sz w:val="21"/>
                <w:szCs w:val="21"/>
              </w:rPr>
              <w:fldChar w:fldCharType="end"/>
            </w:r>
            <w:r>
              <w:rPr>
                <w:color w:val="000000"/>
                <w:sz w:val="21"/>
                <w:szCs w:val="21"/>
              </w:rPr>
              <w:t>（GB37822-2019）特别排放限值</w:t>
            </w:r>
          </w:p>
        </w:tc>
      </w:tr>
      <w:tr w14:paraId="79801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vMerge w:val="continue"/>
            <w:noWrap w:val="0"/>
            <w:vAlign w:val="center"/>
          </w:tcPr>
          <w:p w14:paraId="2E1EEFB4">
            <w:pPr>
              <w:adjustRightInd w:val="0"/>
              <w:snapToGrid w:val="0"/>
              <w:jc w:val="center"/>
              <w:rPr>
                <w:color w:val="000000"/>
                <w:sz w:val="21"/>
                <w:szCs w:val="21"/>
              </w:rPr>
            </w:pPr>
          </w:p>
        </w:tc>
        <w:tc>
          <w:tcPr>
            <w:tcW w:w="877" w:type="pct"/>
            <w:noWrap w:val="0"/>
            <w:vAlign w:val="center"/>
          </w:tcPr>
          <w:p w14:paraId="77FCEB22">
            <w:pPr>
              <w:jc w:val="center"/>
              <w:rPr>
                <w:rFonts w:hint="eastAsia"/>
                <w:color w:val="000000"/>
                <w:sz w:val="21"/>
                <w:szCs w:val="21"/>
              </w:rPr>
            </w:pPr>
            <w:r>
              <w:rPr>
                <w:rFonts w:hint="eastAsia"/>
                <w:color w:val="000000"/>
                <w:sz w:val="21"/>
                <w:szCs w:val="21"/>
              </w:rPr>
              <w:t>无组织排放</w:t>
            </w:r>
          </w:p>
        </w:tc>
        <w:tc>
          <w:tcPr>
            <w:tcW w:w="590" w:type="pct"/>
            <w:noWrap w:val="0"/>
            <w:vAlign w:val="center"/>
          </w:tcPr>
          <w:p w14:paraId="25C63506">
            <w:pPr>
              <w:jc w:val="center"/>
              <w:rPr>
                <w:color w:val="000000"/>
                <w:sz w:val="21"/>
                <w:szCs w:val="21"/>
              </w:rPr>
            </w:pPr>
            <w:r>
              <w:rPr>
                <w:color w:val="000000"/>
                <w:sz w:val="21"/>
                <w:szCs w:val="21"/>
              </w:rPr>
              <w:t>氯化氢、氯乙烯、非甲烷总烃、颗粒物、臭气浓度</w:t>
            </w:r>
          </w:p>
        </w:tc>
        <w:tc>
          <w:tcPr>
            <w:tcW w:w="1600" w:type="pct"/>
            <w:noWrap w:val="0"/>
            <w:vAlign w:val="center"/>
          </w:tcPr>
          <w:p w14:paraId="472D0F29">
            <w:pPr>
              <w:adjustRightInd w:val="0"/>
              <w:snapToGrid w:val="0"/>
              <w:jc w:val="center"/>
              <w:rPr>
                <w:rFonts w:hint="eastAsia"/>
                <w:color w:val="000000"/>
                <w:sz w:val="21"/>
                <w:szCs w:val="21"/>
              </w:rPr>
            </w:pPr>
            <w:r>
              <w:rPr>
                <w:rFonts w:hint="eastAsia"/>
                <w:color w:val="000000"/>
                <w:sz w:val="21"/>
                <w:szCs w:val="21"/>
              </w:rPr>
              <w:t>提高废气收集率，加强</w:t>
            </w:r>
            <w:r>
              <w:rPr>
                <w:color w:val="000000"/>
                <w:sz w:val="21"/>
                <w:szCs w:val="21"/>
              </w:rPr>
              <w:t>绿化</w:t>
            </w:r>
            <w:r>
              <w:rPr>
                <w:rFonts w:hint="eastAsia"/>
                <w:color w:val="000000"/>
                <w:sz w:val="21"/>
                <w:szCs w:val="21"/>
              </w:rPr>
              <w:t>。</w:t>
            </w:r>
          </w:p>
        </w:tc>
        <w:tc>
          <w:tcPr>
            <w:tcW w:w="1167" w:type="pct"/>
            <w:noWrap w:val="0"/>
            <w:vAlign w:val="center"/>
          </w:tcPr>
          <w:p w14:paraId="75D435CB">
            <w:pPr>
              <w:adjustRightInd w:val="0"/>
              <w:snapToGrid w:val="0"/>
              <w:jc w:val="center"/>
              <w:rPr>
                <w:color w:val="000000"/>
                <w:sz w:val="21"/>
                <w:szCs w:val="21"/>
              </w:rPr>
            </w:pPr>
            <w:r>
              <w:rPr>
                <w:color w:val="000000"/>
                <w:sz w:val="21"/>
                <w:szCs w:val="21"/>
              </w:rPr>
              <w:t>《合成树脂工业污染物排放标准》（GB31572-2015，含2024年修改单）、《大气污染物综合排放标准》（DB50/418-2016）、《恶臭污染物排放标准》（GB14554-93）</w:t>
            </w:r>
          </w:p>
        </w:tc>
      </w:tr>
      <w:tr w14:paraId="23387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763" w:type="pct"/>
            <w:noWrap w:val="0"/>
            <w:vAlign w:val="center"/>
          </w:tcPr>
          <w:p w14:paraId="0E24B766">
            <w:pPr>
              <w:adjustRightInd w:val="0"/>
              <w:snapToGrid w:val="0"/>
              <w:jc w:val="center"/>
              <w:rPr>
                <w:color w:val="000000"/>
                <w:sz w:val="21"/>
                <w:szCs w:val="21"/>
              </w:rPr>
            </w:pPr>
            <w:r>
              <w:rPr>
                <w:color w:val="000000"/>
                <w:sz w:val="21"/>
                <w:szCs w:val="21"/>
              </w:rPr>
              <w:t>地表水环境</w:t>
            </w:r>
          </w:p>
        </w:tc>
        <w:tc>
          <w:tcPr>
            <w:tcW w:w="877" w:type="pct"/>
            <w:noWrap w:val="0"/>
            <w:vAlign w:val="center"/>
          </w:tcPr>
          <w:p w14:paraId="4061228E">
            <w:pPr>
              <w:adjustRightInd w:val="0"/>
              <w:snapToGrid w:val="0"/>
              <w:jc w:val="center"/>
              <w:rPr>
                <w:color w:val="000000"/>
                <w:sz w:val="21"/>
                <w:szCs w:val="21"/>
              </w:rPr>
            </w:pPr>
            <w:r>
              <w:rPr>
                <w:rFonts w:hint="eastAsia"/>
                <w:color w:val="000000"/>
                <w:sz w:val="21"/>
                <w:szCs w:val="21"/>
              </w:rPr>
              <w:t>地面清洁废水、冷却塔排水、空压机含油废水、酸雾洗涤塔废水、生活污水</w:t>
            </w:r>
          </w:p>
        </w:tc>
        <w:tc>
          <w:tcPr>
            <w:tcW w:w="590" w:type="pct"/>
            <w:noWrap w:val="0"/>
            <w:vAlign w:val="center"/>
          </w:tcPr>
          <w:p w14:paraId="15817335">
            <w:pPr>
              <w:pStyle w:val="27"/>
              <w:widowControl/>
              <w:rPr>
                <w:color w:val="000000"/>
                <w:sz w:val="21"/>
              </w:rPr>
            </w:pPr>
            <w:r>
              <w:rPr>
                <w:snapToGrid w:val="0"/>
                <w:color w:val="000000"/>
                <w:kern w:val="0"/>
                <w:sz w:val="21"/>
              </w:rPr>
              <w:t>pH</w:t>
            </w:r>
            <w:r>
              <w:rPr>
                <w:rFonts w:hint="eastAsia"/>
                <w:snapToGrid w:val="0"/>
                <w:color w:val="000000"/>
                <w:kern w:val="0"/>
                <w:sz w:val="21"/>
              </w:rPr>
              <w:t>、</w:t>
            </w:r>
            <w:r>
              <w:rPr>
                <w:iCs/>
                <w:color w:val="000000"/>
                <w:kern w:val="0"/>
                <w:sz w:val="21"/>
                <w:lang w:bidi="ar"/>
              </w:rPr>
              <w:t>COD</w:t>
            </w:r>
            <w:r>
              <w:rPr>
                <w:rFonts w:hint="eastAsia"/>
                <w:iCs/>
                <w:color w:val="000000"/>
                <w:kern w:val="0"/>
                <w:sz w:val="21"/>
                <w:lang w:bidi="ar"/>
              </w:rPr>
              <w:t>、</w:t>
            </w:r>
            <w:r>
              <w:rPr>
                <w:iCs/>
                <w:color w:val="000000"/>
                <w:kern w:val="0"/>
                <w:sz w:val="21"/>
                <w:lang w:bidi="ar"/>
              </w:rPr>
              <w:t>BOD</w:t>
            </w:r>
            <w:r>
              <w:rPr>
                <w:iCs/>
                <w:color w:val="000000"/>
                <w:kern w:val="0"/>
                <w:sz w:val="21"/>
                <w:vertAlign w:val="subscript"/>
                <w:lang w:bidi="ar"/>
              </w:rPr>
              <w:t>5</w:t>
            </w:r>
            <w:r>
              <w:rPr>
                <w:rFonts w:hint="eastAsia"/>
                <w:iCs/>
                <w:color w:val="000000"/>
                <w:kern w:val="0"/>
                <w:sz w:val="21"/>
                <w:lang w:bidi="ar"/>
              </w:rPr>
              <w:t>、SS、</w:t>
            </w:r>
            <w:r>
              <w:rPr>
                <w:iCs/>
                <w:color w:val="000000"/>
                <w:kern w:val="0"/>
                <w:sz w:val="21"/>
                <w:lang w:bidi="ar"/>
              </w:rPr>
              <w:t>NH</w:t>
            </w:r>
            <w:r>
              <w:rPr>
                <w:iCs/>
                <w:color w:val="000000"/>
                <w:kern w:val="0"/>
                <w:sz w:val="21"/>
                <w:vertAlign w:val="subscript"/>
                <w:lang w:bidi="ar"/>
              </w:rPr>
              <w:t>3</w:t>
            </w:r>
            <w:r>
              <w:rPr>
                <w:iCs/>
                <w:color w:val="000000"/>
                <w:kern w:val="0"/>
                <w:sz w:val="21"/>
                <w:lang w:bidi="ar"/>
              </w:rPr>
              <w:t>-N</w:t>
            </w:r>
            <w:r>
              <w:rPr>
                <w:rFonts w:hint="eastAsia"/>
                <w:iCs/>
                <w:color w:val="000000"/>
                <w:kern w:val="0"/>
                <w:sz w:val="21"/>
                <w:lang w:bidi="ar"/>
              </w:rPr>
              <w:t>、</w:t>
            </w:r>
            <w:r>
              <w:rPr>
                <w:rFonts w:hint="eastAsia" w:cs="宋体"/>
                <w:iCs/>
                <w:color w:val="000000"/>
                <w:kern w:val="0"/>
                <w:sz w:val="21"/>
                <w:lang w:bidi="ar"/>
              </w:rPr>
              <w:t>总磷、石油类</w:t>
            </w:r>
          </w:p>
        </w:tc>
        <w:tc>
          <w:tcPr>
            <w:tcW w:w="1600" w:type="pct"/>
            <w:noWrap w:val="0"/>
            <w:vAlign w:val="center"/>
          </w:tcPr>
          <w:p w14:paraId="6D76F48A">
            <w:pPr>
              <w:adjustRightInd w:val="0"/>
              <w:snapToGrid w:val="0"/>
              <w:jc w:val="center"/>
              <w:rPr>
                <w:color w:val="000000"/>
                <w:sz w:val="21"/>
                <w:szCs w:val="21"/>
              </w:rPr>
            </w:pPr>
            <w:r>
              <w:rPr>
                <w:rFonts w:hint="eastAsia"/>
                <w:bCs/>
                <w:color w:val="000000"/>
                <w:sz w:val="21"/>
                <w:szCs w:val="21"/>
              </w:rPr>
              <w:t>地面清洁废水、冷却塔排水、空压机含油废水和</w:t>
            </w:r>
            <w:r>
              <w:rPr>
                <w:rFonts w:hint="eastAsia"/>
                <w:color w:val="000000"/>
                <w:sz w:val="21"/>
                <w:szCs w:val="21"/>
              </w:rPr>
              <w:t>酸雾洗涤塔废水</w:t>
            </w:r>
            <w:r>
              <w:rPr>
                <w:rFonts w:hint="eastAsia"/>
                <w:bCs/>
                <w:color w:val="000000"/>
                <w:sz w:val="21"/>
                <w:szCs w:val="21"/>
              </w:rPr>
              <w:t>经废水处理设施（处理规模为12m</w:t>
            </w:r>
            <w:r>
              <w:rPr>
                <w:rFonts w:hint="eastAsia"/>
                <w:bCs/>
                <w:color w:val="000000"/>
                <w:sz w:val="21"/>
                <w:szCs w:val="21"/>
                <w:vertAlign w:val="superscript"/>
              </w:rPr>
              <w:t>3</w:t>
            </w:r>
            <w:r>
              <w:rPr>
                <w:rFonts w:hint="eastAsia"/>
                <w:bCs/>
                <w:color w:val="000000"/>
                <w:sz w:val="21"/>
                <w:szCs w:val="21"/>
              </w:rPr>
              <w:t>/d）处理，与生活污水一起进入生化池（处理规模为30m</w:t>
            </w:r>
            <w:r>
              <w:rPr>
                <w:rFonts w:hint="eastAsia"/>
                <w:bCs/>
                <w:color w:val="000000"/>
                <w:sz w:val="21"/>
                <w:szCs w:val="21"/>
                <w:vertAlign w:val="superscript"/>
              </w:rPr>
              <w:t>3</w:t>
            </w:r>
            <w:r>
              <w:rPr>
                <w:rFonts w:hint="eastAsia"/>
                <w:bCs/>
                <w:color w:val="000000"/>
                <w:sz w:val="21"/>
                <w:szCs w:val="21"/>
              </w:rPr>
              <w:t>/d）处理达《污水综合排放标准》（GB8978-1996）三级标准后，排入市政污水管网，进入西彭工业园区污水处理厂进一步处理。</w:t>
            </w:r>
          </w:p>
        </w:tc>
        <w:tc>
          <w:tcPr>
            <w:tcW w:w="1167" w:type="pct"/>
            <w:noWrap w:val="0"/>
            <w:vAlign w:val="center"/>
          </w:tcPr>
          <w:p w14:paraId="3A4029BF">
            <w:pPr>
              <w:topLinePunct/>
              <w:adjustRightInd w:val="0"/>
              <w:snapToGrid w:val="0"/>
              <w:jc w:val="center"/>
              <w:rPr>
                <w:color w:val="000000"/>
                <w:sz w:val="21"/>
                <w:szCs w:val="21"/>
              </w:rPr>
            </w:pPr>
            <w:r>
              <w:rPr>
                <w:color w:val="000000"/>
                <w:sz w:val="21"/>
                <w:szCs w:val="21"/>
              </w:rPr>
              <w:t>《污水综合排放标准》（GB 8978-1996）三级标准；氨氮</w:t>
            </w:r>
            <w:r>
              <w:rPr>
                <w:rFonts w:hint="eastAsia"/>
                <w:color w:val="000000"/>
                <w:sz w:val="21"/>
                <w:szCs w:val="21"/>
              </w:rPr>
              <w:t>、总磷</w:t>
            </w:r>
            <w:r>
              <w:rPr>
                <w:color w:val="000000"/>
                <w:sz w:val="21"/>
                <w:szCs w:val="21"/>
              </w:rPr>
              <w:t>参照执行《污水排入</w:t>
            </w:r>
            <w:r>
              <w:rPr>
                <w:rFonts w:hint="eastAsia"/>
                <w:color w:val="000000"/>
                <w:sz w:val="21"/>
                <w:szCs w:val="21"/>
              </w:rPr>
              <w:t>城镇</w:t>
            </w:r>
            <w:r>
              <w:rPr>
                <w:color w:val="000000"/>
                <w:sz w:val="21"/>
                <w:szCs w:val="21"/>
              </w:rPr>
              <w:t>下水道水质标准》</w:t>
            </w:r>
            <w:r>
              <w:rPr>
                <w:rFonts w:hint="eastAsia"/>
                <w:color w:val="000000"/>
                <w:sz w:val="21"/>
                <w:szCs w:val="21"/>
              </w:rPr>
              <w:t>(</w:t>
            </w:r>
            <w:r>
              <w:rPr>
                <w:color w:val="000000"/>
                <w:sz w:val="21"/>
                <w:szCs w:val="21"/>
              </w:rPr>
              <w:t>GB/T31962-2015</w:t>
            </w:r>
            <w:r>
              <w:rPr>
                <w:rFonts w:hint="eastAsia"/>
                <w:color w:val="000000"/>
                <w:sz w:val="21"/>
                <w:szCs w:val="21"/>
              </w:rPr>
              <w:t>)</w:t>
            </w:r>
          </w:p>
        </w:tc>
      </w:tr>
      <w:tr w14:paraId="01E83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3" w:hRule="atLeast"/>
          <w:jc w:val="center"/>
        </w:trPr>
        <w:tc>
          <w:tcPr>
            <w:tcW w:w="763" w:type="pct"/>
            <w:noWrap w:val="0"/>
            <w:vAlign w:val="center"/>
          </w:tcPr>
          <w:p w14:paraId="1A457269">
            <w:pPr>
              <w:adjustRightInd w:val="0"/>
              <w:snapToGrid w:val="0"/>
              <w:jc w:val="center"/>
              <w:rPr>
                <w:color w:val="000000"/>
                <w:sz w:val="21"/>
                <w:szCs w:val="21"/>
              </w:rPr>
            </w:pPr>
            <w:r>
              <w:rPr>
                <w:color w:val="000000"/>
                <w:sz w:val="21"/>
                <w:szCs w:val="21"/>
              </w:rPr>
              <w:t>声环境</w:t>
            </w:r>
          </w:p>
        </w:tc>
        <w:tc>
          <w:tcPr>
            <w:tcW w:w="877" w:type="pct"/>
            <w:noWrap w:val="0"/>
            <w:vAlign w:val="center"/>
          </w:tcPr>
          <w:p w14:paraId="2CD345B1">
            <w:pPr>
              <w:adjustRightInd w:val="0"/>
              <w:snapToGrid w:val="0"/>
              <w:jc w:val="center"/>
              <w:rPr>
                <w:color w:val="000000"/>
                <w:sz w:val="21"/>
                <w:szCs w:val="21"/>
              </w:rPr>
            </w:pPr>
            <w:r>
              <w:rPr>
                <w:rFonts w:hint="eastAsia"/>
                <w:color w:val="000000"/>
                <w:sz w:val="21"/>
                <w:szCs w:val="21"/>
              </w:rPr>
              <w:t>厂界</w:t>
            </w:r>
          </w:p>
        </w:tc>
        <w:tc>
          <w:tcPr>
            <w:tcW w:w="590" w:type="pct"/>
            <w:noWrap w:val="0"/>
            <w:vAlign w:val="center"/>
          </w:tcPr>
          <w:p w14:paraId="16583031">
            <w:pPr>
              <w:adjustRightInd w:val="0"/>
              <w:snapToGrid w:val="0"/>
              <w:jc w:val="center"/>
              <w:rPr>
                <w:color w:val="000000"/>
                <w:sz w:val="21"/>
                <w:szCs w:val="21"/>
              </w:rPr>
            </w:pPr>
            <w:r>
              <w:rPr>
                <w:rFonts w:hint="eastAsia"/>
                <w:color w:val="000000"/>
                <w:sz w:val="21"/>
                <w:szCs w:val="21"/>
              </w:rPr>
              <w:t>等效连续A声级</w:t>
            </w:r>
          </w:p>
        </w:tc>
        <w:tc>
          <w:tcPr>
            <w:tcW w:w="1600" w:type="pct"/>
            <w:noWrap w:val="0"/>
            <w:vAlign w:val="center"/>
          </w:tcPr>
          <w:p w14:paraId="742AB9AB">
            <w:pPr>
              <w:adjustRightInd w:val="0"/>
              <w:snapToGrid w:val="0"/>
              <w:jc w:val="center"/>
              <w:rPr>
                <w:rFonts w:hint="eastAsia"/>
                <w:color w:val="000000"/>
                <w:sz w:val="21"/>
                <w:szCs w:val="21"/>
              </w:rPr>
            </w:pPr>
            <w:r>
              <w:rPr>
                <w:rFonts w:hint="eastAsia"/>
                <w:color w:val="000000"/>
                <w:sz w:val="21"/>
                <w:szCs w:val="21"/>
              </w:rPr>
              <w:t>选用低噪声设备，采取设备基础减振、利用厂房建筑隔声等综合治理措施；螺杆式空压机、废气处理设施的风机设置于独立房间内。</w:t>
            </w:r>
          </w:p>
        </w:tc>
        <w:tc>
          <w:tcPr>
            <w:tcW w:w="1167" w:type="pct"/>
            <w:noWrap w:val="0"/>
            <w:vAlign w:val="center"/>
          </w:tcPr>
          <w:p w14:paraId="5BD5A4A7">
            <w:pPr>
              <w:adjustRightInd w:val="0"/>
              <w:snapToGrid w:val="0"/>
              <w:jc w:val="center"/>
              <w:rPr>
                <w:color w:val="000000"/>
                <w:sz w:val="21"/>
                <w:szCs w:val="21"/>
              </w:rPr>
            </w:pPr>
            <w:r>
              <w:rPr>
                <w:rFonts w:hint="eastAsia"/>
                <w:color w:val="000000"/>
                <w:sz w:val="21"/>
                <w:szCs w:val="21"/>
              </w:rPr>
              <w:t>东</w:t>
            </w:r>
            <w:r>
              <w:rPr>
                <w:color w:val="000000"/>
                <w:sz w:val="21"/>
                <w:szCs w:val="21"/>
              </w:rPr>
              <w:t>侧厂界执行《工业企业厂界环境噪声排放标准》（GB12348-2008）4类标准，其余厂界执行《工业企业厂界环境噪声排放标准》（GB12348-2008）中</w:t>
            </w:r>
            <w:r>
              <w:rPr>
                <w:rFonts w:hint="eastAsia"/>
                <w:color w:val="000000"/>
                <w:sz w:val="21"/>
                <w:szCs w:val="21"/>
              </w:rPr>
              <w:t>3</w:t>
            </w:r>
            <w:r>
              <w:rPr>
                <w:color w:val="000000"/>
                <w:sz w:val="21"/>
                <w:szCs w:val="21"/>
              </w:rPr>
              <w:t>类标准。</w:t>
            </w:r>
          </w:p>
        </w:tc>
      </w:tr>
      <w:tr w14:paraId="275FC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63" w:type="pct"/>
            <w:noWrap w:val="0"/>
            <w:vAlign w:val="center"/>
          </w:tcPr>
          <w:p w14:paraId="2520BDB5">
            <w:pPr>
              <w:adjustRightInd w:val="0"/>
              <w:snapToGrid w:val="0"/>
              <w:jc w:val="center"/>
              <w:rPr>
                <w:color w:val="000000"/>
                <w:sz w:val="21"/>
                <w:szCs w:val="21"/>
              </w:rPr>
            </w:pPr>
            <w:r>
              <w:rPr>
                <w:color w:val="000000"/>
                <w:sz w:val="21"/>
                <w:szCs w:val="21"/>
              </w:rPr>
              <w:t>电磁辐射</w:t>
            </w:r>
          </w:p>
        </w:tc>
        <w:tc>
          <w:tcPr>
            <w:tcW w:w="877" w:type="pct"/>
            <w:noWrap w:val="0"/>
            <w:vAlign w:val="center"/>
          </w:tcPr>
          <w:p w14:paraId="38CC74F0">
            <w:pPr>
              <w:adjustRightInd w:val="0"/>
              <w:snapToGrid w:val="0"/>
              <w:jc w:val="center"/>
              <w:rPr>
                <w:color w:val="000000"/>
                <w:sz w:val="21"/>
                <w:szCs w:val="21"/>
              </w:rPr>
            </w:pPr>
            <w:r>
              <w:rPr>
                <w:color w:val="000000"/>
                <w:sz w:val="21"/>
                <w:szCs w:val="21"/>
              </w:rPr>
              <w:t>/</w:t>
            </w:r>
          </w:p>
        </w:tc>
        <w:tc>
          <w:tcPr>
            <w:tcW w:w="590" w:type="pct"/>
            <w:noWrap w:val="0"/>
            <w:vAlign w:val="center"/>
          </w:tcPr>
          <w:p w14:paraId="6F87219D">
            <w:pPr>
              <w:adjustRightInd w:val="0"/>
              <w:snapToGrid w:val="0"/>
              <w:jc w:val="center"/>
              <w:rPr>
                <w:color w:val="000000"/>
                <w:sz w:val="21"/>
                <w:szCs w:val="21"/>
              </w:rPr>
            </w:pPr>
            <w:r>
              <w:rPr>
                <w:color w:val="000000"/>
                <w:sz w:val="21"/>
                <w:szCs w:val="21"/>
              </w:rPr>
              <w:t>/</w:t>
            </w:r>
          </w:p>
        </w:tc>
        <w:tc>
          <w:tcPr>
            <w:tcW w:w="1600" w:type="pct"/>
            <w:noWrap w:val="0"/>
            <w:vAlign w:val="center"/>
          </w:tcPr>
          <w:p w14:paraId="7FB1B2EE">
            <w:pPr>
              <w:adjustRightInd w:val="0"/>
              <w:snapToGrid w:val="0"/>
              <w:jc w:val="center"/>
              <w:rPr>
                <w:color w:val="000000"/>
                <w:sz w:val="21"/>
                <w:szCs w:val="21"/>
              </w:rPr>
            </w:pPr>
            <w:r>
              <w:rPr>
                <w:color w:val="000000"/>
                <w:sz w:val="21"/>
                <w:szCs w:val="21"/>
              </w:rPr>
              <w:t>/</w:t>
            </w:r>
          </w:p>
        </w:tc>
        <w:tc>
          <w:tcPr>
            <w:tcW w:w="1167" w:type="pct"/>
            <w:noWrap w:val="0"/>
            <w:vAlign w:val="center"/>
          </w:tcPr>
          <w:p w14:paraId="06D4E966">
            <w:pPr>
              <w:adjustRightInd w:val="0"/>
              <w:snapToGrid w:val="0"/>
              <w:jc w:val="center"/>
              <w:rPr>
                <w:color w:val="000000"/>
                <w:sz w:val="21"/>
                <w:szCs w:val="21"/>
              </w:rPr>
            </w:pPr>
            <w:r>
              <w:rPr>
                <w:color w:val="000000"/>
                <w:sz w:val="21"/>
                <w:szCs w:val="21"/>
              </w:rPr>
              <w:t>/</w:t>
            </w:r>
          </w:p>
        </w:tc>
      </w:tr>
      <w:tr w14:paraId="147EC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763" w:type="pct"/>
            <w:noWrap w:val="0"/>
            <w:vAlign w:val="center"/>
          </w:tcPr>
          <w:p w14:paraId="301528D7">
            <w:pPr>
              <w:adjustRightInd w:val="0"/>
              <w:snapToGrid w:val="0"/>
              <w:jc w:val="center"/>
              <w:rPr>
                <w:color w:val="000000"/>
                <w:sz w:val="21"/>
                <w:szCs w:val="21"/>
              </w:rPr>
            </w:pPr>
            <w:r>
              <w:rPr>
                <w:color w:val="000000"/>
                <w:sz w:val="21"/>
                <w:szCs w:val="21"/>
              </w:rPr>
              <w:t>固体废物</w:t>
            </w:r>
          </w:p>
        </w:tc>
        <w:tc>
          <w:tcPr>
            <w:tcW w:w="4236" w:type="pct"/>
            <w:gridSpan w:val="4"/>
            <w:noWrap w:val="0"/>
            <w:vAlign w:val="center"/>
          </w:tcPr>
          <w:p w14:paraId="1AA70D71">
            <w:pPr>
              <w:pStyle w:val="25"/>
              <w:spacing w:line="240" w:lineRule="auto"/>
              <w:ind w:firstLine="420"/>
              <w:rPr>
                <w:rStyle w:val="40"/>
                <w:rFonts w:hint="default" w:ascii="Times New Roman" w:hAnsi="Times New Roman" w:cs="Times New Roman"/>
                <w:color w:val="000000"/>
                <w:sz w:val="21"/>
                <w:szCs w:val="21"/>
              </w:rPr>
            </w:pPr>
            <w:r>
              <w:rPr>
                <w:rStyle w:val="40"/>
                <w:rFonts w:hint="default" w:ascii="Times New Roman" w:hAnsi="Times New Roman" w:cs="Times New Roman"/>
                <w:color w:val="000000"/>
                <w:sz w:val="21"/>
                <w:szCs w:val="21"/>
              </w:rPr>
              <w:t>生活垃圾</w:t>
            </w:r>
            <w:r>
              <w:rPr>
                <w:rStyle w:val="40"/>
                <w:rFonts w:ascii="Times New Roman" w:hAnsi="Times New Roman" w:cs="Times New Roman"/>
                <w:color w:val="000000"/>
                <w:sz w:val="21"/>
                <w:szCs w:val="21"/>
              </w:rPr>
              <w:t>：</w:t>
            </w:r>
            <w:r>
              <w:rPr>
                <w:rStyle w:val="40"/>
                <w:rFonts w:hint="default" w:ascii="Times New Roman" w:hAnsi="Times New Roman" w:cs="Times New Roman"/>
                <w:color w:val="000000"/>
                <w:sz w:val="21"/>
                <w:szCs w:val="21"/>
              </w:rPr>
              <w:t>交由环卫部门统一收集处理；</w:t>
            </w:r>
          </w:p>
          <w:p w14:paraId="14B85574">
            <w:pPr>
              <w:pStyle w:val="25"/>
              <w:spacing w:line="240" w:lineRule="auto"/>
              <w:ind w:firstLine="420"/>
              <w:rPr>
                <w:rFonts w:hint="eastAsia" w:cs="Times New Roman"/>
                <w:color w:val="000000"/>
                <w:sz w:val="21"/>
                <w:szCs w:val="21"/>
              </w:rPr>
            </w:pPr>
            <w:r>
              <w:rPr>
                <w:rStyle w:val="40"/>
                <w:rFonts w:hint="default" w:ascii="Times New Roman" w:hAnsi="Times New Roman" w:cs="Times New Roman"/>
                <w:color w:val="000000"/>
                <w:sz w:val="21"/>
                <w:szCs w:val="21"/>
              </w:rPr>
              <w:t>一般固体废物</w:t>
            </w:r>
            <w:r>
              <w:rPr>
                <w:rStyle w:val="40"/>
                <w:rFonts w:ascii="Times New Roman" w:hAnsi="Times New Roman" w:cs="Times New Roman"/>
                <w:color w:val="000000"/>
                <w:sz w:val="21"/>
                <w:szCs w:val="21"/>
              </w:rPr>
              <w:t>：</w:t>
            </w:r>
            <w:r>
              <w:rPr>
                <w:rFonts w:hint="eastAsia"/>
                <w:color w:val="000000"/>
                <w:sz w:val="21"/>
                <w:szCs w:val="21"/>
              </w:rPr>
              <w:t>2号厂房北侧设置一般工业固体废物暂存间，占地面积约50m</w:t>
            </w:r>
            <w:r>
              <w:rPr>
                <w:rFonts w:hint="eastAsia"/>
                <w:color w:val="000000"/>
                <w:sz w:val="21"/>
                <w:szCs w:val="21"/>
                <w:vertAlign w:val="superscript"/>
              </w:rPr>
              <w:t>2</w:t>
            </w:r>
            <w:r>
              <w:rPr>
                <w:rFonts w:hint="eastAsia"/>
                <w:color w:val="000000"/>
                <w:sz w:val="21"/>
                <w:szCs w:val="21"/>
              </w:rPr>
              <w:t>，承担项目产生的一般工业固体废物暂存任务。</w:t>
            </w:r>
          </w:p>
          <w:p w14:paraId="7330ECA5">
            <w:pPr>
              <w:pStyle w:val="25"/>
              <w:spacing w:line="240" w:lineRule="auto"/>
              <w:ind w:firstLine="420"/>
              <w:rPr>
                <w:rFonts w:cs="Times New Roman"/>
                <w:color w:val="000000"/>
                <w:sz w:val="21"/>
                <w:szCs w:val="21"/>
              </w:rPr>
            </w:pPr>
            <w:r>
              <w:rPr>
                <w:rFonts w:hint="eastAsia" w:cs="Times New Roman"/>
                <w:color w:val="000000"/>
                <w:sz w:val="21"/>
                <w:szCs w:val="21"/>
              </w:rPr>
              <w:t>危险废物：</w:t>
            </w:r>
            <w:r>
              <w:rPr>
                <w:rFonts w:hint="eastAsia"/>
                <w:color w:val="000000"/>
                <w:sz w:val="21"/>
                <w:szCs w:val="21"/>
              </w:rPr>
              <w:t>在2号厂房内部东北侧设置危险废物贮存点，占地面积约30m</w:t>
            </w:r>
            <w:r>
              <w:rPr>
                <w:rFonts w:hint="eastAsia"/>
                <w:color w:val="000000"/>
                <w:sz w:val="21"/>
                <w:szCs w:val="21"/>
                <w:vertAlign w:val="superscript"/>
              </w:rPr>
              <w:t>2</w:t>
            </w:r>
            <w:r>
              <w:rPr>
                <w:rFonts w:hint="eastAsia"/>
                <w:color w:val="000000"/>
                <w:sz w:val="21"/>
                <w:szCs w:val="21"/>
              </w:rPr>
              <w:t>，地坪按要求采用环氧树脂进行防腐防渗设计，并设置相应的环保标识标牌。危险废物贮存点必须严格按照《危险废物贮存污染控制标准》（GB18597-2023）要求进行设置，采取必要的防风、防晒、防雨、防漏、防渗、防腐以及其他环境污染防治措施。</w:t>
            </w:r>
          </w:p>
        </w:tc>
      </w:tr>
      <w:tr w14:paraId="42C50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763" w:type="pct"/>
            <w:noWrap w:val="0"/>
            <w:vAlign w:val="center"/>
          </w:tcPr>
          <w:p w14:paraId="13770765">
            <w:pPr>
              <w:adjustRightInd w:val="0"/>
              <w:snapToGrid w:val="0"/>
              <w:jc w:val="center"/>
              <w:rPr>
                <w:color w:val="000000"/>
                <w:sz w:val="21"/>
                <w:szCs w:val="21"/>
              </w:rPr>
            </w:pPr>
            <w:r>
              <w:rPr>
                <w:color w:val="000000"/>
                <w:sz w:val="21"/>
                <w:szCs w:val="21"/>
              </w:rPr>
              <w:t>土壤及地下水污染防治措施</w:t>
            </w:r>
          </w:p>
        </w:tc>
        <w:tc>
          <w:tcPr>
            <w:tcW w:w="4236" w:type="pct"/>
            <w:gridSpan w:val="4"/>
            <w:noWrap w:val="0"/>
            <w:vAlign w:val="center"/>
          </w:tcPr>
          <w:p w14:paraId="13248BA9">
            <w:pPr>
              <w:pStyle w:val="25"/>
              <w:spacing w:line="240" w:lineRule="auto"/>
              <w:ind w:firstLine="420"/>
              <w:rPr>
                <w:rFonts w:hint="eastAsia"/>
                <w:bCs/>
                <w:color w:val="000000"/>
                <w:sz w:val="21"/>
                <w:szCs w:val="21"/>
              </w:rPr>
            </w:pPr>
            <w:r>
              <w:rPr>
                <w:rFonts w:hint="eastAsia"/>
                <w:bCs/>
                <w:color w:val="000000"/>
                <w:sz w:val="21"/>
                <w:szCs w:val="21"/>
              </w:rPr>
              <w:t>通过采取防渗措施，防治地下水、土壤污染。本项目重点防渗区域：危险废物贮存点、危险化学品原料储存间、废水预处理设施、原料罐围堰区、罐车卸料区；一般防渗区域：一般工业固废暂存间。</w:t>
            </w:r>
          </w:p>
          <w:p w14:paraId="313A0C3B">
            <w:pPr>
              <w:pStyle w:val="25"/>
              <w:spacing w:line="240" w:lineRule="auto"/>
              <w:ind w:firstLine="420"/>
              <w:rPr>
                <w:rFonts w:hint="eastAsia"/>
                <w:b/>
                <w:bCs/>
                <w:color w:val="000000"/>
                <w:spacing w:val="-10"/>
                <w:sz w:val="21"/>
                <w:szCs w:val="21"/>
              </w:rPr>
            </w:pPr>
            <w:r>
              <w:rPr>
                <w:color w:val="000000"/>
                <w:sz w:val="21"/>
                <w:szCs w:val="21"/>
              </w:rPr>
              <w:t>重点防渗区：按照</w:t>
            </w:r>
            <w:r>
              <w:rPr>
                <w:rFonts w:hint="eastAsia"/>
                <w:color w:val="000000"/>
                <w:sz w:val="21"/>
                <w:szCs w:val="21"/>
              </w:rPr>
              <w:t>《危险废物贮存</w:t>
            </w:r>
            <w:r>
              <w:rPr>
                <w:rFonts w:hint="eastAsia" w:cs="Times New Roman"/>
                <w:bCs/>
                <w:color w:val="000000"/>
                <w:sz w:val="21"/>
                <w:szCs w:val="21"/>
              </w:rPr>
              <w:t>污染</w:t>
            </w:r>
            <w:r>
              <w:rPr>
                <w:rFonts w:hint="eastAsia"/>
                <w:color w:val="000000"/>
                <w:sz w:val="21"/>
                <w:szCs w:val="21"/>
              </w:rPr>
              <w:t>控制标准》</w:t>
            </w:r>
            <w:r>
              <w:rPr>
                <w:color w:val="000000"/>
                <w:sz w:val="21"/>
                <w:szCs w:val="21"/>
              </w:rPr>
              <w:t>（GB18597-20</w:t>
            </w:r>
            <w:r>
              <w:rPr>
                <w:rFonts w:hint="eastAsia"/>
                <w:color w:val="000000"/>
                <w:sz w:val="21"/>
                <w:szCs w:val="21"/>
              </w:rPr>
              <w:t>23</w:t>
            </w:r>
            <w:r>
              <w:rPr>
                <w:color w:val="000000"/>
                <w:sz w:val="21"/>
                <w:szCs w:val="21"/>
              </w:rPr>
              <w:t>）的要求，地面采用坚固、</w:t>
            </w:r>
            <w:r>
              <w:rPr>
                <w:rFonts w:hint="eastAsia"/>
                <w:color w:val="000000"/>
                <w:sz w:val="21"/>
                <w:szCs w:val="21"/>
              </w:rPr>
              <w:t>防渗</w:t>
            </w:r>
            <w:r>
              <w:rPr>
                <w:color w:val="000000"/>
                <w:sz w:val="21"/>
                <w:szCs w:val="21"/>
              </w:rPr>
              <w:t>、耐腐蚀的钢筋混凝土材料铺设，地面按照《环境影响评价技术导则</w:t>
            </w:r>
            <w:r>
              <w:rPr>
                <w:rFonts w:hint="eastAsia"/>
                <w:color w:val="000000"/>
                <w:sz w:val="21"/>
                <w:szCs w:val="21"/>
              </w:rPr>
              <w:t xml:space="preserve"> </w:t>
            </w:r>
            <w:r>
              <w:rPr>
                <w:color w:val="000000"/>
                <w:sz w:val="21"/>
                <w:szCs w:val="21"/>
              </w:rPr>
              <w:t>地下水环境》（HJ610-2016）中等效黏土防渗层Mb≥6.0m，渗透系数K≤1.0×10</w:t>
            </w:r>
            <w:r>
              <w:rPr>
                <w:color w:val="000000"/>
                <w:sz w:val="21"/>
                <w:szCs w:val="21"/>
                <w:vertAlign w:val="superscript"/>
              </w:rPr>
              <w:t>-7</w:t>
            </w:r>
            <w:r>
              <w:rPr>
                <w:color w:val="000000"/>
                <w:sz w:val="21"/>
                <w:szCs w:val="21"/>
              </w:rPr>
              <w:t>cm/s的要求。</w:t>
            </w:r>
          </w:p>
          <w:p w14:paraId="0ED90821">
            <w:pPr>
              <w:pStyle w:val="25"/>
              <w:spacing w:line="240" w:lineRule="auto"/>
              <w:ind w:firstLine="420"/>
              <w:rPr>
                <w:bCs/>
                <w:color w:val="000000"/>
                <w:sz w:val="21"/>
                <w:szCs w:val="21"/>
              </w:rPr>
            </w:pPr>
            <w:r>
              <w:rPr>
                <w:color w:val="000000"/>
                <w:sz w:val="21"/>
                <w:szCs w:val="21"/>
              </w:rPr>
              <w:t>一般防渗区：</w:t>
            </w:r>
            <w:r>
              <w:rPr>
                <w:rFonts w:hint="eastAsia"/>
                <w:color w:val="000000"/>
                <w:sz w:val="21"/>
                <w:szCs w:val="21"/>
              </w:rPr>
              <w:t>防渗</w:t>
            </w:r>
            <w:r>
              <w:rPr>
                <w:color w:val="000000"/>
                <w:sz w:val="21"/>
                <w:szCs w:val="21"/>
              </w:rPr>
              <w:t>层的防渗性能等效黏土防渗层Mb≥1.5m，渗透系数K≤1.0×10</w:t>
            </w:r>
            <w:r>
              <w:rPr>
                <w:color w:val="000000"/>
                <w:sz w:val="21"/>
                <w:szCs w:val="21"/>
                <w:vertAlign w:val="superscript"/>
              </w:rPr>
              <w:t>-7</w:t>
            </w:r>
            <w:r>
              <w:rPr>
                <w:color w:val="000000"/>
                <w:sz w:val="21"/>
                <w:szCs w:val="21"/>
              </w:rPr>
              <w:t>cm/s</w:t>
            </w:r>
            <w:r>
              <w:rPr>
                <w:rFonts w:hint="eastAsia"/>
                <w:color w:val="000000"/>
                <w:sz w:val="21"/>
                <w:szCs w:val="21"/>
              </w:rPr>
              <w:t>。</w:t>
            </w:r>
          </w:p>
        </w:tc>
      </w:tr>
      <w:tr w14:paraId="4D680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63" w:type="pct"/>
            <w:noWrap w:val="0"/>
            <w:vAlign w:val="center"/>
          </w:tcPr>
          <w:p w14:paraId="16F0A332">
            <w:pPr>
              <w:adjustRightInd w:val="0"/>
              <w:snapToGrid w:val="0"/>
              <w:jc w:val="center"/>
              <w:rPr>
                <w:color w:val="000000"/>
                <w:sz w:val="21"/>
                <w:szCs w:val="21"/>
              </w:rPr>
            </w:pPr>
            <w:r>
              <w:rPr>
                <w:color w:val="000000"/>
                <w:sz w:val="21"/>
                <w:szCs w:val="21"/>
              </w:rPr>
              <w:t>生态保护措施</w:t>
            </w:r>
          </w:p>
        </w:tc>
        <w:tc>
          <w:tcPr>
            <w:tcW w:w="4236" w:type="pct"/>
            <w:gridSpan w:val="4"/>
            <w:noWrap w:val="0"/>
            <w:vAlign w:val="center"/>
          </w:tcPr>
          <w:p w14:paraId="55D69D86">
            <w:pPr>
              <w:adjustRightInd w:val="0"/>
              <w:snapToGrid w:val="0"/>
              <w:jc w:val="center"/>
              <w:rPr>
                <w:color w:val="000000"/>
                <w:sz w:val="21"/>
                <w:szCs w:val="21"/>
              </w:rPr>
            </w:pPr>
            <w:r>
              <w:rPr>
                <w:color w:val="000000"/>
                <w:sz w:val="21"/>
                <w:szCs w:val="21"/>
              </w:rPr>
              <w:t>/</w:t>
            </w:r>
          </w:p>
        </w:tc>
      </w:tr>
      <w:tr w14:paraId="55B8D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noWrap w:val="0"/>
            <w:vAlign w:val="center"/>
          </w:tcPr>
          <w:p w14:paraId="43E82119">
            <w:pPr>
              <w:adjustRightInd w:val="0"/>
              <w:snapToGrid w:val="0"/>
              <w:jc w:val="center"/>
              <w:rPr>
                <w:color w:val="000000"/>
                <w:spacing w:val="-8"/>
                <w:sz w:val="21"/>
                <w:szCs w:val="21"/>
              </w:rPr>
            </w:pPr>
            <w:r>
              <w:rPr>
                <w:color w:val="000000"/>
                <w:spacing w:val="-8"/>
                <w:sz w:val="21"/>
                <w:szCs w:val="21"/>
              </w:rPr>
              <w:t>环境风险</w:t>
            </w:r>
          </w:p>
          <w:p w14:paraId="73D67C49">
            <w:pPr>
              <w:adjustRightInd w:val="0"/>
              <w:snapToGrid w:val="0"/>
              <w:jc w:val="center"/>
              <w:rPr>
                <w:color w:val="000000"/>
                <w:spacing w:val="-8"/>
                <w:sz w:val="21"/>
                <w:szCs w:val="21"/>
              </w:rPr>
            </w:pPr>
            <w:r>
              <w:rPr>
                <w:color w:val="000000"/>
                <w:spacing w:val="-8"/>
                <w:sz w:val="21"/>
                <w:szCs w:val="21"/>
              </w:rPr>
              <w:t>防范措施</w:t>
            </w:r>
          </w:p>
        </w:tc>
        <w:tc>
          <w:tcPr>
            <w:tcW w:w="4236" w:type="pct"/>
            <w:gridSpan w:val="4"/>
            <w:noWrap w:val="0"/>
            <w:vAlign w:val="center"/>
          </w:tcPr>
          <w:p w14:paraId="24ABA7A4">
            <w:pPr>
              <w:pStyle w:val="25"/>
              <w:spacing w:line="240" w:lineRule="auto"/>
              <w:ind w:firstLine="420"/>
              <w:rPr>
                <w:rFonts w:hint="eastAsia"/>
                <w:color w:val="000000"/>
                <w:sz w:val="21"/>
                <w:szCs w:val="21"/>
              </w:rPr>
            </w:pPr>
            <w:r>
              <w:rPr>
                <w:rFonts w:hint="eastAsia"/>
                <w:color w:val="000000"/>
                <w:sz w:val="21"/>
                <w:szCs w:val="21"/>
              </w:rPr>
              <w:t>分区防渗：</w:t>
            </w:r>
          </w:p>
          <w:p w14:paraId="353286E8">
            <w:pPr>
              <w:pStyle w:val="25"/>
              <w:spacing w:line="240" w:lineRule="auto"/>
              <w:ind w:firstLine="420"/>
              <w:rPr>
                <w:rFonts w:hint="eastAsia"/>
                <w:color w:val="000000"/>
                <w:sz w:val="21"/>
                <w:szCs w:val="21"/>
              </w:rPr>
            </w:pPr>
            <w:r>
              <w:rPr>
                <w:rFonts w:hint="eastAsia"/>
                <w:color w:val="000000"/>
                <w:sz w:val="21"/>
                <w:szCs w:val="21"/>
              </w:rPr>
              <w:t>重点防渗区域：危险废物贮存点、危险化学品原料储存间、废水预处理设施、原料罐围堰区、罐车卸料区；按照规范要求，地面按照《环境影响评价技术导则 地下水环境》（HJ610-2016）中等效黏土防渗层Mb≥6.0m，渗透系数K≤1.0×10-7cm/s的要求。危险废物贮存点表面防渗材料应与所接触的物料或污染物相容，可采用抗渗混凝土、高密度聚乙烯膜、钠基膨润土防水毯或其他防渗性能等效的材料，进行基础防渗，防渗层为至少1 m厚黏土层（渗透系数不大于10-7 cm/s），或至少2 mm厚高密度聚乙烯膜等人工防渗材料（渗透系数不大于10-10 cm/s），或其他防渗性能等效的材料。</w:t>
            </w:r>
          </w:p>
          <w:p w14:paraId="1E847F01">
            <w:pPr>
              <w:pStyle w:val="25"/>
              <w:spacing w:line="240" w:lineRule="auto"/>
              <w:ind w:firstLine="420"/>
              <w:rPr>
                <w:color w:val="000000"/>
                <w:sz w:val="21"/>
                <w:szCs w:val="21"/>
              </w:rPr>
            </w:pPr>
            <w:r>
              <w:rPr>
                <w:rFonts w:hint="eastAsia"/>
                <w:color w:val="000000"/>
                <w:sz w:val="21"/>
                <w:szCs w:val="21"/>
              </w:rPr>
              <w:t>一般防渗区域：一般工业固废暂存间；防渗层的防渗性能等效黏土防渗层Mb≥1.5m，渗透系数K≤1.0×10-7cm/s。</w:t>
            </w:r>
          </w:p>
          <w:p w14:paraId="130BF473">
            <w:pPr>
              <w:pStyle w:val="25"/>
              <w:spacing w:line="240" w:lineRule="auto"/>
              <w:ind w:firstLine="420"/>
              <w:rPr>
                <w:rFonts w:hint="eastAsia"/>
                <w:color w:val="000000"/>
                <w:sz w:val="21"/>
                <w:szCs w:val="21"/>
              </w:rPr>
            </w:pPr>
            <w:r>
              <w:rPr>
                <w:rFonts w:hint="eastAsia"/>
                <w:color w:val="000000"/>
                <w:sz w:val="21"/>
                <w:szCs w:val="21"/>
              </w:rPr>
              <w:t>液体原料罐区设置防泄漏围堰，围堰尺寸为28×4.1，高1.2m，围堰有效容积为77m</w:t>
            </w:r>
            <w:r>
              <w:rPr>
                <w:rFonts w:hint="eastAsia"/>
                <w:color w:val="000000"/>
                <w:sz w:val="21"/>
                <w:szCs w:val="21"/>
                <w:vertAlign w:val="superscript"/>
              </w:rPr>
              <w:t>3</w:t>
            </w:r>
            <w:r>
              <w:rPr>
                <w:rFonts w:hint="eastAsia"/>
                <w:color w:val="000000"/>
                <w:sz w:val="21"/>
                <w:szCs w:val="21"/>
              </w:rPr>
              <w:t>。原料罐车卸料区设置导流沟及围挡。</w:t>
            </w:r>
          </w:p>
          <w:p w14:paraId="756F09EE">
            <w:pPr>
              <w:pStyle w:val="25"/>
              <w:spacing w:line="240" w:lineRule="auto"/>
              <w:ind w:firstLine="420"/>
              <w:rPr>
                <w:rFonts w:hint="eastAsia"/>
                <w:color w:val="000000"/>
                <w:sz w:val="21"/>
                <w:szCs w:val="21"/>
              </w:rPr>
            </w:pPr>
            <w:r>
              <w:rPr>
                <w:rFonts w:hint="eastAsia"/>
                <w:color w:val="000000"/>
                <w:sz w:val="21"/>
                <w:szCs w:val="21"/>
              </w:rPr>
              <w:t>机油、除菌剂（次氯酸钠）等存放地面设置防泄漏托盘，防止渗漏扩散。</w:t>
            </w:r>
          </w:p>
          <w:p w14:paraId="37C6A53A">
            <w:pPr>
              <w:pStyle w:val="25"/>
              <w:spacing w:line="240" w:lineRule="auto"/>
              <w:ind w:firstLine="420"/>
              <w:rPr>
                <w:rFonts w:hint="eastAsia" w:cs="Times New Roman"/>
                <w:color w:val="000000"/>
                <w:sz w:val="21"/>
                <w:szCs w:val="21"/>
              </w:rPr>
            </w:pPr>
            <w:r>
              <w:rPr>
                <w:rFonts w:hint="eastAsia"/>
                <w:color w:val="000000"/>
                <w:sz w:val="21"/>
                <w:szCs w:val="21"/>
              </w:rPr>
              <w:t>Sb</w:t>
            </w:r>
            <w:r>
              <w:rPr>
                <w:color w:val="000000"/>
                <w:sz w:val="21"/>
                <w:szCs w:val="21"/>
                <w:vertAlign w:val="subscript"/>
              </w:rPr>
              <w:t>2</w:t>
            </w:r>
            <w:r>
              <w:rPr>
                <w:color w:val="000000"/>
                <w:sz w:val="21"/>
                <w:szCs w:val="21"/>
              </w:rPr>
              <w:t>O</w:t>
            </w:r>
            <w:r>
              <w:rPr>
                <w:color w:val="000000"/>
                <w:sz w:val="21"/>
                <w:szCs w:val="21"/>
                <w:vertAlign w:val="subscript"/>
              </w:rPr>
              <w:t>3</w:t>
            </w:r>
            <w:r>
              <w:rPr>
                <w:rFonts w:hint="eastAsia"/>
                <w:color w:val="000000"/>
                <w:sz w:val="21"/>
                <w:szCs w:val="21"/>
              </w:rPr>
              <w:t>有毒性，项目</w:t>
            </w:r>
            <w:r>
              <w:rPr>
                <w:color w:val="000000"/>
                <w:sz w:val="21"/>
                <w:szCs w:val="21"/>
              </w:rPr>
              <w:t>投料、混合等产尘环节采用密闭式设备（如密闭</w:t>
            </w:r>
            <w:r>
              <w:rPr>
                <w:rFonts w:hint="eastAsia"/>
                <w:color w:val="000000"/>
                <w:sz w:val="21"/>
                <w:szCs w:val="21"/>
              </w:rPr>
              <w:t>料仓</w:t>
            </w:r>
            <w:r>
              <w:rPr>
                <w:color w:val="000000"/>
                <w:sz w:val="21"/>
                <w:szCs w:val="21"/>
              </w:rPr>
              <w:t>、封闭混合机），并配套局部排风系统，将粉尘捕集至布袋除尘器处理后排放。操作人员必须佩戴防护用品：KN95及以上防尘口罩（避免吸入粉尘）、丁腈手套（防止皮肤接触）、防护眼镜（防止粉尘入眼），严禁徒手接触原料。</w:t>
            </w:r>
          </w:p>
        </w:tc>
      </w:tr>
      <w:tr w14:paraId="3853A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pct"/>
            <w:noWrap w:val="0"/>
            <w:vAlign w:val="center"/>
          </w:tcPr>
          <w:p w14:paraId="2A9C509F">
            <w:pPr>
              <w:adjustRightInd w:val="0"/>
              <w:snapToGrid w:val="0"/>
              <w:jc w:val="center"/>
              <w:rPr>
                <w:color w:val="000000"/>
                <w:spacing w:val="-8"/>
                <w:sz w:val="21"/>
                <w:szCs w:val="21"/>
              </w:rPr>
            </w:pPr>
            <w:r>
              <w:rPr>
                <w:color w:val="000000"/>
                <w:spacing w:val="-8"/>
                <w:sz w:val="21"/>
                <w:szCs w:val="21"/>
              </w:rPr>
              <w:t>其他环境</w:t>
            </w:r>
          </w:p>
          <w:p w14:paraId="2D9FC0BE">
            <w:pPr>
              <w:adjustRightInd w:val="0"/>
              <w:snapToGrid w:val="0"/>
              <w:jc w:val="center"/>
              <w:rPr>
                <w:color w:val="000000"/>
                <w:spacing w:val="-8"/>
                <w:sz w:val="21"/>
                <w:szCs w:val="21"/>
              </w:rPr>
            </w:pPr>
            <w:r>
              <w:rPr>
                <w:color w:val="000000"/>
                <w:spacing w:val="-8"/>
                <w:sz w:val="21"/>
                <w:szCs w:val="21"/>
              </w:rPr>
              <w:t>管理要求</w:t>
            </w:r>
          </w:p>
        </w:tc>
        <w:tc>
          <w:tcPr>
            <w:tcW w:w="4236" w:type="pct"/>
            <w:gridSpan w:val="4"/>
            <w:noWrap w:val="0"/>
            <w:vAlign w:val="center"/>
          </w:tcPr>
          <w:p w14:paraId="04C0D275">
            <w:pPr>
              <w:pStyle w:val="25"/>
              <w:spacing w:line="240" w:lineRule="auto"/>
              <w:ind w:firstLine="420"/>
              <w:rPr>
                <w:rFonts w:cs="Times New Roman"/>
                <w:color w:val="000000"/>
                <w:sz w:val="21"/>
                <w:szCs w:val="21"/>
              </w:rPr>
            </w:pPr>
            <w:r>
              <w:rPr>
                <w:rFonts w:cs="Times New Roman"/>
                <w:color w:val="000000"/>
                <w:sz w:val="21"/>
                <w:szCs w:val="21"/>
              </w:rPr>
              <w:t>（1）根据《排污单位环境管理台账及排污许可证执行报告技术规范 总则（试行）》（HJ944-2018）要求，建立健全设备、废气治理设施的运行维护规程和台账等日常管理制度，并定期检修维护，确保设施的稳定运行。</w:t>
            </w:r>
          </w:p>
          <w:p w14:paraId="238EA091">
            <w:pPr>
              <w:pStyle w:val="25"/>
              <w:spacing w:line="240" w:lineRule="auto"/>
              <w:ind w:firstLine="420"/>
              <w:rPr>
                <w:rFonts w:cs="Times New Roman"/>
                <w:color w:val="000000"/>
                <w:sz w:val="21"/>
                <w:szCs w:val="21"/>
              </w:rPr>
            </w:pPr>
            <w:r>
              <w:rPr>
                <w:rFonts w:cs="Times New Roman"/>
                <w:color w:val="000000"/>
                <w:sz w:val="21"/>
                <w:szCs w:val="21"/>
              </w:rPr>
              <w:t>（2）根据《一般工业固体废物管理台账制定指南（试行）》要求，建立一般工业固体废物管理台账，根据《危险废物贮存污染控制标准》（GB 18597-2023）、《危险废物转移管理办法》（部令第23号）等要求，建立危险废物管理台账。</w:t>
            </w:r>
          </w:p>
          <w:p w14:paraId="48A3C9EA">
            <w:pPr>
              <w:pStyle w:val="25"/>
              <w:spacing w:line="240" w:lineRule="auto"/>
              <w:ind w:firstLine="420"/>
              <w:rPr>
                <w:rFonts w:cs="Times New Roman"/>
                <w:color w:val="000000"/>
                <w:sz w:val="21"/>
                <w:szCs w:val="21"/>
              </w:rPr>
            </w:pPr>
            <w:r>
              <w:rPr>
                <w:rFonts w:cs="Times New Roman"/>
                <w:color w:val="000000"/>
                <w:sz w:val="21"/>
                <w:szCs w:val="21"/>
              </w:rPr>
              <w:t>（3）环境管理机构设置及管理：运营期企业至少设置1名专职/兼职环境保护管理人员，并建立相关环境保护管理制度；负责日常环境保护管理工作，落实运营中的环保措施，记录污染治理设备的运行情况。</w:t>
            </w:r>
          </w:p>
          <w:p w14:paraId="43D0AF89">
            <w:pPr>
              <w:pStyle w:val="25"/>
              <w:spacing w:line="240" w:lineRule="auto"/>
              <w:ind w:firstLine="420"/>
              <w:rPr>
                <w:rFonts w:cs="Times New Roman"/>
                <w:color w:val="000000"/>
                <w:sz w:val="21"/>
                <w:szCs w:val="21"/>
              </w:rPr>
            </w:pPr>
            <w:r>
              <w:rPr>
                <w:rFonts w:cs="Times New Roman"/>
                <w:color w:val="000000"/>
                <w:sz w:val="21"/>
                <w:szCs w:val="21"/>
              </w:rPr>
              <w:t>（4）排污口设置及规范化要求：项目应根据《排污单位自行监测技术指南 涂装》（HJ1086-2020）、《环境保护图形标志-排放口（源）》（GB15562.1-1995）、《排污许可证申请与核发技术规范 总则》（HJ942—2018）、《关于印发排放口标志牌技术规格的通知》、《排污单位污染物排放口二维码标识技术规范》（HJ1297—2023）等相关规定要求，排放口应具备采样和流量测定条件，并按照《污染源监测技术规范》设置采样点；排污口必须满足国家有关污染物排放标准的要求，按要求设置排放口标志牌及排放口二维码标识等。</w:t>
            </w:r>
          </w:p>
          <w:p w14:paraId="52C20C8C">
            <w:pPr>
              <w:pStyle w:val="25"/>
              <w:spacing w:line="240" w:lineRule="auto"/>
              <w:ind w:firstLine="420"/>
              <w:rPr>
                <w:rFonts w:cs="Times New Roman"/>
                <w:color w:val="000000"/>
                <w:sz w:val="21"/>
                <w:szCs w:val="21"/>
              </w:rPr>
            </w:pPr>
            <w:r>
              <w:rPr>
                <w:rFonts w:cs="Times New Roman"/>
                <w:color w:val="000000"/>
                <w:sz w:val="21"/>
                <w:szCs w:val="21"/>
              </w:rPr>
              <w:t>（5）环境影响评价制度与排污许可证制度衔接：项目投入运行产生污染物排放前，应按照固定污染源分类管理名录申请排污许可证，项目建成后及时组织竣工环境保护验收。</w:t>
            </w:r>
          </w:p>
        </w:tc>
      </w:tr>
    </w:tbl>
    <w:p w14:paraId="7C879E0D">
      <w:pPr>
        <w:pStyle w:val="14"/>
        <w:spacing w:before="0" w:beforeAutospacing="0" w:after="0" w:afterAutospacing="0"/>
        <w:jc w:val="center"/>
        <w:outlineLvl w:val="0"/>
        <w:rPr>
          <w:rFonts w:ascii="Times New Roman" w:hAnsi="Times New Roman"/>
          <w:snapToGrid w:val="0"/>
          <w:color w:val="000000"/>
          <w:sz w:val="30"/>
          <w:szCs w:val="30"/>
        </w:rPr>
      </w:pPr>
      <w:r>
        <w:rPr>
          <w:rFonts w:ascii="Times New Roman" w:hAnsi="Times New Roman"/>
          <w:snapToGrid w:val="0"/>
          <w:color w:val="000000"/>
        </w:rPr>
        <w:br w:type="page"/>
      </w:r>
      <w:bookmarkStart w:id="44" w:name="_Toc95902514"/>
      <w:bookmarkStart w:id="45" w:name="_Toc99551061"/>
      <w:r>
        <w:rPr>
          <w:rFonts w:ascii="Times New Roman" w:hAnsi="Times New Roman"/>
          <w:b/>
          <w:bCs/>
          <w:snapToGrid w:val="0"/>
          <w:color w:val="000000"/>
          <w:sz w:val="30"/>
          <w:szCs w:val="30"/>
        </w:rPr>
        <w:t>六、结论</w:t>
      </w:r>
      <w:bookmarkEnd w:id="44"/>
      <w:bookmarkEnd w:id="45"/>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2BEE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38007477">
            <w:pPr>
              <w:pStyle w:val="41"/>
              <w:ind w:firstLine="480"/>
              <w:rPr>
                <w:color w:val="000000"/>
                <w:kern w:val="2"/>
                <w:sz w:val="21"/>
              </w:rPr>
            </w:pPr>
            <w:r>
              <w:rPr>
                <w:rFonts w:hint="eastAsia"/>
                <w:color w:val="000000"/>
                <w:szCs w:val="24"/>
              </w:rPr>
              <w:t>重庆赛亿新材料科技有限公司的“新型环保高分子材料生产项目”选址于</w:t>
            </w:r>
            <w:r>
              <w:rPr>
                <w:rFonts w:hint="eastAsia"/>
                <w:color w:val="000000"/>
              </w:rPr>
              <w:t>西部（重庆）科学城九龙新城园区西彭组团厂区内（九龙坡区西彭镇铝城大道86号附1号），项目的建设符合国家相关产业政策、环保政策及园区规划，所在区域环境空气、地表水、声环境现状质量满足其相应的环境功能，具有一定的环境容量，不制约项目的建设。项目采用先进技术装备，在严格落实本报告表</w:t>
            </w:r>
            <w:r>
              <w:rPr>
                <w:color w:val="000000"/>
              </w:rPr>
              <w:t>提出的污染防治措施和环境风险防范措施后</w:t>
            </w:r>
            <w:r>
              <w:rPr>
                <w:rFonts w:hint="eastAsia"/>
                <w:color w:val="000000"/>
              </w:rPr>
              <w:t>，污染物可实现达标排放，对环境影响较小，</w:t>
            </w:r>
            <w:r>
              <w:rPr>
                <w:color w:val="000000"/>
              </w:rPr>
              <w:t>环境风险可控</w:t>
            </w:r>
            <w:r>
              <w:rPr>
                <w:rFonts w:hint="eastAsia"/>
                <w:color w:val="000000"/>
              </w:rPr>
              <w:t>。</w:t>
            </w:r>
          </w:p>
          <w:p w14:paraId="7BE11099">
            <w:pPr>
              <w:ind w:firstLine="480"/>
              <w:rPr>
                <w:bCs/>
                <w:color w:val="000000"/>
                <w:szCs w:val="21"/>
              </w:rPr>
            </w:pPr>
            <w:r>
              <w:rPr>
                <w:rFonts w:hint="eastAsia"/>
                <w:color w:val="000000"/>
              </w:rPr>
              <w:t>因此，从环境保护角度考虑，项目选址是合理的，建设是可行的。</w:t>
            </w:r>
          </w:p>
        </w:tc>
      </w:tr>
    </w:tbl>
    <w:p w14:paraId="5911BBF9">
      <w:pPr>
        <w:rPr>
          <w:color w:val="000000"/>
        </w:rPr>
        <w:sectPr>
          <w:footerReference r:id="rId10" w:type="default"/>
          <w:pgSz w:w="11905" w:h="16838"/>
          <w:pgMar w:top="1440" w:right="1531" w:bottom="1440" w:left="1531" w:header="851" w:footer="992" w:gutter="0"/>
          <w:cols w:space="720" w:num="1"/>
          <w:docGrid w:type="lines" w:linePitch="312" w:charSpace="0"/>
        </w:sectPr>
      </w:pPr>
    </w:p>
    <w:p w14:paraId="1CFB49A8">
      <w:pPr>
        <w:pStyle w:val="14"/>
        <w:adjustRightInd w:val="0"/>
        <w:snapToGrid w:val="0"/>
        <w:spacing w:before="0" w:beforeAutospacing="0" w:after="0" w:afterAutospacing="0"/>
        <w:outlineLvl w:val="0"/>
        <w:rPr>
          <w:rFonts w:ascii="Times New Roman" w:hAnsi="Times New Roman"/>
          <w:snapToGrid w:val="0"/>
          <w:color w:val="000000"/>
          <w:sz w:val="32"/>
          <w:szCs w:val="32"/>
        </w:rPr>
      </w:pPr>
      <w:bookmarkStart w:id="46" w:name="_Toc99551062"/>
      <w:bookmarkStart w:id="47" w:name="_Toc95902515"/>
      <w:r>
        <w:rPr>
          <w:rFonts w:ascii="Times New Roman" w:hAnsi="Times New Roman"/>
          <w:snapToGrid w:val="0"/>
          <w:color w:val="000000"/>
          <w:sz w:val="32"/>
          <w:szCs w:val="32"/>
        </w:rPr>
        <w:t>附表</w:t>
      </w:r>
      <w:bookmarkEnd w:id="46"/>
      <w:bookmarkEnd w:id="47"/>
    </w:p>
    <w:p w14:paraId="03B255C3">
      <w:pPr>
        <w:pStyle w:val="14"/>
        <w:adjustRightInd w:val="0"/>
        <w:snapToGrid w:val="0"/>
        <w:spacing w:before="0" w:beforeAutospacing="0" w:after="0" w:afterAutospacing="0"/>
        <w:jc w:val="center"/>
        <w:outlineLvl w:val="0"/>
        <w:rPr>
          <w:rFonts w:ascii="Times New Roman" w:hAnsi="Times New Roman"/>
          <w:snapToGrid w:val="0"/>
          <w:color w:val="000000"/>
          <w:sz w:val="38"/>
          <w:szCs w:val="38"/>
          <w:highlight w:val="yellow"/>
        </w:rPr>
      </w:pPr>
      <w:bookmarkStart w:id="48" w:name="_Toc99551063"/>
      <w:bookmarkStart w:id="49" w:name="_Toc95902516"/>
      <w:r>
        <w:rPr>
          <w:rFonts w:ascii="Times New Roman" w:hAnsi="Times New Roman"/>
          <w:snapToGrid w:val="0"/>
          <w:color w:val="000000"/>
          <w:sz w:val="38"/>
          <w:szCs w:val="38"/>
        </w:rPr>
        <w:t>建设项目污染物排放量汇总表</w:t>
      </w:r>
      <w:bookmarkEnd w:id="48"/>
      <w:bookmarkEnd w:id="49"/>
    </w:p>
    <w:tbl>
      <w:tblPr>
        <w:tblStyle w:val="1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2198"/>
        <w:gridCol w:w="1749"/>
        <w:gridCol w:w="750"/>
        <w:gridCol w:w="1749"/>
        <w:gridCol w:w="1972"/>
        <w:gridCol w:w="1124"/>
        <w:gridCol w:w="2058"/>
        <w:gridCol w:w="1120"/>
      </w:tblGrid>
      <w:tr w14:paraId="52BA12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trPr>
        <w:tc>
          <w:tcPr>
            <w:tcW w:w="0" w:type="auto"/>
            <w:tcBorders>
              <w:tl2br w:val="single" w:color="auto" w:sz="4" w:space="0"/>
            </w:tcBorders>
            <w:noWrap w:val="0"/>
            <w:tcMar>
              <w:left w:w="28" w:type="dxa"/>
              <w:right w:w="28" w:type="dxa"/>
            </w:tcMar>
            <w:vAlign w:val="center"/>
          </w:tcPr>
          <w:p w14:paraId="2E14AE48">
            <w:pPr>
              <w:pStyle w:val="42"/>
              <w:spacing w:beforeLines="0" w:afterLines="0" w:line="240" w:lineRule="auto"/>
              <w:jc w:val="right"/>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项目</w:t>
            </w:r>
          </w:p>
          <w:p w14:paraId="42EDD187">
            <w:pPr>
              <w:pStyle w:val="42"/>
              <w:spacing w:beforeLines="0" w:afterLines="0" w:line="240" w:lineRule="auto"/>
              <w:jc w:val="left"/>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分类</w:t>
            </w:r>
          </w:p>
        </w:tc>
        <w:tc>
          <w:tcPr>
            <w:tcW w:w="0" w:type="auto"/>
            <w:noWrap w:val="0"/>
            <w:tcMar>
              <w:left w:w="28" w:type="dxa"/>
              <w:right w:w="28" w:type="dxa"/>
            </w:tcMar>
            <w:vAlign w:val="center"/>
          </w:tcPr>
          <w:p w14:paraId="1E5BABED">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污染物名称</w:t>
            </w:r>
          </w:p>
        </w:tc>
        <w:tc>
          <w:tcPr>
            <w:tcW w:w="0" w:type="auto"/>
            <w:noWrap w:val="0"/>
            <w:tcMar>
              <w:left w:w="28" w:type="dxa"/>
              <w:right w:w="28" w:type="dxa"/>
            </w:tcMar>
            <w:vAlign w:val="center"/>
          </w:tcPr>
          <w:p w14:paraId="62A50D2F">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现有工程</w:t>
            </w:r>
          </w:p>
          <w:p w14:paraId="47D4D1A3">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排放量（固体废物产生量）</w:t>
            </w:r>
            <w:r>
              <w:rPr>
                <w:rFonts w:ascii="Times New Roman" w:hAnsi="Times New Roman"/>
                <w:snapToGrid w:val="0"/>
                <w:color w:val="000000"/>
                <w:spacing w:val="-6"/>
                <w:kern w:val="21"/>
                <w:sz w:val="21"/>
                <w:szCs w:val="21"/>
              </w:rPr>
              <w:fldChar w:fldCharType="begin"/>
            </w:r>
            <w:r>
              <w:rPr>
                <w:rFonts w:ascii="Times New Roman" w:hAnsi="Times New Roman"/>
                <w:snapToGrid w:val="0"/>
                <w:color w:val="000000"/>
                <w:spacing w:val="-6"/>
                <w:kern w:val="21"/>
                <w:sz w:val="21"/>
                <w:szCs w:val="21"/>
              </w:rPr>
              <w:instrText xml:space="preserve"> = 1 \* GB3 \* MERGEFORMAT </w:instrText>
            </w:r>
            <w:r>
              <w:rPr>
                <w:rFonts w:ascii="Times New Roman" w:hAnsi="Times New Roman"/>
                <w:snapToGrid w:val="0"/>
                <w:color w:val="000000"/>
                <w:spacing w:val="-6"/>
                <w:kern w:val="21"/>
                <w:sz w:val="21"/>
                <w:szCs w:val="21"/>
              </w:rPr>
              <w:fldChar w:fldCharType="separate"/>
            </w:r>
            <w:r>
              <w:rPr>
                <w:rFonts w:ascii="Times New Roman" w:hAnsi="Times New Roman"/>
                <w:color w:val="000000"/>
                <w:kern w:val="2"/>
                <w:sz w:val="21"/>
                <w:szCs w:val="21"/>
              </w:rPr>
              <w:t>①</w:t>
            </w:r>
            <w:r>
              <w:rPr>
                <w:rFonts w:ascii="Times New Roman" w:hAnsi="Times New Roman"/>
                <w:snapToGrid w:val="0"/>
                <w:color w:val="000000"/>
                <w:spacing w:val="-6"/>
                <w:kern w:val="21"/>
                <w:sz w:val="21"/>
                <w:szCs w:val="21"/>
              </w:rPr>
              <w:fldChar w:fldCharType="end"/>
            </w:r>
          </w:p>
        </w:tc>
        <w:tc>
          <w:tcPr>
            <w:tcW w:w="0" w:type="auto"/>
            <w:noWrap w:val="0"/>
            <w:tcMar>
              <w:left w:w="28" w:type="dxa"/>
              <w:right w:w="28" w:type="dxa"/>
            </w:tcMar>
            <w:vAlign w:val="center"/>
          </w:tcPr>
          <w:p w14:paraId="60AD317E">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现有工程</w:t>
            </w:r>
          </w:p>
          <w:p w14:paraId="76D759DD">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许可排放量</w:t>
            </w:r>
          </w:p>
          <w:p w14:paraId="08E30545">
            <w:pPr>
              <w:pStyle w:val="42"/>
              <w:spacing w:beforeLines="0" w:afterLines="0"/>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fldChar w:fldCharType="begin"/>
            </w:r>
            <w:r>
              <w:rPr>
                <w:rFonts w:ascii="Times New Roman" w:hAnsi="Times New Roman"/>
                <w:snapToGrid w:val="0"/>
                <w:color w:val="000000"/>
                <w:spacing w:val="-6"/>
                <w:kern w:val="21"/>
                <w:sz w:val="21"/>
                <w:szCs w:val="21"/>
              </w:rPr>
              <w:instrText xml:space="preserve"> = 2 \* GB3 \* MERGEFORMAT </w:instrText>
            </w:r>
            <w:r>
              <w:rPr>
                <w:rFonts w:ascii="Times New Roman" w:hAnsi="Times New Roman"/>
                <w:snapToGrid w:val="0"/>
                <w:color w:val="000000"/>
                <w:spacing w:val="-6"/>
                <w:kern w:val="21"/>
                <w:sz w:val="21"/>
                <w:szCs w:val="21"/>
              </w:rPr>
              <w:fldChar w:fldCharType="separate"/>
            </w:r>
            <w:r>
              <w:rPr>
                <w:rFonts w:ascii="Times New Roman" w:hAnsi="Times New Roman"/>
                <w:snapToGrid w:val="0"/>
                <w:color w:val="000000"/>
                <w:spacing w:val="-6"/>
                <w:kern w:val="21"/>
                <w:sz w:val="21"/>
                <w:szCs w:val="21"/>
              </w:rPr>
              <w:t>②</w:t>
            </w:r>
            <w:r>
              <w:rPr>
                <w:rFonts w:ascii="Times New Roman" w:hAnsi="Times New Roman"/>
                <w:snapToGrid w:val="0"/>
                <w:color w:val="000000"/>
                <w:spacing w:val="-6"/>
                <w:kern w:val="21"/>
                <w:sz w:val="21"/>
                <w:szCs w:val="21"/>
              </w:rPr>
              <w:fldChar w:fldCharType="end"/>
            </w:r>
          </w:p>
        </w:tc>
        <w:tc>
          <w:tcPr>
            <w:tcW w:w="0" w:type="auto"/>
            <w:noWrap w:val="0"/>
            <w:tcMar>
              <w:left w:w="28" w:type="dxa"/>
              <w:right w:w="28" w:type="dxa"/>
            </w:tcMar>
            <w:vAlign w:val="center"/>
          </w:tcPr>
          <w:p w14:paraId="358D889F">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在建工程</w:t>
            </w:r>
          </w:p>
          <w:p w14:paraId="11269282">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排放量（固体废物产生量）</w:t>
            </w:r>
            <w:r>
              <w:rPr>
                <w:rFonts w:ascii="Times New Roman" w:hAnsi="Times New Roman"/>
                <w:snapToGrid w:val="0"/>
                <w:color w:val="000000"/>
                <w:spacing w:val="-6"/>
                <w:kern w:val="21"/>
                <w:sz w:val="21"/>
                <w:szCs w:val="21"/>
              </w:rPr>
              <w:fldChar w:fldCharType="begin"/>
            </w:r>
            <w:r>
              <w:rPr>
                <w:rFonts w:ascii="Times New Roman" w:hAnsi="Times New Roman"/>
                <w:snapToGrid w:val="0"/>
                <w:color w:val="000000"/>
                <w:spacing w:val="-6"/>
                <w:kern w:val="21"/>
                <w:sz w:val="21"/>
                <w:szCs w:val="21"/>
              </w:rPr>
              <w:instrText xml:space="preserve"> = 3 \* GB3 \* MERGEFORMAT </w:instrText>
            </w:r>
            <w:r>
              <w:rPr>
                <w:rFonts w:ascii="Times New Roman" w:hAnsi="Times New Roman"/>
                <w:snapToGrid w:val="0"/>
                <w:color w:val="000000"/>
                <w:spacing w:val="-6"/>
                <w:kern w:val="21"/>
                <w:sz w:val="21"/>
                <w:szCs w:val="21"/>
              </w:rPr>
              <w:fldChar w:fldCharType="separate"/>
            </w:r>
            <w:r>
              <w:rPr>
                <w:rFonts w:ascii="Times New Roman" w:hAnsi="Times New Roman"/>
                <w:color w:val="000000"/>
                <w:kern w:val="2"/>
                <w:sz w:val="21"/>
                <w:szCs w:val="21"/>
              </w:rPr>
              <w:t>③</w:t>
            </w:r>
            <w:r>
              <w:rPr>
                <w:rFonts w:ascii="Times New Roman" w:hAnsi="Times New Roman"/>
                <w:snapToGrid w:val="0"/>
                <w:color w:val="000000"/>
                <w:spacing w:val="-6"/>
                <w:kern w:val="21"/>
                <w:sz w:val="21"/>
                <w:szCs w:val="21"/>
              </w:rPr>
              <w:fldChar w:fldCharType="end"/>
            </w:r>
          </w:p>
        </w:tc>
        <w:tc>
          <w:tcPr>
            <w:tcW w:w="0" w:type="auto"/>
            <w:noWrap w:val="0"/>
            <w:tcMar>
              <w:left w:w="28" w:type="dxa"/>
              <w:right w:w="28" w:type="dxa"/>
            </w:tcMar>
            <w:vAlign w:val="center"/>
          </w:tcPr>
          <w:p w14:paraId="4C0D2F28">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本项目</w:t>
            </w:r>
          </w:p>
          <w:p w14:paraId="3CBED44D">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排放量（固体废物产生量）</w:t>
            </w:r>
            <w:r>
              <w:rPr>
                <w:rFonts w:ascii="Times New Roman" w:hAnsi="Times New Roman"/>
                <w:snapToGrid w:val="0"/>
                <w:color w:val="000000"/>
                <w:spacing w:val="-6"/>
                <w:kern w:val="21"/>
                <w:sz w:val="21"/>
                <w:szCs w:val="21"/>
              </w:rPr>
              <w:fldChar w:fldCharType="begin"/>
            </w:r>
            <w:r>
              <w:rPr>
                <w:rFonts w:ascii="Times New Roman" w:hAnsi="Times New Roman"/>
                <w:snapToGrid w:val="0"/>
                <w:color w:val="000000"/>
                <w:spacing w:val="-6"/>
                <w:kern w:val="21"/>
                <w:sz w:val="21"/>
                <w:szCs w:val="21"/>
              </w:rPr>
              <w:instrText xml:space="preserve"> = 4 \* GB3 \* MERGEFORMAT </w:instrText>
            </w:r>
            <w:r>
              <w:rPr>
                <w:rFonts w:ascii="Times New Roman" w:hAnsi="Times New Roman"/>
                <w:snapToGrid w:val="0"/>
                <w:color w:val="000000"/>
                <w:spacing w:val="-6"/>
                <w:kern w:val="21"/>
                <w:sz w:val="21"/>
                <w:szCs w:val="21"/>
              </w:rPr>
              <w:fldChar w:fldCharType="separate"/>
            </w:r>
            <w:r>
              <w:rPr>
                <w:rFonts w:ascii="Times New Roman" w:hAnsi="Times New Roman"/>
                <w:color w:val="000000"/>
                <w:kern w:val="2"/>
                <w:sz w:val="21"/>
                <w:szCs w:val="21"/>
              </w:rPr>
              <w:t>④</w:t>
            </w:r>
            <w:r>
              <w:rPr>
                <w:rFonts w:ascii="Times New Roman" w:hAnsi="Times New Roman"/>
                <w:snapToGrid w:val="0"/>
                <w:color w:val="000000"/>
                <w:spacing w:val="-6"/>
                <w:kern w:val="21"/>
                <w:sz w:val="21"/>
                <w:szCs w:val="21"/>
              </w:rPr>
              <w:fldChar w:fldCharType="end"/>
            </w:r>
          </w:p>
        </w:tc>
        <w:tc>
          <w:tcPr>
            <w:tcW w:w="0" w:type="auto"/>
            <w:noWrap w:val="0"/>
            <w:tcMar>
              <w:left w:w="28" w:type="dxa"/>
              <w:right w:w="28" w:type="dxa"/>
            </w:tcMar>
            <w:vAlign w:val="center"/>
          </w:tcPr>
          <w:p w14:paraId="38BE27B4">
            <w:pPr>
              <w:pStyle w:val="42"/>
              <w:spacing w:beforeLines="0" w:afterLines="0" w:line="240" w:lineRule="auto"/>
              <w:rPr>
                <w:rFonts w:ascii="Times New Roman" w:hAnsi="Times New Roman"/>
                <w:snapToGrid w:val="0"/>
                <w:color w:val="000000"/>
                <w:spacing w:val="-16"/>
                <w:kern w:val="21"/>
                <w:sz w:val="21"/>
                <w:szCs w:val="21"/>
              </w:rPr>
            </w:pPr>
            <w:r>
              <w:rPr>
                <w:rFonts w:ascii="Times New Roman" w:hAnsi="Times New Roman"/>
                <w:snapToGrid w:val="0"/>
                <w:color w:val="000000"/>
                <w:spacing w:val="-16"/>
                <w:kern w:val="21"/>
                <w:sz w:val="21"/>
                <w:szCs w:val="21"/>
              </w:rPr>
              <w:t>以新带老削减量</w:t>
            </w:r>
          </w:p>
          <w:p w14:paraId="78C3F656">
            <w:pPr>
              <w:pStyle w:val="42"/>
              <w:spacing w:beforeLines="0" w:afterLines="0" w:line="240" w:lineRule="auto"/>
              <w:rPr>
                <w:rFonts w:ascii="Times New Roman" w:hAnsi="Times New Roman"/>
                <w:snapToGrid w:val="0"/>
                <w:color w:val="000000"/>
                <w:spacing w:val="-16"/>
                <w:kern w:val="21"/>
                <w:sz w:val="21"/>
                <w:szCs w:val="21"/>
              </w:rPr>
            </w:pPr>
            <w:r>
              <w:rPr>
                <w:rFonts w:ascii="Times New Roman" w:hAnsi="Times New Roman"/>
                <w:snapToGrid w:val="0"/>
                <w:color w:val="000000"/>
                <w:spacing w:val="-16"/>
                <w:kern w:val="21"/>
                <w:sz w:val="21"/>
                <w:szCs w:val="21"/>
              </w:rPr>
              <w:t>（新建项目不填）</w:t>
            </w:r>
            <w:r>
              <w:rPr>
                <w:rFonts w:ascii="Times New Roman" w:hAnsi="Times New Roman"/>
                <w:snapToGrid w:val="0"/>
                <w:color w:val="000000"/>
                <w:spacing w:val="-16"/>
                <w:kern w:val="21"/>
                <w:sz w:val="21"/>
                <w:szCs w:val="21"/>
              </w:rPr>
              <w:fldChar w:fldCharType="begin"/>
            </w:r>
            <w:r>
              <w:rPr>
                <w:rFonts w:ascii="Times New Roman" w:hAnsi="Times New Roman"/>
                <w:snapToGrid w:val="0"/>
                <w:color w:val="000000"/>
                <w:spacing w:val="-16"/>
                <w:kern w:val="21"/>
                <w:sz w:val="21"/>
                <w:szCs w:val="21"/>
              </w:rPr>
              <w:instrText xml:space="preserve"> = 5 \* GB3 \* MERGEFORMAT </w:instrText>
            </w:r>
            <w:r>
              <w:rPr>
                <w:rFonts w:ascii="Times New Roman" w:hAnsi="Times New Roman"/>
                <w:snapToGrid w:val="0"/>
                <w:color w:val="000000"/>
                <w:spacing w:val="-16"/>
                <w:kern w:val="21"/>
                <w:sz w:val="21"/>
                <w:szCs w:val="21"/>
              </w:rPr>
              <w:fldChar w:fldCharType="separate"/>
            </w:r>
            <w:r>
              <w:rPr>
                <w:rFonts w:ascii="Times New Roman" w:hAnsi="Times New Roman"/>
                <w:color w:val="000000"/>
                <w:kern w:val="2"/>
                <w:sz w:val="21"/>
                <w:szCs w:val="21"/>
              </w:rPr>
              <w:t>⑤</w:t>
            </w:r>
            <w:r>
              <w:rPr>
                <w:rFonts w:ascii="Times New Roman" w:hAnsi="Times New Roman"/>
                <w:snapToGrid w:val="0"/>
                <w:color w:val="000000"/>
                <w:spacing w:val="-16"/>
                <w:kern w:val="21"/>
                <w:sz w:val="21"/>
                <w:szCs w:val="21"/>
              </w:rPr>
              <w:fldChar w:fldCharType="end"/>
            </w:r>
          </w:p>
        </w:tc>
        <w:tc>
          <w:tcPr>
            <w:tcW w:w="0" w:type="auto"/>
            <w:noWrap w:val="0"/>
            <w:tcMar>
              <w:left w:w="28" w:type="dxa"/>
              <w:right w:w="28" w:type="dxa"/>
            </w:tcMar>
            <w:vAlign w:val="center"/>
          </w:tcPr>
          <w:p w14:paraId="01FD5A85">
            <w:pPr>
              <w:pStyle w:val="42"/>
              <w:spacing w:beforeLines="0" w:afterLines="0" w:line="240" w:lineRule="auto"/>
              <w:rPr>
                <w:rFonts w:ascii="Times New Roman" w:hAnsi="Times New Roman"/>
                <w:snapToGrid w:val="0"/>
                <w:color w:val="000000"/>
                <w:spacing w:val="-16"/>
                <w:kern w:val="21"/>
                <w:sz w:val="21"/>
                <w:szCs w:val="21"/>
              </w:rPr>
            </w:pPr>
            <w:r>
              <w:rPr>
                <w:rFonts w:ascii="Times New Roman" w:hAnsi="Times New Roman"/>
                <w:snapToGrid w:val="0"/>
                <w:color w:val="000000"/>
                <w:spacing w:val="-16"/>
                <w:kern w:val="21"/>
                <w:sz w:val="21"/>
                <w:szCs w:val="21"/>
              </w:rPr>
              <w:t>本项目建成后</w:t>
            </w:r>
          </w:p>
          <w:p w14:paraId="34FEF200">
            <w:pPr>
              <w:pStyle w:val="42"/>
              <w:spacing w:beforeLines="0" w:afterLines="0" w:line="240" w:lineRule="auto"/>
              <w:rPr>
                <w:rFonts w:ascii="Times New Roman" w:hAnsi="Times New Roman"/>
                <w:snapToGrid w:val="0"/>
                <w:color w:val="000000"/>
                <w:spacing w:val="-16"/>
                <w:kern w:val="21"/>
                <w:sz w:val="21"/>
                <w:szCs w:val="21"/>
              </w:rPr>
            </w:pPr>
            <w:r>
              <w:rPr>
                <w:rFonts w:ascii="Times New Roman" w:hAnsi="Times New Roman"/>
                <w:snapToGrid w:val="0"/>
                <w:color w:val="000000"/>
                <w:spacing w:val="-16"/>
                <w:kern w:val="21"/>
                <w:sz w:val="21"/>
                <w:szCs w:val="21"/>
              </w:rPr>
              <w:t>全厂排放量（固体废物产生量）</w:t>
            </w:r>
            <w:r>
              <w:rPr>
                <w:rFonts w:ascii="Times New Roman" w:hAnsi="Times New Roman"/>
                <w:snapToGrid w:val="0"/>
                <w:color w:val="000000"/>
                <w:spacing w:val="-16"/>
                <w:kern w:val="21"/>
                <w:sz w:val="21"/>
                <w:szCs w:val="21"/>
              </w:rPr>
              <w:fldChar w:fldCharType="begin"/>
            </w:r>
            <w:r>
              <w:rPr>
                <w:rFonts w:ascii="Times New Roman" w:hAnsi="Times New Roman"/>
                <w:snapToGrid w:val="0"/>
                <w:color w:val="000000"/>
                <w:spacing w:val="-16"/>
                <w:kern w:val="21"/>
                <w:sz w:val="21"/>
                <w:szCs w:val="21"/>
              </w:rPr>
              <w:instrText xml:space="preserve"> = 6 \* GB3 \* MERGEFORMAT </w:instrText>
            </w:r>
            <w:r>
              <w:rPr>
                <w:rFonts w:ascii="Times New Roman" w:hAnsi="Times New Roman"/>
                <w:snapToGrid w:val="0"/>
                <w:color w:val="000000"/>
                <w:spacing w:val="-16"/>
                <w:kern w:val="21"/>
                <w:sz w:val="21"/>
                <w:szCs w:val="21"/>
              </w:rPr>
              <w:fldChar w:fldCharType="separate"/>
            </w:r>
            <w:r>
              <w:rPr>
                <w:rFonts w:ascii="Times New Roman" w:hAnsi="Times New Roman"/>
                <w:color w:val="000000"/>
                <w:kern w:val="2"/>
                <w:sz w:val="21"/>
                <w:szCs w:val="21"/>
              </w:rPr>
              <w:t>⑥</w:t>
            </w:r>
            <w:r>
              <w:rPr>
                <w:rFonts w:ascii="Times New Roman" w:hAnsi="Times New Roman"/>
                <w:snapToGrid w:val="0"/>
                <w:color w:val="000000"/>
                <w:spacing w:val="-16"/>
                <w:kern w:val="21"/>
                <w:sz w:val="21"/>
                <w:szCs w:val="21"/>
              </w:rPr>
              <w:fldChar w:fldCharType="end"/>
            </w:r>
          </w:p>
        </w:tc>
        <w:tc>
          <w:tcPr>
            <w:tcW w:w="0" w:type="auto"/>
            <w:noWrap w:val="0"/>
            <w:tcMar>
              <w:left w:w="28" w:type="dxa"/>
              <w:right w:w="28" w:type="dxa"/>
            </w:tcMar>
            <w:vAlign w:val="center"/>
          </w:tcPr>
          <w:p w14:paraId="28153F59">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t>变化量</w:t>
            </w:r>
          </w:p>
          <w:p w14:paraId="42CB70B2">
            <w:pPr>
              <w:pStyle w:val="42"/>
              <w:spacing w:beforeLines="0" w:afterLines="0" w:line="240" w:lineRule="auto"/>
              <w:rPr>
                <w:rFonts w:ascii="Times New Roman" w:hAnsi="Times New Roman"/>
                <w:snapToGrid w:val="0"/>
                <w:color w:val="000000"/>
                <w:spacing w:val="-6"/>
                <w:kern w:val="21"/>
                <w:sz w:val="21"/>
                <w:szCs w:val="21"/>
              </w:rPr>
            </w:pPr>
            <w:r>
              <w:rPr>
                <w:rFonts w:ascii="Times New Roman" w:hAnsi="Times New Roman"/>
                <w:snapToGrid w:val="0"/>
                <w:color w:val="000000"/>
                <w:spacing w:val="-6"/>
                <w:kern w:val="21"/>
                <w:sz w:val="21"/>
                <w:szCs w:val="21"/>
              </w:rPr>
              <w:fldChar w:fldCharType="begin"/>
            </w:r>
            <w:r>
              <w:rPr>
                <w:rFonts w:ascii="Times New Roman" w:hAnsi="Times New Roman"/>
                <w:snapToGrid w:val="0"/>
                <w:color w:val="000000"/>
                <w:spacing w:val="-6"/>
                <w:kern w:val="21"/>
                <w:sz w:val="21"/>
                <w:szCs w:val="21"/>
              </w:rPr>
              <w:instrText xml:space="preserve"> = 7 \* GB3 \* MERGEFORMAT </w:instrText>
            </w:r>
            <w:r>
              <w:rPr>
                <w:rFonts w:ascii="Times New Roman" w:hAnsi="Times New Roman"/>
                <w:snapToGrid w:val="0"/>
                <w:color w:val="000000"/>
                <w:spacing w:val="-6"/>
                <w:kern w:val="21"/>
                <w:sz w:val="21"/>
                <w:szCs w:val="21"/>
              </w:rPr>
              <w:fldChar w:fldCharType="separate"/>
            </w:r>
            <w:r>
              <w:rPr>
                <w:rFonts w:ascii="Times New Roman" w:hAnsi="Times New Roman"/>
                <w:color w:val="000000"/>
                <w:kern w:val="2"/>
                <w:sz w:val="21"/>
                <w:szCs w:val="21"/>
              </w:rPr>
              <w:t>⑦</w:t>
            </w:r>
            <w:r>
              <w:rPr>
                <w:rFonts w:ascii="Times New Roman" w:hAnsi="Times New Roman"/>
                <w:snapToGrid w:val="0"/>
                <w:color w:val="000000"/>
                <w:spacing w:val="-6"/>
                <w:kern w:val="21"/>
                <w:sz w:val="21"/>
                <w:szCs w:val="21"/>
              </w:rPr>
              <w:fldChar w:fldCharType="end"/>
            </w:r>
          </w:p>
        </w:tc>
      </w:tr>
      <w:tr w14:paraId="54511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14:paraId="1F8BB61D">
            <w:pPr>
              <w:pStyle w:val="42"/>
              <w:spacing w:beforeLines="0" w:afterLines="0" w:line="240" w:lineRule="auto"/>
              <w:rPr>
                <w:rFonts w:ascii="Times New Roman" w:hAnsi="Times New Roman"/>
                <w:snapToGrid w:val="0"/>
                <w:color w:val="000000"/>
                <w:kern w:val="21"/>
                <w:sz w:val="21"/>
                <w:szCs w:val="21"/>
              </w:rPr>
            </w:pPr>
            <w:r>
              <w:rPr>
                <w:rFonts w:ascii="Times New Roman" w:hAnsi="Times New Roman"/>
                <w:snapToGrid w:val="0"/>
                <w:color w:val="000000"/>
                <w:kern w:val="21"/>
                <w:sz w:val="21"/>
                <w:szCs w:val="21"/>
              </w:rPr>
              <w:t>废气</w:t>
            </w:r>
          </w:p>
        </w:tc>
        <w:tc>
          <w:tcPr>
            <w:tcW w:w="0" w:type="auto"/>
            <w:noWrap w:val="0"/>
            <w:vAlign w:val="center"/>
          </w:tcPr>
          <w:p w14:paraId="1A28B382">
            <w:pPr>
              <w:widowControl/>
              <w:jc w:val="center"/>
              <w:textAlignment w:val="center"/>
              <w:rPr>
                <w:color w:val="000000"/>
                <w:sz w:val="21"/>
                <w:szCs w:val="21"/>
              </w:rPr>
            </w:pPr>
            <w:r>
              <w:rPr>
                <w:color w:val="000000"/>
                <w:kern w:val="0"/>
                <w:sz w:val="21"/>
                <w:szCs w:val="21"/>
                <w:lang w:bidi="ar"/>
              </w:rPr>
              <w:t>颗粒物</w:t>
            </w:r>
          </w:p>
        </w:tc>
        <w:tc>
          <w:tcPr>
            <w:tcW w:w="0" w:type="auto"/>
            <w:noWrap w:val="0"/>
            <w:vAlign w:val="center"/>
          </w:tcPr>
          <w:p w14:paraId="74ED10A1">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1B16BD9">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65237F24">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145E0CC5">
            <w:pPr>
              <w:widowControl/>
              <w:jc w:val="center"/>
              <w:textAlignment w:val="center"/>
              <w:rPr>
                <w:snapToGrid w:val="0"/>
                <w:color w:val="000000"/>
                <w:kern w:val="0"/>
                <w:sz w:val="21"/>
                <w:szCs w:val="21"/>
              </w:rPr>
            </w:pPr>
            <w:r>
              <w:rPr>
                <w:color w:val="000000"/>
                <w:kern w:val="0"/>
                <w:sz w:val="21"/>
                <w:szCs w:val="21"/>
                <w:lang w:bidi="ar"/>
              </w:rPr>
              <w:t xml:space="preserve">2.456 </w:t>
            </w:r>
          </w:p>
        </w:tc>
        <w:tc>
          <w:tcPr>
            <w:tcW w:w="0" w:type="auto"/>
            <w:noWrap w:val="0"/>
            <w:vAlign w:val="center"/>
          </w:tcPr>
          <w:p w14:paraId="7F3FF715">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62E334AB">
            <w:pPr>
              <w:widowControl/>
              <w:jc w:val="center"/>
              <w:textAlignment w:val="center"/>
              <w:rPr>
                <w:snapToGrid w:val="0"/>
                <w:color w:val="000000"/>
                <w:kern w:val="21"/>
                <w:sz w:val="21"/>
                <w:szCs w:val="21"/>
              </w:rPr>
            </w:pPr>
            <w:r>
              <w:rPr>
                <w:color w:val="000000"/>
                <w:kern w:val="0"/>
                <w:sz w:val="21"/>
                <w:szCs w:val="21"/>
                <w:lang w:bidi="ar"/>
              </w:rPr>
              <w:t xml:space="preserve">2.456 </w:t>
            </w:r>
          </w:p>
        </w:tc>
        <w:tc>
          <w:tcPr>
            <w:tcW w:w="1122" w:type="dxa"/>
            <w:noWrap w:val="0"/>
            <w:vAlign w:val="center"/>
          </w:tcPr>
          <w:p w14:paraId="7F6D42FF">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2.456 </w:t>
            </w:r>
          </w:p>
        </w:tc>
      </w:tr>
      <w:tr w14:paraId="714E7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6A210080">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6C9DAA85">
            <w:pPr>
              <w:widowControl/>
              <w:jc w:val="center"/>
              <w:textAlignment w:val="center"/>
              <w:rPr>
                <w:color w:val="000000"/>
                <w:sz w:val="21"/>
                <w:szCs w:val="21"/>
              </w:rPr>
            </w:pPr>
            <w:r>
              <w:rPr>
                <w:color w:val="000000"/>
                <w:kern w:val="0"/>
                <w:sz w:val="21"/>
                <w:szCs w:val="21"/>
                <w:lang w:bidi="ar"/>
              </w:rPr>
              <w:t>非甲烷总烃</w:t>
            </w:r>
          </w:p>
        </w:tc>
        <w:tc>
          <w:tcPr>
            <w:tcW w:w="0" w:type="auto"/>
            <w:noWrap w:val="0"/>
            <w:vAlign w:val="center"/>
          </w:tcPr>
          <w:p w14:paraId="219A3EE0">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5D8A97B2">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04BF0C5D">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30E0A0F1">
            <w:pPr>
              <w:widowControl/>
              <w:jc w:val="center"/>
              <w:textAlignment w:val="center"/>
              <w:rPr>
                <w:snapToGrid w:val="0"/>
                <w:color w:val="000000"/>
                <w:kern w:val="0"/>
                <w:sz w:val="21"/>
                <w:szCs w:val="21"/>
              </w:rPr>
            </w:pPr>
            <w:r>
              <w:rPr>
                <w:color w:val="000000"/>
                <w:kern w:val="0"/>
                <w:sz w:val="21"/>
                <w:szCs w:val="21"/>
                <w:lang w:bidi="ar"/>
              </w:rPr>
              <w:t xml:space="preserve">2.646 </w:t>
            </w:r>
          </w:p>
        </w:tc>
        <w:tc>
          <w:tcPr>
            <w:tcW w:w="0" w:type="auto"/>
            <w:noWrap w:val="0"/>
            <w:vAlign w:val="center"/>
          </w:tcPr>
          <w:p w14:paraId="3D4F055E">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79A09CAD">
            <w:pPr>
              <w:widowControl/>
              <w:jc w:val="center"/>
              <w:textAlignment w:val="center"/>
              <w:rPr>
                <w:snapToGrid w:val="0"/>
                <w:color w:val="000000"/>
                <w:kern w:val="21"/>
                <w:sz w:val="21"/>
                <w:szCs w:val="21"/>
              </w:rPr>
            </w:pPr>
            <w:r>
              <w:rPr>
                <w:color w:val="000000"/>
                <w:kern w:val="0"/>
                <w:sz w:val="21"/>
                <w:szCs w:val="21"/>
                <w:lang w:bidi="ar"/>
              </w:rPr>
              <w:t xml:space="preserve">2.646 </w:t>
            </w:r>
          </w:p>
        </w:tc>
        <w:tc>
          <w:tcPr>
            <w:tcW w:w="1122" w:type="dxa"/>
            <w:noWrap w:val="0"/>
            <w:vAlign w:val="center"/>
          </w:tcPr>
          <w:p w14:paraId="0BEE49AB">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2.646 </w:t>
            </w:r>
          </w:p>
        </w:tc>
      </w:tr>
      <w:tr w14:paraId="5A5D5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1423D5FC">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7EF33125">
            <w:pPr>
              <w:widowControl/>
              <w:jc w:val="center"/>
              <w:textAlignment w:val="center"/>
              <w:rPr>
                <w:color w:val="000000"/>
                <w:sz w:val="21"/>
                <w:szCs w:val="21"/>
              </w:rPr>
            </w:pPr>
            <w:r>
              <w:rPr>
                <w:color w:val="000000"/>
                <w:kern w:val="0"/>
                <w:sz w:val="21"/>
                <w:szCs w:val="21"/>
                <w:lang w:bidi="ar"/>
              </w:rPr>
              <w:t>氯化氢</w:t>
            </w:r>
          </w:p>
        </w:tc>
        <w:tc>
          <w:tcPr>
            <w:tcW w:w="0" w:type="auto"/>
            <w:noWrap w:val="0"/>
            <w:vAlign w:val="center"/>
          </w:tcPr>
          <w:p w14:paraId="78D82168">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9A2A1BC">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7B55FA37">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2412167F">
            <w:pPr>
              <w:widowControl/>
              <w:jc w:val="center"/>
              <w:textAlignment w:val="center"/>
              <w:rPr>
                <w:snapToGrid w:val="0"/>
                <w:color w:val="000000"/>
                <w:kern w:val="0"/>
                <w:sz w:val="21"/>
                <w:szCs w:val="21"/>
              </w:rPr>
            </w:pPr>
            <w:r>
              <w:rPr>
                <w:color w:val="000000"/>
                <w:kern w:val="0"/>
                <w:sz w:val="21"/>
                <w:szCs w:val="21"/>
                <w:lang w:bidi="ar"/>
              </w:rPr>
              <w:t xml:space="preserve">0.021 </w:t>
            </w:r>
          </w:p>
        </w:tc>
        <w:tc>
          <w:tcPr>
            <w:tcW w:w="0" w:type="auto"/>
            <w:noWrap w:val="0"/>
            <w:vAlign w:val="center"/>
          </w:tcPr>
          <w:p w14:paraId="0644FD4B">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55B9F58A">
            <w:pPr>
              <w:widowControl/>
              <w:jc w:val="center"/>
              <w:textAlignment w:val="center"/>
              <w:rPr>
                <w:snapToGrid w:val="0"/>
                <w:color w:val="000000"/>
                <w:kern w:val="21"/>
                <w:sz w:val="21"/>
                <w:szCs w:val="21"/>
              </w:rPr>
            </w:pPr>
            <w:r>
              <w:rPr>
                <w:color w:val="000000"/>
                <w:kern w:val="0"/>
                <w:sz w:val="21"/>
                <w:szCs w:val="21"/>
                <w:lang w:bidi="ar"/>
              </w:rPr>
              <w:t xml:space="preserve">0.021 </w:t>
            </w:r>
          </w:p>
        </w:tc>
        <w:tc>
          <w:tcPr>
            <w:tcW w:w="1122" w:type="dxa"/>
            <w:noWrap w:val="0"/>
            <w:vAlign w:val="center"/>
          </w:tcPr>
          <w:p w14:paraId="216791D0">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0.021 </w:t>
            </w:r>
          </w:p>
        </w:tc>
      </w:tr>
      <w:tr w14:paraId="35DB6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41C28467">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2C087552">
            <w:pPr>
              <w:widowControl/>
              <w:jc w:val="center"/>
              <w:textAlignment w:val="center"/>
              <w:rPr>
                <w:color w:val="000000"/>
                <w:sz w:val="21"/>
                <w:szCs w:val="21"/>
              </w:rPr>
            </w:pPr>
            <w:r>
              <w:rPr>
                <w:color w:val="000000"/>
                <w:kern w:val="0"/>
                <w:sz w:val="21"/>
                <w:szCs w:val="21"/>
                <w:lang w:bidi="ar"/>
              </w:rPr>
              <w:t>氯乙烯</w:t>
            </w:r>
          </w:p>
        </w:tc>
        <w:tc>
          <w:tcPr>
            <w:tcW w:w="0" w:type="auto"/>
            <w:noWrap w:val="0"/>
            <w:vAlign w:val="center"/>
          </w:tcPr>
          <w:p w14:paraId="28971FB4">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E2F20A1">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189D0C36">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4F3D280C">
            <w:pPr>
              <w:widowControl/>
              <w:jc w:val="center"/>
              <w:textAlignment w:val="center"/>
              <w:rPr>
                <w:snapToGrid w:val="0"/>
                <w:color w:val="000000"/>
                <w:kern w:val="0"/>
                <w:sz w:val="21"/>
                <w:szCs w:val="21"/>
              </w:rPr>
            </w:pPr>
            <w:r>
              <w:rPr>
                <w:color w:val="000000"/>
                <w:kern w:val="0"/>
                <w:sz w:val="21"/>
                <w:szCs w:val="21"/>
                <w:lang w:bidi="ar"/>
              </w:rPr>
              <w:t xml:space="preserve">0.033 </w:t>
            </w:r>
          </w:p>
        </w:tc>
        <w:tc>
          <w:tcPr>
            <w:tcW w:w="0" w:type="auto"/>
            <w:noWrap w:val="0"/>
            <w:vAlign w:val="center"/>
          </w:tcPr>
          <w:p w14:paraId="4038ED3B">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59E1816E">
            <w:pPr>
              <w:widowControl/>
              <w:jc w:val="center"/>
              <w:textAlignment w:val="center"/>
              <w:rPr>
                <w:snapToGrid w:val="0"/>
                <w:color w:val="000000"/>
                <w:kern w:val="21"/>
                <w:sz w:val="21"/>
                <w:szCs w:val="21"/>
              </w:rPr>
            </w:pPr>
            <w:r>
              <w:rPr>
                <w:color w:val="000000"/>
                <w:kern w:val="0"/>
                <w:sz w:val="21"/>
                <w:szCs w:val="21"/>
                <w:lang w:bidi="ar"/>
              </w:rPr>
              <w:t xml:space="preserve">0.033 </w:t>
            </w:r>
          </w:p>
        </w:tc>
        <w:tc>
          <w:tcPr>
            <w:tcW w:w="1122" w:type="dxa"/>
            <w:noWrap w:val="0"/>
            <w:vAlign w:val="center"/>
          </w:tcPr>
          <w:p w14:paraId="4D209AB5">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0.033 </w:t>
            </w:r>
          </w:p>
        </w:tc>
      </w:tr>
      <w:tr w14:paraId="3A5DB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0ED33F8A">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35BE25F8">
            <w:pPr>
              <w:widowControl/>
              <w:jc w:val="center"/>
              <w:textAlignment w:val="center"/>
              <w:rPr>
                <w:color w:val="000000"/>
                <w:kern w:val="0"/>
                <w:sz w:val="21"/>
                <w:szCs w:val="21"/>
                <w:lang w:bidi="ar"/>
              </w:rPr>
            </w:pPr>
            <w:r>
              <w:rPr>
                <w:color w:val="000000"/>
                <w:kern w:val="0"/>
                <w:sz w:val="21"/>
                <w:szCs w:val="21"/>
                <w:lang w:bidi="ar"/>
              </w:rPr>
              <w:t>臭气浓度</w:t>
            </w:r>
          </w:p>
        </w:tc>
        <w:tc>
          <w:tcPr>
            <w:tcW w:w="0" w:type="auto"/>
            <w:noWrap w:val="0"/>
            <w:vAlign w:val="center"/>
          </w:tcPr>
          <w:p w14:paraId="63C14CB9">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6C147EB6">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39F9CE97">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3053FC1">
            <w:pPr>
              <w:widowControl/>
              <w:jc w:val="center"/>
              <w:textAlignment w:val="center"/>
              <w:rPr>
                <w:color w:val="000000"/>
                <w:kern w:val="0"/>
                <w:sz w:val="21"/>
                <w:szCs w:val="21"/>
                <w:lang w:bidi="ar"/>
              </w:rPr>
            </w:pPr>
            <w:r>
              <w:rPr>
                <w:rFonts w:hint="eastAsia"/>
                <w:color w:val="000000"/>
                <w:kern w:val="0"/>
                <w:sz w:val="21"/>
                <w:szCs w:val="21"/>
                <w:lang w:bidi="ar"/>
              </w:rPr>
              <w:t>少量</w:t>
            </w:r>
          </w:p>
        </w:tc>
        <w:tc>
          <w:tcPr>
            <w:tcW w:w="0" w:type="auto"/>
            <w:noWrap w:val="0"/>
            <w:vAlign w:val="center"/>
          </w:tcPr>
          <w:p w14:paraId="7E6E4904">
            <w:pPr>
              <w:widowControl/>
              <w:jc w:val="center"/>
              <w:textAlignment w:val="center"/>
              <w:rPr>
                <w:color w:val="000000"/>
                <w:kern w:val="0"/>
                <w:sz w:val="21"/>
                <w:szCs w:val="21"/>
                <w:lang w:bidi="ar"/>
              </w:rPr>
            </w:pPr>
            <w:r>
              <w:rPr>
                <w:rFonts w:hint="eastAsia"/>
                <w:color w:val="000000"/>
                <w:kern w:val="0"/>
                <w:sz w:val="21"/>
                <w:szCs w:val="21"/>
                <w:lang w:bidi="ar"/>
              </w:rPr>
              <w:t>/</w:t>
            </w:r>
          </w:p>
        </w:tc>
        <w:tc>
          <w:tcPr>
            <w:tcW w:w="0" w:type="auto"/>
            <w:noWrap w:val="0"/>
            <w:vAlign w:val="center"/>
          </w:tcPr>
          <w:p w14:paraId="41D5C584">
            <w:pPr>
              <w:widowControl/>
              <w:jc w:val="center"/>
              <w:textAlignment w:val="center"/>
              <w:rPr>
                <w:color w:val="000000"/>
                <w:kern w:val="0"/>
                <w:sz w:val="21"/>
                <w:szCs w:val="21"/>
                <w:lang w:bidi="ar"/>
              </w:rPr>
            </w:pPr>
            <w:r>
              <w:rPr>
                <w:rFonts w:hint="eastAsia"/>
                <w:color w:val="000000"/>
                <w:kern w:val="0"/>
                <w:sz w:val="21"/>
                <w:szCs w:val="21"/>
                <w:lang w:bidi="ar"/>
              </w:rPr>
              <w:t>少量</w:t>
            </w:r>
          </w:p>
        </w:tc>
        <w:tc>
          <w:tcPr>
            <w:tcW w:w="0" w:type="auto"/>
            <w:noWrap w:val="0"/>
            <w:vAlign w:val="center"/>
          </w:tcPr>
          <w:p w14:paraId="5217A16D">
            <w:pPr>
              <w:widowControl/>
              <w:jc w:val="center"/>
              <w:textAlignment w:val="center"/>
              <w:rPr>
                <w:color w:val="000000"/>
                <w:sz w:val="21"/>
                <w:szCs w:val="21"/>
              </w:rPr>
            </w:pPr>
            <w:r>
              <w:rPr>
                <w:rFonts w:hint="eastAsia"/>
                <w:color w:val="000000"/>
                <w:kern w:val="0"/>
                <w:sz w:val="21"/>
                <w:szCs w:val="21"/>
                <w:lang w:bidi="ar"/>
              </w:rPr>
              <w:t>少量</w:t>
            </w:r>
          </w:p>
        </w:tc>
      </w:tr>
      <w:tr w14:paraId="26AF5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14:paraId="3E1CD94C">
            <w:pPr>
              <w:pStyle w:val="42"/>
              <w:spacing w:beforeLines="0" w:afterLines="0" w:line="240" w:lineRule="auto"/>
              <w:rPr>
                <w:rFonts w:ascii="Times New Roman" w:hAnsi="Times New Roman"/>
                <w:snapToGrid w:val="0"/>
                <w:color w:val="000000"/>
                <w:kern w:val="21"/>
                <w:sz w:val="21"/>
                <w:szCs w:val="21"/>
              </w:rPr>
            </w:pPr>
            <w:r>
              <w:rPr>
                <w:rFonts w:ascii="Times New Roman" w:hAnsi="Times New Roman"/>
                <w:snapToGrid w:val="0"/>
                <w:color w:val="000000"/>
                <w:kern w:val="21"/>
                <w:sz w:val="21"/>
                <w:szCs w:val="21"/>
              </w:rPr>
              <w:t>废水</w:t>
            </w:r>
          </w:p>
        </w:tc>
        <w:tc>
          <w:tcPr>
            <w:tcW w:w="0" w:type="auto"/>
            <w:noWrap w:val="0"/>
            <w:vAlign w:val="center"/>
          </w:tcPr>
          <w:p w14:paraId="2DA03BDB">
            <w:pPr>
              <w:widowControl/>
              <w:jc w:val="center"/>
              <w:textAlignment w:val="center"/>
              <w:rPr>
                <w:color w:val="000000"/>
                <w:sz w:val="21"/>
                <w:szCs w:val="21"/>
              </w:rPr>
            </w:pPr>
            <w:r>
              <w:rPr>
                <w:iCs/>
                <w:color w:val="000000"/>
                <w:kern w:val="0"/>
                <w:sz w:val="21"/>
                <w:szCs w:val="21"/>
                <w:lang w:bidi="ar"/>
              </w:rPr>
              <w:t>COD</w:t>
            </w:r>
          </w:p>
        </w:tc>
        <w:tc>
          <w:tcPr>
            <w:tcW w:w="0" w:type="auto"/>
            <w:noWrap w:val="0"/>
            <w:vAlign w:val="center"/>
          </w:tcPr>
          <w:p w14:paraId="643BBF59">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2F5DC937">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1C891CFB">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6BF71A5F">
            <w:pPr>
              <w:widowControl/>
              <w:jc w:val="center"/>
              <w:textAlignment w:val="center"/>
              <w:rPr>
                <w:color w:val="000000"/>
                <w:kern w:val="0"/>
                <w:sz w:val="21"/>
                <w:szCs w:val="21"/>
                <w:lang w:bidi="ar"/>
              </w:rPr>
            </w:pPr>
            <w:r>
              <w:rPr>
                <w:color w:val="000000"/>
                <w:kern w:val="0"/>
                <w:sz w:val="21"/>
                <w:szCs w:val="21"/>
                <w:lang w:bidi="ar"/>
              </w:rPr>
              <w:t xml:space="preserve">0.089 </w:t>
            </w:r>
          </w:p>
        </w:tc>
        <w:tc>
          <w:tcPr>
            <w:tcW w:w="0" w:type="auto"/>
            <w:noWrap w:val="0"/>
            <w:vAlign w:val="center"/>
          </w:tcPr>
          <w:p w14:paraId="56710C8C">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378963C0">
            <w:pPr>
              <w:widowControl/>
              <w:jc w:val="center"/>
              <w:textAlignment w:val="center"/>
              <w:rPr>
                <w:snapToGrid w:val="0"/>
                <w:color w:val="000000"/>
                <w:kern w:val="0"/>
                <w:sz w:val="21"/>
                <w:szCs w:val="21"/>
              </w:rPr>
            </w:pPr>
            <w:r>
              <w:rPr>
                <w:color w:val="000000"/>
                <w:kern w:val="0"/>
                <w:sz w:val="21"/>
                <w:szCs w:val="21"/>
                <w:lang w:bidi="ar"/>
              </w:rPr>
              <w:t xml:space="preserve">0.089 </w:t>
            </w:r>
          </w:p>
        </w:tc>
        <w:tc>
          <w:tcPr>
            <w:tcW w:w="1122" w:type="dxa"/>
            <w:noWrap w:val="0"/>
            <w:vAlign w:val="center"/>
          </w:tcPr>
          <w:p w14:paraId="2A4285F2">
            <w:pPr>
              <w:widowControl/>
              <w:jc w:val="center"/>
              <w:textAlignment w:val="center"/>
              <w:rPr>
                <w:color w:val="000000"/>
                <w:kern w:val="0"/>
                <w:sz w:val="21"/>
                <w:szCs w:val="21"/>
              </w:rPr>
            </w:pPr>
            <w:r>
              <w:rPr>
                <w:rFonts w:hint="eastAsia"/>
                <w:color w:val="000000"/>
                <w:kern w:val="0"/>
                <w:sz w:val="21"/>
                <w:szCs w:val="21"/>
                <w:lang w:bidi="ar"/>
              </w:rPr>
              <w:t>+</w:t>
            </w:r>
            <w:r>
              <w:rPr>
                <w:color w:val="000000"/>
                <w:kern w:val="0"/>
                <w:sz w:val="21"/>
                <w:szCs w:val="21"/>
                <w:lang w:bidi="ar"/>
              </w:rPr>
              <w:t xml:space="preserve">0.089 </w:t>
            </w:r>
          </w:p>
        </w:tc>
      </w:tr>
      <w:tr w14:paraId="2FD82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0DCB8C9B">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6958C4A4">
            <w:pPr>
              <w:widowControl/>
              <w:jc w:val="center"/>
              <w:textAlignment w:val="center"/>
              <w:rPr>
                <w:color w:val="000000"/>
                <w:sz w:val="21"/>
                <w:szCs w:val="21"/>
              </w:rPr>
            </w:pPr>
            <w:r>
              <w:rPr>
                <w:iCs/>
                <w:color w:val="000000"/>
                <w:kern w:val="0"/>
                <w:sz w:val="21"/>
                <w:szCs w:val="21"/>
                <w:lang w:bidi="ar"/>
              </w:rPr>
              <w:t>BOD</w:t>
            </w:r>
            <w:r>
              <w:rPr>
                <w:iCs/>
                <w:color w:val="000000"/>
                <w:kern w:val="0"/>
                <w:sz w:val="21"/>
                <w:szCs w:val="21"/>
                <w:vertAlign w:val="subscript"/>
                <w:lang w:bidi="ar"/>
              </w:rPr>
              <w:t>5</w:t>
            </w:r>
          </w:p>
        </w:tc>
        <w:tc>
          <w:tcPr>
            <w:tcW w:w="0" w:type="auto"/>
            <w:noWrap w:val="0"/>
            <w:vAlign w:val="center"/>
          </w:tcPr>
          <w:p w14:paraId="40624D2B">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0055DC51">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0D6D3C9D">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75FCA203">
            <w:pPr>
              <w:widowControl/>
              <w:jc w:val="center"/>
              <w:textAlignment w:val="center"/>
              <w:rPr>
                <w:color w:val="000000"/>
                <w:kern w:val="0"/>
                <w:sz w:val="21"/>
                <w:szCs w:val="21"/>
                <w:lang w:bidi="ar"/>
              </w:rPr>
            </w:pPr>
            <w:r>
              <w:rPr>
                <w:color w:val="000000"/>
                <w:kern w:val="0"/>
                <w:sz w:val="21"/>
                <w:szCs w:val="21"/>
                <w:lang w:bidi="ar"/>
              </w:rPr>
              <w:t xml:space="preserve">0.018 </w:t>
            </w:r>
          </w:p>
        </w:tc>
        <w:tc>
          <w:tcPr>
            <w:tcW w:w="0" w:type="auto"/>
            <w:noWrap w:val="0"/>
            <w:vAlign w:val="center"/>
          </w:tcPr>
          <w:p w14:paraId="20005ECB">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26065BA1">
            <w:pPr>
              <w:widowControl/>
              <w:jc w:val="center"/>
              <w:textAlignment w:val="center"/>
              <w:rPr>
                <w:snapToGrid w:val="0"/>
                <w:color w:val="000000"/>
                <w:kern w:val="0"/>
                <w:sz w:val="21"/>
                <w:szCs w:val="21"/>
              </w:rPr>
            </w:pPr>
            <w:r>
              <w:rPr>
                <w:color w:val="000000"/>
                <w:kern w:val="0"/>
                <w:sz w:val="21"/>
                <w:szCs w:val="21"/>
                <w:lang w:bidi="ar"/>
              </w:rPr>
              <w:t xml:space="preserve">0.018 </w:t>
            </w:r>
          </w:p>
        </w:tc>
        <w:tc>
          <w:tcPr>
            <w:tcW w:w="1122" w:type="dxa"/>
            <w:noWrap w:val="0"/>
            <w:vAlign w:val="center"/>
          </w:tcPr>
          <w:p w14:paraId="6A7D2FA6">
            <w:pPr>
              <w:widowControl/>
              <w:jc w:val="center"/>
              <w:textAlignment w:val="center"/>
              <w:rPr>
                <w:color w:val="000000"/>
                <w:kern w:val="0"/>
                <w:sz w:val="21"/>
                <w:szCs w:val="21"/>
              </w:rPr>
            </w:pPr>
            <w:r>
              <w:rPr>
                <w:rFonts w:hint="eastAsia"/>
                <w:color w:val="000000"/>
                <w:kern w:val="0"/>
                <w:sz w:val="21"/>
                <w:szCs w:val="21"/>
                <w:lang w:bidi="ar"/>
              </w:rPr>
              <w:t>+</w:t>
            </w:r>
            <w:r>
              <w:rPr>
                <w:color w:val="000000"/>
                <w:kern w:val="0"/>
                <w:sz w:val="21"/>
                <w:szCs w:val="21"/>
                <w:lang w:bidi="ar"/>
              </w:rPr>
              <w:t xml:space="preserve">0.018 </w:t>
            </w:r>
          </w:p>
        </w:tc>
      </w:tr>
      <w:tr w14:paraId="047FA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2087D512">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14DFFEF9">
            <w:pPr>
              <w:widowControl/>
              <w:jc w:val="center"/>
              <w:textAlignment w:val="center"/>
              <w:rPr>
                <w:bCs/>
                <w:color w:val="000000"/>
                <w:sz w:val="21"/>
                <w:szCs w:val="21"/>
              </w:rPr>
            </w:pPr>
            <w:r>
              <w:rPr>
                <w:iCs/>
                <w:color w:val="000000"/>
                <w:kern w:val="0"/>
                <w:sz w:val="21"/>
                <w:szCs w:val="21"/>
                <w:lang w:bidi="ar"/>
              </w:rPr>
              <w:t>SS</w:t>
            </w:r>
          </w:p>
        </w:tc>
        <w:tc>
          <w:tcPr>
            <w:tcW w:w="0" w:type="auto"/>
            <w:noWrap w:val="0"/>
            <w:vAlign w:val="center"/>
          </w:tcPr>
          <w:p w14:paraId="3DE0968D">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554ACE15">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62A141B8">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78E0257A">
            <w:pPr>
              <w:widowControl/>
              <w:jc w:val="center"/>
              <w:textAlignment w:val="center"/>
              <w:rPr>
                <w:color w:val="000000"/>
                <w:kern w:val="0"/>
                <w:sz w:val="21"/>
                <w:szCs w:val="21"/>
                <w:lang w:bidi="ar"/>
              </w:rPr>
            </w:pPr>
            <w:r>
              <w:rPr>
                <w:color w:val="000000"/>
                <w:kern w:val="0"/>
                <w:sz w:val="21"/>
                <w:szCs w:val="21"/>
                <w:lang w:bidi="ar"/>
              </w:rPr>
              <w:t xml:space="preserve">0.062 </w:t>
            </w:r>
          </w:p>
        </w:tc>
        <w:tc>
          <w:tcPr>
            <w:tcW w:w="0" w:type="auto"/>
            <w:noWrap w:val="0"/>
            <w:vAlign w:val="center"/>
          </w:tcPr>
          <w:p w14:paraId="5B8C76E1">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136F61FD">
            <w:pPr>
              <w:widowControl/>
              <w:jc w:val="center"/>
              <w:textAlignment w:val="center"/>
              <w:rPr>
                <w:snapToGrid w:val="0"/>
                <w:color w:val="000000"/>
                <w:kern w:val="0"/>
                <w:sz w:val="21"/>
                <w:szCs w:val="21"/>
              </w:rPr>
            </w:pPr>
            <w:r>
              <w:rPr>
                <w:color w:val="000000"/>
                <w:kern w:val="0"/>
                <w:sz w:val="21"/>
                <w:szCs w:val="21"/>
                <w:lang w:bidi="ar"/>
              </w:rPr>
              <w:t xml:space="preserve">0.062 </w:t>
            </w:r>
          </w:p>
        </w:tc>
        <w:tc>
          <w:tcPr>
            <w:tcW w:w="1122" w:type="dxa"/>
            <w:noWrap w:val="0"/>
            <w:vAlign w:val="center"/>
          </w:tcPr>
          <w:p w14:paraId="2B8D8F18">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0.062 </w:t>
            </w:r>
          </w:p>
        </w:tc>
      </w:tr>
      <w:tr w14:paraId="4C662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14:paraId="3B761579">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73D6259B">
            <w:pPr>
              <w:widowControl/>
              <w:jc w:val="center"/>
              <w:textAlignment w:val="center"/>
              <w:rPr>
                <w:color w:val="000000"/>
                <w:kern w:val="0"/>
                <w:sz w:val="21"/>
                <w:szCs w:val="21"/>
                <w:lang w:bidi="ar"/>
              </w:rPr>
            </w:pPr>
            <w:r>
              <w:rPr>
                <w:iCs/>
                <w:color w:val="000000"/>
                <w:kern w:val="0"/>
                <w:sz w:val="21"/>
                <w:szCs w:val="21"/>
                <w:lang w:bidi="ar"/>
              </w:rPr>
              <w:t>NH</w:t>
            </w:r>
            <w:r>
              <w:rPr>
                <w:iCs/>
                <w:color w:val="000000"/>
                <w:kern w:val="0"/>
                <w:sz w:val="21"/>
                <w:szCs w:val="21"/>
                <w:vertAlign w:val="subscript"/>
                <w:lang w:bidi="ar"/>
              </w:rPr>
              <w:t>3</w:t>
            </w:r>
            <w:r>
              <w:rPr>
                <w:iCs/>
                <w:color w:val="000000"/>
                <w:kern w:val="0"/>
                <w:sz w:val="21"/>
                <w:szCs w:val="21"/>
                <w:lang w:bidi="ar"/>
              </w:rPr>
              <w:t>-N</w:t>
            </w:r>
          </w:p>
        </w:tc>
        <w:tc>
          <w:tcPr>
            <w:tcW w:w="0" w:type="auto"/>
            <w:noWrap w:val="0"/>
            <w:vAlign w:val="center"/>
          </w:tcPr>
          <w:p w14:paraId="4A41041C">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4419A35A">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13DBF88B">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6F63D364">
            <w:pPr>
              <w:widowControl/>
              <w:jc w:val="center"/>
              <w:textAlignment w:val="center"/>
              <w:rPr>
                <w:color w:val="000000"/>
                <w:kern w:val="0"/>
                <w:sz w:val="21"/>
                <w:szCs w:val="21"/>
                <w:lang w:bidi="ar"/>
              </w:rPr>
            </w:pPr>
            <w:r>
              <w:rPr>
                <w:color w:val="000000"/>
                <w:kern w:val="0"/>
                <w:sz w:val="21"/>
                <w:szCs w:val="21"/>
                <w:lang w:bidi="ar"/>
              </w:rPr>
              <w:t xml:space="preserve">0.013 </w:t>
            </w:r>
          </w:p>
        </w:tc>
        <w:tc>
          <w:tcPr>
            <w:tcW w:w="0" w:type="auto"/>
            <w:noWrap w:val="0"/>
            <w:vAlign w:val="center"/>
          </w:tcPr>
          <w:p w14:paraId="79EA05F8">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23FA644E">
            <w:pPr>
              <w:widowControl/>
              <w:jc w:val="center"/>
              <w:textAlignment w:val="center"/>
              <w:rPr>
                <w:snapToGrid w:val="0"/>
                <w:color w:val="000000"/>
                <w:kern w:val="0"/>
                <w:sz w:val="21"/>
                <w:szCs w:val="21"/>
              </w:rPr>
            </w:pPr>
            <w:r>
              <w:rPr>
                <w:color w:val="000000"/>
                <w:kern w:val="0"/>
                <w:sz w:val="21"/>
                <w:szCs w:val="21"/>
                <w:lang w:bidi="ar"/>
              </w:rPr>
              <w:t xml:space="preserve">0.013 </w:t>
            </w:r>
          </w:p>
        </w:tc>
        <w:tc>
          <w:tcPr>
            <w:tcW w:w="1122" w:type="dxa"/>
            <w:noWrap w:val="0"/>
            <w:vAlign w:val="center"/>
          </w:tcPr>
          <w:p w14:paraId="16F867A1">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0.013 </w:t>
            </w:r>
          </w:p>
        </w:tc>
      </w:tr>
      <w:tr w14:paraId="33F71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4DA75EA2">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34E705B3">
            <w:pPr>
              <w:widowControl/>
              <w:jc w:val="center"/>
              <w:textAlignment w:val="center"/>
              <w:rPr>
                <w:color w:val="000000"/>
                <w:kern w:val="0"/>
                <w:sz w:val="21"/>
                <w:szCs w:val="21"/>
              </w:rPr>
            </w:pPr>
            <w:r>
              <w:rPr>
                <w:iCs/>
                <w:color w:val="000000"/>
                <w:kern w:val="0"/>
                <w:sz w:val="21"/>
                <w:szCs w:val="21"/>
                <w:lang w:bidi="ar"/>
              </w:rPr>
              <w:t>石油类</w:t>
            </w:r>
          </w:p>
        </w:tc>
        <w:tc>
          <w:tcPr>
            <w:tcW w:w="0" w:type="auto"/>
            <w:noWrap w:val="0"/>
            <w:vAlign w:val="center"/>
          </w:tcPr>
          <w:p w14:paraId="4E8B5DD1">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191ED787">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22E91BE2">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1EEFD8AB">
            <w:pPr>
              <w:widowControl/>
              <w:jc w:val="center"/>
              <w:textAlignment w:val="center"/>
              <w:rPr>
                <w:color w:val="000000"/>
                <w:kern w:val="0"/>
                <w:sz w:val="21"/>
                <w:szCs w:val="21"/>
                <w:lang w:bidi="ar"/>
              </w:rPr>
            </w:pPr>
            <w:r>
              <w:rPr>
                <w:color w:val="000000"/>
                <w:kern w:val="0"/>
                <w:sz w:val="21"/>
                <w:szCs w:val="21"/>
                <w:lang w:bidi="ar"/>
              </w:rPr>
              <w:t xml:space="preserve">0.004 </w:t>
            </w:r>
          </w:p>
        </w:tc>
        <w:tc>
          <w:tcPr>
            <w:tcW w:w="0" w:type="auto"/>
            <w:noWrap w:val="0"/>
            <w:vAlign w:val="center"/>
          </w:tcPr>
          <w:p w14:paraId="148C53A2">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42ED6EE5">
            <w:pPr>
              <w:widowControl/>
              <w:jc w:val="center"/>
              <w:textAlignment w:val="center"/>
              <w:rPr>
                <w:snapToGrid w:val="0"/>
                <w:color w:val="000000"/>
                <w:kern w:val="0"/>
                <w:sz w:val="21"/>
                <w:szCs w:val="21"/>
              </w:rPr>
            </w:pPr>
            <w:r>
              <w:rPr>
                <w:color w:val="000000"/>
                <w:kern w:val="0"/>
                <w:sz w:val="21"/>
                <w:szCs w:val="21"/>
                <w:lang w:bidi="ar"/>
              </w:rPr>
              <w:t xml:space="preserve">0.004 </w:t>
            </w:r>
          </w:p>
        </w:tc>
        <w:tc>
          <w:tcPr>
            <w:tcW w:w="1122" w:type="dxa"/>
            <w:noWrap w:val="0"/>
            <w:vAlign w:val="center"/>
          </w:tcPr>
          <w:p w14:paraId="45BBAFAE">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0.004 </w:t>
            </w:r>
          </w:p>
        </w:tc>
      </w:tr>
      <w:tr w14:paraId="47672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14:paraId="611769EA">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6619605F">
            <w:pPr>
              <w:widowControl/>
              <w:jc w:val="center"/>
              <w:textAlignment w:val="center"/>
              <w:rPr>
                <w:iCs/>
                <w:color w:val="000000"/>
                <w:kern w:val="0"/>
                <w:sz w:val="21"/>
                <w:szCs w:val="21"/>
                <w:lang w:bidi="ar"/>
              </w:rPr>
            </w:pPr>
            <w:r>
              <w:rPr>
                <w:iCs/>
                <w:color w:val="000000"/>
                <w:kern w:val="0"/>
                <w:sz w:val="21"/>
                <w:szCs w:val="21"/>
                <w:lang w:bidi="ar"/>
              </w:rPr>
              <w:t>总磷</w:t>
            </w:r>
          </w:p>
        </w:tc>
        <w:tc>
          <w:tcPr>
            <w:tcW w:w="0" w:type="auto"/>
            <w:noWrap w:val="0"/>
            <w:vAlign w:val="center"/>
          </w:tcPr>
          <w:p w14:paraId="05968A88">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0E8E9C67">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09FC3A34">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733C721D">
            <w:pPr>
              <w:widowControl/>
              <w:jc w:val="center"/>
              <w:textAlignment w:val="center"/>
              <w:rPr>
                <w:color w:val="000000"/>
                <w:kern w:val="0"/>
                <w:sz w:val="21"/>
                <w:szCs w:val="21"/>
                <w:lang w:bidi="ar"/>
              </w:rPr>
            </w:pPr>
            <w:r>
              <w:rPr>
                <w:color w:val="000000"/>
                <w:kern w:val="0"/>
                <w:sz w:val="21"/>
                <w:szCs w:val="21"/>
                <w:lang w:bidi="ar"/>
              </w:rPr>
              <w:t xml:space="preserve">0.0004 </w:t>
            </w:r>
          </w:p>
        </w:tc>
        <w:tc>
          <w:tcPr>
            <w:tcW w:w="0" w:type="auto"/>
            <w:noWrap w:val="0"/>
            <w:vAlign w:val="center"/>
          </w:tcPr>
          <w:p w14:paraId="4316AFCE">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75E1C11C">
            <w:pPr>
              <w:widowControl/>
              <w:jc w:val="center"/>
              <w:textAlignment w:val="center"/>
              <w:rPr>
                <w:snapToGrid w:val="0"/>
                <w:color w:val="000000"/>
                <w:kern w:val="0"/>
                <w:sz w:val="21"/>
                <w:szCs w:val="21"/>
              </w:rPr>
            </w:pPr>
            <w:r>
              <w:rPr>
                <w:color w:val="000000"/>
                <w:kern w:val="0"/>
                <w:sz w:val="21"/>
                <w:szCs w:val="21"/>
                <w:lang w:bidi="ar"/>
              </w:rPr>
              <w:t xml:space="preserve">0.0004 </w:t>
            </w:r>
          </w:p>
        </w:tc>
        <w:tc>
          <w:tcPr>
            <w:tcW w:w="1122" w:type="dxa"/>
            <w:noWrap w:val="0"/>
            <w:vAlign w:val="center"/>
          </w:tcPr>
          <w:p w14:paraId="4C292ABF">
            <w:pPr>
              <w:widowControl/>
              <w:jc w:val="center"/>
              <w:textAlignment w:val="center"/>
              <w:rPr>
                <w:color w:val="000000"/>
                <w:sz w:val="21"/>
                <w:szCs w:val="21"/>
              </w:rPr>
            </w:pPr>
            <w:r>
              <w:rPr>
                <w:rFonts w:hint="eastAsia"/>
                <w:color w:val="000000"/>
                <w:kern w:val="0"/>
                <w:sz w:val="21"/>
                <w:szCs w:val="21"/>
                <w:lang w:bidi="ar"/>
              </w:rPr>
              <w:t>+</w:t>
            </w:r>
            <w:r>
              <w:rPr>
                <w:color w:val="000000"/>
                <w:kern w:val="0"/>
                <w:sz w:val="21"/>
                <w:szCs w:val="21"/>
                <w:lang w:bidi="ar"/>
              </w:rPr>
              <w:t xml:space="preserve">0.0004 </w:t>
            </w:r>
          </w:p>
        </w:tc>
      </w:tr>
      <w:tr w14:paraId="14B8E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05" w:type="dxa"/>
            <w:vMerge w:val="restart"/>
            <w:noWrap w:val="0"/>
            <w:vAlign w:val="center"/>
          </w:tcPr>
          <w:p w14:paraId="17756FA3">
            <w:pPr>
              <w:pStyle w:val="42"/>
              <w:spacing w:beforeLines="0" w:afterLines="0" w:line="240" w:lineRule="auto"/>
              <w:rPr>
                <w:rFonts w:ascii="Times New Roman" w:hAnsi="Times New Roman"/>
                <w:snapToGrid w:val="0"/>
                <w:color w:val="000000"/>
                <w:kern w:val="21"/>
                <w:sz w:val="21"/>
                <w:szCs w:val="21"/>
              </w:rPr>
            </w:pPr>
            <w:r>
              <w:rPr>
                <w:rFonts w:ascii="Times New Roman" w:hAnsi="Times New Roman"/>
                <w:snapToGrid w:val="0"/>
                <w:color w:val="000000"/>
                <w:kern w:val="21"/>
                <w:sz w:val="21"/>
                <w:szCs w:val="21"/>
              </w:rPr>
              <w:t>一般工业固体废物</w:t>
            </w:r>
          </w:p>
        </w:tc>
        <w:tc>
          <w:tcPr>
            <w:tcW w:w="0" w:type="auto"/>
            <w:noWrap w:val="0"/>
            <w:vAlign w:val="center"/>
          </w:tcPr>
          <w:p w14:paraId="1E37FF74">
            <w:pPr>
              <w:jc w:val="center"/>
              <w:rPr>
                <w:color w:val="000000"/>
                <w:kern w:val="0"/>
                <w:sz w:val="21"/>
                <w:szCs w:val="21"/>
              </w:rPr>
            </w:pPr>
            <w:r>
              <w:rPr>
                <w:color w:val="000000"/>
                <w:kern w:val="0"/>
                <w:sz w:val="21"/>
                <w:szCs w:val="21"/>
              </w:rPr>
              <w:t>废包装袋</w:t>
            </w:r>
          </w:p>
        </w:tc>
        <w:tc>
          <w:tcPr>
            <w:tcW w:w="0" w:type="auto"/>
            <w:noWrap w:val="0"/>
            <w:vAlign w:val="center"/>
          </w:tcPr>
          <w:p w14:paraId="387C9EE7">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514C50BC">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1F716ADA">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2055B338">
            <w:pPr>
              <w:jc w:val="center"/>
              <w:rPr>
                <w:snapToGrid w:val="0"/>
                <w:color w:val="000000"/>
                <w:kern w:val="0"/>
                <w:sz w:val="21"/>
                <w:szCs w:val="21"/>
              </w:rPr>
            </w:pPr>
            <w:r>
              <w:rPr>
                <w:rFonts w:hint="eastAsia"/>
                <w:color w:val="000000"/>
                <w:sz w:val="21"/>
                <w:szCs w:val="21"/>
              </w:rPr>
              <w:t>3.5</w:t>
            </w:r>
          </w:p>
        </w:tc>
        <w:tc>
          <w:tcPr>
            <w:tcW w:w="0" w:type="auto"/>
            <w:noWrap w:val="0"/>
            <w:vAlign w:val="center"/>
          </w:tcPr>
          <w:p w14:paraId="620040FD">
            <w:pPr>
              <w:widowControl/>
              <w:jc w:val="center"/>
              <w:textAlignment w:val="center"/>
              <w:rPr>
                <w:snapToGrid w:val="0"/>
                <w:color w:val="000000"/>
                <w:kern w:val="21"/>
                <w:sz w:val="21"/>
                <w:szCs w:val="21"/>
              </w:rPr>
            </w:pPr>
            <w:r>
              <w:rPr>
                <w:rFonts w:hint="eastAsia"/>
                <w:color w:val="000000"/>
                <w:kern w:val="0"/>
                <w:sz w:val="21"/>
                <w:szCs w:val="21"/>
                <w:lang w:bidi="ar"/>
              </w:rPr>
              <w:t>/</w:t>
            </w:r>
          </w:p>
        </w:tc>
        <w:tc>
          <w:tcPr>
            <w:tcW w:w="2072" w:type="dxa"/>
            <w:noWrap w:val="0"/>
            <w:vAlign w:val="center"/>
          </w:tcPr>
          <w:p w14:paraId="536C9B36">
            <w:pPr>
              <w:jc w:val="center"/>
              <w:rPr>
                <w:snapToGrid w:val="0"/>
                <w:color w:val="000000"/>
                <w:kern w:val="0"/>
                <w:sz w:val="21"/>
                <w:szCs w:val="21"/>
              </w:rPr>
            </w:pPr>
            <w:r>
              <w:rPr>
                <w:rFonts w:hint="eastAsia"/>
                <w:color w:val="000000"/>
                <w:sz w:val="21"/>
                <w:szCs w:val="21"/>
              </w:rPr>
              <w:t>3.5</w:t>
            </w:r>
          </w:p>
        </w:tc>
        <w:tc>
          <w:tcPr>
            <w:tcW w:w="1122" w:type="dxa"/>
            <w:noWrap w:val="0"/>
            <w:vAlign w:val="center"/>
          </w:tcPr>
          <w:p w14:paraId="503E6DE6">
            <w:pPr>
              <w:jc w:val="center"/>
              <w:rPr>
                <w:color w:val="000000"/>
                <w:kern w:val="0"/>
                <w:sz w:val="21"/>
                <w:szCs w:val="21"/>
              </w:rPr>
            </w:pPr>
            <w:r>
              <w:rPr>
                <w:rFonts w:hint="eastAsia"/>
                <w:color w:val="000000"/>
                <w:sz w:val="21"/>
                <w:szCs w:val="21"/>
              </w:rPr>
              <w:t>+3.5</w:t>
            </w:r>
          </w:p>
        </w:tc>
      </w:tr>
      <w:tr w14:paraId="5710C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1305" w:type="dxa"/>
            <w:vMerge w:val="continue"/>
            <w:noWrap w:val="0"/>
            <w:vAlign w:val="center"/>
          </w:tcPr>
          <w:p w14:paraId="5A5EBAC1">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7ED71F23">
            <w:pPr>
              <w:jc w:val="center"/>
              <w:rPr>
                <w:color w:val="000000"/>
                <w:kern w:val="0"/>
                <w:sz w:val="21"/>
                <w:szCs w:val="21"/>
              </w:rPr>
            </w:pPr>
            <w:r>
              <w:rPr>
                <w:color w:val="000000"/>
                <w:kern w:val="0"/>
                <w:sz w:val="21"/>
                <w:szCs w:val="21"/>
              </w:rPr>
              <w:t>质检塑料废样</w:t>
            </w:r>
          </w:p>
        </w:tc>
        <w:tc>
          <w:tcPr>
            <w:tcW w:w="0" w:type="auto"/>
            <w:noWrap w:val="0"/>
            <w:vAlign w:val="center"/>
          </w:tcPr>
          <w:p w14:paraId="11FE8203">
            <w:pPr>
              <w:jc w:val="center"/>
              <w:rPr>
                <w:color w:val="000000"/>
                <w:sz w:val="21"/>
                <w:szCs w:val="21"/>
              </w:rPr>
            </w:pPr>
            <w:r>
              <w:rPr>
                <w:rFonts w:hint="eastAsia"/>
                <w:snapToGrid w:val="0"/>
                <w:color w:val="000000"/>
                <w:kern w:val="21"/>
                <w:sz w:val="21"/>
                <w:szCs w:val="21"/>
              </w:rPr>
              <w:t>0</w:t>
            </w:r>
          </w:p>
        </w:tc>
        <w:tc>
          <w:tcPr>
            <w:tcW w:w="0" w:type="auto"/>
            <w:noWrap w:val="0"/>
            <w:vAlign w:val="center"/>
          </w:tcPr>
          <w:p w14:paraId="105CD498">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4B3955B">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30267BB3">
            <w:pPr>
              <w:jc w:val="center"/>
              <w:rPr>
                <w:snapToGrid w:val="0"/>
                <w:color w:val="000000"/>
                <w:kern w:val="0"/>
                <w:sz w:val="21"/>
                <w:szCs w:val="21"/>
              </w:rPr>
            </w:pPr>
            <w:r>
              <w:rPr>
                <w:rFonts w:hint="eastAsia"/>
                <w:color w:val="000000"/>
                <w:sz w:val="21"/>
                <w:szCs w:val="21"/>
              </w:rPr>
              <w:t>0.5</w:t>
            </w:r>
          </w:p>
        </w:tc>
        <w:tc>
          <w:tcPr>
            <w:tcW w:w="0" w:type="auto"/>
            <w:noWrap w:val="0"/>
            <w:vAlign w:val="center"/>
          </w:tcPr>
          <w:p w14:paraId="20045088">
            <w:pPr>
              <w:widowControl/>
              <w:jc w:val="center"/>
              <w:textAlignment w:val="center"/>
              <w:rPr>
                <w:snapToGrid w:val="0"/>
                <w:color w:val="000000"/>
                <w:kern w:val="21"/>
                <w:sz w:val="21"/>
                <w:szCs w:val="21"/>
              </w:rPr>
            </w:pPr>
            <w:r>
              <w:rPr>
                <w:rFonts w:hint="eastAsia"/>
                <w:color w:val="000000"/>
                <w:kern w:val="0"/>
                <w:sz w:val="21"/>
                <w:szCs w:val="21"/>
                <w:lang w:bidi="ar"/>
              </w:rPr>
              <w:t>/</w:t>
            </w:r>
          </w:p>
        </w:tc>
        <w:tc>
          <w:tcPr>
            <w:tcW w:w="2072" w:type="dxa"/>
            <w:noWrap w:val="0"/>
            <w:vAlign w:val="center"/>
          </w:tcPr>
          <w:p w14:paraId="76C27819">
            <w:pPr>
              <w:jc w:val="center"/>
              <w:rPr>
                <w:snapToGrid w:val="0"/>
                <w:color w:val="000000"/>
                <w:kern w:val="0"/>
                <w:sz w:val="21"/>
                <w:szCs w:val="21"/>
              </w:rPr>
            </w:pPr>
            <w:r>
              <w:rPr>
                <w:rFonts w:hint="eastAsia"/>
                <w:color w:val="000000"/>
                <w:sz w:val="21"/>
                <w:szCs w:val="21"/>
              </w:rPr>
              <w:t>0.5</w:t>
            </w:r>
          </w:p>
        </w:tc>
        <w:tc>
          <w:tcPr>
            <w:tcW w:w="1122" w:type="dxa"/>
            <w:noWrap w:val="0"/>
            <w:vAlign w:val="center"/>
          </w:tcPr>
          <w:p w14:paraId="06EAB0C3">
            <w:pPr>
              <w:jc w:val="center"/>
              <w:rPr>
                <w:color w:val="000000"/>
                <w:kern w:val="0"/>
                <w:sz w:val="21"/>
                <w:szCs w:val="21"/>
              </w:rPr>
            </w:pPr>
            <w:r>
              <w:rPr>
                <w:rFonts w:hint="eastAsia"/>
                <w:color w:val="000000"/>
                <w:sz w:val="21"/>
                <w:szCs w:val="21"/>
              </w:rPr>
              <w:t>+0.5</w:t>
            </w:r>
          </w:p>
        </w:tc>
      </w:tr>
      <w:tr w14:paraId="6416C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1305" w:type="dxa"/>
            <w:vMerge w:val="continue"/>
            <w:noWrap w:val="0"/>
            <w:vAlign w:val="center"/>
          </w:tcPr>
          <w:p w14:paraId="6E83F687">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75A7CCB0">
            <w:pPr>
              <w:jc w:val="center"/>
              <w:rPr>
                <w:color w:val="000000"/>
                <w:kern w:val="0"/>
                <w:sz w:val="21"/>
                <w:szCs w:val="21"/>
              </w:rPr>
            </w:pPr>
            <w:r>
              <w:rPr>
                <w:color w:val="000000"/>
                <w:kern w:val="0"/>
                <w:sz w:val="21"/>
                <w:szCs w:val="21"/>
              </w:rPr>
              <w:t>除尘灰</w:t>
            </w:r>
          </w:p>
        </w:tc>
        <w:tc>
          <w:tcPr>
            <w:tcW w:w="0" w:type="auto"/>
            <w:noWrap w:val="0"/>
            <w:vAlign w:val="center"/>
          </w:tcPr>
          <w:p w14:paraId="7C6FEEAE">
            <w:pPr>
              <w:jc w:val="center"/>
              <w:rPr>
                <w:color w:val="000000"/>
                <w:sz w:val="21"/>
                <w:szCs w:val="21"/>
              </w:rPr>
            </w:pPr>
            <w:r>
              <w:rPr>
                <w:rFonts w:hint="eastAsia"/>
                <w:snapToGrid w:val="0"/>
                <w:color w:val="000000"/>
                <w:kern w:val="21"/>
                <w:sz w:val="21"/>
                <w:szCs w:val="21"/>
              </w:rPr>
              <w:t>0</w:t>
            </w:r>
          </w:p>
        </w:tc>
        <w:tc>
          <w:tcPr>
            <w:tcW w:w="0" w:type="auto"/>
            <w:noWrap w:val="0"/>
            <w:vAlign w:val="center"/>
          </w:tcPr>
          <w:p w14:paraId="1BAFECB0">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57D16685">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5BBF4B38">
            <w:pPr>
              <w:jc w:val="center"/>
              <w:rPr>
                <w:rFonts w:hint="default" w:eastAsia="宋体"/>
                <w:snapToGrid w:val="0"/>
                <w:color w:val="000000"/>
                <w:kern w:val="0"/>
                <w:sz w:val="21"/>
                <w:szCs w:val="21"/>
                <w:lang w:val="en-US" w:eastAsia="zh-CN"/>
              </w:rPr>
            </w:pPr>
            <w:r>
              <w:rPr>
                <w:rFonts w:hint="eastAsia"/>
                <w:color w:val="000000"/>
                <w:sz w:val="21"/>
                <w:szCs w:val="21"/>
                <w:lang w:val="en-US" w:eastAsia="zh-CN"/>
              </w:rPr>
              <w:t>9.47</w:t>
            </w:r>
          </w:p>
        </w:tc>
        <w:tc>
          <w:tcPr>
            <w:tcW w:w="0" w:type="auto"/>
            <w:noWrap w:val="0"/>
            <w:vAlign w:val="center"/>
          </w:tcPr>
          <w:p w14:paraId="09BCC8B2">
            <w:pPr>
              <w:widowControl/>
              <w:jc w:val="center"/>
              <w:textAlignment w:val="center"/>
              <w:rPr>
                <w:snapToGrid w:val="0"/>
                <w:color w:val="000000"/>
                <w:kern w:val="21"/>
                <w:sz w:val="21"/>
                <w:szCs w:val="21"/>
              </w:rPr>
            </w:pPr>
            <w:r>
              <w:rPr>
                <w:rFonts w:hint="eastAsia"/>
                <w:color w:val="000000"/>
                <w:kern w:val="0"/>
                <w:sz w:val="21"/>
                <w:szCs w:val="21"/>
                <w:lang w:bidi="ar"/>
              </w:rPr>
              <w:t>/</w:t>
            </w:r>
          </w:p>
        </w:tc>
        <w:tc>
          <w:tcPr>
            <w:tcW w:w="2072" w:type="dxa"/>
            <w:noWrap w:val="0"/>
            <w:vAlign w:val="center"/>
          </w:tcPr>
          <w:p w14:paraId="43547D61">
            <w:pPr>
              <w:jc w:val="center"/>
              <w:rPr>
                <w:rFonts w:hint="default" w:eastAsia="宋体"/>
                <w:snapToGrid w:val="0"/>
                <w:color w:val="000000"/>
                <w:kern w:val="0"/>
                <w:sz w:val="21"/>
                <w:szCs w:val="21"/>
                <w:lang w:val="en-US" w:eastAsia="zh-CN"/>
              </w:rPr>
            </w:pPr>
            <w:r>
              <w:rPr>
                <w:rFonts w:hint="eastAsia"/>
                <w:color w:val="000000"/>
                <w:sz w:val="21"/>
                <w:szCs w:val="21"/>
                <w:lang w:val="en-US" w:eastAsia="zh-CN"/>
              </w:rPr>
              <w:t>9.47</w:t>
            </w:r>
          </w:p>
        </w:tc>
        <w:tc>
          <w:tcPr>
            <w:tcW w:w="1122" w:type="dxa"/>
            <w:noWrap w:val="0"/>
            <w:vAlign w:val="center"/>
          </w:tcPr>
          <w:p w14:paraId="69449F2D">
            <w:pPr>
              <w:jc w:val="center"/>
              <w:rPr>
                <w:rFonts w:hint="default" w:eastAsia="宋体"/>
                <w:color w:val="000000"/>
                <w:kern w:val="0"/>
                <w:sz w:val="21"/>
                <w:szCs w:val="21"/>
                <w:lang w:val="en-US" w:eastAsia="zh-CN"/>
              </w:rPr>
            </w:pPr>
            <w:r>
              <w:rPr>
                <w:rFonts w:hint="eastAsia"/>
                <w:color w:val="000000"/>
                <w:sz w:val="21"/>
                <w:szCs w:val="21"/>
              </w:rPr>
              <w:t>+</w:t>
            </w:r>
            <w:r>
              <w:rPr>
                <w:rFonts w:hint="eastAsia"/>
                <w:color w:val="000000"/>
                <w:sz w:val="21"/>
                <w:szCs w:val="21"/>
                <w:lang w:val="en-US" w:eastAsia="zh-CN"/>
              </w:rPr>
              <w:t>9.47</w:t>
            </w:r>
          </w:p>
        </w:tc>
      </w:tr>
      <w:tr w14:paraId="69DF3F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05" w:type="dxa"/>
            <w:vMerge w:val="continue"/>
            <w:noWrap w:val="0"/>
            <w:vAlign w:val="center"/>
          </w:tcPr>
          <w:p w14:paraId="11C74170">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77BAF4CB">
            <w:pPr>
              <w:jc w:val="center"/>
              <w:rPr>
                <w:color w:val="000000"/>
                <w:kern w:val="0"/>
                <w:sz w:val="21"/>
                <w:szCs w:val="21"/>
              </w:rPr>
            </w:pPr>
            <w:r>
              <w:rPr>
                <w:rFonts w:hint="eastAsia"/>
                <w:color w:val="000000"/>
                <w:kern w:val="0"/>
                <w:sz w:val="21"/>
                <w:szCs w:val="21"/>
              </w:rPr>
              <w:t>沉渣</w:t>
            </w:r>
          </w:p>
        </w:tc>
        <w:tc>
          <w:tcPr>
            <w:tcW w:w="1764" w:type="dxa"/>
            <w:noWrap w:val="0"/>
            <w:vAlign w:val="center"/>
          </w:tcPr>
          <w:p w14:paraId="64FBA8DD">
            <w:pPr>
              <w:jc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69372FC8">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2D9302F7">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40815C6C">
            <w:pPr>
              <w:jc w:val="center"/>
              <w:rPr>
                <w:rFonts w:hint="eastAsia"/>
                <w:snapToGrid w:val="0"/>
                <w:color w:val="000000"/>
                <w:kern w:val="0"/>
                <w:sz w:val="21"/>
                <w:szCs w:val="21"/>
              </w:rPr>
            </w:pPr>
            <w:r>
              <w:rPr>
                <w:rFonts w:hint="eastAsia"/>
                <w:color w:val="000000"/>
                <w:sz w:val="21"/>
                <w:szCs w:val="21"/>
              </w:rPr>
              <w:t>0.25</w:t>
            </w:r>
          </w:p>
        </w:tc>
        <w:tc>
          <w:tcPr>
            <w:tcW w:w="1132" w:type="dxa"/>
            <w:noWrap w:val="0"/>
            <w:vAlign w:val="center"/>
          </w:tcPr>
          <w:p w14:paraId="352D1980">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49D5FBEA">
            <w:pPr>
              <w:jc w:val="center"/>
              <w:rPr>
                <w:rFonts w:hint="eastAsia"/>
                <w:snapToGrid w:val="0"/>
                <w:color w:val="000000"/>
                <w:kern w:val="0"/>
                <w:sz w:val="21"/>
                <w:szCs w:val="21"/>
              </w:rPr>
            </w:pPr>
            <w:r>
              <w:rPr>
                <w:rFonts w:hint="eastAsia"/>
                <w:color w:val="000000"/>
                <w:sz w:val="21"/>
                <w:szCs w:val="21"/>
              </w:rPr>
              <w:t>0.25</w:t>
            </w:r>
          </w:p>
        </w:tc>
        <w:tc>
          <w:tcPr>
            <w:tcW w:w="1122" w:type="dxa"/>
            <w:noWrap w:val="0"/>
            <w:vAlign w:val="center"/>
          </w:tcPr>
          <w:p w14:paraId="4CED4BF6">
            <w:pPr>
              <w:jc w:val="center"/>
              <w:rPr>
                <w:rFonts w:hint="eastAsia"/>
                <w:snapToGrid w:val="0"/>
                <w:color w:val="000000"/>
                <w:kern w:val="0"/>
                <w:sz w:val="21"/>
                <w:szCs w:val="21"/>
              </w:rPr>
            </w:pPr>
            <w:r>
              <w:rPr>
                <w:rFonts w:hint="eastAsia"/>
                <w:color w:val="000000"/>
                <w:sz w:val="21"/>
                <w:szCs w:val="21"/>
              </w:rPr>
              <w:t>+0.25</w:t>
            </w:r>
          </w:p>
        </w:tc>
      </w:tr>
      <w:tr w14:paraId="1D6D2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05" w:type="dxa"/>
            <w:vMerge w:val="continue"/>
            <w:noWrap w:val="0"/>
            <w:vAlign w:val="center"/>
          </w:tcPr>
          <w:p w14:paraId="244A1078">
            <w:pPr>
              <w:pStyle w:val="42"/>
              <w:spacing w:beforeLines="0" w:afterLines="0" w:line="240" w:lineRule="auto"/>
              <w:rPr>
                <w:rFonts w:ascii="Times New Roman" w:hAnsi="Times New Roman"/>
                <w:snapToGrid w:val="0"/>
                <w:color w:val="000000"/>
                <w:kern w:val="21"/>
                <w:sz w:val="21"/>
                <w:szCs w:val="21"/>
              </w:rPr>
            </w:pPr>
          </w:p>
        </w:tc>
        <w:tc>
          <w:tcPr>
            <w:tcW w:w="0" w:type="auto"/>
            <w:noWrap w:val="0"/>
            <w:vAlign w:val="center"/>
          </w:tcPr>
          <w:p w14:paraId="0C99BFBE">
            <w:pPr>
              <w:jc w:val="center"/>
              <w:rPr>
                <w:rFonts w:hint="default" w:eastAsia="宋体"/>
                <w:color w:val="000000"/>
                <w:kern w:val="0"/>
                <w:sz w:val="21"/>
                <w:szCs w:val="21"/>
                <w:lang w:val="en-US" w:eastAsia="zh-CN"/>
              </w:rPr>
            </w:pPr>
            <w:r>
              <w:rPr>
                <w:rFonts w:hint="eastAsia"/>
                <w:color w:val="000000"/>
                <w:kern w:val="0"/>
                <w:sz w:val="21"/>
                <w:szCs w:val="21"/>
                <w:lang w:val="en-US" w:eastAsia="zh-CN"/>
              </w:rPr>
              <w:t>废布袋</w:t>
            </w:r>
          </w:p>
        </w:tc>
        <w:tc>
          <w:tcPr>
            <w:tcW w:w="1764" w:type="dxa"/>
            <w:noWrap w:val="0"/>
            <w:vAlign w:val="center"/>
          </w:tcPr>
          <w:p w14:paraId="3A1EE5E6">
            <w:pPr>
              <w:jc w:val="center"/>
              <w:rPr>
                <w:rFonts w:hint="eastAsia" w:eastAsia="宋体"/>
                <w:snapToGrid w:val="0"/>
                <w:color w:val="000000"/>
                <w:kern w:val="21"/>
                <w:sz w:val="21"/>
                <w:szCs w:val="21"/>
                <w:lang w:val="en-US" w:eastAsia="zh-CN"/>
              </w:rPr>
            </w:pPr>
            <w:r>
              <w:rPr>
                <w:rFonts w:hint="eastAsia"/>
                <w:snapToGrid w:val="0"/>
                <w:color w:val="000000"/>
                <w:kern w:val="21"/>
                <w:sz w:val="21"/>
                <w:szCs w:val="21"/>
                <w:lang w:val="en-US" w:eastAsia="zh-CN"/>
              </w:rPr>
              <w:t>0</w:t>
            </w:r>
          </w:p>
        </w:tc>
        <w:tc>
          <w:tcPr>
            <w:tcW w:w="755" w:type="dxa"/>
            <w:noWrap w:val="0"/>
            <w:vAlign w:val="center"/>
          </w:tcPr>
          <w:p w14:paraId="06CD5AC2">
            <w:pPr>
              <w:widowControl/>
              <w:jc w:val="center"/>
              <w:textAlignment w:val="center"/>
              <w:rPr>
                <w:rFonts w:hint="eastAsia" w:eastAsia="宋体"/>
                <w:snapToGrid w:val="0"/>
                <w:color w:val="000000"/>
                <w:kern w:val="21"/>
                <w:sz w:val="21"/>
                <w:szCs w:val="21"/>
                <w:lang w:val="en-US" w:eastAsia="zh-CN"/>
              </w:rPr>
            </w:pPr>
            <w:r>
              <w:rPr>
                <w:rFonts w:hint="eastAsia"/>
                <w:snapToGrid w:val="0"/>
                <w:color w:val="000000"/>
                <w:kern w:val="21"/>
                <w:sz w:val="21"/>
                <w:szCs w:val="21"/>
                <w:lang w:val="en-US" w:eastAsia="zh-CN"/>
              </w:rPr>
              <w:t>0</w:t>
            </w:r>
          </w:p>
        </w:tc>
        <w:tc>
          <w:tcPr>
            <w:tcW w:w="1764" w:type="dxa"/>
            <w:noWrap w:val="0"/>
            <w:vAlign w:val="center"/>
          </w:tcPr>
          <w:p w14:paraId="5C97FBB6">
            <w:pPr>
              <w:widowControl/>
              <w:jc w:val="center"/>
              <w:textAlignment w:val="center"/>
              <w:rPr>
                <w:rFonts w:hint="eastAsia" w:eastAsia="宋体"/>
                <w:snapToGrid w:val="0"/>
                <w:color w:val="000000"/>
                <w:kern w:val="21"/>
                <w:sz w:val="21"/>
                <w:szCs w:val="21"/>
                <w:lang w:val="en-US" w:eastAsia="zh-CN"/>
              </w:rPr>
            </w:pPr>
            <w:r>
              <w:rPr>
                <w:rFonts w:hint="eastAsia"/>
                <w:snapToGrid w:val="0"/>
                <w:color w:val="000000"/>
                <w:kern w:val="21"/>
                <w:sz w:val="21"/>
                <w:szCs w:val="21"/>
                <w:lang w:val="en-US" w:eastAsia="zh-CN"/>
              </w:rPr>
              <w:t>0</w:t>
            </w:r>
          </w:p>
        </w:tc>
        <w:tc>
          <w:tcPr>
            <w:tcW w:w="1985" w:type="dxa"/>
            <w:noWrap w:val="0"/>
            <w:vAlign w:val="center"/>
          </w:tcPr>
          <w:p w14:paraId="69191240">
            <w:pPr>
              <w:jc w:val="center"/>
              <w:rPr>
                <w:rFonts w:hint="default" w:eastAsia="宋体"/>
                <w:color w:val="000000"/>
                <w:sz w:val="21"/>
                <w:szCs w:val="21"/>
                <w:lang w:val="en-US" w:eastAsia="zh-CN"/>
              </w:rPr>
            </w:pPr>
            <w:r>
              <w:rPr>
                <w:rFonts w:hint="eastAsia"/>
                <w:color w:val="000000"/>
                <w:sz w:val="21"/>
                <w:szCs w:val="21"/>
                <w:lang w:val="en-US" w:eastAsia="zh-CN"/>
              </w:rPr>
              <w:t>0.2</w:t>
            </w:r>
          </w:p>
        </w:tc>
        <w:tc>
          <w:tcPr>
            <w:tcW w:w="1132" w:type="dxa"/>
            <w:noWrap w:val="0"/>
            <w:vAlign w:val="center"/>
          </w:tcPr>
          <w:p w14:paraId="1648B553">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7D1776B3">
            <w:pPr>
              <w:jc w:val="center"/>
              <w:rPr>
                <w:rFonts w:hint="default" w:eastAsia="宋体"/>
                <w:color w:val="000000"/>
                <w:sz w:val="21"/>
                <w:szCs w:val="21"/>
                <w:lang w:val="en-US" w:eastAsia="zh-CN"/>
              </w:rPr>
            </w:pPr>
            <w:r>
              <w:rPr>
                <w:rFonts w:hint="eastAsia"/>
                <w:color w:val="000000"/>
                <w:sz w:val="21"/>
                <w:szCs w:val="21"/>
                <w:lang w:val="en-US" w:eastAsia="zh-CN"/>
              </w:rPr>
              <w:t>0.2</w:t>
            </w:r>
          </w:p>
        </w:tc>
        <w:tc>
          <w:tcPr>
            <w:tcW w:w="1122" w:type="dxa"/>
            <w:noWrap w:val="0"/>
            <w:vAlign w:val="center"/>
          </w:tcPr>
          <w:p w14:paraId="71A611CA">
            <w:pPr>
              <w:jc w:val="center"/>
              <w:rPr>
                <w:rFonts w:hint="eastAsia"/>
                <w:color w:val="000000"/>
                <w:sz w:val="21"/>
                <w:szCs w:val="21"/>
              </w:rPr>
            </w:pPr>
            <w:r>
              <w:rPr>
                <w:rFonts w:hint="eastAsia"/>
                <w:color w:val="000000"/>
                <w:sz w:val="21"/>
                <w:szCs w:val="21"/>
              </w:rPr>
              <w:t>+0.2</w:t>
            </w:r>
          </w:p>
        </w:tc>
      </w:tr>
      <w:tr w14:paraId="3C018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0" w:type="auto"/>
            <w:vMerge w:val="restart"/>
            <w:noWrap w:val="0"/>
            <w:vAlign w:val="center"/>
          </w:tcPr>
          <w:p w14:paraId="072DEF42">
            <w:pPr>
              <w:widowControl/>
              <w:jc w:val="center"/>
              <w:rPr>
                <w:color w:val="000000"/>
                <w:kern w:val="0"/>
                <w:sz w:val="21"/>
                <w:szCs w:val="21"/>
              </w:rPr>
            </w:pPr>
            <w:r>
              <w:rPr>
                <w:color w:val="000000"/>
                <w:kern w:val="0"/>
                <w:sz w:val="21"/>
                <w:szCs w:val="21"/>
              </w:rPr>
              <w:t>危险废物</w:t>
            </w:r>
          </w:p>
        </w:tc>
        <w:tc>
          <w:tcPr>
            <w:tcW w:w="0" w:type="auto"/>
            <w:noWrap w:val="0"/>
            <w:vAlign w:val="center"/>
          </w:tcPr>
          <w:p w14:paraId="091D3E3E">
            <w:pPr>
              <w:pStyle w:val="27"/>
              <w:rPr>
                <w:color w:val="000000"/>
                <w:kern w:val="0"/>
                <w:sz w:val="21"/>
              </w:rPr>
            </w:pPr>
            <w:r>
              <w:rPr>
                <w:color w:val="000000"/>
                <w:sz w:val="21"/>
              </w:rPr>
              <w:t>废活性炭</w:t>
            </w:r>
          </w:p>
        </w:tc>
        <w:tc>
          <w:tcPr>
            <w:tcW w:w="0" w:type="auto"/>
            <w:noWrap w:val="0"/>
            <w:vAlign w:val="center"/>
          </w:tcPr>
          <w:p w14:paraId="5E78585C">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0C5D15E0">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430DE1EB">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7AE9DFE8">
            <w:pPr>
              <w:jc w:val="center"/>
              <w:rPr>
                <w:snapToGrid w:val="0"/>
                <w:color w:val="000000"/>
                <w:kern w:val="0"/>
                <w:sz w:val="21"/>
                <w:szCs w:val="21"/>
              </w:rPr>
            </w:pPr>
            <w:r>
              <w:rPr>
                <w:rFonts w:hint="eastAsia"/>
                <w:color w:val="000000"/>
                <w:sz w:val="21"/>
                <w:szCs w:val="21"/>
              </w:rPr>
              <w:t>58</w:t>
            </w:r>
          </w:p>
        </w:tc>
        <w:tc>
          <w:tcPr>
            <w:tcW w:w="1132" w:type="dxa"/>
            <w:noWrap w:val="0"/>
            <w:vAlign w:val="center"/>
          </w:tcPr>
          <w:p w14:paraId="6C04A42F">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609FAA57">
            <w:pPr>
              <w:jc w:val="center"/>
              <w:rPr>
                <w:color w:val="000000"/>
                <w:sz w:val="21"/>
                <w:szCs w:val="21"/>
              </w:rPr>
            </w:pPr>
            <w:r>
              <w:rPr>
                <w:rFonts w:hint="eastAsia"/>
                <w:color w:val="000000"/>
                <w:sz w:val="21"/>
                <w:szCs w:val="21"/>
              </w:rPr>
              <w:t>58</w:t>
            </w:r>
          </w:p>
        </w:tc>
        <w:tc>
          <w:tcPr>
            <w:tcW w:w="1122" w:type="dxa"/>
            <w:noWrap w:val="0"/>
            <w:vAlign w:val="center"/>
          </w:tcPr>
          <w:p w14:paraId="3FFB4C94">
            <w:pPr>
              <w:jc w:val="center"/>
              <w:rPr>
                <w:color w:val="000000"/>
                <w:sz w:val="21"/>
                <w:szCs w:val="21"/>
              </w:rPr>
            </w:pPr>
            <w:r>
              <w:rPr>
                <w:rFonts w:hint="eastAsia"/>
                <w:color w:val="000000"/>
                <w:sz w:val="21"/>
                <w:szCs w:val="21"/>
              </w:rPr>
              <w:t>+58</w:t>
            </w:r>
          </w:p>
        </w:tc>
      </w:tr>
      <w:tr w14:paraId="0824C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1DB79E0B">
            <w:pPr>
              <w:widowControl/>
              <w:jc w:val="center"/>
              <w:rPr>
                <w:color w:val="000000"/>
                <w:kern w:val="0"/>
                <w:sz w:val="21"/>
                <w:szCs w:val="21"/>
              </w:rPr>
            </w:pPr>
          </w:p>
        </w:tc>
        <w:tc>
          <w:tcPr>
            <w:tcW w:w="0" w:type="auto"/>
            <w:noWrap w:val="0"/>
            <w:vAlign w:val="center"/>
          </w:tcPr>
          <w:p w14:paraId="1F5F2945">
            <w:pPr>
              <w:pStyle w:val="27"/>
              <w:rPr>
                <w:color w:val="000000"/>
                <w:sz w:val="21"/>
              </w:rPr>
            </w:pPr>
            <w:r>
              <w:rPr>
                <w:rFonts w:hint="eastAsia"/>
                <w:color w:val="000000"/>
                <w:sz w:val="21"/>
              </w:rPr>
              <w:t>废静电油</w:t>
            </w:r>
          </w:p>
        </w:tc>
        <w:tc>
          <w:tcPr>
            <w:tcW w:w="1764" w:type="dxa"/>
            <w:noWrap w:val="0"/>
            <w:vAlign w:val="center"/>
          </w:tcPr>
          <w:p w14:paraId="71397FE5">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3910A743">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2B6CB4A5">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0AEBC834">
            <w:pPr>
              <w:jc w:val="center"/>
              <w:rPr>
                <w:rFonts w:hint="default" w:eastAsia="宋体"/>
                <w:color w:val="000000"/>
                <w:sz w:val="21"/>
                <w:szCs w:val="21"/>
                <w:lang w:val="en-US" w:eastAsia="zh-CN"/>
              </w:rPr>
            </w:pPr>
            <w:r>
              <w:rPr>
                <w:rFonts w:hint="eastAsia"/>
                <w:color w:val="000000"/>
                <w:sz w:val="21"/>
                <w:szCs w:val="21"/>
                <w:lang w:val="en-US" w:eastAsia="zh-CN"/>
              </w:rPr>
              <w:t>2.339</w:t>
            </w:r>
          </w:p>
        </w:tc>
        <w:tc>
          <w:tcPr>
            <w:tcW w:w="1132" w:type="dxa"/>
            <w:noWrap w:val="0"/>
            <w:vAlign w:val="center"/>
          </w:tcPr>
          <w:p w14:paraId="7B4D28BC">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5C99A3E6">
            <w:pPr>
              <w:jc w:val="center"/>
              <w:rPr>
                <w:rFonts w:hint="default" w:eastAsia="宋体"/>
                <w:color w:val="000000"/>
                <w:sz w:val="21"/>
                <w:szCs w:val="21"/>
                <w:lang w:val="en-US" w:eastAsia="zh-CN"/>
              </w:rPr>
            </w:pPr>
            <w:r>
              <w:rPr>
                <w:rFonts w:hint="eastAsia"/>
                <w:color w:val="000000"/>
                <w:sz w:val="21"/>
                <w:szCs w:val="21"/>
                <w:lang w:val="en-US" w:eastAsia="zh-CN"/>
              </w:rPr>
              <w:t>2.339</w:t>
            </w:r>
          </w:p>
        </w:tc>
        <w:tc>
          <w:tcPr>
            <w:tcW w:w="1122" w:type="dxa"/>
            <w:noWrap w:val="0"/>
            <w:vAlign w:val="center"/>
          </w:tcPr>
          <w:p w14:paraId="3DF9ADF6">
            <w:pPr>
              <w:jc w:val="center"/>
              <w:rPr>
                <w:rFonts w:hint="default" w:eastAsia="宋体"/>
                <w:color w:val="000000"/>
                <w:sz w:val="21"/>
                <w:szCs w:val="21"/>
                <w:lang w:val="en-US" w:eastAsia="zh-CN"/>
              </w:rPr>
            </w:pPr>
            <w:r>
              <w:rPr>
                <w:rFonts w:hint="eastAsia"/>
                <w:color w:val="000000"/>
                <w:sz w:val="21"/>
                <w:szCs w:val="21"/>
              </w:rPr>
              <w:t>+</w:t>
            </w:r>
            <w:r>
              <w:rPr>
                <w:rFonts w:hint="eastAsia"/>
                <w:color w:val="000000"/>
                <w:sz w:val="21"/>
                <w:szCs w:val="21"/>
                <w:lang w:val="en-US" w:eastAsia="zh-CN"/>
              </w:rPr>
              <w:t>2.339</w:t>
            </w:r>
          </w:p>
        </w:tc>
      </w:tr>
      <w:tr w14:paraId="41E59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134DBCBC">
            <w:pPr>
              <w:widowControl/>
              <w:jc w:val="center"/>
              <w:rPr>
                <w:color w:val="000000"/>
                <w:kern w:val="0"/>
                <w:sz w:val="21"/>
                <w:szCs w:val="21"/>
              </w:rPr>
            </w:pPr>
          </w:p>
        </w:tc>
        <w:tc>
          <w:tcPr>
            <w:tcW w:w="2115" w:type="dxa"/>
            <w:noWrap w:val="0"/>
            <w:vAlign w:val="center"/>
          </w:tcPr>
          <w:p w14:paraId="68957105">
            <w:pPr>
              <w:jc w:val="center"/>
              <w:rPr>
                <w:rFonts w:hint="eastAsia"/>
                <w:color w:val="000000"/>
                <w:sz w:val="21"/>
                <w:szCs w:val="21"/>
              </w:rPr>
            </w:pPr>
            <w:r>
              <w:rPr>
                <w:rFonts w:hint="eastAsia"/>
                <w:color w:val="000000"/>
                <w:sz w:val="21"/>
                <w:szCs w:val="21"/>
              </w:rPr>
              <w:t>废光氧灯管</w:t>
            </w:r>
          </w:p>
        </w:tc>
        <w:tc>
          <w:tcPr>
            <w:tcW w:w="1764" w:type="dxa"/>
            <w:noWrap w:val="0"/>
            <w:vAlign w:val="center"/>
          </w:tcPr>
          <w:p w14:paraId="6F8428CB">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001C2A2F">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34878162">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42917A74">
            <w:pPr>
              <w:jc w:val="center"/>
              <w:rPr>
                <w:rFonts w:hint="eastAsia"/>
                <w:color w:val="000000"/>
                <w:sz w:val="21"/>
                <w:szCs w:val="21"/>
              </w:rPr>
            </w:pPr>
            <w:r>
              <w:rPr>
                <w:rFonts w:hint="eastAsia"/>
                <w:color w:val="000000"/>
                <w:sz w:val="21"/>
                <w:szCs w:val="21"/>
              </w:rPr>
              <w:t>0.02</w:t>
            </w:r>
          </w:p>
        </w:tc>
        <w:tc>
          <w:tcPr>
            <w:tcW w:w="1132" w:type="dxa"/>
            <w:noWrap w:val="0"/>
            <w:vAlign w:val="center"/>
          </w:tcPr>
          <w:p w14:paraId="44A8108B">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68FF70C1">
            <w:pPr>
              <w:jc w:val="center"/>
              <w:rPr>
                <w:rFonts w:hint="eastAsia"/>
                <w:color w:val="000000"/>
                <w:sz w:val="21"/>
                <w:szCs w:val="21"/>
              </w:rPr>
            </w:pPr>
            <w:r>
              <w:rPr>
                <w:rFonts w:hint="eastAsia"/>
                <w:color w:val="000000"/>
                <w:sz w:val="21"/>
                <w:szCs w:val="21"/>
              </w:rPr>
              <w:t>0.02</w:t>
            </w:r>
          </w:p>
        </w:tc>
        <w:tc>
          <w:tcPr>
            <w:tcW w:w="1122" w:type="dxa"/>
            <w:noWrap w:val="0"/>
            <w:vAlign w:val="center"/>
          </w:tcPr>
          <w:p w14:paraId="143BCC15">
            <w:pPr>
              <w:jc w:val="center"/>
              <w:rPr>
                <w:rFonts w:hint="eastAsia"/>
                <w:color w:val="000000"/>
                <w:sz w:val="21"/>
                <w:szCs w:val="21"/>
              </w:rPr>
            </w:pPr>
            <w:r>
              <w:rPr>
                <w:rFonts w:hint="eastAsia"/>
                <w:color w:val="000000"/>
                <w:sz w:val="21"/>
                <w:szCs w:val="21"/>
              </w:rPr>
              <w:t>+0.02</w:t>
            </w:r>
          </w:p>
        </w:tc>
      </w:tr>
      <w:tr w14:paraId="2B896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2F96C198">
            <w:pPr>
              <w:widowControl/>
              <w:jc w:val="center"/>
              <w:rPr>
                <w:color w:val="000000"/>
                <w:kern w:val="0"/>
                <w:sz w:val="21"/>
                <w:szCs w:val="21"/>
              </w:rPr>
            </w:pPr>
          </w:p>
        </w:tc>
        <w:tc>
          <w:tcPr>
            <w:tcW w:w="2115" w:type="dxa"/>
            <w:noWrap w:val="0"/>
            <w:vAlign w:val="center"/>
          </w:tcPr>
          <w:p w14:paraId="7F99E572">
            <w:pPr>
              <w:jc w:val="center"/>
              <w:rPr>
                <w:rFonts w:hint="eastAsia"/>
                <w:color w:val="000000"/>
                <w:sz w:val="21"/>
                <w:szCs w:val="21"/>
              </w:rPr>
            </w:pPr>
            <w:r>
              <w:rPr>
                <w:rFonts w:hint="eastAsia"/>
                <w:color w:val="000000"/>
                <w:sz w:val="21"/>
                <w:szCs w:val="21"/>
              </w:rPr>
              <w:t>废催化剂</w:t>
            </w:r>
          </w:p>
        </w:tc>
        <w:tc>
          <w:tcPr>
            <w:tcW w:w="1764" w:type="dxa"/>
            <w:noWrap w:val="0"/>
            <w:vAlign w:val="center"/>
          </w:tcPr>
          <w:p w14:paraId="56B3D2F1">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213910D7">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30E0B489">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3EDA6CA8">
            <w:pPr>
              <w:jc w:val="center"/>
              <w:rPr>
                <w:rFonts w:hint="eastAsia"/>
                <w:color w:val="000000"/>
                <w:sz w:val="21"/>
                <w:szCs w:val="21"/>
              </w:rPr>
            </w:pPr>
            <w:r>
              <w:rPr>
                <w:rFonts w:hint="eastAsia"/>
                <w:color w:val="000000"/>
                <w:sz w:val="21"/>
                <w:szCs w:val="21"/>
              </w:rPr>
              <w:t>0.05</w:t>
            </w:r>
          </w:p>
        </w:tc>
        <w:tc>
          <w:tcPr>
            <w:tcW w:w="1132" w:type="dxa"/>
            <w:noWrap w:val="0"/>
            <w:vAlign w:val="center"/>
          </w:tcPr>
          <w:p w14:paraId="6FFC9F21">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456F6045">
            <w:pPr>
              <w:jc w:val="center"/>
              <w:rPr>
                <w:rFonts w:hint="eastAsia"/>
                <w:color w:val="000000"/>
                <w:sz w:val="21"/>
                <w:szCs w:val="21"/>
              </w:rPr>
            </w:pPr>
            <w:r>
              <w:rPr>
                <w:rFonts w:hint="eastAsia"/>
                <w:color w:val="000000"/>
                <w:sz w:val="21"/>
                <w:szCs w:val="21"/>
              </w:rPr>
              <w:t>0.05</w:t>
            </w:r>
          </w:p>
        </w:tc>
        <w:tc>
          <w:tcPr>
            <w:tcW w:w="1122" w:type="dxa"/>
            <w:noWrap w:val="0"/>
            <w:vAlign w:val="center"/>
          </w:tcPr>
          <w:p w14:paraId="4A033585">
            <w:pPr>
              <w:jc w:val="center"/>
              <w:rPr>
                <w:rFonts w:hint="eastAsia"/>
                <w:color w:val="000000"/>
                <w:sz w:val="21"/>
                <w:szCs w:val="21"/>
              </w:rPr>
            </w:pPr>
            <w:r>
              <w:rPr>
                <w:rFonts w:hint="eastAsia"/>
                <w:color w:val="000000"/>
                <w:sz w:val="21"/>
                <w:szCs w:val="21"/>
              </w:rPr>
              <w:t>+0.05</w:t>
            </w:r>
          </w:p>
        </w:tc>
      </w:tr>
      <w:tr w14:paraId="0471C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43CA3CE2">
            <w:pPr>
              <w:widowControl/>
              <w:jc w:val="center"/>
              <w:rPr>
                <w:color w:val="000000"/>
                <w:kern w:val="0"/>
                <w:sz w:val="21"/>
                <w:szCs w:val="21"/>
              </w:rPr>
            </w:pPr>
          </w:p>
        </w:tc>
        <w:tc>
          <w:tcPr>
            <w:tcW w:w="2115" w:type="dxa"/>
            <w:noWrap w:val="0"/>
            <w:vAlign w:val="center"/>
          </w:tcPr>
          <w:p w14:paraId="2883FE0F">
            <w:pPr>
              <w:jc w:val="center"/>
              <w:rPr>
                <w:rFonts w:hint="eastAsia"/>
                <w:color w:val="000000"/>
                <w:sz w:val="21"/>
                <w:szCs w:val="21"/>
              </w:rPr>
            </w:pPr>
            <w:r>
              <w:rPr>
                <w:rFonts w:hint="eastAsia"/>
                <w:color w:val="000000"/>
                <w:sz w:val="21"/>
                <w:szCs w:val="21"/>
              </w:rPr>
              <w:t>废氢氧化钠包装袋</w:t>
            </w:r>
          </w:p>
        </w:tc>
        <w:tc>
          <w:tcPr>
            <w:tcW w:w="1764" w:type="dxa"/>
            <w:noWrap w:val="0"/>
            <w:vAlign w:val="center"/>
          </w:tcPr>
          <w:p w14:paraId="5402E1B8">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6E1C9523">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6917E844">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46A364FD">
            <w:pPr>
              <w:jc w:val="center"/>
              <w:rPr>
                <w:rFonts w:hint="eastAsia"/>
                <w:color w:val="000000"/>
                <w:sz w:val="21"/>
                <w:szCs w:val="21"/>
              </w:rPr>
            </w:pPr>
            <w:r>
              <w:rPr>
                <w:rFonts w:hint="eastAsia"/>
                <w:color w:val="000000"/>
                <w:sz w:val="21"/>
                <w:szCs w:val="21"/>
              </w:rPr>
              <w:t>0.02</w:t>
            </w:r>
          </w:p>
        </w:tc>
        <w:tc>
          <w:tcPr>
            <w:tcW w:w="1132" w:type="dxa"/>
            <w:noWrap w:val="0"/>
            <w:vAlign w:val="center"/>
          </w:tcPr>
          <w:p w14:paraId="1ED53162">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11152D76">
            <w:pPr>
              <w:jc w:val="center"/>
              <w:rPr>
                <w:rFonts w:hint="eastAsia"/>
                <w:color w:val="000000"/>
                <w:sz w:val="21"/>
                <w:szCs w:val="21"/>
              </w:rPr>
            </w:pPr>
            <w:r>
              <w:rPr>
                <w:rFonts w:hint="eastAsia"/>
                <w:color w:val="000000"/>
                <w:sz w:val="21"/>
                <w:szCs w:val="21"/>
              </w:rPr>
              <w:t>0.02</w:t>
            </w:r>
          </w:p>
        </w:tc>
        <w:tc>
          <w:tcPr>
            <w:tcW w:w="1122" w:type="dxa"/>
            <w:noWrap w:val="0"/>
            <w:vAlign w:val="center"/>
          </w:tcPr>
          <w:p w14:paraId="061126E2">
            <w:pPr>
              <w:jc w:val="center"/>
              <w:rPr>
                <w:rFonts w:hint="eastAsia"/>
                <w:color w:val="000000"/>
                <w:sz w:val="21"/>
                <w:szCs w:val="21"/>
              </w:rPr>
            </w:pPr>
            <w:r>
              <w:rPr>
                <w:rFonts w:hint="eastAsia"/>
                <w:color w:val="000000"/>
                <w:sz w:val="21"/>
                <w:szCs w:val="21"/>
              </w:rPr>
              <w:t>+0.02</w:t>
            </w:r>
          </w:p>
        </w:tc>
      </w:tr>
      <w:tr w14:paraId="2BCC4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69D099DE">
            <w:pPr>
              <w:widowControl/>
              <w:jc w:val="center"/>
              <w:rPr>
                <w:color w:val="000000"/>
                <w:kern w:val="0"/>
                <w:sz w:val="21"/>
                <w:szCs w:val="21"/>
              </w:rPr>
            </w:pPr>
          </w:p>
        </w:tc>
        <w:tc>
          <w:tcPr>
            <w:tcW w:w="0" w:type="auto"/>
            <w:noWrap w:val="0"/>
            <w:vAlign w:val="center"/>
          </w:tcPr>
          <w:p w14:paraId="09CE616A">
            <w:pPr>
              <w:pStyle w:val="27"/>
              <w:rPr>
                <w:color w:val="000000"/>
                <w:kern w:val="0"/>
                <w:sz w:val="21"/>
              </w:rPr>
            </w:pPr>
            <w:r>
              <w:rPr>
                <w:rFonts w:hint="eastAsia"/>
                <w:color w:val="000000"/>
                <w:sz w:val="21"/>
              </w:rPr>
              <w:t>隔油渣</w:t>
            </w:r>
          </w:p>
        </w:tc>
        <w:tc>
          <w:tcPr>
            <w:tcW w:w="0" w:type="auto"/>
            <w:noWrap w:val="0"/>
            <w:vAlign w:val="center"/>
          </w:tcPr>
          <w:p w14:paraId="4BD0B760">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2D8D9D2A">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033B9185">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7EAEB7F6">
            <w:pPr>
              <w:jc w:val="center"/>
              <w:rPr>
                <w:snapToGrid w:val="0"/>
                <w:color w:val="000000"/>
                <w:kern w:val="0"/>
                <w:sz w:val="21"/>
                <w:szCs w:val="21"/>
              </w:rPr>
            </w:pPr>
            <w:r>
              <w:rPr>
                <w:rFonts w:hint="eastAsia"/>
                <w:color w:val="000000"/>
                <w:sz w:val="21"/>
                <w:szCs w:val="21"/>
              </w:rPr>
              <w:t>0.05</w:t>
            </w:r>
          </w:p>
        </w:tc>
        <w:tc>
          <w:tcPr>
            <w:tcW w:w="0" w:type="auto"/>
            <w:noWrap w:val="0"/>
            <w:vAlign w:val="center"/>
          </w:tcPr>
          <w:p w14:paraId="37CB5EB2">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427B8B55">
            <w:pPr>
              <w:jc w:val="center"/>
              <w:rPr>
                <w:color w:val="000000"/>
                <w:sz w:val="21"/>
                <w:szCs w:val="21"/>
              </w:rPr>
            </w:pPr>
            <w:r>
              <w:rPr>
                <w:rFonts w:hint="eastAsia"/>
                <w:color w:val="000000"/>
                <w:sz w:val="21"/>
                <w:szCs w:val="21"/>
              </w:rPr>
              <w:t>0.05</w:t>
            </w:r>
          </w:p>
        </w:tc>
        <w:tc>
          <w:tcPr>
            <w:tcW w:w="1122" w:type="dxa"/>
            <w:noWrap w:val="0"/>
            <w:vAlign w:val="center"/>
          </w:tcPr>
          <w:p w14:paraId="45D2B7D2">
            <w:pPr>
              <w:jc w:val="center"/>
              <w:rPr>
                <w:color w:val="000000"/>
                <w:sz w:val="21"/>
                <w:szCs w:val="21"/>
              </w:rPr>
            </w:pPr>
            <w:r>
              <w:rPr>
                <w:rFonts w:hint="eastAsia"/>
                <w:color w:val="000000"/>
                <w:sz w:val="21"/>
                <w:szCs w:val="21"/>
              </w:rPr>
              <w:t>+0.05</w:t>
            </w:r>
          </w:p>
        </w:tc>
      </w:tr>
      <w:tr w14:paraId="68945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0" w:type="auto"/>
            <w:vMerge w:val="continue"/>
            <w:noWrap w:val="0"/>
            <w:vAlign w:val="center"/>
          </w:tcPr>
          <w:p w14:paraId="021C5129">
            <w:pPr>
              <w:widowControl/>
              <w:jc w:val="center"/>
              <w:rPr>
                <w:color w:val="000000"/>
                <w:kern w:val="0"/>
                <w:sz w:val="21"/>
                <w:szCs w:val="21"/>
              </w:rPr>
            </w:pPr>
          </w:p>
        </w:tc>
        <w:tc>
          <w:tcPr>
            <w:tcW w:w="0" w:type="auto"/>
            <w:noWrap w:val="0"/>
            <w:vAlign w:val="center"/>
          </w:tcPr>
          <w:p w14:paraId="725EB43C">
            <w:pPr>
              <w:pStyle w:val="27"/>
              <w:rPr>
                <w:color w:val="000000"/>
                <w:kern w:val="0"/>
                <w:sz w:val="21"/>
              </w:rPr>
            </w:pPr>
            <w:r>
              <w:rPr>
                <w:color w:val="000000"/>
                <w:sz w:val="21"/>
              </w:rPr>
              <w:t>废机油</w:t>
            </w:r>
          </w:p>
        </w:tc>
        <w:tc>
          <w:tcPr>
            <w:tcW w:w="0" w:type="auto"/>
            <w:noWrap w:val="0"/>
            <w:vAlign w:val="center"/>
          </w:tcPr>
          <w:p w14:paraId="4F1189F5">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7EFF8246">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7820332A">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72A7FAD5">
            <w:pPr>
              <w:jc w:val="center"/>
              <w:rPr>
                <w:snapToGrid w:val="0"/>
                <w:color w:val="000000"/>
                <w:kern w:val="0"/>
                <w:sz w:val="21"/>
                <w:szCs w:val="21"/>
              </w:rPr>
            </w:pPr>
            <w:r>
              <w:rPr>
                <w:rFonts w:hint="eastAsia"/>
                <w:color w:val="000000"/>
                <w:sz w:val="21"/>
                <w:szCs w:val="21"/>
              </w:rPr>
              <w:t>0.5</w:t>
            </w:r>
          </w:p>
        </w:tc>
        <w:tc>
          <w:tcPr>
            <w:tcW w:w="0" w:type="auto"/>
            <w:noWrap w:val="0"/>
            <w:vAlign w:val="center"/>
          </w:tcPr>
          <w:p w14:paraId="23C0C4C4">
            <w:pPr>
              <w:widowControl/>
              <w:jc w:val="center"/>
              <w:textAlignment w:val="center"/>
              <w:rPr>
                <w:snapToGrid w:val="0"/>
                <w:color w:val="000000"/>
                <w:kern w:val="21"/>
                <w:sz w:val="21"/>
                <w:szCs w:val="21"/>
              </w:rPr>
            </w:pPr>
            <w:r>
              <w:rPr>
                <w:rFonts w:hint="eastAsia"/>
                <w:color w:val="000000"/>
                <w:kern w:val="0"/>
                <w:sz w:val="21"/>
                <w:szCs w:val="21"/>
                <w:lang w:bidi="ar"/>
              </w:rPr>
              <w:t>/</w:t>
            </w:r>
          </w:p>
        </w:tc>
        <w:tc>
          <w:tcPr>
            <w:tcW w:w="2072" w:type="dxa"/>
            <w:noWrap w:val="0"/>
            <w:vAlign w:val="center"/>
          </w:tcPr>
          <w:p w14:paraId="188F196E">
            <w:pPr>
              <w:jc w:val="center"/>
              <w:rPr>
                <w:color w:val="000000"/>
                <w:sz w:val="21"/>
                <w:szCs w:val="21"/>
              </w:rPr>
            </w:pPr>
            <w:r>
              <w:rPr>
                <w:rFonts w:hint="eastAsia"/>
                <w:color w:val="000000"/>
                <w:sz w:val="21"/>
                <w:szCs w:val="21"/>
              </w:rPr>
              <w:t>0.5</w:t>
            </w:r>
          </w:p>
        </w:tc>
        <w:tc>
          <w:tcPr>
            <w:tcW w:w="1122" w:type="dxa"/>
            <w:noWrap w:val="0"/>
            <w:vAlign w:val="center"/>
          </w:tcPr>
          <w:p w14:paraId="079F401B">
            <w:pPr>
              <w:jc w:val="center"/>
              <w:rPr>
                <w:color w:val="000000"/>
                <w:sz w:val="21"/>
                <w:szCs w:val="21"/>
              </w:rPr>
            </w:pPr>
            <w:r>
              <w:rPr>
                <w:rFonts w:hint="eastAsia"/>
                <w:color w:val="000000"/>
                <w:sz w:val="21"/>
                <w:szCs w:val="21"/>
              </w:rPr>
              <w:t>+0.5</w:t>
            </w:r>
          </w:p>
        </w:tc>
      </w:tr>
      <w:tr w14:paraId="12E5C3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3D1FD06C">
            <w:pPr>
              <w:widowControl/>
              <w:jc w:val="center"/>
              <w:rPr>
                <w:color w:val="000000"/>
                <w:kern w:val="0"/>
                <w:sz w:val="21"/>
                <w:szCs w:val="21"/>
              </w:rPr>
            </w:pPr>
          </w:p>
        </w:tc>
        <w:tc>
          <w:tcPr>
            <w:tcW w:w="0" w:type="auto"/>
            <w:noWrap w:val="0"/>
            <w:vAlign w:val="center"/>
          </w:tcPr>
          <w:p w14:paraId="1CD4E7B4">
            <w:pPr>
              <w:pStyle w:val="27"/>
              <w:rPr>
                <w:color w:val="000000"/>
                <w:kern w:val="0"/>
                <w:sz w:val="21"/>
              </w:rPr>
            </w:pPr>
            <w:r>
              <w:rPr>
                <w:color w:val="000000"/>
                <w:sz w:val="21"/>
              </w:rPr>
              <w:t>废油桶</w:t>
            </w:r>
          </w:p>
        </w:tc>
        <w:tc>
          <w:tcPr>
            <w:tcW w:w="0" w:type="auto"/>
            <w:noWrap w:val="0"/>
            <w:vAlign w:val="center"/>
          </w:tcPr>
          <w:p w14:paraId="0659C32C">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342F0DF7">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5349669F">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650DA2AF">
            <w:pPr>
              <w:jc w:val="center"/>
              <w:rPr>
                <w:snapToGrid w:val="0"/>
                <w:color w:val="000000"/>
                <w:kern w:val="0"/>
                <w:sz w:val="21"/>
                <w:szCs w:val="21"/>
              </w:rPr>
            </w:pPr>
            <w:r>
              <w:rPr>
                <w:rFonts w:hint="eastAsia"/>
                <w:color w:val="000000"/>
                <w:sz w:val="21"/>
                <w:szCs w:val="21"/>
              </w:rPr>
              <w:t>0.1</w:t>
            </w:r>
          </w:p>
        </w:tc>
        <w:tc>
          <w:tcPr>
            <w:tcW w:w="0" w:type="auto"/>
            <w:noWrap w:val="0"/>
            <w:vAlign w:val="center"/>
          </w:tcPr>
          <w:p w14:paraId="07E67079">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5CAA8C5C">
            <w:pPr>
              <w:jc w:val="center"/>
              <w:rPr>
                <w:color w:val="000000"/>
                <w:sz w:val="21"/>
                <w:szCs w:val="21"/>
              </w:rPr>
            </w:pPr>
            <w:r>
              <w:rPr>
                <w:rFonts w:hint="eastAsia"/>
                <w:color w:val="000000"/>
                <w:sz w:val="21"/>
                <w:szCs w:val="21"/>
              </w:rPr>
              <w:t>0.1</w:t>
            </w:r>
          </w:p>
        </w:tc>
        <w:tc>
          <w:tcPr>
            <w:tcW w:w="1122" w:type="dxa"/>
            <w:noWrap w:val="0"/>
            <w:vAlign w:val="center"/>
          </w:tcPr>
          <w:p w14:paraId="72CC6DE6">
            <w:pPr>
              <w:jc w:val="center"/>
              <w:rPr>
                <w:color w:val="000000"/>
                <w:sz w:val="21"/>
                <w:szCs w:val="21"/>
              </w:rPr>
            </w:pPr>
            <w:r>
              <w:rPr>
                <w:rFonts w:hint="eastAsia"/>
                <w:color w:val="000000"/>
                <w:sz w:val="21"/>
                <w:szCs w:val="21"/>
              </w:rPr>
              <w:t>+0.1</w:t>
            </w:r>
          </w:p>
        </w:tc>
      </w:tr>
      <w:tr w14:paraId="76256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5C31B906">
            <w:pPr>
              <w:widowControl/>
              <w:jc w:val="center"/>
              <w:rPr>
                <w:color w:val="000000"/>
                <w:kern w:val="0"/>
                <w:sz w:val="21"/>
                <w:szCs w:val="21"/>
              </w:rPr>
            </w:pPr>
          </w:p>
        </w:tc>
        <w:tc>
          <w:tcPr>
            <w:tcW w:w="0" w:type="auto"/>
            <w:noWrap w:val="0"/>
            <w:vAlign w:val="center"/>
          </w:tcPr>
          <w:p w14:paraId="1DABB993">
            <w:pPr>
              <w:pStyle w:val="27"/>
              <w:rPr>
                <w:color w:val="000000"/>
                <w:kern w:val="0"/>
                <w:sz w:val="21"/>
              </w:rPr>
            </w:pPr>
            <w:r>
              <w:rPr>
                <w:color w:val="000000"/>
                <w:sz w:val="21"/>
              </w:rPr>
              <w:t>含油废手套等劳保用品</w:t>
            </w:r>
          </w:p>
        </w:tc>
        <w:tc>
          <w:tcPr>
            <w:tcW w:w="0" w:type="auto"/>
            <w:noWrap w:val="0"/>
            <w:vAlign w:val="center"/>
          </w:tcPr>
          <w:p w14:paraId="4CC175B3">
            <w:pPr>
              <w:widowControl/>
              <w:jc w:val="center"/>
              <w:rPr>
                <w:color w:val="000000"/>
                <w:kern w:val="0"/>
                <w:sz w:val="21"/>
                <w:szCs w:val="21"/>
              </w:rPr>
            </w:pPr>
            <w:r>
              <w:rPr>
                <w:rFonts w:hint="eastAsia"/>
                <w:snapToGrid w:val="0"/>
                <w:color w:val="000000"/>
                <w:kern w:val="21"/>
                <w:sz w:val="21"/>
                <w:szCs w:val="21"/>
              </w:rPr>
              <w:t>0</w:t>
            </w:r>
          </w:p>
        </w:tc>
        <w:tc>
          <w:tcPr>
            <w:tcW w:w="0" w:type="auto"/>
            <w:noWrap w:val="0"/>
            <w:vAlign w:val="center"/>
          </w:tcPr>
          <w:p w14:paraId="27E9EDA4">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0" w:type="auto"/>
            <w:noWrap w:val="0"/>
            <w:vAlign w:val="center"/>
          </w:tcPr>
          <w:p w14:paraId="21325DF7">
            <w:pPr>
              <w:widowControl/>
              <w:jc w:val="center"/>
              <w:textAlignment w:val="center"/>
              <w:rPr>
                <w:color w:val="000000"/>
                <w:kern w:val="0"/>
                <w:sz w:val="21"/>
                <w:szCs w:val="21"/>
                <w:lang w:bidi="ar"/>
              </w:rPr>
            </w:pPr>
            <w:r>
              <w:rPr>
                <w:rFonts w:hint="eastAsia"/>
                <w:snapToGrid w:val="0"/>
                <w:color w:val="000000"/>
                <w:kern w:val="21"/>
                <w:sz w:val="21"/>
                <w:szCs w:val="21"/>
              </w:rPr>
              <w:t>0</w:t>
            </w:r>
          </w:p>
        </w:tc>
        <w:tc>
          <w:tcPr>
            <w:tcW w:w="1985" w:type="dxa"/>
            <w:noWrap w:val="0"/>
            <w:vAlign w:val="center"/>
          </w:tcPr>
          <w:p w14:paraId="283F5C48">
            <w:pPr>
              <w:jc w:val="center"/>
              <w:rPr>
                <w:snapToGrid w:val="0"/>
                <w:color w:val="000000"/>
                <w:kern w:val="0"/>
                <w:sz w:val="21"/>
                <w:szCs w:val="21"/>
              </w:rPr>
            </w:pPr>
            <w:r>
              <w:rPr>
                <w:rFonts w:hint="eastAsia"/>
                <w:color w:val="000000"/>
                <w:sz w:val="21"/>
                <w:szCs w:val="21"/>
              </w:rPr>
              <w:t>0.05</w:t>
            </w:r>
          </w:p>
        </w:tc>
        <w:tc>
          <w:tcPr>
            <w:tcW w:w="0" w:type="auto"/>
            <w:noWrap w:val="0"/>
            <w:vAlign w:val="center"/>
          </w:tcPr>
          <w:p w14:paraId="0C8E95E2">
            <w:pPr>
              <w:widowControl/>
              <w:jc w:val="center"/>
              <w:textAlignment w:val="center"/>
              <w:rPr>
                <w:color w:val="000000"/>
                <w:kern w:val="0"/>
                <w:sz w:val="21"/>
                <w:szCs w:val="21"/>
                <w:lang w:bidi="ar"/>
              </w:rPr>
            </w:pPr>
            <w:r>
              <w:rPr>
                <w:rFonts w:hint="eastAsia"/>
                <w:color w:val="000000"/>
                <w:kern w:val="0"/>
                <w:sz w:val="21"/>
                <w:szCs w:val="21"/>
                <w:lang w:bidi="ar"/>
              </w:rPr>
              <w:t>/</w:t>
            </w:r>
          </w:p>
        </w:tc>
        <w:tc>
          <w:tcPr>
            <w:tcW w:w="2072" w:type="dxa"/>
            <w:noWrap w:val="0"/>
            <w:vAlign w:val="center"/>
          </w:tcPr>
          <w:p w14:paraId="2A7DDA7C">
            <w:pPr>
              <w:jc w:val="center"/>
              <w:rPr>
                <w:color w:val="000000"/>
                <w:sz w:val="21"/>
                <w:szCs w:val="21"/>
              </w:rPr>
            </w:pPr>
            <w:r>
              <w:rPr>
                <w:rFonts w:hint="eastAsia"/>
                <w:color w:val="000000"/>
                <w:sz w:val="21"/>
                <w:szCs w:val="21"/>
              </w:rPr>
              <w:t>0.05</w:t>
            </w:r>
          </w:p>
        </w:tc>
        <w:tc>
          <w:tcPr>
            <w:tcW w:w="1122" w:type="dxa"/>
            <w:noWrap w:val="0"/>
            <w:vAlign w:val="center"/>
          </w:tcPr>
          <w:p w14:paraId="682722CE">
            <w:pPr>
              <w:jc w:val="center"/>
              <w:rPr>
                <w:color w:val="000000"/>
                <w:sz w:val="21"/>
                <w:szCs w:val="21"/>
              </w:rPr>
            </w:pPr>
            <w:r>
              <w:rPr>
                <w:rFonts w:hint="eastAsia"/>
                <w:color w:val="000000"/>
                <w:sz w:val="21"/>
                <w:szCs w:val="21"/>
              </w:rPr>
              <w:t>+0.05</w:t>
            </w:r>
          </w:p>
        </w:tc>
      </w:tr>
      <w:tr w14:paraId="08D5D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7EC0110E">
            <w:pPr>
              <w:widowControl/>
              <w:jc w:val="center"/>
              <w:rPr>
                <w:color w:val="000000"/>
                <w:kern w:val="0"/>
                <w:sz w:val="21"/>
                <w:szCs w:val="21"/>
              </w:rPr>
            </w:pPr>
          </w:p>
        </w:tc>
        <w:tc>
          <w:tcPr>
            <w:tcW w:w="2115" w:type="dxa"/>
            <w:noWrap w:val="0"/>
            <w:vAlign w:val="center"/>
          </w:tcPr>
          <w:p w14:paraId="5B415DF9">
            <w:pPr>
              <w:jc w:val="center"/>
              <w:rPr>
                <w:color w:val="000000"/>
                <w:kern w:val="0"/>
                <w:sz w:val="21"/>
                <w:szCs w:val="21"/>
              </w:rPr>
            </w:pPr>
            <w:r>
              <w:rPr>
                <w:color w:val="000000"/>
                <w:sz w:val="21"/>
                <w:szCs w:val="21"/>
              </w:rPr>
              <w:t>叉车废电池</w:t>
            </w:r>
          </w:p>
        </w:tc>
        <w:tc>
          <w:tcPr>
            <w:tcW w:w="1764" w:type="dxa"/>
            <w:noWrap w:val="0"/>
            <w:vAlign w:val="center"/>
          </w:tcPr>
          <w:p w14:paraId="256D2196">
            <w:pPr>
              <w:widowControl/>
              <w:jc w:val="center"/>
              <w:rPr>
                <w:rFonts w:hint="eastAsia"/>
                <w:snapToGrid w:val="0"/>
                <w:color w:val="000000"/>
                <w:kern w:val="21"/>
                <w:sz w:val="21"/>
                <w:szCs w:val="21"/>
              </w:rPr>
            </w:pPr>
            <w:r>
              <w:rPr>
                <w:rFonts w:hint="eastAsia"/>
                <w:snapToGrid w:val="0"/>
                <w:color w:val="000000"/>
                <w:kern w:val="21"/>
                <w:sz w:val="21"/>
                <w:szCs w:val="21"/>
              </w:rPr>
              <w:t>0</w:t>
            </w:r>
          </w:p>
        </w:tc>
        <w:tc>
          <w:tcPr>
            <w:tcW w:w="755" w:type="dxa"/>
            <w:noWrap w:val="0"/>
            <w:vAlign w:val="center"/>
          </w:tcPr>
          <w:p w14:paraId="35AE0A84">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764" w:type="dxa"/>
            <w:noWrap w:val="0"/>
            <w:vAlign w:val="center"/>
          </w:tcPr>
          <w:p w14:paraId="16FEDA7B">
            <w:pPr>
              <w:widowControl/>
              <w:jc w:val="center"/>
              <w:textAlignment w:val="center"/>
              <w:rPr>
                <w:rFonts w:hint="eastAsia"/>
                <w:snapToGrid w:val="0"/>
                <w:color w:val="000000"/>
                <w:kern w:val="21"/>
                <w:sz w:val="21"/>
                <w:szCs w:val="21"/>
              </w:rPr>
            </w:pPr>
            <w:r>
              <w:rPr>
                <w:rFonts w:hint="eastAsia"/>
                <w:snapToGrid w:val="0"/>
                <w:color w:val="000000"/>
                <w:kern w:val="21"/>
                <w:sz w:val="21"/>
                <w:szCs w:val="21"/>
              </w:rPr>
              <w:t>0</w:t>
            </w:r>
          </w:p>
        </w:tc>
        <w:tc>
          <w:tcPr>
            <w:tcW w:w="1985" w:type="dxa"/>
            <w:noWrap w:val="0"/>
            <w:vAlign w:val="center"/>
          </w:tcPr>
          <w:p w14:paraId="477261FF">
            <w:pPr>
              <w:jc w:val="center"/>
              <w:rPr>
                <w:rFonts w:hint="eastAsia"/>
                <w:snapToGrid w:val="0"/>
                <w:color w:val="000000"/>
                <w:kern w:val="0"/>
                <w:sz w:val="21"/>
                <w:szCs w:val="21"/>
              </w:rPr>
            </w:pPr>
            <w:r>
              <w:rPr>
                <w:rFonts w:hint="eastAsia"/>
                <w:color w:val="000000"/>
                <w:sz w:val="21"/>
                <w:szCs w:val="21"/>
              </w:rPr>
              <w:t>0.2</w:t>
            </w:r>
          </w:p>
        </w:tc>
        <w:tc>
          <w:tcPr>
            <w:tcW w:w="1132" w:type="dxa"/>
            <w:noWrap w:val="0"/>
            <w:vAlign w:val="center"/>
          </w:tcPr>
          <w:p w14:paraId="2AB09EDB">
            <w:pPr>
              <w:widowControl/>
              <w:jc w:val="center"/>
              <w:textAlignment w:val="center"/>
              <w:rPr>
                <w:rFonts w:hint="eastAsia"/>
                <w:color w:val="000000"/>
                <w:kern w:val="0"/>
                <w:sz w:val="21"/>
                <w:szCs w:val="21"/>
                <w:lang w:bidi="ar"/>
              </w:rPr>
            </w:pPr>
            <w:r>
              <w:rPr>
                <w:rFonts w:hint="eastAsia"/>
                <w:color w:val="000000"/>
                <w:kern w:val="0"/>
                <w:sz w:val="21"/>
                <w:szCs w:val="21"/>
                <w:lang w:bidi="ar"/>
              </w:rPr>
              <w:t>/</w:t>
            </w:r>
          </w:p>
        </w:tc>
        <w:tc>
          <w:tcPr>
            <w:tcW w:w="2072" w:type="dxa"/>
            <w:noWrap w:val="0"/>
            <w:vAlign w:val="center"/>
          </w:tcPr>
          <w:p w14:paraId="1CBEDF1D">
            <w:pPr>
              <w:jc w:val="center"/>
              <w:rPr>
                <w:rFonts w:hint="eastAsia"/>
                <w:color w:val="000000"/>
                <w:sz w:val="21"/>
                <w:szCs w:val="21"/>
              </w:rPr>
            </w:pPr>
            <w:r>
              <w:rPr>
                <w:rFonts w:hint="eastAsia"/>
                <w:color w:val="000000"/>
                <w:sz w:val="21"/>
                <w:szCs w:val="21"/>
              </w:rPr>
              <w:t>0.2</w:t>
            </w:r>
          </w:p>
        </w:tc>
        <w:tc>
          <w:tcPr>
            <w:tcW w:w="1122" w:type="dxa"/>
            <w:noWrap w:val="0"/>
            <w:vAlign w:val="center"/>
          </w:tcPr>
          <w:p w14:paraId="7E25B085">
            <w:pPr>
              <w:jc w:val="center"/>
              <w:rPr>
                <w:rFonts w:hint="eastAsia"/>
                <w:color w:val="000000"/>
                <w:sz w:val="21"/>
                <w:szCs w:val="21"/>
              </w:rPr>
            </w:pPr>
            <w:r>
              <w:rPr>
                <w:rFonts w:hint="eastAsia"/>
                <w:color w:val="000000"/>
                <w:sz w:val="21"/>
                <w:szCs w:val="21"/>
              </w:rPr>
              <w:t>+0.2</w:t>
            </w:r>
          </w:p>
        </w:tc>
      </w:tr>
      <w:tr w14:paraId="73F91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159BDA1">
            <w:pPr>
              <w:widowControl/>
              <w:jc w:val="center"/>
              <w:rPr>
                <w:rFonts w:hint="eastAsia"/>
                <w:color w:val="000000"/>
                <w:kern w:val="0"/>
                <w:sz w:val="21"/>
                <w:szCs w:val="21"/>
              </w:rPr>
            </w:pPr>
            <w:r>
              <w:rPr>
                <w:rFonts w:hint="eastAsia"/>
                <w:color w:val="000000"/>
                <w:kern w:val="0"/>
                <w:sz w:val="21"/>
                <w:szCs w:val="21"/>
              </w:rPr>
              <w:t>生活垃圾</w:t>
            </w:r>
          </w:p>
        </w:tc>
        <w:tc>
          <w:tcPr>
            <w:tcW w:w="0" w:type="auto"/>
            <w:noWrap w:val="0"/>
            <w:vAlign w:val="center"/>
          </w:tcPr>
          <w:p w14:paraId="603ECBCF">
            <w:pPr>
              <w:jc w:val="center"/>
              <w:rPr>
                <w:color w:val="000000"/>
                <w:sz w:val="21"/>
                <w:szCs w:val="21"/>
              </w:rPr>
            </w:pPr>
            <w:r>
              <w:rPr>
                <w:rFonts w:hint="eastAsia"/>
                <w:color w:val="000000"/>
                <w:sz w:val="21"/>
                <w:szCs w:val="21"/>
              </w:rPr>
              <w:t>生活垃圾</w:t>
            </w:r>
          </w:p>
        </w:tc>
        <w:tc>
          <w:tcPr>
            <w:tcW w:w="0" w:type="auto"/>
            <w:noWrap w:val="0"/>
            <w:vAlign w:val="center"/>
          </w:tcPr>
          <w:p w14:paraId="34C3C601">
            <w:pPr>
              <w:widowControl/>
              <w:jc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06F9D341">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44ED373F">
            <w:pPr>
              <w:widowControl/>
              <w:jc w:val="center"/>
              <w:textAlignment w:val="center"/>
              <w:rPr>
                <w:snapToGrid w:val="0"/>
                <w:color w:val="000000"/>
                <w:kern w:val="21"/>
                <w:sz w:val="21"/>
                <w:szCs w:val="21"/>
              </w:rPr>
            </w:pPr>
            <w:r>
              <w:rPr>
                <w:rFonts w:hint="eastAsia"/>
                <w:snapToGrid w:val="0"/>
                <w:color w:val="000000"/>
                <w:kern w:val="21"/>
                <w:sz w:val="21"/>
                <w:szCs w:val="21"/>
              </w:rPr>
              <w:t>0</w:t>
            </w:r>
          </w:p>
        </w:tc>
        <w:tc>
          <w:tcPr>
            <w:tcW w:w="0" w:type="auto"/>
            <w:noWrap w:val="0"/>
            <w:vAlign w:val="center"/>
          </w:tcPr>
          <w:p w14:paraId="263588D9">
            <w:pPr>
              <w:widowControl/>
              <w:jc w:val="center"/>
              <w:textAlignment w:val="center"/>
              <w:rPr>
                <w:snapToGrid w:val="0"/>
                <w:color w:val="000000"/>
                <w:kern w:val="0"/>
                <w:sz w:val="21"/>
                <w:szCs w:val="21"/>
              </w:rPr>
            </w:pPr>
            <w:r>
              <w:rPr>
                <w:rFonts w:hint="eastAsia"/>
                <w:snapToGrid w:val="0"/>
                <w:color w:val="000000"/>
                <w:kern w:val="0"/>
                <w:sz w:val="21"/>
                <w:szCs w:val="21"/>
              </w:rPr>
              <w:t>7.5</w:t>
            </w:r>
          </w:p>
        </w:tc>
        <w:tc>
          <w:tcPr>
            <w:tcW w:w="0" w:type="auto"/>
            <w:noWrap w:val="0"/>
            <w:vAlign w:val="center"/>
          </w:tcPr>
          <w:p w14:paraId="271123E0">
            <w:pPr>
              <w:widowControl/>
              <w:jc w:val="center"/>
              <w:textAlignment w:val="center"/>
              <w:rPr>
                <w:color w:val="000000"/>
                <w:kern w:val="0"/>
                <w:sz w:val="21"/>
                <w:szCs w:val="21"/>
                <w:lang w:bidi="ar"/>
              </w:rPr>
            </w:pPr>
            <w:r>
              <w:rPr>
                <w:rFonts w:hint="eastAsia"/>
                <w:color w:val="000000"/>
                <w:kern w:val="0"/>
                <w:sz w:val="21"/>
                <w:szCs w:val="21"/>
                <w:lang w:bidi="ar"/>
              </w:rPr>
              <w:t>/</w:t>
            </w:r>
          </w:p>
        </w:tc>
        <w:tc>
          <w:tcPr>
            <w:tcW w:w="0" w:type="auto"/>
            <w:noWrap w:val="0"/>
            <w:vAlign w:val="center"/>
          </w:tcPr>
          <w:p w14:paraId="7DECE4CE">
            <w:pPr>
              <w:widowControl/>
              <w:jc w:val="center"/>
              <w:textAlignment w:val="center"/>
              <w:rPr>
                <w:snapToGrid w:val="0"/>
                <w:color w:val="000000"/>
                <w:kern w:val="0"/>
                <w:sz w:val="21"/>
                <w:szCs w:val="21"/>
              </w:rPr>
            </w:pPr>
            <w:r>
              <w:rPr>
                <w:rFonts w:hint="eastAsia"/>
                <w:snapToGrid w:val="0"/>
                <w:color w:val="000000"/>
                <w:kern w:val="0"/>
                <w:sz w:val="21"/>
                <w:szCs w:val="21"/>
              </w:rPr>
              <w:t>7.5</w:t>
            </w:r>
          </w:p>
        </w:tc>
        <w:tc>
          <w:tcPr>
            <w:tcW w:w="0" w:type="auto"/>
            <w:noWrap w:val="0"/>
            <w:vAlign w:val="center"/>
          </w:tcPr>
          <w:p w14:paraId="2BE1DC0E">
            <w:pPr>
              <w:widowControl/>
              <w:jc w:val="center"/>
              <w:textAlignment w:val="center"/>
              <w:rPr>
                <w:color w:val="000000"/>
                <w:kern w:val="0"/>
                <w:sz w:val="21"/>
                <w:szCs w:val="21"/>
              </w:rPr>
            </w:pPr>
            <w:r>
              <w:rPr>
                <w:rFonts w:hint="eastAsia"/>
                <w:snapToGrid w:val="0"/>
                <w:color w:val="000000"/>
                <w:kern w:val="0"/>
                <w:sz w:val="21"/>
                <w:szCs w:val="21"/>
              </w:rPr>
              <w:t>+7.5</w:t>
            </w:r>
          </w:p>
        </w:tc>
      </w:tr>
    </w:tbl>
    <w:p w14:paraId="2CF43B84">
      <w:pPr>
        <w:pStyle w:val="42"/>
        <w:spacing w:beforeLines="0" w:after="31" w:line="240" w:lineRule="auto"/>
        <w:jc w:val="left"/>
        <w:rPr>
          <w:rFonts w:ascii="Times New Roman" w:hAnsi="Times New Roman"/>
          <w:color w:val="000000"/>
        </w:rPr>
      </w:pPr>
      <w:r>
        <w:rPr>
          <w:rFonts w:ascii="Times New Roman" w:hAnsi="Times New Roman"/>
          <w:snapToGrid w:val="0"/>
          <w:color w:val="000000"/>
          <w:kern w:val="21"/>
          <w:szCs w:val="21"/>
        </w:rPr>
        <w:t>注：</w:t>
      </w:r>
      <w:r>
        <w:rPr>
          <w:rFonts w:ascii="Times New Roman" w:hAnsi="Times New Roman"/>
          <w:snapToGrid w:val="0"/>
          <w:color w:val="000000"/>
          <w:spacing w:val="-16"/>
          <w:kern w:val="21"/>
          <w:szCs w:val="21"/>
        </w:rPr>
        <w:fldChar w:fldCharType="begin"/>
      </w:r>
      <w:r>
        <w:rPr>
          <w:rFonts w:ascii="Times New Roman" w:hAnsi="Times New Roman"/>
          <w:snapToGrid w:val="0"/>
          <w:color w:val="000000"/>
          <w:spacing w:val="-16"/>
          <w:kern w:val="21"/>
          <w:szCs w:val="21"/>
        </w:rPr>
        <w:instrText xml:space="preserve"> = 6 \* GB3 \* MERGEFORMAT </w:instrText>
      </w:r>
      <w:r>
        <w:rPr>
          <w:rFonts w:ascii="Times New Roman" w:hAnsi="Times New Roman"/>
          <w:snapToGrid w:val="0"/>
          <w:color w:val="000000"/>
          <w:spacing w:val="-16"/>
          <w:kern w:val="21"/>
          <w:szCs w:val="21"/>
        </w:rPr>
        <w:fldChar w:fldCharType="separate"/>
      </w:r>
      <w:r>
        <w:rPr>
          <w:rFonts w:hint="eastAsia" w:ascii="Times New Roman" w:hAnsi="Times New Roman" w:cs="宋体"/>
          <w:color w:val="000000"/>
          <w:szCs w:val="21"/>
        </w:rPr>
        <w:t>⑥</w:t>
      </w:r>
      <w:r>
        <w:rPr>
          <w:rFonts w:ascii="Times New Roman" w:hAnsi="Times New Roman"/>
          <w:snapToGrid w:val="0"/>
          <w:color w:val="000000"/>
          <w:spacing w:val="-16"/>
          <w:kern w:val="21"/>
          <w:szCs w:val="21"/>
        </w:rPr>
        <w:fldChar w:fldCharType="end"/>
      </w:r>
      <w:r>
        <w:rPr>
          <w:rFonts w:ascii="Times New Roman" w:hAnsi="Times New Roman"/>
          <w:snapToGrid w:val="0"/>
          <w:color w:val="000000"/>
          <w:spacing w:val="-1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1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cs="宋体"/>
          <w:color w:val="000000"/>
          <w:szCs w:val="21"/>
        </w:rPr>
        <w:t>①</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3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cs="宋体"/>
          <w:color w:val="000000"/>
          <w:szCs w:val="21"/>
        </w:rPr>
        <w:t>③</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4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cs="宋体"/>
          <w:color w:val="000000"/>
          <w:szCs w:val="21"/>
        </w:rPr>
        <w:t>④</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16"/>
          <w:kern w:val="21"/>
          <w:szCs w:val="21"/>
        </w:rPr>
        <w:fldChar w:fldCharType="begin"/>
      </w:r>
      <w:r>
        <w:rPr>
          <w:rFonts w:ascii="Times New Roman" w:hAnsi="Times New Roman"/>
          <w:snapToGrid w:val="0"/>
          <w:color w:val="000000"/>
          <w:spacing w:val="-16"/>
          <w:kern w:val="21"/>
          <w:szCs w:val="21"/>
        </w:rPr>
        <w:instrText xml:space="preserve"> = 5 \* GB3 \* MERGEFORMAT </w:instrText>
      </w:r>
      <w:r>
        <w:rPr>
          <w:rFonts w:ascii="Times New Roman" w:hAnsi="Times New Roman"/>
          <w:snapToGrid w:val="0"/>
          <w:color w:val="000000"/>
          <w:spacing w:val="-16"/>
          <w:kern w:val="21"/>
          <w:szCs w:val="21"/>
        </w:rPr>
        <w:fldChar w:fldCharType="separate"/>
      </w:r>
      <w:r>
        <w:rPr>
          <w:rFonts w:hint="eastAsia" w:ascii="Times New Roman" w:hAnsi="Times New Roman" w:cs="宋体"/>
          <w:color w:val="000000"/>
          <w:szCs w:val="21"/>
        </w:rPr>
        <w:t>⑤</w:t>
      </w:r>
      <w:r>
        <w:rPr>
          <w:rFonts w:ascii="Times New Roman" w:hAnsi="Times New Roman"/>
          <w:snapToGrid w:val="0"/>
          <w:color w:val="000000"/>
          <w:spacing w:val="-16"/>
          <w:kern w:val="21"/>
          <w:szCs w:val="21"/>
        </w:rPr>
        <w:fldChar w:fldCharType="end"/>
      </w:r>
      <w:r>
        <w:rPr>
          <w:rFonts w:ascii="Times New Roman" w:hAnsi="Times New Roman"/>
          <w:snapToGrid w:val="0"/>
          <w:color w:val="000000"/>
          <w:spacing w:val="-1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7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cs="宋体"/>
          <w:color w:val="000000"/>
          <w:szCs w:val="21"/>
        </w:rPr>
        <w:t>⑦</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16"/>
          <w:kern w:val="21"/>
          <w:szCs w:val="21"/>
        </w:rPr>
        <w:fldChar w:fldCharType="begin"/>
      </w:r>
      <w:r>
        <w:rPr>
          <w:rFonts w:ascii="Times New Roman" w:hAnsi="Times New Roman"/>
          <w:snapToGrid w:val="0"/>
          <w:color w:val="000000"/>
          <w:spacing w:val="-16"/>
          <w:kern w:val="21"/>
          <w:szCs w:val="21"/>
        </w:rPr>
        <w:instrText xml:space="preserve"> = 6 \* GB3 \* MERGEFORMAT </w:instrText>
      </w:r>
      <w:r>
        <w:rPr>
          <w:rFonts w:ascii="Times New Roman" w:hAnsi="Times New Roman"/>
          <w:snapToGrid w:val="0"/>
          <w:color w:val="000000"/>
          <w:spacing w:val="-16"/>
          <w:kern w:val="21"/>
          <w:szCs w:val="21"/>
        </w:rPr>
        <w:fldChar w:fldCharType="separate"/>
      </w:r>
      <w:r>
        <w:rPr>
          <w:rFonts w:hint="eastAsia" w:ascii="Times New Roman" w:hAnsi="Times New Roman" w:cs="宋体"/>
          <w:color w:val="000000"/>
          <w:szCs w:val="21"/>
        </w:rPr>
        <w:t>⑥</w:t>
      </w:r>
      <w:r>
        <w:rPr>
          <w:rFonts w:ascii="Times New Roman" w:hAnsi="Times New Roman"/>
          <w:snapToGrid w:val="0"/>
          <w:color w:val="000000"/>
          <w:spacing w:val="-16"/>
          <w:kern w:val="21"/>
          <w:szCs w:val="21"/>
        </w:rPr>
        <w:fldChar w:fldCharType="end"/>
      </w:r>
      <w:r>
        <w:rPr>
          <w:rFonts w:ascii="Times New Roman" w:hAnsi="Times New Roman"/>
          <w:snapToGrid w:val="0"/>
          <w:color w:val="000000"/>
          <w:spacing w:val="-1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1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cs="宋体"/>
          <w:color w:val="000000"/>
          <w:szCs w:val="21"/>
        </w:rPr>
        <w:t>①</w:t>
      </w:r>
      <w:r>
        <w:rPr>
          <w:rFonts w:ascii="Times New Roman" w:hAnsi="Times New Roman"/>
          <w:snapToGrid w:val="0"/>
          <w:color w:val="000000"/>
          <w:spacing w:val="-6"/>
          <w:kern w:val="21"/>
          <w:szCs w:val="21"/>
        </w:rPr>
        <w:fldChar w:fldCharType="end"/>
      </w:r>
      <w:r>
        <w:rPr>
          <w:rFonts w:hint="eastAsia" w:ascii="Times New Roman" w:hAnsi="Times New Roman"/>
          <w:snapToGrid w:val="0"/>
          <w:color w:val="000000"/>
          <w:spacing w:val="-6"/>
          <w:kern w:val="21"/>
          <w:szCs w:val="21"/>
        </w:rPr>
        <w:t>；单位均为t/a。</w:t>
      </w:r>
    </w:p>
    <w:p w14:paraId="19BBA29E">
      <w:pPr>
        <w:pStyle w:val="13"/>
        <w:rPr>
          <w:color w:val="000000"/>
        </w:rPr>
        <w:sectPr>
          <w:pgSz w:w="16838" w:h="11905" w:orient="landscape"/>
          <w:pgMar w:top="1531" w:right="1440" w:bottom="1531" w:left="1440" w:header="851" w:footer="992" w:gutter="0"/>
          <w:cols w:space="720" w:num="1"/>
          <w:docGrid w:type="lines" w:linePitch="312" w:charSpace="0"/>
        </w:sectPr>
      </w:pPr>
    </w:p>
    <w:p w14:paraId="0646FEBC">
      <w:pPr>
        <w:jc w:val="center"/>
        <w:rPr>
          <w:b/>
          <w:color w:val="000000"/>
          <w:sz w:val="30"/>
          <w:szCs w:val="30"/>
        </w:rPr>
      </w:pPr>
      <w:r>
        <w:rPr>
          <w:b/>
          <w:color w:val="000000"/>
          <w:sz w:val="30"/>
          <w:szCs w:val="30"/>
          <w:lang w:bidi="ar"/>
        </w:rPr>
        <w:t>附  录</w:t>
      </w:r>
    </w:p>
    <w:p w14:paraId="50CDA32F">
      <w:pPr>
        <w:spacing w:line="360" w:lineRule="auto"/>
        <w:jc w:val="left"/>
        <w:rPr>
          <w:b/>
          <w:color w:val="000000"/>
        </w:rPr>
      </w:pPr>
      <w:r>
        <w:rPr>
          <w:b/>
          <w:color w:val="000000"/>
          <w:lang w:bidi="ar"/>
        </w:rPr>
        <w:t>附图：</w:t>
      </w:r>
    </w:p>
    <w:p w14:paraId="58534AD0">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附图1 地理位置图</w:t>
      </w:r>
    </w:p>
    <w:p w14:paraId="3ADCC537">
      <w:pPr>
        <w:pStyle w:val="25"/>
        <w:tabs>
          <w:tab w:val="left" w:pos="540"/>
          <w:tab w:val="left" w:pos="1080"/>
          <w:tab w:val="left" w:pos="1800"/>
        </w:tabs>
        <w:ind w:firstLine="0" w:firstLineChars="0"/>
        <w:rPr>
          <w:rFonts w:cs="Times New Roman"/>
          <w:color w:val="000000"/>
        </w:rPr>
      </w:pPr>
      <w:r>
        <w:rPr>
          <w:rFonts w:hint="eastAsia" w:cs="Times New Roman"/>
          <w:color w:val="000000"/>
        </w:rPr>
        <w:t>附图2 项目区域水系图</w:t>
      </w:r>
    </w:p>
    <w:p w14:paraId="4E61F2F5">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附图3 项目周围环境关系图</w:t>
      </w:r>
    </w:p>
    <w:p w14:paraId="6C3C5A15">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附图4 项目环境保护目标分布图</w:t>
      </w:r>
    </w:p>
    <w:p w14:paraId="4DDAE3EF">
      <w:pPr>
        <w:pStyle w:val="25"/>
        <w:tabs>
          <w:tab w:val="left" w:pos="540"/>
          <w:tab w:val="left" w:pos="1080"/>
          <w:tab w:val="left" w:pos="1800"/>
        </w:tabs>
        <w:ind w:firstLine="0" w:firstLineChars="0"/>
        <w:rPr>
          <w:rFonts w:cs="Times New Roman"/>
          <w:color w:val="000000"/>
        </w:rPr>
      </w:pPr>
      <w:r>
        <w:rPr>
          <w:rFonts w:hint="eastAsia" w:cs="Times New Roman"/>
          <w:color w:val="000000"/>
        </w:rPr>
        <w:t>附图5 项目引用监测点分布图</w:t>
      </w:r>
    </w:p>
    <w:p w14:paraId="388B9A60">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附图6 项目总平面布局图</w:t>
      </w:r>
    </w:p>
    <w:p w14:paraId="742414B4">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附图7 项目环保设施布置及分区防渗图</w:t>
      </w:r>
    </w:p>
    <w:p w14:paraId="6FEC8B01">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附图8 项目排水管网图</w:t>
      </w:r>
    </w:p>
    <w:p w14:paraId="6F664384">
      <w:pPr>
        <w:pStyle w:val="25"/>
        <w:tabs>
          <w:tab w:val="left" w:pos="540"/>
          <w:tab w:val="left" w:pos="1080"/>
          <w:tab w:val="left" w:pos="1800"/>
        </w:tabs>
        <w:ind w:firstLine="0" w:firstLineChars="0"/>
        <w:rPr>
          <w:rFonts w:cs="Times New Roman"/>
          <w:color w:val="000000"/>
        </w:rPr>
      </w:pPr>
      <w:r>
        <w:rPr>
          <w:rFonts w:hint="eastAsia" w:cs="Times New Roman"/>
          <w:color w:val="000000"/>
        </w:rPr>
        <w:t>附图9 项目废气管网图</w:t>
      </w:r>
    </w:p>
    <w:p w14:paraId="1E33BCD1">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附图10 区域声功能区划图</w:t>
      </w:r>
    </w:p>
    <w:p w14:paraId="5B3B863E">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附图11-1 项目区域工业园区规划图</w:t>
      </w:r>
    </w:p>
    <w:p w14:paraId="5C25F5ED">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附图11-2 项目与区域城市规划关系图</w:t>
      </w:r>
    </w:p>
    <w:p w14:paraId="3D3A2917">
      <w:pPr>
        <w:pStyle w:val="25"/>
        <w:tabs>
          <w:tab w:val="left" w:pos="540"/>
          <w:tab w:val="left" w:pos="1080"/>
          <w:tab w:val="left" w:pos="1800"/>
        </w:tabs>
        <w:ind w:firstLine="0" w:firstLineChars="0"/>
        <w:rPr>
          <w:rFonts w:cs="Times New Roman"/>
          <w:color w:val="000000"/>
        </w:rPr>
      </w:pPr>
      <w:r>
        <w:rPr>
          <w:rFonts w:hint="eastAsia" w:cs="Times New Roman"/>
          <w:color w:val="000000"/>
        </w:rPr>
        <w:t>附图12 项目现状照片</w:t>
      </w:r>
    </w:p>
    <w:p w14:paraId="26CF8697">
      <w:pPr>
        <w:pStyle w:val="25"/>
        <w:tabs>
          <w:tab w:val="left" w:pos="540"/>
          <w:tab w:val="left" w:pos="1080"/>
          <w:tab w:val="left" w:pos="1800"/>
        </w:tabs>
        <w:ind w:firstLine="0" w:firstLineChars="0"/>
        <w:rPr>
          <w:rFonts w:hint="eastAsia" w:cs="Times New Roman"/>
          <w:color w:val="000000"/>
        </w:rPr>
      </w:pPr>
    </w:p>
    <w:p w14:paraId="2B64223F">
      <w:pPr>
        <w:pStyle w:val="25"/>
        <w:tabs>
          <w:tab w:val="left" w:pos="540"/>
          <w:tab w:val="left" w:pos="1080"/>
          <w:tab w:val="left" w:pos="1800"/>
        </w:tabs>
        <w:ind w:firstLine="0" w:firstLineChars="0"/>
        <w:rPr>
          <w:rFonts w:hint="eastAsia" w:cs="Times New Roman"/>
          <w:color w:val="000000"/>
        </w:rPr>
      </w:pPr>
    </w:p>
    <w:p w14:paraId="437409E1">
      <w:pPr>
        <w:pStyle w:val="25"/>
        <w:tabs>
          <w:tab w:val="left" w:pos="540"/>
          <w:tab w:val="left" w:pos="1080"/>
          <w:tab w:val="left" w:pos="1800"/>
        </w:tabs>
        <w:ind w:firstLine="0" w:firstLineChars="0"/>
        <w:rPr>
          <w:rFonts w:hint="eastAsia" w:cs="Times New Roman"/>
          <w:b/>
          <w:bCs/>
          <w:color w:val="000000"/>
        </w:rPr>
      </w:pPr>
      <w:r>
        <w:rPr>
          <w:rFonts w:hint="eastAsia" w:cs="Times New Roman"/>
          <w:b/>
          <w:bCs/>
          <w:color w:val="000000"/>
        </w:rPr>
        <w:t>附件：</w:t>
      </w:r>
    </w:p>
    <w:p w14:paraId="7CCB3A0B">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附件1 项目备案证</w:t>
      </w:r>
    </w:p>
    <w:p w14:paraId="732069D9">
      <w:pPr>
        <w:pStyle w:val="25"/>
        <w:tabs>
          <w:tab w:val="left" w:pos="540"/>
          <w:tab w:val="left" w:pos="1080"/>
          <w:tab w:val="left" w:pos="1800"/>
        </w:tabs>
        <w:ind w:firstLine="0" w:firstLineChars="0"/>
        <w:rPr>
          <w:rFonts w:cs="Times New Roman"/>
          <w:color w:val="000000"/>
        </w:rPr>
      </w:pPr>
      <w:r>
        <w:rPr>
          <w:rFonts w:hint="eastAsia" w:cs="Times New Roman"/>
          <w:color w:val="000000"/>
        </w:rPr>
        <w:t>附件2 项目厂区租赁协议</w:t>
      </w:r>
    </w:p>
    <w:p w14:paraId="51D50D80">
      <w:pPr>
        <w:pStyle w:val="25"/>
        <w:tabs>
          <w:tab w:val="left" w:pos="540"/>
          <w:tab w:val="left" w:pos="1080"/>
          <w:tab w:val="left" w:pos="1800"/>
        </w:tabs>
        <w:ind w:firstLine="0" w:firstLineChars="0"/>
        <w:rPr>
          <w:rFonts w:cs="Times New Roman"/>
          <w:color w:val="000000"/>
        </w:rPr>
      </w:pPr>
      <w:r>
        <w:rPr>
          <w:rFonts w:hint="eastAsia" w:cs="Times New Roman"/>
          <w:color w:val="000000"/>
        </w:rPr>
        <w:t>附件3 引用园区现状监测报告</w:t>
      </w:r>
    </w:p>
    <w:p w14:paraId="4B71ED46">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附件4 生态环境分区管控检测分析报告</w:t>
      </w:r>
    </w:p>
    <w:p w14:paraId="14E8400B">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附件5 厂区原环评批复</w:t>
      </w:r>
    </w:p>
    <w:p w14:paraId="6AC58FBF">
      <w:pPr>
        <w:pStyle w:val="25"/>
        <w:tabs>
          <w:tab w:val="left" w:pos="540"/>
          <w:tab w:val="left" w:pos="1080"/>
          <w:tab w:val="left" w:pos="1800"/>
        </w:tabs>
        <w:ind w:firstLine="0" w:firstLineChars="0"/>
        <w:rPr>
          <w:rFonts w:cs="Times New Roman"/>
          <w:color w:val="000000"/>
        </w:rPr>
      </w:pPr>
      <w:r>
        <w:rPr>
          <w:rFonts w:hint="eastAsia" w:cs="Times New Roman"/>
          <w:color w:val="000000"/>
        </w:rPr>
        <w:t>附件6 园区规划环评审查意见函</w:t>
      </w:r>
    </w:p>
    <w:p w14:paraId="1877AB31">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附件7 类比项目验收监测报告（部分）</w:t>
      </w:r>
    </w:p>
    <w:p w14:paraId="39EB629B">
      <w:pPr>
        <w:pStyle w:val="25"/>
        <w:tabs>
          <w:tab w:val="left" w:pos="540"/>
          <w:tab w:val="left" w:pos="1080"/>
          <w:tab w:val="left" w:pos="1800"/>
        </w:tabs>
        <w:ind w:firstLine="0" w:firstLineChars="0"/>
        <w:rPr>
          <w:rFonts w:hint="eastAsia" w:cs="Times New Roman"/>
          <w:color w:val="000000"/>
        </w:rPr>
      </w:pPr>
      <w:r>
        <w:rPr>
          <w:rFonts w:hint="eastAsia" w:cs="Times New Roman"/>
          <w:color w:val="000000"/>
        </w:rPr>
        <w:t>附件8 主要原料MSDS或检测报告</w:t>
      </w:r>
    </w:p>
    <w:p w14:paraId="52DA79CB">
      <w:pPr>
        <w:jc w:val="center"/>
        <w:rPr>
          <w:rFonts w:hint="default" w:ascii="Times New Roman" w:hAnsi="Times New Roman" w:eastAsia="宋体" w:cs="Times New Roman"/>
          <w:b/>
          <w:bCs/>
          <w:sz w:val="24"/>
          <w:szCs w:val="32"/>
          <w:lang w:val="en-US" w:eastAsia="zh-CN"/>
        </w:rPr>
      </w:pPr>
      <w:r>
        <mc:AlternateContent>
          <mc:Choice Requires="wps">
            <w:drawing>
              <wp:anchor distT="0" distB="0" distL="114300" distR="114300" simplePos="0" relativeHeight="251662336" behindDoc="0" locked="0" layoutInCell="1" allowOverlap="1">
                <wp:simplePos x="0" y="0"/>
                <wp:positionH relativeFrom="column">
                  <wp:posOffset>1767205</wp:posOffset>
                </wp:positionH>
                <wp:positionV relativeFrom="paragraph">
                  <wp:posOffset>7246620</wp:posOffset>
                </wp:positionV>
                <wp:extent cx="109220" cy="97790"/>
                <wp:effectExtent l="22225" t="24130" r="40005" b="30480"/>
                <wp:wrapNone/>
                <wp:docPr id="10" name="矩形 10"/>
                <wp:cNvGraphicFramePr/>
                <a:graphic xmlns:a="http://schemas.openxmlformats.org/drawingml/2006/main">
                  <a:graphicData uri="http://schemas.microsoft.com/office/word/2010/wordprocessingShape">
                    <wps:wsp>
                      <wps:cNvSpPr/>
                      <wps:spPr>
                        <a:xfrm rot="20520000">
                          <a:off x="0" y="0"/>
                          <a:ext cx="109220" cy="97790"/>
                        </a:xfrm>
                        <a:prstGeom prst="rect">
                          <a:avLst/>
                        </a:prstGeom>
                        <a:no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15pt;margin-top:570.6pt;height:7.7pt;width:8.6pt;rotation:-1179648f;z-index:251662336;v-text-anchor:middle;mso-width-relative:page;mso-height-relative:page;" filled="f" stroked="t" coordsize="21600,21600" o:gfxdata="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vn+mNoAAAANAQAADwAAAAAAAAABACAAAAAiAAAAZHJzL2Rvd25yZXYueG1s&#10;UEsBAhQAFAAAAAgAh07iQKgyInpoAgAA0QQAAA4AAAAAAAAAAQAgAAAAKQEAAGRycy9lMm9Eb2Mu&#10;eG1sUEsFBgAAAAAGAAYAWQEAAAMGAAAAAA==&#10;">
                <v:fill on="f" focussize="0,0"/>
                <v:stroke weight="1.5pt" color="#000000" joinstyle="round"/>
                <v:imagedata o:title=""/>
                <o:lock v:ext="edit" aspectratio="f"/>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2435860</wp:posOffset>
                </wp:positionH>
                <wp:positionV relativeFrom="paragraph">
                  <wp:posOffset>6259195</wp:posOffset>
                </wp:positionV>
                <wp:extent cx="1265555" cy="469265"/>
                <wp:effectExtent l="558800" t="7620" r="23495" b="532765"/>
                <wp:wrapNone/>
                <wp:docPr id="5" name="矩形标注 5"/>
                <wp:cNvGraphicFramePr/>
                <a:graphic xmlns:a="http://schemas.openxmlformats.org/drawingml/2006/main">
                  <a:graphicData uri="http://schemas.microsoft.com/office/word/2010/wordprocessingShape">
                    <wps:wsp>
                      <wps:cNvSpPr/>
                      <wps:spPr>
                        <a:xfrm>
                          <a:off x="4358640" y="4242435"/>
                          <a:ext cx="1265555" cy="469265"/>
                        </a:xfrm>
                        <a:prstGeom prst="wedgeRectCallout">
                          <a:avLst>
                            <a:gd name="adj1" fmla="val -93552"/>
                            <a:gd name="adj2" fmla="val 160148"/>
                          </a:avLst>
                        </a:prstGeom>
                        <a:noFill/>
                        <a:ln w="15875" cap="flat" cmpd="sng" algn="ctr">
                          <a:solidFill>
                            <a:srgbClr val="000000"/>
                          </a:solidFill>
                          <a:prstDash val="solid"/>
                        </a:ln>
                        <a:effectLst/>
                      </wps:spPr>
                      <wps:txbx>
                        <w:txbxContent>
                          <w:p w14:paraId="179FA54F">
                            <w:pPr>
                              <w:jc w:val="center"/>
                              <w:rPr>
                                <w:rFonts w:hint="default" w:eastAsia="宋体"/>
                                <w:b/>
                                <w:bCs/>
                                <w:color w:val="000000"/>
                                <w:sz w:val="28"/>
                                <w:szCs w:val="36"/>
                                <w:lang w:val="en-US" w:eastAsia="zh-CN"/>
                              </w:rPr>
                            </w:pPr>
                            <w:r>
                              <w:rPr>
                                <w:rFonts w:hint="eastAsia"/>
                                <w:b/>
                                <w:bCs/>
                                <w:color w:val="000000"/>
                                <w:sz w:val="28"/>
                                <w:szCs w:val="36"/>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1.8pt;margin-top:492.85pt;height:36.95pt;width:99.65pt;z-index:251661312;v-text-anchor:middle;mso-width-relative:page;mso-height-relative:page;" filled="f" stroked="t" coordsize="21600,21600" o:gfxdata="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JZfbS3AAAAAwBAAAPAAAAAAAAAAEAIAAAACIAAABkcnMv&#10;ZG93bnJldi54bWxQSwECFAAUAAAACACHTuJA60vjlKoCAAA+BQAADgAAAAAAAAABACAAAAArAQAA&#10;ZHJzL2Uyb0RvYy54bWxQSwUGAAAAAAYABgBZAQAARwYAAAAA&#10;" adj="-9407,45392">
                <v:fill on="f" focussize="0,0"/>
                <v:stroke weight="1.25pt" color="#000000" joinstyle="round"/>
                <v:imagedata o:title=""/>
                <o:lock v:ext="edit" aspectratio="f"/>
                <v:textbox>
                  <w:txbxContent>
                    <w:p w14:paraId="179FA54F">
                      <w:pPr>
                        <w:jc w:val="center"/>
                        <w:rPr>
                          <w:rFonts w:hint="default" w:eastAsia="宋体"/>
                          <w:b/>
                          <w:bCs/>
                          <w:color w:val="000000"/>
                          <w:sz w:val="28"/>
                          <w:szCs w:val="36"/>
                          <w:lang w:val="en-US" w:eastAsia="zh-CN"/>
                        </w:rPr>
                      </w:pPr>
                      <w:r>
                        <w:rPr>
                          <w:rFonts w:hint="eastAsia"/>
                          <w:b/>
                          <w:bCs/>
                          <w:color w:val="000000"/>
                          <w:sz w:val="28"/>
                          <w:szCs w:val="36"/>
                          <w:lang w:val="en-US" w:eastAsia="zh-CN"/>
                        </w:rPr>
                        <w:t>本项目位置</w:t>
                      </w:r>
                    </w:p>
                  </w:txbxContent>
                </v:textbox>
              </v:shape>
            </w:pict>
          </mc:Fallback>
        </mc:AlternateContent>
      </w:r>
      <w:r>
        <w:rPr>
          <w:rFonts w:hint="default" w:ascii="Times New Roman" w:hAnsi="Times New Roman" w:cs="Times New Roman"/>
          <w:b/>
          <w:bCs/>
          <w:sz w:val="24"/>
          <w:szCs w:val="32"/>
          <w:lang w:val="en-US" w:eastAsia="zh-CN"/>
        </w:rPr>
        <w:drawing>
          <wp:inline distT="0" distB="0" distL="114300" distR="114300">
            <wp:extent cx="6713855" cy="8469630"/>
            <wp:effectExtent l="0" t="0" r="10795" b="7620"/>
            <wp:docPr id="48" name="图片 51" descr="九龙坡区行政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1" descr="九龙坡区行政区划"/>
                    <pic:cNvPicPr>
                      <a:picLocks noChangeAspect="1"/>
                    </pic:cNvPicPr>
                  </pic:nvPicPr>
                  <pic:blipFill>
                    <a:blip r:embed="rId34"/>
                    <a:stretch>
                      <a:fillRect/>
                    </a:stretch>
                  </pic:blipFill>
                  <pic:spPr>
                    <a:xfrm>
                      <a:off x="0" y="0"/>
                      <a:ext cx="6713855" cy="8469630"/>
                    </a:xfrm>
                    <a:prstGeom prst="rect">
                      <a:avLst/>
                    </a:prstGeom>
                    <a:noFill/>
                    <a:ln>
                      <a:noFill/>
                    </a:ln>
                  </pic:spPr>
                </pic:pic>
              </a:graphicData>
            </a:graphic>
          </wp:inline>
        </w:drawing>
      </w:r>
      <w:r>
        <w:rPr>
          <w:rFonts w:hint="default" w:ascii="Times New Roman" w:hAnsi="Times New Roman" w:cs="Times New Roman"/>
          <w:b/>
          <w:bCs/>
          <w:sz w:val="24"/>
          <w:szCs w:val="32"/>
          <w:lang w:val="en-US" w:eastAsia="zh-CN"/>
        </w:rPr>
        <w:t xml:space="preserve">附图1 </w:t>
      </w:r>
      <w:r>
        <w:rPr>
          <w:rFonts w:hint="default" w:ascii="Times New Roman" w:hAnsi="Times New Roman" w:cs="Times New Roman"/>
          <w:b/>
          <w:bCs/>
          <w:color w:val="auto"/>
          <w:sz w:val="24"/>
          <w:szCs w:val="32"/>
          <w:highlight w:val="none"/>
          <w:lang w:val="en-US" w:eastAsia="zh-CN"/>
        </w:rPr>
        <w:t>项目地理位置图</w:t>
      </w:r>
    </w:p>
    <w:p w14:paraId="56B78917">
      <w:pPr>
        <w:spacing w:before="75" w:line="219" w:lineRule="auto"/>
        <w:ind w:left="3896"/>
        <w:rPr>
          <w:rFonts w:ascii="宋体" w:hAnsi="宋体" w:eastAsia="宋体" w:cs="宋体"/>
          <w:sz w:val="24"/>
          <w:szCs w:val="24"/>
        </w:rPr>
      </w:pPr>
    </w:p>
    <w:sectPr>
      <w:footerReference r:id="rId11" w:type="default"/>
      <w:pgSz w:w="11905" w:h="16839"/>
      <w:pgMar w:top="400" w:right="483" w:bottom="1156" w:left="849" w:header="0" w:footer="99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2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E21C">
    <w:pPr>
      <w:pStyle w:val="6"/>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EC772">
    <w:pPr>
      <w:pStyle w:val="12"/>
      <w:ind w:right="360" w:firstLine="360"/>
    </w:pPr>
  </w:p>
  <w:p w14:paraId="2186B2FE">
    <w:pPr>
      <w:pStyle w:val="12"/>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37185" cy="19494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37185" cy="194945"/>
                      </a:xfrm>
                      <a:prstGeom prst="rect">
                        <a:avLst/>
                      </a:prstGeom>
                      <a:noFill/>
                      <a:ln>
                        <a:noFill/>
                      </a:ln>
                    </wps:spPr>
                    <wps:txbx>
                      <w:txbxContent>
                        <w:p w14:paraId="74673C06">
                          <w:pPr>
                            <w:pStyle w:val="12"/>
                            <w:jc w:val="center"/>
                          </w:pPr>
                          <w:r>
                            <w:fldChar w:fldCharType="begin"/>
                          </w:r>
                          <w:r>
                            <w:instrText xml:space="preserve"> PAGE  \* MERGEFORMAT </w:instrText>
                          </w:r>
                          <w:r>
                            <w:fldChar w:fldCharType="separate"/>
                          </w:r>
                          <w:r>
                            <w:t>11</w:t>
                          </w:r>
                          <w:r>
                            <w:fldChar w:fldCharType="end"/>
                          </w:r>
                        </w:p>
                      </w:txbxContent>
                    </wps:txbx>
                    <wps:bodyPr lIns="0" tIns="0" rIns="0" bIns="0" upright="0"/>
                  </wps:wsp>
                </a:graphicData>
              </a:graphic>
            </wp:anchor>
          </w:drawing>
        </mc:Choice>
        <mc:Fallback>
          <w:pict>
            <v:shape id="_x0000_s1026" o:spid="_x0000_s1026" o:spt="202" type="#_x0000_t202" style="position:absolute;left:0pt;margin-top:0pt;height:15.35pt;width:26.55pt;mso-position-horizontal:center;mso-position-horizontal-relative:margin;z-index:251662336;mso-width-relative:page;mso-height-relative:page;" filled="f" stroked="f" coordsize="21600,21600" o:gfxdata="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YEJX9QAAAADAQAADwAAAAAAAAABACAAAAAiAAAAZHJzL2Rvd25yZXYueG1sUEsBAhQA&#10;FAAAAAgAh07iQM8y6B69AQAAcwMAAA4AAAAAAAAAAQAgAAAAIwEAAGRycy9lMm9Eb2MueG1sUEsF&#10;BgAAAAAGAAYAWQEAAFIFAAAAAA==&#10;">
              <v:fill on="f" focussize="0,0"/>
              <v:stroke on="f"/>
              <v:imagedata o:title=""/>
              <o:lock v:ext="edit" aspectratio="f"/>
              <v:textbox inset="0mm,0mm,0mm,0mm">
                <w:txbxContent>
                  <w:p w14:paraId="74673C06">
                    <w:pPr>
                      <w:pStyle w:val="12"/>
                      <w:jc w:val="center"/>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E57C7">
    <w:pPr>
      <w:pStyle w:val="12"/>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8EDBB8">
                          <w:pPr>
                            <w:pStyle w:val="12"/>
                          </w:pPr>
                          <w:r>
                            <w:fldChar w:fldCharType="begin"/>
                          </w:r>
                          <w:r>
                            <w:instrText xml:space="preserve"> PAGE  \* MERGEFORMAT </w:instrText>
                          </w:r>
                          <w:r>
                            <w:fldChar w:fldCharType="separate"/>
                          </w:r>
                          <w:r>
                            <w:t>19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RmvBM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1+S4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RmvBMoBAACbAwAADgAAAAAAAAABACAAAAAeAQAAZHJzL2Uyb0Rv&#10;Yy54bWxQSwUGAAAAAAYABgBZAQAAWgUAAAAA&#10;">
              <v:fill on="f" focussize="0,0"/>
              <v:stroke on="f"/>
              <v:imagedata o:title=""/>
              <o:lock v:ext="edit" aspectratio="f"/>
              <v:textbox inset="0mm,0mm,0mm,0mm" style="mso-fit-shape-to-text:t;">
                <w:txbxContent>
                  <w:p w14:paraId="6F8EDBB8">
                    <w:pPr>
                      <w:pStyle w:val="12"/>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5FD04">
    <w:pPr>
      <w:pStyle w:val="12"/>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273310">
                          <w:pPr>
                            <w:pStyle w:val="12"/>
                          </w:pPr>
                          <w:r>
                            <w:fldChar w:fldCharType="begin"/>
                          </w:r>
                          <w:r>
                            <w:instrText xml:space="preserve"> PAGE  \* MERGEFORMAT </w:instrText>
                          </w:r>
                          <w:r>
                            <w:fldChar w:fldCharType="separate"/>
                          </w:r>
                          <w:r>
                            <w:t>42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cFsoBAACb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OcFsoBAACbAwAADgAAAAAAAAABACAAAAAeAQAAZHJzL2Uyb0Rv&#10;Yy54bWxQSwUGAAAAAAYABgBZAQAAWgUAAAAA&#10;">
              <v:fill on="f" focussize="0,0"/>
              <v:stroke on="f"/>
              <v:imagedata o:title=""/>
              <o:lock v:ext="edit" aspectratio="f"/>
              <v:textbox inset="0mm,0mm,0mm,0mm" style="mso-fit-shape-to-text:t;">
                <w:txbxContent>
                  <w:p w14:paraId="6A273310">
                    <w:pPr>
                      <w:pStyle w:val="1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59790">
    <w:pPr>
      <w:spacing w:line="176" w:lineRule="auto"/>
      <w:ind w:left="50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BBABE">
    <w:pPr>
      <w:pStyle w:val="6"/>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2215" cy="1069403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2088" cy="1069390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D6189">
    <w:pPr>
      <w:pStyle w:val="6"/>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89D093B"/>
    <w:rsid w:val="7B0C54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99"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4"/>
    <w:basedOn w:val="1"/>
    <w:next w:val="1"/>
    <w:qFormat/>
    <w:uiPriority w:val="9"/>
    <w:pPr>
      <w:keepNext/>
      <w:spacing w:before="240" w:after="60"/>
      <w:outlineLvl w:val="3"/>
    </w:pPr>
    <w:rPr>
      <w:b/>
      <w:bCs/>
      <w:sz w:val="28"/>
      <w:szCs w:val="28"/>
      <w:lang w:bidi="ar-SA"/>
    </w:rPr>
  </w:style>
  <w:style w:type="character" w:default="1" w:styleId="17">
    <w:name w:val="Default Paragraph Font"/>
    <w:semiHidden/>
    <w:uiPriority w:val="0"/>
  </w:style>
  <w:style w:type="table" w:default="1" w:styleId="16">
    <w:name w:val="Normal Table"/>
    <w:semiHidden/>
    <w:uiPriority w:val="0"/>
    <w:tblPr>
      <w:tblCellMar>
        <w:top w:w="0" w:type="dxa"/>
        <w:left w:w="108" w:type="dxa"/>
        <w:bottom w:w="0" w:type="dxa"/>
        <w:right w:w="108" w:type="dxa"/>
      </w:tblCellMar>
    </w:tblPr>
  </w:style>
  <w:style w:type="paragraph" w:styleId="4">
    <w:name w:val="Normal Indent"/>
    <w:basedOn w:val="1"/>
    <w:next w:val="1"/>
    <w:qFormat/>
    <w:uiPriority w:val="0"/>
    <w:pPr>
      <w:spacing w:line="360" w:lineRule="auto"/>
      <w:ind w:firstLine="480" w:firstLineChars="200"/>
    </w:pPr>
    <w:rPr>
      <w:color w:val="000000"/>
      <w:sz w:val="24"/>
      <w:szCs w:val="24"/>
    </w:rPr>
  </w:style>
  <w:style w:type="paragraph" w:styleId="5">
    <w:name w:val="Body Text 3"/>
    <w:basedOn w:val="1"/>
    <w:qFormat/>
    <w:uiPriority w:val="0"/>
    <w:pPr>
      <w:spacing w:after="120"/>
    </w:pPr>
    <w:rPr>
      <w:sz w:val="16"/>
      <w:szCs w:val="16"/>
    </w:rPr>
  </w:style>
  <w:style w:type="paragraph" w:styleId="6">
    <w:name w:val="Body Text"/>
    <w:basedOn w:val="1"/>
    <w:next w:val="7"/>
    <w:semiHidden/>
    <w:qFormat/>
    <w:uiPriority w:val="0"/>
    <w:rPr>
      <w:rFonts w:ascii="Arial" w:hAnsi="Arial" w:eastAsia="Arial" w:cs="Arial"/>
      <w:sz w:val="21"/>
      <w:szCs w:val="21"/>
      <w:lang w:val="en-US" w:eastAsia="en-US" w:bidi="ar-SA"/>
    </w:rPr>
  </w:style>
  <w:style w:type="paragraph" w:styleId="7">
    <w:name w:val="Body Text First Indent"/>
    <w:basedOn w:val="6"/>
    <w:next w:val="1"/>
    <w:qFormat/>
    <w:uiPriority w:val="99"/>
    <w:pPr>
      <w:ind w:firstLine="420" w:firstLineChars="100"/>
    </w:pPr>
    <w:rPr>
      <w:rFonts w:hint="eastAsia" w:ascii="宋体" w:hAnsi="Courier New"/>
    </w:rPr>
  </w:style>
  <w:style w:type="paragraph" w:styleId="8">
    <w:name w:val="Body Text Indent"/>
    <w:basedOn w:val="1"/>
    <w:qFormat/>
    <w:uiPriority w:val="0"/>
    <w:pPr>
      <w:spacing w:after="120"/>
      <w:ind w:left="420" w:leftChars="200"/>
    </w:pPr>
    <w:rPr>
      <w:kern w:val="0"/>
      <w:sz w:val="24"/>
      <w:szCs w:val="20"/>
    </w:rPr>
  </w:style>
  <w:style w:type="paragraph" w:styleId="9">
    <w:name w:val="Plain Text"/>
    <w:basedOn w:val="1"/>
    <w:next w:val="10"/>
    <w:qFormat/>
    <w:uiPriority w:val="0"/>
    <w:rPr>
      <w:rFonts w:ascii="宋体" w:hAnsi="Courier New"/>
    </w:rPr>
  </w:style>
  <w:style w:type="paragraph" w:styleId="10">
    <w:name w:val="toc 1"/>
    <w:basedOn w:val="1"/>
    <w:next w:val="1"/>
    <w:unhideWhenUsed/>
    <w:qFormat/>
    <w:uiPriority w:val="39"/>
    <w:pPr>
      <w:spacing w:before="120" w:after="120"/>
      <w:jc w:val="left"/>
    </w:pPr>
    <w:rPr>
      <w:rFonts w:ascii="等线" w:eastAsia="等线"/>
      <w:b/>
      <w:bCs/>
      <w:caps/>
      <w:sz w:val="20"/>
      <w:szCs w:val="20"/>
    </w:rPr>
  </w:style>
  <w:style w:type="paragraph" w:styleId="11">
    <w:name w:val="Body Text Indent 2"/>
    <w:basedOn w:val="1"/>
    <w:next w:val="6"/>
    <w:qFormat/>
    <w:uiPriority w:val="0"/>
    <w:pPr>
      <w:spacing w:after="120" w:line="480" w:lineRule="auto"/>
      <w:ind w:left="420" w:leftChars="200"/>
    </w:pPr>
  </w:style>
  <w:style w:type="paragraph" w:styleId="12">
    <w:name w:val="footer"/>
    <w:basedOn w:val="1"/>
    <w:next w:val="1"/>
    <w:qFormat/>
    <w:uiPriority w:val="99"/>
    <w:pPr>
      <w:tabs>
        <w:tab w:val="center" w:pos="4153"/>
        <w:tab w:val="right" w:pos="8306"/>
      </w:tabs>
      <w:snapToGrid w:val="0"/>
      <w:jc w:val="left"/>
    </w:pPr>
    <w:rPr>
      <w:kern w:val="0"/>
      <w:sz w:val="18"/>
      <w:szCs w:val="20"/>
    </w:rPr>
  </w:style>
  <w:style w:type="paragraph" w:styleId="13">
    <w:name w:val="header"/>
    <w:basedOn w:val="1"/>
    <w:next w:val="6"/>
    <w:qFormat/>
    <w:uiPriority w:val="0"/>
    <w:pPr>
      <w:pBdr>
        <w:bottom w:val="single" w:color="auto" w:sz="6" w:space="1"/>
      </w:pBdr>
      <w:tabs>
        <w:tab w:val="center" w:pos="4153"/>
        <w:tab w:val="right" w:pos="8306"/>
      </w:tabs>
      <w:snapToGrid w:val="0"/>
      <w:jc w:val="center"/>
    </w:pPr>
    <w:rPr>
      <w:rFonts w:ascii="Times New Roman" w:hAnsi="Times New Roman" w:eastAsia="宋体"/>
      <w:kern w:val="0"/>
      <w:sz w:val="18"/>
      <w:szCs w:val="20"/>
    </w:rPr>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5">
    <w:name w:val="Body Text First Indent 2"/>
    <w:basedOn w:val="8"/>
    <w:qFormat/>
    <w:uiPriority w:val="0"/>
    <w:pPr>
      <w:ind w:firstLine="420" w:firstLineChars="200"/>
    </w:pPr>
    <w:rPr>
      <w:kern w:val="2"/>
      <w:sz w:val="21"/>
      <w:szCs w:val="24"/>
    </w:rPr>
  </w:style>
  <w:style w:type="character" w:styleId="18">
    <w:name w:val="page number"/>
    <w:uiPriority w:val="0"/>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宋体" w:hAnsi="宋体" w:eastAsia="宋体" w:cs="宋体"/>
      <w:sz w:val="24"/>
      <w:szCs w:val="24"/>
      <w:lang w:val="en-US" w:eastAsia="en-US" w:bidi="ar-SA"/>
    </w:rPr>
  </w:style>
  <w:style w:type="paragraph" w:customStyle="1" w:styleId="21">
    <w:name w:val="GQD表格字体"/>
    <w:basedOn w:val="22"/>
    <w:qFormat/>
    <w:uiPriority w:val="0"/>
    <w:pPr>
      <w:widowControl w:val="0"/>
      <w:adjustRightInd w:val="0"/>
      <w:snapToGrid w:val="0"/>
      <w:spacing w:line="240" w:lineRule="auto"/>
      <w:ind w:firstLine="0" w:firstLineChars="0"/>
      <w:jc w:val="both"/>
    </w:pPr>
    <w:rPr>
      <w:kern w:val="2"/>
      <w:sz w:val="21"/>
      <w:szCs w:val="24"/>
    </w:rPr>
  </w:style>
  <w:style w:type="paragraph" w:styleId="22">
    <w:name w:val="List Paragraph"/>
    <w:basedOn w:val="1"/>
    <w:qFormat/>
    <w:uiPriority w:val="34"/>
    <w:pPr>
      <w:ind w:left="1547" w:hanging="615"/>
    </w:pPr>
    <w:rPr>
      <w:rFonts w:ascii="微软雅黑" w:hAnsi="微软雅黑" w:eastAsia="微软雅黑" w:cs="微软雅黑"/>
      <w:szCs w:val="21"/>
      <w:lang w:val="zh-CN" w:bidi="zh-CN"/>
    </w:rPr>
  </w:style>
  <w:style w:type="paragraph" w:customStyle="1" w:styleId="23">
    <w:name w:val="表头"/>
    <w:basedOn w:val="6"/>
    <w:qFormat/>
    <w:uiPriority w:val="0"/>
    <w:pPr>
      <w:jc w:val="center"/>
    </w:pPr>
    <w:rPr>
      <w:rFonts w:ascii="宋体"/>
      <w:b/>
      <w:bCs/>
      <w:sz w:val="20"/>
    </w:rPr>
  </w:style>
  <w:style w:type="paragraph" w:customStyle="1" w:styleId="24">
    <w:name w:val="表格内容"/>
    <w:basedOn w:val="1"/>
    <w:qFormat/>
    <w:uiPriority w:val="0"/>
    <w:pPr>
      <w:jc w:val="center"/>
    </w:pPr>
    <w:rPr>
      <w:szCs w:val="21"/>
      <w:lang w:val="zh-CN"/>
    </w:rPr>
  </w:style>
  <w:style w:type="paragraph" w:customStyle="1" w:styleId="25">
    <w:name w:val="样式 正文缩进正文缩进2正文缩进 Char Char正文缩进 Char Char Char Char正文缩进 Char ..."/>
    <w:basedOn w:val="4"/>
    <w:qFormat/>
    <w:uiPriority w:val="0"/>
    <w:pPr>
      <w:spacing w:line="360" w:lineRule="auto"/>
      <w:ind w:firstLine="200"/>
    </w:pPr>
    <w:rPr>
      <w:rFonts w:cs="宋体"/>
      <w:sz w:val="24"/>
    </w:rPr>
  </w:style>
  <w:style w:type="paragraph" w:customStyle="1" w:styleId="26">
    <w:name w:val="格"/>
    <w:basedOn w:val="1"/>
    <w:qFormat/>
    <w:uiPriority w:val="0"/>
    <w:pPr>
      <w:widowControl/>
      <w:spacing w:beforeLines="10" w:line="240" w:lineRule="auto"/>
      <w:jc w:val="center"/>
    </w:pPr>
    <w:rPr>
      <w:rFonts w:cs="宋体"/>
      <w:sz w:val="21"/>
      <w:szCs w:val="21"/>
    </w:rPr>
  </w:style>
  <w:style w:type="paragraph" w:customStyle="1" w:styleId="27">
    <w:name w:val="表格文字"/>
    <w:basedOn w:val="1"/>
    <w:qFormat/>
    <w:uiPriority w:val="0"/>
    <w:pPr>
      <w:jc w:val="center"/>
    </w:pPr>
    <w:rPr>
      <w:spacing w:val="-10"/>
      <w:szCs w:val="21"/>
    </w:rPr>
  </w:style>
  <w:style w:type="paragraph" w:customStyle="1" w:styleId="28">
    <w:name w:val="Default"/>
    <w:basedOn w:val="29"/>
    <w:unhideWhenUsed/>
    <w:qFormat/>
    <w:uiPriority w:val="0"/>
    <w:pPr>
      <w:widowControl w:val="0"/>
      <w:autoSpaceDE w:val="0"/>
      <w:autoSpaceDN w:val="0"/>
      <w:adjustRightInd w:val="0"/>
    </w:pPr>
    <w:rPr>
      <w:rFonts w:ascii="黑体" w:hAnsi="黑体" w:eastAsia="黑体"/>
      <w:color w:val="000000"/>
      <w:sz w:val="24"/>
      <w:lang w:val="en-US" w:eastAsia="zh-CN" w:bidi="ar-SA"/>
    </w:rPr>
  </w:style>
  <w:style w:type="paragraph" w:customStyle="1" w:styleId="29">
    <w:name w:val="纯文本1"/>
    <w:basedOn w:val="30"/>
    <w:qFormat/>
    <w:uiPriority w:val="0"/>
    <w:pPr>
      <w:autoSpaceDE w:val="0"/>
      <w:autoSpaceDN w:val="0"/>
      <w:adjustRightInd w:val="0"/>
      <w:textAlignment w:val="baseline"/>
    </w:pPr>
    <w:rPr>
      <w:rFonts w:ascii="宋体" w:eastAsia="仿宋_GB2312"/>
    </w:rPr>
  </w:style>
  <w:style w:type="paragraph" w:customStyle="1" w:styleId="30">
    <w:name w:val="正文_0"/>
    <w:next w:val="29"/>
    <w:qFormat/>
    <w:uiPriority w:val="0"/>
    <w:pPr>
      <w:widowControl w:val="0"/>
      <w:jc w:val="both"/>
    </w:pPr>
    <w:rPr>
      <w:rFonts w:ascii="Calibri" w:hAnsi="Calibri" w:eastAsia="仿宋_GB2312" w:cs="Times New Roman"/>
      <w:kern w:val="2"/>
      <w:sz w:val="32"/>
      <w:szCs w:val="24"/>
      <w:lang w:val="en-US" w:eastAsia="zh-CN" w:bidi="ar-SA"/>
    </w:rPr>
  </w:style>
  <w:style w:type="paragraph" w:customStyle="1" w:styleId="31">
    <w:name w:val="Other|1"/>
    <w:basedOn w:val="1"/>
    <w:qFormat/>
    <w:uiPriority w:val="0"/>
    <w:pPr>
      <w:widowControl w:val="0"/>
      <w:shd w:val="clear" w:color="auto" w:fill="auto"/>
      <w:spacing w:line="437" w:lineRule="auto"/>
      <w:jc w:val="center"/>
    </w:pPr>
    <w:rPr>
      <w:rFonts w:ascii="宋体" w:hAnsi="宋体" w:eastAsia="宋体" w:cs="宋体"/>
      <w:color w:val="545256"/>
      <w:sz w:val="28"/>
      <w:szCs w:val="28"/>
      <w:u w:val="none"/>
      <w:shd w:val="clear" w:color="auto" w:fill="auto"/>
      <w:lang w:val="zh-TW" w:eastAsia="zh-TW" w:bidi="zh-TW"/>
    </w:rPr>
  </w:style>
  <w:style w:type="paragraph" w:customStyle="1" w:styleId="32">
    <w:name w:val="0正文"/>
    <w:basedOn w:val="1"/>
    <w:qFormat/>
    <w:uiPriority w:val="0"/>
    <w:pPr>
      <w:spacing w:line="460" w:lineRule="exact"/>
      <w:ind w:firstLine="200"/>
    </w:pPr>
    <w:rPr>
      <w:rFonts w:eastAsia="仿宋_GB2312"/>
      <w:sz w:val="26"/>
      <w:szCs w:val="22"/>
      <w:lang w:val="zh-CN" w:eastAsia="zh-CN"/>
    </w:rPr>
  </w:style>
  <w:style w:type="character" w:customStyle="1" w:styleId="33">
    <w:name w:val="样式 正文 +"/>
    <w:qFormat/>
    <w:uiPriority w:val="0"/>
    <w:rPr>
      <w:rFonts w:ascii="Times New Roman" w:hAnsi="Times New Roman" w:eastAsia="宋体"/>
      <w:kern w:val="0"/>
      <w:sz w:val="24"/>
    </w:rPr>
  </w:style>
  <w:style w:type="paragraph" w:customStyle="1" w:styleId="34">
    <w:name w:val="表中文字"/>
    <w:basedOn w:val="1"/>
    <w:qFormat/>
    <w:uiPriority w:val="0"/>
    <w:pPr>
      <w:adjustRightInd w:val="0"/>
      <w:snapToGrid w:val="0"/>
      <w:spacing w:line="400" w:lineRule="exact"/>
      <w:jc w:val="center"/>
    </w:pPr>
    <w:rPr>
      <w:rFonts w:ascii="Times New Roman" w:hAnsi="Times New Roman" w:eastAsia="宋体" w:cs="Times New Roman"/>
      <w:kern w:val="0"/>
      <w:sz w:val="20"/>
      <w:szCs w:val="24"/>
    </w:rPr>
  </w:style>
  <w:style w:type="paragraph" w:customStyle="1" w:styleId="35">
    <w:name w:val="A这篇正文"/>
    <w:basedOn w:val="1"/>
    <w:qFormat/>
    <w:uiPriority w:val="0"/>
    <w:pPr>
      <w:widowControl/>
      <w:ind w:firstLine="480" w:firstLineChars="200"/>
    </w:pPr>
    <w:rPr>
      <w:rFonts w:cs="宋体"/>
      <w:kern w:val="0"/>
    </w:rPr>
  </w:style>
  <w:style w:type="paragraph" w:customStyle="1" w:styleId="36">
    <w:name w:val="这个题注"/>
    <w:basedOn w:val="1"/>
    <w:qFormat/>
    <w:uiPriority w:val="0"/>
    <w:pPr>
      <w:keepNext/>
      <w:spacing w:before="50" w:beforeLines="50" w:line="240" w:lineRule="auto"/>
      <w:jc w:val="center"/>
    </w:pPr>
    <w:rPr>
      <w:rFonts w:ascii="Times New Roman" w:hAnsi="Times New Roman" w:eastAsia="黑体" w:cs="Times New Roman"/>
      <w:sz w:val="21"/>
    </w:rPr>
  </w:style>
  <w:style w:type="paragraph" w:customStyle="1" w:styleId="37">
    <w:name w:val="Body text|1"/>
    <w:basedOn w:val="1"/>
    <w:qFormat/>
    <w:uiPriority w:val="0"/>
    <w:pPr>
      <w:spacing w:before="160" w:after="160"/>
      <w:jc w:val="center"/>
    </w:pPr>
    <w:rPr>
      <w:rFonts w:ascii="宋体" w:hAnsi="宋体" w:cs="宋体"/>
      <w:lang w:val="zh-TW" w:eastAsia="zh-TW" w:bidi="zh-TW"/>
    </w:rPr>
  </w:style>
  <w:style w:type="paragraph" w:customStyle="1" w:styleId="38">
    <w:name w:val="报告书正文"/>
    <w:basedOn w:val="11"/>
    <w:qFormat/>
    <w:uiPriority w:val="0"/>
    <w:pPr>
      <w:spacing w:line="300" w:lineRule="auto"/>
      <w:ind w:firstLine="480" w:firstLineChars="200"/>
    </w:pPr>
    <w:rPr>
      <w:sz w:val="24"/>
      <w:szCs w:val="21"/>
    </w:rPr>
  </w:style>
  <w:style w:type="paragraph" w:customStyle="1" w:styleId="39">
    <w:name w:val="No Spacing"/>
    <w:uiPriority w:val="0"/>
    <w:pPr>
      <w:widowControl w:val="0"/>
      <w:ind w:firstLine="200" w:firstLineChars="200"/>
      <w:jc w:val="both"/>
    </w:pPr>
    <w:rPr>
      <w:rFonts w:ascii="宋体" w:hAnsi="Times New Roman" w:eastAsia="宋体" w:cs="Times New Roman"/>
      <w:kern w:val="2"/>
      <w:sz w:val="21"/>
      <w:szCs w:val="24"/>
      <w:lang w:val="en-US" w:eastAsia="zh-CN" w:bidi="ar-SA"/>
    </w:rPr>
  </w:style>
  <w:style w:type="character" w:customStyle="1" w:styleId="40">
    <w:name w:val="fontstyle01"/>
    <w:qFormat/>
    <w:uiPriority w:val="0"/>
    <w:rPr>
      <w:rFonts w:hint="eastAsia" w:ascii="宋体" w:hAnsi="宋体" w:eastAsia="宋体"/>
      <w:color w:val="000000"/>
      <w:sz w:val="22"/>
      <w:szCs w:val="22"/>
    </w:rPr>
  </w:style>
  <w:style w:type="paragraph" w:customStyle="1" w:styleId="41">
    <w:name w:val="文本"/>
    <w:basedOn w:val="1"/>
    <w:qFormat/>
    <w:uiPriority w:val="0"/>
    <w:pPr>
      <w:autoSpaceDE w:val="0"/>
      <w:autoSpaceDN w:val="0"/>
      <w:adjustRightInd w:val="0"/>
      <w:snapToGrid w:val="0"/>
      <w:spacing w:line="360" w:lineRule="auto"/>
      <w:ind w:firstLine="200" w:firstLineChars="200"/>
    </w:pPr>
    <w:rPr>
      <w:rFonts w:cs="宋体"/>
      <w:kern w:val="0"/>
      <w:sz w:val="24"/>
      <w:szCs w:val="21"/>
    </w:rPr>
  </w:style>
  <w:style w:type="paragraph" w:customStyle="1" w:styleId="42">
    <w:name w:val="表格"/>
    <w:basedOn w:val="9"/>
    <w:next w:val="1"/>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1.jpeg"/><Relationship Id="rId33" Type="http://schemas.openxmlformats.org/officeDocument/2006/relationships/image" Target="media/image20.wmf"/><Relationship Id="rId32" Type="http://schemas.openxmlformats.org/officeDocument/2006/relationships/oleObject" Target="embeddings/oleObject2.bin"/><Relationship Id="rId31" Type="http://schemas.openxmlformats.org/officeDocument/2006/relationships/image" Target="media/image19.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wmf"/><Relationship Id="rId27" Type="http://schemas.openxmlformats.org/officeDocument/2006/relationships/image" Target="media/image16.wmf"/><Relationship Id="rId26" Type="http://schemas.openxmlformats.org/officeDocument/2006/relationships/image" Target="media/image15.wmf"/><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84</Pages>
  <Words>264</Words>
  <Characters>341</Characters>
  <TotalTime>1</TotalTime>
  <ScaleCrop>false</ScaleCrop>
  <LinksUpToDate>false</LinksUpToDate>
  <CharactersWithSpaces>359</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2026-05-07T15:36:00Z</dcterms:created>
  <dc:creator>wmlovedzp</dc:creator>
  <cp:lastModifiedBy>silence</cp:lastModifiedBy>
  <dcterms:modified xsi:type="dcterms:W3CDTF">2026-06-17T07:39:08Z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2026-05-13T09:43:05Z</vt:filetime>
  </property>
  <property fmtid="{D5CDD505-2E9C-101B-9397-08002B2CF9AE}" pid="4" name="KSOTemplateDocerSaveRecord">
    <vt:lpwstr>eyJoZGlkIjoiZjRmYWUxOWJhMWE5OGFmZGQyNzA0NjBkZTNhOGRjMDEiLCJ1c2VySWQiOiIyNDg4ODMzNzUifQ==</vt:lpwstr>
  </property>
  <property fmtid="{D5CDD505-2E9C-101B-9397-08002B2CF9AE}" pid="5" name="KSOProductBuildVer">
    <vt:lpwstr>2052-12.1.0.26895</vt:lpwstr>
  </property>
  <property fmtid="{D5CDD505-2E9C-101B-9397-08002B2CF9AE}" pid="6" name="ICV">
    <vt:lpwstr>336516B359624F01AC768C7379712E94_12</vt:lpwstr>
  </property>
</Properties>
</file>