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41A3E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eastAsia="仿宋"/>
          <w:lang w:eastAsia="zh-CN"/>
        </w:rPr>
        <w:sectPr>
          <w:headerReference r:id="rId5" w:type="default"/>
          <w:footerReference r:id="rId6" w:type="default"/>
          <w:pgSz w:w="11906" w:h="16838"/>
          <w:pgMar w:top="1701" w:right="1531" w:bottom="1701" w:left="1531" w:header="851" w:footer="1077" w:gutter="0"/>
          <w:pgNumType w:start="3"/>
          <w:cols w:space="720" w:num="1"/>
          <w:docGrid w:linePitch="312" w:charSpace="0"/>
        </w:sectPr>
      </w:pPr>
      <w:r>
        <w:rPr>
          <w:rFonts w:hint="eastAsia" w:eastAsia="仿宋"/>
          <w:lang w:eastAsia="zh-CN"/>
        </w:rPr>
        <w:drawing>
          <wp:inline distT="0" distB="0" distL="114300" distR="114300">
            <wp:extent cx="5964555" cy="8503285"/>
            <wp:effectExtent l="0" t="0" r="17145" b="12065"/>
            <wp:docPr id="6" name="图片 6" descr="内封-报批版-6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内封-报批版-6月"/>
                    <pic:cNvPicPr>
                      <a:picLocks noChangeAspect="1"/>
                    </pic:cNvPicPr>
                  </pic:nvPicPr>
                  <pic:blipFill>
                    <a:blip r:embed="rId11"/>
                    <a:stretch>
                      <a:fillRect/>
                    </a:stretch>
                  </pic:blipFill>
                  <pic:spPr>
                    <a:xfrm>
                      <a:off x="0" y="0"/>
                      <a:ext cx="5964555" cy="8503285"/>
                    </a:xfrm>
                    <a:prstGeom prst="rect">
                      <a:avLst/>
                    </a:prstGeom>
                  </pic:spPr>
                </pic:pic>
              </a:graphicData>
            </a:graphic>
          </wp:inline>
        </w:drawing>
      </w:r>
      <w:r>
        <w:rPr>
          <w:rFonts w:hint="eastAsia" w:eastAsia="仿宋"/>
          <w:lang w:eastAsia="zh-CN"/>
        </w:rPr>
        <w:drawing>
          <wp:inline distT="0" distB="0" distL="114300" distR="114300">
            <wp:extent cx="5868670" cy="8366760"/>
            <wp:effectExtent l="0" t="0" r="17780" b="15240"/>
            <wp:docPr id="22" name="图片 22" descr="对外公示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对外公示函"/>
                    <pic:cNvPicPr>
                      <a:picLocks noChangeAspect="1"/>
                    </pic:cNvPicPr>
                  </pic:nvPicPr>
                  <pic:blipFill>
                    <a:blip r:embed="rId12"/>
                    <a:stretch>
                      <a:fillRect/>
                    </a:stretch>
                  </pic:blipFill>
                  <pic:spPr>
                    <a:xfrm>
                      <a:off x="0" y="0"/>
                      <a:ext cx="5868670" cy="8366760"/>
                    </a:xfrm>
                    <a:prstGeom prst="rect">
                      <a:avLst/>
                    </a:prstGeom>
                  </pic:spPr>
                </pic:pic>
              </a:graphicData>
            </a:graphic>
          </wp:inline>
        </w:drawing>
      </w:r>
    </w:p>
    <w:p w14:paraId="713174B8">
      <w:pPr>
        <w:pStyle w:val="28"/>
        <w:ind w:firstLine="600"/>
        <w:rPr>
          <w:rFonts w:eastAsia="仿宋"/>
          <w:color w:val="auto"/>
        </w:rPr>
      </w:pPr>
      <w:r>
        <w:rPr>
          <w:rFonts w:hint="eastAsia" w:eastAsia="仿宋"/>
          <w:snapToGrid w:val="0"/>
          <w:color w:val="auto"/>
        </w:rPr>
        <w:t>一、建设项目基本情况</w:t>
      </w:r>
    </w:p>
    <w:tbl>
      <w:tblPr>
        <w:tblStyle w:val="31"/>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93"/>
        <w:gridCol w:w="1910"/>
        <w:gridCol w:w="2192"/>
        <w:gridCol w:w="3375"/>
      </w:tblGrid>
      <w:tr w14:paraId="7FA3F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93" w:type="dxa"/>
            <w:tcMar>
              <w:top w:w="16" w:type="dxa"/>
              <w:left w:w="16" w:type="dxa"/>
              <w:right w:w="16" w:type="dxa"/>
            </w:tcMar>
            <w:vAlign w:val="center"/>
          </w:tcPr>
          <w:p w14:paraId="697870B4">
            <w:pPr>
              <w:pStyle w:val="49"/>
              <w:rPr>
                <w:color w:val="auto"/>
                <w:sz w:val="28"/>
                <w:szCs w:val="28"/>
              </w:rPr>
            </w:pPr>
            <w:r>
              <w:rPr>
                <w:rFonts w:hint="eastAsia"/>
                <w:color w:val="auto"/>
                <w:sz w:val="28"/>
                <w:szCs w:val="28"/>
              </w:rPr>
              <w:t>建设项目名称</w:t>
            </w:r>
          </w:p>
        </w:tc>
        <w:tc>
          <w:tcPr>
            <w:tcW w:w="7477" w:type="dxa"/>
            <w:gridSpan w:val="3"/>
            <w:vAlign w:val="center"/>
          </w:tcPr>
          <w:p w14:paraId="49F12FFD">
            <w:pPr>
              <w:pStyle w:val="49"/>
              <w:rPr>
                <w:color w:val="auto"/>
                <w:sz w:val="28"/>
                <w:szCs w:val="28"/>
                <w:highlight w:val="yellow"/>
              </w:rPr>
            </w:pPr>
            <w:r>
              <w:rPr>
                <w:rFonts w:hint="eastAsia"/>
                <w:color w:val="auto"/>
                <w:sz w:val="28"/>
                <w:szCs w:val="28"/>
                <w:highlight w:val="none"/>
              </w:rPr>
              <w:t>重庆骄景科技有限公司隔音、隔热棉加工项目</w:t>
            </w:r>
          </w:p>
        </w:tc>
      </w:tr>
      <w:tr w14:paraId="294B5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93" w:type="dxa"/>
            <w:tcMar>
              <w:top w:w="16" w:type="dxa"/>
              <w:left w:w="16" w:type="dxa"/>
              <w:right w:w="16" w:type="dxa"/>
            </w:tcMar>
            <w:vAlign w:val="center"/>
          </w:tcPr>
          <w:p w14:paraId="7BCA55C9">
            <w:pPr>
              <w:pStyle w:val="49"/>
              <w:rPr>
                <w:color w:val="auto"/>
                <w:sz w:val="28"/>
                <w:szCs w:val="28"/>
              </w:rPr>
            </w:pPr>
            <w:r>
              <w:rPr>
                <w:rFonts w:hint="eastAsia"/>
                <w:color w:val="auto"/>
                <w:sz w:val="28"/>
                <w:szCs w:val="28"/>
              </w:rPr>
              <w:t>项目代码</w:t>
            </w:r>
          </w:p>
        </w:tc>
        <w:tc>
          <w:tcPr>
            <w:tcW w:w="7477" w:type="dxa"/>
            <w:gridSpan w:val="3"/>
            <w:vAlign w:val="center"/>
          </w:tcPr>
          <w:p w14:paraId="7DF1D19B">
            <w:pPr>
              <w:pStyle w:val="49"/>
              <w:rPr>
                <w:color w:val="auto"/>
                <w:sz w:val="28"/>
                <w:szCs w:val="28"/>
                <w:highlight w:val="yellow"/>
              </w:rPr>
            </w:pPr>
            <w:r>
              <w:rPr>
                <w:rFonts w:hint="eastAsia"/>
                <w:color w:val="auto"/>
                <w:sz w:val="28"/>
                <w:szCs w:val="28"/>
                <w:highlight w:val="none"/>
              </w:rPr>
              <w:t>2604-500107-04-01-624099</w:t>
            </w:r>
          </w:p>
        </w:tc>
      </w:tr>
      <w:tr w14:paraId="74DB3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93" w:type="dxa"/>
            <w:tcMar>
              <w:top w:w="16" w:type="dxa"/>
              <w:left w:w="16" w:type="dxa"/>
              <w:right w:w="16" w:type="dxa"/>
            </w:tcMar>
            <w:vAlign w:val="center"/>
          </w:tcPr>
          <w:p w14:paraId="21F4D1E7">
            <w:pPr>
              <w:pStyle w:val="49"/>
              <w:rPr>
                <w:color w:val="auto"/>
                <w:sz w:val="28"/>
                <w:szCs w:val="28"/>
                <w:highlight w:val="yellow"/>
              </w:rPr>
            </w:pPr>
            <w:r>
              <w:rPr>
                <w:rFonts w:hint="eastAsia"/>
                <w:color w:val="auto"/>
                <w:sz w:val="28"/>
                <w:szCs w:val="28"/>
              </w:rPr>
              <w:t>建设单位联系人</w:t>
            </w:r>
          </w:p>
        </w:tc>
        <w:tc>
          <w:tcPr>
            <w:tcW w:w="1910" w:type="dxa"/>
            <w:vAlign w:val="center"/>
          </w:tcPr>
          <w:p w14:paraId="349AD7AB">
            <w:pPr>
              <w:pStyle w:val="49"/>
              <w:rPr>
                <w:rFonts w:hint="default" w:eastAsia="仿宋"/>
                <w:color w:val="auto"/>
                <w:sz w:val="28"/>
                <w:szCs w:val="28"/>
                <w:highlight w:val="yellow"/>
                <w:lang w:val="en-US" w:eastAsia="zh-CN"/>
              </w:rPr>
            </w:pPr>
            <w:r>
              <w:rPr>
                <w:rFonts w:hint="eastAsia"/>
                <w:color w:val="auto"/>
                <w:sz w:val="28"/>
                <w:szCs w:val="28"/>
                <w:highlight w:val="none"/>
                <w:lang w:val="en-US" w:eastAsia="zh-CN"/>
              </w:rPr>
              <w:t>夏**</w:t>
            </w:r>
          </w:p>
        </w:tc>
        <w:tc>
          <w:tcPr>
            <w:tcW w:w="2192" w:type="dxa"/>
            <w:vAlign w:val="center"/>
          </w:tcPr>
          <w:p w14:paraId="0A91D85D">
            <w:pPr>
              <w:pStyle w:val="49"/>
              <w:rPr>
                <w:color w:val="auto"/>
                <w:sz w:val="28"/>
                <w:szCs w:val="28"/>
                <w:highlight w:val="yellow"/>
              </w:rPr>
            </w:pPr>
            <w:r>
              <w:rPr>
                <w:rFonts w:hint="eastAsia"/>
                <w:color w:val="auto"/>
                <w:sz w:val="28"/>
                <w:szCs w:val="28"/>
                <w:highlight w:val="none"/>
              </w:rPr>
              <w:t>联系方式</w:t>
            </w:r>
          </w:p>
        </w:tc>
        <w:tc>
          <w:tcPr>
            <w:tcW w:w="3375" w:type="dxa"/>
            <w:vAlign w:val="center"/>
          </w:tcPr>
          <w:p w14:paraId="525B6AF2">
            <w:pPr>
              <w:pStyle w:val="49"/>
              <w:rPr>
                <w:rFonts w:hint="default" w:eastAsia="仿宋"/>
                <w:color w:val="auto"/>
                <w:sz w:val="28"/>
                <w:szCs w:val="28"/>
                <w:highlight w:val="yellow"/>
                <w:lang w:val="en-US" w:eastAsia="zh-CN"/>
              </w:rPr>
            </w:pPr>
            <w:r>
              <w:rPr>
                <w:rFonts w:hint="eastAsia"/>
                <w:color w:val="auto"/>
                <w:sz w:val="28"/>
                <w:szCs w:val="28"/>
                <w:highlight w:val="none"/>
                <w:lang w:val="en-US" w:eastAsia="zh-CN"/>
              </w:rPr>
              <w:t>159****1579</w:t>
            </w:r>
          </w:p>
        </w:tc>
      </w:tr>
      <w:tr w14:paraId="35ABA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93" w:type="dxa"/>
            <w:tcMar>
              <w:top w:w="16" w:type="dxa"/>
              <w:left w:w="16" w:type="dxa"/>
              <w:right w:w="16" w:type="dxa"/>
            </w:tcMar>
            <w:vAlign w:val="center"/>
          </w:tcPr>
          <w:p w14:paraId="59BDD91B">
            <w:pPr>
              <w:pStyle w:val="49"/>
              <w:rPr>
                <w:color w:val="auto"/>
                <w:sz w:val="28"/>
                <w:szCs w:val="28"/>
              </w:rPr>
            </w:pPr>
            <w:r>
              <w:rPr>
                <w:rFonts w:hint="eastAsia"/>
                <w:color w:val="auto"/>
                <w:sz w:val="28"/>
                <w:szCs w:val="28"/>
              </w:rPr>
              <w:t>建设地点</w:t>
            </w:r>
          </w:p>
        </w:tc>
        <w:tc>
          <w:tcPr>
            <w:tcW w:w="7477" w:type="dxa"/>
            <w:gridSpan w:val="3"/>
            <w:vAlign w:val="center"/>
          </w:tcPr>
          <w:p w14:paraId="72CC2AF6">
            <w:pPr>
              <w:pStyle w:val="49"/>
              <w:rPr>
                <w:color w:val="auto"/>
                <w:sz w:val="28"/>
                <w:szCs w:val="28"/>
              </w:rPr>
            </w:pPr>
            <w:r>
              <w:rPr>
                <w:rFonts w:hint="eastAsia"/>
                <w:color w:val="auto"/>
                <w:sz w:val="28"/>
                <w:szCs w:val="28"/>
              </w:rPr>
              <w:t>重庆市九龙坡区西彭镇森迪大道139号3号楼2层和3层</w:t>
            </w:r>
          </w:p>
        </w:tc>
      </w:tr>
      <w:tr w14:paraId="69807C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93" w:type="dxa"/>
            <w:tcMar>
              <w:top w:w="16" w:type="dxa"/>
              <w:left w:w="16" w:type="dxa"/>
              <w:right w:w="16" w:type="dxa"/>
            </w:tcMar>
            <w:vAlign w:val="center"/>
          </w:tcPr>
          <w:p w14:paraId="3917DB02">
            <w:pPr>
              <w:pStyle w:val="49"/>
              <w:rPr>
                <w:color w:val="auto"/>
                <w:sz w:val="28"/>
                <w:szCs w:val="28"/>
              </w:rPr>
            </w:pPr>
            <w:r>
              <w:rPr>
                <w:rFonts w:hint="eastAsia"/>
                <w:color w:val="auto"/>
                <w:sz w:val="28"/>
                <w:szCs w:val="28"/>
              </w:rPr>
              <w:t>地理坐标</w:t>
            </w:r>
          </w:p>
        </w:tc>
        <w:tc>
          <w:tcPr>
            <w:tcW w:w="7477" w:type="dxa"/>
            <w:gridSpan w:val="3"/>
            <w:vAlign w:val="center"/>
          </w:tcPr>
          <w:p w14:paraId="662023F6">
            <w:pPr>
              <w:pStyle w:val="49"/>
              <w:rPr>
                <w:color w:val="auto"/>
                <w:sz w:val="28"/>
                <w:szCs w:val="28"/>
              </w:rPr>
            </w:pPr>
            <w:r>
              <w:rPr>
                <w:rFonts w:hint="eastAsia"/>
                <w:color w:val="auto"/>
                <w:sz w:val="28"/>
                <w:szCs w:val="28"/>
              </w:rPr>
              <w:t>东经10</w:t>
            </w:r>
            <w:r>
              <w:rPr>
                <w:rFonts w:hint="eastAsia"/>
                <w:color w:val="auto"/>
                <w:sz w:val="28"/>
                <w:szCs w:val="28"/>
                <w:lang w:val="en-US" w:eastAsia="zh-CN"/>
              </w:rPr>
              <w:t>7</w:t>
            </w:r>
            <w:r>
              <w:rPr>
                <w:rFonts w:hint="eastAsia"/>
                <w:color w:val="auto"/>
                <w:sz w:val="28"/>
                <w:szCs w:val="28"/>
              </w:rPr>
              <w:t>°</w:t>
            </w:r>
            <w:r>
              <w:rPr>
                <w:rFonts w:hint="eastAsia"/>
                <w:color w:val="auto"/>
                <w:sz w:val="28"/>
                <w:szCs w:val="28"/>
                <w:lang w:val="en-US" w:eastAsia="zh-CN"/>
              </w:rPr>
              <w:t>17</w:t>
            </w:r>
            <w:r>
              <w:rPr>
                <w:rFonts w:hint="eastAsia"/>
                <w:color w:val="auto"/>
                <w:sz w:val="28"/>
                <w:szCs w:val="28"/>
              </w:rPr>
              <w:t>′</w:t>
            </w:r>
            <w:r>
              <w:rPr>
                <w:rFonts w:hint="eastAsia"/>
                <w:color w:val="auto"/>
                <w:sz w:val="28"/>
                <w:szCs w:val="28"/>
                <w:lang w:val="en-US" w:eastAsia="zh-CN"/>
              </w:rPr>
              <w:t>44</w:t>
            </w:r>
            <w:r>
              <w:rPr>
                <w:rFonts w:hint="eastAsia"/>
                <w:color w:val="auto"/>
                <w:sz w:val="28"/>
                <w:szCs w:val="28"/>
              </w:rPr>
              <w:t>.</w:t>
            </w:r>
            <w:r>
              <w:rPr>
                <w:rFonts w:hint="eastAsia"/>
                <w:color w:val="auto"/>
                <w:sz w:val="28"/>
                <w:szCs w:val="28"/>
                <w:lang w:val="en-US" w:eastAsia="zh-CN"/>
              </w:rPr>
              <w:t>346</w:t>
            </w:r>
            <w:r>
              <w:rPr>
                <w:rFonts w:hint="eastAsia"/>
                <w:color w:val="auto"/>
                <w:sz w:val="28"/>
                <w:szCs w:val="28"/>
              </w:rPr>
              <w:t>″，北纬29°</w:t>
            </w:r>
            <w:r>
              <w:rPr>
                <w:rFonts w:hint="eastAsia"/>
                <w:color w:val="auto"/>
                <w:sz w:val="28"/>
                <w:szCs w:val="28"/>
                <w:lang w:val="en-US" w:eastAsia="zh-CN"/>
              </w:rPr>
              <w:t>19</w:t>
            </w:r>
            <w:r>
              <w:rPr>
                <w:rFonts w:hint="eastAsia"/>
                <w:color w:val="auto"/>
                <w:sz w:val="28"/>
                <w:szCs w:val="28"/>
              </w:rPr>
              <w:t>′</w:t>
            </w:r>
            <w:r>
              <w:rPr>
                <w:rFonts w:hint="eastAsia"/>
                <w:color w:val="auto"/>
                <w:sz w:val="28"/>
                <w:szCs w:val="28"/>
                <w:lang w:val="en-US" w:eastAsia="zh-CN"/>
              </w:rPr>
              <w:t>17</w:t>
            </w:r>
            <w:r>
              <w:rPr>
                <w:rFonts w:hint="eastAsia"/>
                <w:color w:val="auto"/>
                <w:sz w:val="28"/>
                <w:szCs w:val="28"/>
              </w:rPr>
              <w:t>.</w:t>
            </w:r>
            <w:r>
              <w:rPr>
                <w:rFonts w:hint="eastAsia"/>
                <w:color w:val="auto"/>
                <w:sz w:val="28"/>
                <w:szCs w:val="28"/>
                <w:lang w:val="en-US" w:eastAsia="zh-CN"/>
              </w:rPr>
              <w:t>327</w:t>
            </w:r>
            <w:r>
              <w:rPr>
                <w:rFonts w:hint="eastAsia"/>
                <w:color w:val="auto"/>
                <w:sz w:val="28"/>
                <w:szCs w:val="28"/>
              </w:rPr>
              <w:t>″</w:t>
            </w:r>
          </w:p>
        </w:tc>
      </w:tr>
      <w:tr w14:paraId="25F28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93" w:type="dxa"/>
            <w:tcMar>
              <w:top w:w="16" w:type="dxa"/>
              <w:left w:w="16" w:type="dxa"/>
              <w:right w:w="16" w:type="dxa"/>
            </w:tcMar>
            <w:vAlign w:val="center"/>
          </w:tcPr>
          <w:p w14:paraId="5BD90749">
            <w:pPr>
              <w:pStyle w:val="49"/>
              <w:rPr>
                <w:color w:val="auto"/>
                <w:sz w:val="28"/>
                <w:szCs w:val="28"/>
              </w:rPr>
            </w:pPr>
            <w:r>
              <w:rPr>
                <w:rFonts w:hint="eastAsia"/>
                <w:color w:val="auto"/>
                <w:sz w:val="28"/>
                <w:szCs w:val="28"/>
              </w:rPr>
              <w:t>国民经济</w:t>
            </w:r>
          </w:p>
          <w:p w14:paraId="3F079F16">
            <w:pPr>
              <w:pStyle w:val="49"/>
              <w:rPr>
                <w:color w:val="auto"/>
                <w:sz w:val="28"/>
                <w:szCs w:val="28"/>
              </w:rPr>
            </w:pPr>
            <w:r>
              <w:rPr>
                <w:rFonts w:hint="eastAsia"/>
                <w:color w:val="auto"/>
                <w:sz w:val="28"/>
                <w:szCs w:val="28"/>
              </w:rPr>
              <w:t>行业类别</w:t>
            </w:r>
          </w:p>
        </w:tc>
        <w:tc>
          <w:tcPr>
            <w:tcW w:w="1910" w:type="dxa"/>
            <w:vAlign w:val="center"/>
          </w:tcPr>
          <w:p w14:paraId="102EA5FB">
            <w:pPr>
              <w:pStyle w:val="49"/>
              <w:jc w:val="left"/>
              <w:rPr>
                <w:rFonts w:hint="eastAsia"/>
                <w:color w:val="auto"/>
                <w:sz w:val="28"/>
                <w:szCs w:val="28"/>
              </w:rPr>
            </w:pPr>
            <w:r>
              <w:rPr>
                <w:rFonts w:hint="eastAsia"/>
                <w:color w:val="auto"/>
                <w:sz w:val="28"/>
                <w:szCs w:val="28"/>
              </w:rPr>
              <w:t>C2929塑料零件及其他塑料制品制造</w:t>
            </w:r>
          </w:p>
          <w:p w14:paraId="71431A74">
            <w:pPr>
              <w:pStyle w:val="49"/>
              <w:jc w:val="left"/>
              <w:rPr>
                <w:color w:val="auto"/>
                <w:sz w:val="28"/>
                <w:szCs w:val="28"/>
              </w:rPr>
            </w:pPr>
            <w:r>
              <w:rPr>
                <w:rFonts w:hint="eastAsia"/>
                <w:color w:val="auto"/>
                <w:sz w:val="28"/>
                <w:szCs w:val="28"/>
                <w:lang w:val="en-US" w:eastAsia="zh-CN"/>
              </w:rPr>
              <w:t>C3670汽车零部件及配件制造</w:t>
            </w:r>
          </w:p>
        </w:tc>
        <w:tc>
          <w:tcPr>
            <w:tcW w:w="2192" w:type="dxa"/>
            <w:vAlign w:val="center"/>
          </w:tcPr>
          <w:p w14:paraId="6CB409EA">
            <w:pPr>
              <w:pStyle w:val="49"/>
              <w:rPr>
                <w:color w:val="auto"/>
                <w:sz w:val="28"/>
                <w:szCs w:val="28"/>
              </w:rPr>
            </w:pPr>
            <w:bookmarkStart w:id="0" w:name="_Hlk49843745"/>
            <w:r>
              <w:rPr>
                <w:rFonts w:hint="eastAsia"/>
                <w:color w:val="auto"/>
                <w:sz w:val="28"/>
                <w:szCs w:val="28"/>
              </w:rPr>
              <w:t>建设项目</w:t>
            </w:r>
          </w:p>
          <w:p w14:paraId="37F569D1">
            <w:pPr>
              <w:pStyle w:val="49"/>
              <w:rPr>
                <w:color w:val="auto"/>
                <w:sz w:val="28"/>
                <w:szCs w:val="28"/>
              </w:rPr>
            </w:pPr>
            <w:r>
              <w:rPr>
                <w:rFonts w:hint="eastAsia"/>
                <w:color w:val="auto"/>
                <w:sz w:val="28"/>
                <w:szCs w:val="28"/>
              </w:rPr>
              <w:t>行业类别</w:t>
            </w:r>
            <w:bookmarkEnd w:id="0"/>
          </w:p>
        </w:tc>
        <w:tc>
          <w:tcPr>
            <w:tcW w:w="3375" w:type="dxa"/>
            <w:vAlign w:val="center"/>
          </w:tcPr>
          <w:p w14:paraId="7910520D">
            <w:pPr>
              <w:pStyle w:val="49"/>
              <w:jc w:val="left"/>
              <w:rPr>
                <w:color w:val="auto"/>
                <w:sz w:val="28"/>
                <w:szCs w:val="28"/>
              </w:rPr>
            </w:pPr>
            <w:r>
              <w:rPr>
                <w:rFonts w:hint="eastAsia"/>
                <w:color w:val="auto"/>
                <w:sz w:val="28"/>
                <w:szCs w:val="28"/>
              </w:rPr>
              <w:t>二十六橡胶和塑料制品业29</w:t>
            </w:r>
          </w:p>
          <w:p w14:paraId="7D191859">
            <w:pPr>
              <w:pStyle w:val="49"/>
              <w:jc w:val="left"/>
              <w:rPr>
                <w:rFonts w:hint="eastAsia"/>
                <w:color w:val="auto"/>
                <w:sz w:val="28"/>
                <w:szCs w:val="28"/>
              </w:rPr>
            </w:pPr>
            <w:r>
              <w:rPr>
                <w:rFonts w:hint="eastAsia"/>
                <w:color w:val="auto"/>
                <w:sz w:val="28"/>
                <w:szCs w:val="28"/>
              </w:rPr>
              <w:t>53塑料制品业292</w:t>
            </w:r>
          </w:p>
          <w:p w14:paraId="2F4B33B4">
            <w:pPr>
              <w:pStyle w:val="49"/>
              <w:jc w:val="left"/>
              <w:rPr>
                <w:color w:val="auto"/>
                <w:sz w:val="28"/>
                <w:szCs w:val="28"/>
              </w:rPr>
            </w:pPr>
            <w:r>
              <w:rPr>
                <w:rFonts w:hint="eastAsia"/>
                <w:color w:val="auto"/>
                <w:sz w:val="28"/>
                <w:szCs w:val="28"/>
              </w:rPr>
              <w:t>“</w:t>
            </w:r>
            <w:r>
              <w:rPr>
                <w:rFonts w:hint="eastAsia"/>
                <w:color w:val="auto"/>
                <w:sz w:val="28"/>
                <w:szCs w:val="28"/>
                <w:lang w:val="en-US" w:eastAsia="zh-CN"/>
              </w:rPr>
              <w:t>三十三、汽车制造业36</w:t>
            </w:r>
            <w:r>
              <w:rPr>
                <w:rFonts w:hint="eastAsia"/>
                <w:color w:val="auto"/>
                <w:sz w:val="28"/>
                <w:szCs w:val="28"/>
              </w:rPr>
              <w:t>”中的</w:t>
            </w:r>
            <w:r>
              <w:rPr>
                <w:rFonts w:hint="eastAsia"/>
                <w:color w:val="auto"/>
                <w:sz w:val="28"/>
                <w:szCs w:val="28"/>
                <w:lang w:eastAsia="zh-CN"/>
              </w:rPr>
              <w:t>“</w:t>
            </w:r>
            <w:r>
              <w:rPr>
                <w:rFonts w:hint="eastAsia"/>
                <w:color w:val="auto"/>
                <w:sz w:val="28"/>
                <w:szCs w:val="28"/>
                <w:lang w:val="en-US" w:eastAsia="zh-CN"/>
              </w:rPr>
              <w:t>汽车零部件及配件制造367</w:t>
            </w:r>
            <w:r>
              <w:rPr>
                <w:rFonts w:hint="eastAsia"/>
                <w:color w:val="auto"/>
                <w:sz w:val="28"/>
                <w:szCs w:val="28"/>
                <w:lang w:eastAsia="zh-CN"/>
              </w:rPr>
              <w:t>”</w:t>
            </w:r>
            <w:r>
              <w:rPr>
                <w:rFonts w:hint="eastAsia"/>
                <w:color w:val="auto"/>
                <w:sz w:val="28"/>
                <w:szCs w:val="28"/>
              </w:rPr>
              <w:t>中的“</w:t>
            </w:r>
            <w:r>
              <w:rPr>
                <w:rFonts w:hint="eastAsia"/>
                <w:color w:val="auto"/>
                <w:sz w:val="28"/>
                <w:szCs w:val="28"/>
                <w:lang w:val="en-US" w:eastAsia="zh-CN"/>
              </w:rPr>
              <w:t>其他（年用非溶剂型低VOCs含量涂料10吨以下的除外）</w:t>
            </w:r>
            <w:r>
              <w:rPr>
                <w:rFonts w:hint="eastAsia"/>
                <w:color w:val="auto"/>
                <w:sz w:val="28"/>
                <w:szCs w:val="28"/>
              </w:rPr>
              <w:t>”</w:t>
            </w:r>
          </w:p>
        </w:tc>
      </w:tr>
      <w:tr w14:paraId="13E53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93" w:type="dxa"/>
            <w:tcMar>
              <w:top w:w="16" w:type="dxa"/>
              <w:left w:w="16" w:type="dxa"/>
              <w:right w:w="16" w:type="dxa"/>
            </w:tcMar>
            <w:vAlign w:val="center"/>
          </w:tcPr>
          <w:p w14:paraId="1985761A">
            <w:pPr>
              <w:pStyle w:val="49"/>
              <w:rPr>
                <w:color w:val="auto"/>
                <w:sz w:val="28"/>
                <w:szCs w:val="28"/>
              </w:rPr>
            </w:pPr>
            <w:r>
              <w:rPr>
                <w:rFonts w:hint="eastAsia"/>
                <w:color w:val="auto"/>
                <w:sz w:val="28"/>
                <w:szCs w:val="28"/>
              </w:rPr>
              <w:t>建设性质</w:t>
            </w:r>
          </w:p>
        </w:tc>
        <w:tc>
          <w:tcPr>
            <w:tcW w:w="1910" w:type="dxa"/>
            <w:vAlign w:val="center"/>
          </w:tcPr>
          <w:p w14:paraId="25F1D556">
            <w:pPr>
              <w:pStyle w:val="49"/>
              <w:jc w:val="left"/>
              <w:rPr>
                <w:color w:val="auto"/>
                <w:sz w:val="28"/>
                <w:szCs w:val="28"/>
              </w:rPr>
            </w:pPr>
            <w:r>
              <w:rPr>
                <w:rFonts w:hint="eastAsia"/>
                <w:color w:val="auto"/>
                <w:sz w:val="28"/>
                <w:szCs w:val="28"/>
              </w:rPr>
              <w:sym w:font="Wingdings 2" w:char="0052"/>
            </w:r>
            <w:r>
              <w:rPr>
                <w:rFonts w:hint="eastAsia"/>
                <w:color w:val="auto"/>
                <w:sz w:val="28"/>
                <w:szCs w:val="28"/>
              </w:rPr>
              <w:t>新建（迁建）</w:t>
            </w:r>
          </w:p>
          <w:p w14:paraId="656AECC1">
            <w:pPr>
              <w:pStyle w:val="49"/>
              <w:jc w:val="left"/>
              <w:rPr>
                <w:color w:val="auto"/>
                <w:sz w:val="28"/>
                <w:szCs w:val="28"/>
              </w:rPr>
            </w:pPr>
            <w:r>
              <w:rPr>
                <w:rFonts w:hint="eastAsia"/>
                <w:color w:val="auto"/>
                <w:sz w:val="28"/>
                <w:szCs w:val="28"/>
              </w:rPr>
              <w:t>□改建</w:t>
            </w:r>
          </w:p>
          <w:p w14:paraId="698ED351">
            <w:pPr>
              <w:pStyle w:val="49"/>
              <w:jc w:val="left"/>
              <w:rPr>
                <w:rFonts w:hint="eastAsia"/>
                <w:color w:val="auto"/>
                <w:sz w:val="28"/>
                <w:szCs w:val="28"/>
              </w:rPr>
            </w:pPr>
            <w:r>
              <w:rPr>
                <w:rFonts w:hint="eastAsia"/>
                <w:color w:val="auto"/>
                <w:sz w:val="28"/>
                <w:szCs w:val="28"/>
              </w:rPr>
              <w:t>□扩建</w:t>
            </w:r>
          </w:p>
          <w:p w14:paraId="4A33531D">
            <w:pPr>
              <w:pStyle w:val="49"/>
              <w:jc w:val="left"/>
              <w:rPr>
                <w:color w:val="auto"/>
                <w:sz w:val="28"/>
                <w:szCs w:val="28"/>
              </w:rPr>
            </w:pPr>
            <w:r>
              <w:rPr>
                <w:rFonts w:hint="eastAsia" w:ascii="Segoe UI Symbol" w:hAnsi="Segoe UI Symbol" w:cs="Segoe UI Symbol"/>
                <w:color w:val="auto"/>
                <w:sz w:val="28"/>
                <w:szCs w:val="28"/>
              </w:rPr>
              <w:t>□</w:t>
            </w:r>
            <w:r>
              <w:rPr>
                <w:rFonts w:hint="eastAsia"/>
                <w:color w:val="auto"/>
                <w:sz w:val="28"/>
                <w:szCs w:val="28"/>
              </w:rPr>
              <w:t>技术改造</w:t>
            </w:r>
          </w:p>
        </w:tc>
        <w:tc>
          <w:tcPr>
            <w:tcW w:w="2192" w:type="dxa"/>
            <w:vAlign w:val="center"/>
          </w:tcPr>
          <w:p w14:paraId="5054CACD">
            <w:pPr>
              <w:pStyle w:val="49"/>
              <w:rPr>
                <w:color w:val="auto"/>
                <w:sz w:val="28"/>
                <w:szCs w:val="28"/>
              </w:rPr>
            </w:pPr>
            <w:r>
              <w:rPr>
                <w:rFonts w:hint="eastAsia"/>
                <w:color w:val="auto"/>
                <w:sz w:val="28"/>
                <w:szCs w:val="28"/>
              </w:rPr>
              <w:t>建设项目</w:t>
            </w:r>
          </w:p>
          <w:p w14:paraId="3A996A19">
            <w:pPr>
              <w:pStyle w:val="49"/>
              <w:rPr>
                <w:color w:val="auto"/>
                <w:sz w:val="28"/>
                <w:szCs w:val="28"/>
              </w:rPr>
            </w:pPr>
            <w:r>
              <w:rPr>
                <w:rFonts w:hint="eastAsia"/>
                <w:color w:val="auto"/>
                <w:sz w:val="28"/>
                <w:szCs w:val="28"/>
              </w:rPr>
              <w:t>申报情形</w:t>
            </w:r>
          </w:p>
        </w:tc>
        <w:tc>
          <w:tcPr>
            <w:tcW w:w="3375" w:type="dxa"/>
            <w:vAlign w:val="center"/>
          </w:tcPr>
          <w:p w14:paraId="67A85E47">
            <w:pPr>
              <w:pStyle w:val="49"/>
              <w:jc w:val="left"/>
              <w:rPr>
                <w:color w:val="auto"/>
                <w:sz w:val="28"/>
                <w:szCs w:val="28"/>
              </w:rPr>
            </w:pPr>
            <w:r>
              <w:rPr>
                <w:rFonts w:ascii="Segoe UI Symbol" w:hAnsi="Segoe UI Symbol" w:cs="Segoe UI Symbol"/>
                <w:color w:val="auto"/>
                <w:sz w:val="28"/>
                <w:szCs w:val="28"/>
              </w:rPr>
              <w:t>☑</w:t>
            </w:r>
            <w:r>
              <w:rPr>
                <w:rFonts w:hint="eastAsia"/>
                <w:color w:val="auto"/>
                <w:sz w:val="28"/>
                <w:szCs w:val="28"/>
              </w:rPr>
              <w:t>首次申报项目</w:t>
            </w:r>
          </w:p>
          <w:p w14:paraId="09BB93C9">
            <w:pPr>
              <w:pStyle w:val="49"/>
              <w:jc w:val="left"/>
              <w:rPr>
                <w:color w:val="auto"/>
                <w:sz w:val="28"/>
                <w:szCs w:val="28"/>
              </w:rPr>
            </w:pPr>
            <w:r>
              <w:rPr>
                <w:rFonts w:hint="eastAsia"/>
                <w:color w:val="auto"/>
                <w:sz w:val="28"/>
                <w:szCs w:val="28"/>
              </w:rPr>
              <w:t>□不予批准后再次申报项目</w:t>
            </w:r>
          </w:p>
          <w:p w14:paraId="2FF994C1">
            <w:pPr>
              <w:pStyle w:val="49"/>
              <w:jc w:val="left"/>
              <w:rPr>
                <w:color w:val="auto"/>
                <w:sz w:val="28"/>
                <w:szCs w:val="28"/>
              </w:rPr>
            </w:pPr>
            <w:r>
              <w:rPr>
                <w:rFonts w:hint="eastAsia"/>
                <w:color w:val="auto"/>
                <w:sz w:val="28"/>
                <w:szCs w:val="28"/>
              </w:rPr>
              <w:t>□超五年重新审核项目</w:t>
            </w:r>
          </w:p>
          <w:p w14:paraId="67B4C72B">
            <w:pPr>
              <w:pStyle w:val="49"/>
              <w:jc w:val="left"/>
              <w:rPr>
                <w:color w:val="auto"/>
                <w:sz w:val="28"/>
                <w:szCs w:val="28"/>
              </w:rPr>
            </w:pPr>
            <w:r>
              <w:rPr>
                <w:rFonts w:hint="eastAsia"/>
                <w:color w:val="auto"/>
                <w:sz w:val="28"/>
                <w:szCs w:val="28"/>
              </w:rPr>
              <w:t>□重大变动重新报批项目</w:t>
            </w:r>
          </w:p>
        </w:tc>
      </w:tr>
      <w:tr w14:paraId="2E85F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93" w:type="dxa"/>
            <w:tcMar>
              <w:top w:w="16" w:type="dxa"/>
              <w:left w:w="16" w:type="dxa"/>
              <w:right w:w="16" w:type="dxa"/>
            </w:tcMar>
            <w:vAlign w:val="center"/>
          </w:tcPr>
          <w:p w14:paraId="7DAB82F4">
            <w:pPr>
              <w:pStyle w:val="49"/>
              <w:rPr>
                <w:color w:val="auto"/>
                <w:sz w:val="28"/>
                <w:szCs w:val="28"/>
              </w:rPr>
            </w:pPr>
            <w:r>
              <w:rPr>
                <w:rFonts w:hint="eastAsia"/>
                <w:color w:val="auto"/>
                <w:sz w:val="28"/>
                <w:szCs w:val="28"/>
              </w:rPr>
              <w:t>项目审批（核准</w:t>
            </w:r>
            <w:r>
              <w:rPr>
                <w:color w:val="auto"/>
                <w:sz w:val="28"/>
                <w:szCs w:val="28"/>
              </w:rPr>
              <w:t>/</w:t>
            </w:r>
          </w:p>
          <w:p w14:paraId="3519996F">
            <w:pPr>
              <w:pStyle w:val="49"/>
              <w:rPr>
                <w:color w:val="auto"/>
                <w:sz w:val="28"/>
                <w:szCs w:val="28"/>
              </w:rPr>
            </w:pPr>
            <w:r>
              <w:rPr>
                <w:rFonts w:hint="eastAsia"/>
                <w:color w:val="auto"/>
                <w:sz w:val="28"/>
                <w:szCs w:val="28"/>
              </w:rPr>
              <w:t>备案）部门（选填）</w:t>
            </w:r>
          </w:p>
        </w:tc>
        <w:tc>
          <w:tcPr>
            <w:tcW w:w="1910" w:type="dxa"/>
            <w:vAlign w:val="center"/>
          </w:tcPr>
          <w:p w14:paraId="302FAC3A">
            <w:pPr>
              <w:pStyle w:val="49"/>
              <w:rPr>
                <w:color w:val="auto"/>
                <w:sz w:val="28"/>
                <w:szCs w:val="28"/>
              </w:rPr>
            </w:pPr>
            <w:r>
              <w:rPr>
                <w:rFonts w:hint="eastAsia"/>
                <w:color w:val="auto"/>
                <w:sz w:val="28"/>
                <w:szCs w:val="28"/>
                <w:lang w:eastAsia="zh-CN"/>
              </w:rPr>
              <w:t>九龙坡</w:t>
            </w:r>
            <w:r>
              <w:rPr>
                <w:rFonts w:hint="eastAsia"/>
                <w:color w:val="auto"/>
                <w:sz w:val="28"/>
                <w:szCs w:val="28"/>
              </w:rPr>
              <w:t>区发展和改革委员会</w:t>
            </w:r>
          </w:p>
        </w:tc>
        <w:tc>
          <w:tcPr>
            <w:tcW w:w="2192" w:type="dxa"/>
            <w:vAlign w:val="center"/>
          </w:tcPr>
          <w:p w14:paraId="2C4E783C">
            <w:pPr>
              <w:pStyle w:val="49"/>
              <w:rPr>
                <w:color w:val="auto"/>
                <w:sz w:val="28"/>
                <w:szCs w:val="28"/>
              </w:rPr>
            </w:pPr>
            <w:r>
              <w:rPr>
                <w:rFonts w:hint="eastAsia"/>
                <w:color w:val="auto"/>
                <w:sz w:val="28"/>
                <w:szCs w:val="28"/>
              </w:rPr>
              <w:t>项目审批（核准</w:t>
            </w:r>
            <w:r>
              <w:rPr>
                <w:color w:val="auto"/>
                <w:sz w:val="28"/>
                <w:szCs w:val="28"/>
              </w:rPr>
              <w:t>/</w:t>
            </w:r>
          </w:p>
          <w:p w14:paraId="6C842D93">
            <w:pPr>
              <w:pStyle w:val="49"/>
              <w:rPr>
                <w:color w:val="auto"/>
                <w:sz w:val="28"/>
                <w:szCs w:val="28"/>
              </w:rPr>
            </w:pPr>
            <w:r>
              <w:rPr>
                <w:rFonts w:hint="eastAsia"/>
                <w:color w:val="auto"/>
                <w:sz w:val="28"/>
                <w:szCs w:val="28"/>
              </w:rPr>
              <w:t>备案）文号（选填）</w:t>
            </w:r>
          </w:p>
        </w:tc>
        <w:tc>
          <w:tcPr>
            <w:tcW w:w="3375" w:type="dxa"/>
            <w:vAlign w:val="center"/>
          </w:tcPr>
          <w:p w14:paraId="3139FB17">
            <w:pPr>
              <w:pStyle w:val="49"/>
              <w:rPr>
                <w:color w:val="auto"/>
                <w:sz w:val="28"/>
                <w:szCs w:val="28"/>
              </w:rPr>
            </w:pPr>
            <w:r>
              <w:rPr>
                <w:rFonts w:hint="eastAsia"/>
                <w:color w:val="auto"/>
                <w:sz w:val="28"/>
                <w:szCs w:val="28"/>
                <w:highlight w:val="none"/>
              </w:rPr>
              <w:t>2604-500107-04-01-624099</w:t>
            </w:r>
          </w:p>
        </w:tc>
      </w:tr>
      <w:tr w14:paraId="35D02A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93" w:type="dxa"/>
            <w:tcMar>
              <w:top w:w="16" w:type="dxa"/>
              <w:left w:w="16" w:type="dxa"/>
              <w:right w:w="16" w:type="dxa"/>
            </w:tcMar>
            <w:vAlign w:val="center"/>
          </w:tcPr>
          <w:p w14:paraId="230FED94">
            <w:pPr>
              <w:pStyle w:val="49"/>
              <w:rPr>
                <w:color w:val="auto"/>
                <w:sz w:val="28"/>
                <w:szCs w:val="28"/>
              </w:rPr>
            </w:pPr>
            <w:r>
              <w:rPr>
                <w:color w:val="auto"/>
                <w:sz w:val="28"/>
                <w:szCs w:val="28"/>
              </w:rPr>
              <w:t>总投资（万元）</w:t>
            </w:r>
          </w:p>
        </w:tc>
        <w:tc>
          <w:tcPr>
            <w:tcW w:w="1910" w:type="dxa"/>
            <w:vAlign w:val="center"/>
          </w:tcPr>
          <w:p w14:paraId="6DF902A4">
            <w:pPr>
              <w:pStyle w:val="49"/>
              <w:rPr>
                <w:rFonts w:hint="default" w:eastAsia="仿宋"/>
                <w:color w:val="auto"/>
                <w:sz w:val="28"/>
                <w:szCs w:val="28"/>
                <w:highlight w:val="yellow"/>
                <w:lang w:val="en-US" w:eastAsia="zh-CN"/>
              </w:rPr>
            </w:pPr>
            <w:r>
              <w:rPr>
                <w:rFonts w:hint="eastAsia"/>
                <w:color w:val="auto"/>
                <w:sz w:val="28"/>
                <w:szCs w:val="28"/>
                <w:highlight w:val="none"/>
                <w:lang w:val="en-US" w:eastAsia="zh-CN"/>
              </w:rPr>
              <w:t>200</w:t>
            </w:r>
          </w:p>
        </w:tc>
        <w:tc>
          <w:tcPr>
            <w:tcW w:w="2192" w:type="dxa"/>
            <w:tcMar>
              <w:top w:w="16" w:type="dxa"/>
              <w:left w:w="16" w:type="dxa"/>
              <w:right w:w="16" w:type="dxa"/>
            </w:tcMar>
            <w:vAlign w:val="center"/>
          </w:tcPr>
          <w:p w14:paraId="0CABDA64">
            <w:pPr>
              <w:pStyle w:val="49"/>
              <w:rPr>
                <w:color w:val="auto"/>
                <w:sz w:val="28"/>
                <w:szCs w:val="28"/>
              </w:rPr>
            </w:pPr>
            <w:r>
              <w:rPr>
                <w:color w:val="auto"/>
                <w:sz w:val="28"/>
                <w:szCs w:val="28"/>
              </w:rPr>
              <w:t>环保投资（万元）</w:t>
            </w:r>
          </w:p>
        </w:tc>
        <w:tc>
          <w:tcPr>
            <w:tcW w:w="3375" w:type="dxa"/>
            <w:vAlign w:val="center"/>
          </w:tcPr>
          <w:p w14:paraId="6A5E3482">
            <w:pPr>
              <w:pStyle w:val="49"/>
              <w:rPr>
                <w:rFonts w:hint="default" w:eastAsia="仿宋"/>
                <w:color w:val="auto"/>
                <w:sz w:val="28"/>
                <w:szCs w:val="28"/>
                <w:highlight w:val="yellow"/>
                <w:lang w:val="en-US" w:eastAsia="zh-CN"/>
              </w:rPr>
            </w:pPr>
            <w:r>
              <w:rPr>
                <w:rFonts w:hint="eastAsia"/>
                <w:color w:val="auto"/>
                <w:sz w:val="28"/>
                <w:szCs w:val="28"/>
                <w:highlight w:val="none"/>
                <w:lang w:val="en-US" w:eastAsia="zh-CN"/>
              </w:rPr>
              <w:t>20</w:t>
            </w:r>
          </w:p>
        </w:tc>
      </w:tr>
      <w:tr w14:paraId="25A15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93" w:type="dxa"/>
            <w:tcMar>
              <w:top w:w="16" w:type="dxa"/>
              <w:left w:w="16" w:type="dxa"/>
              <w:right w:w="16" w:type="dxa"/>
            </w:tcMar>
            <w:vAlign w:val="center"/>
          </w:tcPr>
          <w:p w14:paraId="351E592F">
            <w:pPr>
              <w:pStyle w:val="49"/>
              <w:rPr>
                <w:color w:val="auto"/>
                <w:sz w:val="28"/>
                <w:szCs w:val="28"/>
              </w:rPr>
            </w:pPr>
            <w:r>
              <w:rPr>
                <w:color w:val="auto"/>
                <w:sz w:val="28"/>
                <w:szCs w:val="28"/>
              </w:rPr>
              <w:t>环保投资占比（%）</w:t>
            </w:r>
          </w:p>
        </w:tc>
        <w:tc>
          <w:tcPr>
            <w:tcW w:w="1910" w:type="dxa"/>
            <w:vAlign w:val="center"/>
          </w:tcPr>
          <w:p w14:paraId="4B646F20">
            <w:pPr>
              <w:pStyle w:val="49"/>
              <w:rPr>
                <w:rFonts w:hint="default" w:eastAsia="仿宋"/>
                <w:color w:val="auto"/>
                <w:sz w:val="28"/>
                <w:szCs w:val="28"/>
                <w:highlight w:val="yellow"/>
                <w:lang w:val="en-US" w:eastAsia="zh-CN"/>
              </w:rPr>
            </w:pPr>
            <w:r>
              <w:rPr>
                <w:rFonts w:hint="eastAsia"/>
                <w:color w:val="auto"/>
                <w:sz w:val="28"/>
                <w:szCs w:val="28"/>
                <w:highlight w:val="none"/>
                <w:lang w:val="en-US" w:eastAsia="zh-CN"/>
              </w:rPr>
              <w:t>10</w:t>
            </w:r>
          </w:p>
        </w:tc>
        <w:tc>
          <w:tcPr>
            <w:tcW w:w="2192" w:type="dxa"/>
            <w:tcMar>
              <w:top w:w="16" w:type="dxa"/>
              <w:left w:w="16" w:type="dxa"/>
              <w:right w:w="16" w:type="dxa"/>
            </w:tcMar>
            <w:vAlign w:val="center"/>
          </w:tcPr>
          <w:p w14:paraId="133B6477">
            <w:pPr>
              <w:pStyle w:val="49"/>
              <w:rPr>
                <w:color w:val="auto"/>
                <w:sz w:val="28"/>
                <w:szCs w:val="28"/>
              </w:rPr>
            </w:pPr>
            <w:r>
              <w:rPr>
                <w:color w:val="auto"/>
                <w:sz w:val="28"/>
                <w:szCs w:val="28"/>
              </w:rPr>
              <w:t>施工工期</w:t>
            </w:r>
          </w:p>
        </w:tc>
        <w:tc>
          <w:tcPr>
            <w:tcW w:w="3375" w:type="dxa"/>
            <w:vAlign w:val="center"/>
          </w:tcPr>
          <w:p w14:paraId="3959B78D">
            <w:pPr>
              <w:pStyle w:val="49"/>
              <w:rPr>
                <w:color w:val="auto"/>
                <w:sz w:val="28"/>
                <w:szCs w:val="28"/>
                <w:highlight w:val="yellow"/>
              </w:rPr>
            </w:pPr>
            <w:r>
              <w:rPr>
                <w:rFonts w:hint="eastAsia"/>
                <w:color w:val="auto"/>
                <w:sz w:val="28"/>
                <w:szCs w:val="28"/>
                <w:highlight w:val="none"/>
                <w:lang w:val="en-US" w:eastAsia="zh-CN"/>
              </w:rPr>
              <w:t>2</w:t>
            </w:r>
            <w:r>
              <w:rPr>
                <w:rFonts w:hint="eastAsia"/>
                <w:color w:val="auto"/>
                <w:sz w:val="28"/>
                <w:szCs w:val="28"/>
                <w:highlight w:val="none"/>
              </w:rPr>
              <w:t>个月</w:t>
            </w:r>
          </w:p>
        </w:tc>
      </w:tr>
      <w:tr w14:paraId="3D78E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93" w:type="dxa"/>
            <w:tcMar>
              <w:top w:w="16" w:type="dxa"/>
              <w:left w:w="16" w:type="dxa"/>
              <w:right w:w="16" w:type="dxa"/>
            </w:tcMar>
            <w:vAlign w:val="center"/>
          </w:tcPr>
          <w:p w14:paraId="7581B1A3">
            <w:pPr>
              <w:pStyle w:val="49"/>
              <w:rPr>
                <w:color w:val="auto"/>
                <w:sz w:val="28"/>
                <w:szCs w:val="28"/>
              </w:rPr>
            </w:pPr>
            <w:r>
              <w:rPr>
                <w:rFonts w:hint="eastAsia"/>
                <w:color w:val="auto"/>
                <w:sz w:val="28"/>
                <w:szCs w:val="28"/>
              </w:rPr>
              <w:t>是否开工建设</w:t>
            </w:r>
          </w:p>
        </w:tc>
        <w:tc>
          <w:tcPr>
            <w:tcW w:w="1910" w:type="dxa"/>
            <w:vAlign w:val="center"/>
          </w:tcPr>
          <w:p w14:paraId="239D5449">
            <w:pPr>
              <w:pStyle w:val="49"/>
              <w:rPr>
                <w:color w:val="auto"/>
                <w:sz w:val="28"/>
                <w:szCs w:val="28"/>
              </w:rPr>
            </w:pPr>
            <w:r>
              <w:rPr>
                <w:rFonts w:ascii="Segoe UI Symbol" w:hAnsi="Segoe UI Symbol" w:cs="Segoe UI Symbol"/>
                <w:color w:val="auto"/>
                <w:sz w:val="28"/>
                <w:szCs w:val="28"/>
              </w:rPr>
              <w:t>☑</w:t>
            </w:r>
            <w:r>
              <w:rPr>
                <w:color w:val="auto"/>
                <w:sz w:val="28"/>
                <w:szCs w:val="28"/>
              </w:rPr>
              <w:t>否</w:t>
            </w:r>
          </w:p>
          <w:p w14:paraId="7A0E05CB">
            <w:pPr>
              <w:pStyle w:val="49"/>
              <w:rPr>
                <w:color w:val="auto"/>
                <w:sz w:val="28"/>
                <w:szCs w:val="28"/>
              </w:rPr>
            </w:pPr>
            <w:r>
              <w:rPr>
                <w:rFonts w:hint="eastAsia"/>
                <w:color w:val="auto"/>
                <w:sz w:val="28"/>
                <w:szCs w:val="28"/>
              </w:rPr>
              <w:t>□</w:t>
            </w:r>
            <w:r>
              <w:rPr>
                <w:color w:val="auto"/>
                <w:sz w:val="28"/>
                <w:szCs w:val="28"/>
              </w:rPr>
              <w:t>是：</w:t>
            </w:r>
          </w:p>
        </w:tc>
        <w:tc>
          <w:tcPr>
            <w:tcW w:w="2192" w:type="dxa"/>
            <w:tcMar>
              <w:top w:w="16" w:type="dxa"/>
              <w:left w:w="16" w:type="dxa"/>
              <w:right w:w="16" w:type="dxa"/>
            </w:tcMar>
            <w:vAlign w:val="center"/>
          </w:tcPr>
          <w:p w14:paraId="30B2EAB9">
            <w:pPr>
              <w:pStyle w:val="49"/>
              <w:rPr>
                <w:color w:val="auto"/>
                <w:sz w:val="28"/>
                <w:szCs w:val="28"/>
              </w:rPr>
            </w:pPr>
            <w:r>
              <w:rPr>
                <w:rFonts w:hint="eastAsia"/>
                <w:color w:val="auto"/>
                <w:sz w:val="28"/>
                <w:szCs w:val="28"/>
              </w:rPr>
              <w:t>用地（用海）</w:t>
            </w:r>
          </w:p>
          <w:p w14:paraId="0654D7B4">
            <w:pPr>
              <w:pStyle w:val="49"/>
              <w:rPr>
                <w:color w:val="auto"/>
                <w:sz w:val="28"/>
                <w:szCs w:val="28"/>
              </w:rPr>
            </w:pPr>
            <w:r>
              <w:rPr>
                <w:rFonts w:hint="eastAsia"/>
                <w:color w:val="auto"/>
                <w:sz w:val="28"/>
                <w:szCs w:val="28"/>
              </w:rPr>
              <w:t>面积（</w:t>
            </w:r>
            <w:r>
              <w:rPr>
                <w:color w:val="auto"/>
                <w:sz w:val="28"/>
                <w:szCs w:val="28"/>
              </w:rPr>
              <w:t>m</w:t>
            </w:r>
            <w:r>
              <w:rPr>
                <w:color w:val="auto"/>
                <w:sz w:val="28"/>
                <w:szCs w:val="28"/>
                <w:vertAlign w:val="superscript"/>
              </w:rPr>
              <w:t>2</w:t>
            </w:r>
            <w:r>
              <w:rPr>
                <w:rFonts w:hint="eastAsia"/>
                <w:color w:val="auto"/>
                <w:sz w:val="28"/>
                <w:szCs w:val="28"/>
              </w:rPr>
              <w:t>）</w:t>
            </w:r>
          </w:p>
        </w:tc>
        <w:tc>
          <w:tcPr>
            <w:tcW w:w="3375" w:type="dxa"/>
            <w:vAlign w:val="center"/>
          </w:tcPr>
          <w:p w14:paraId="408D790B">
            <w:pPr>
              <w:pStyle w:val="49"/>
              <w:rPr>
                <w:rFonts w:hint="default" w:eastAsia="仿宋"/>
                <w:color w:val="auto"/>
                <w:sz w:val="28"/>
                <w:szCs w:val="28"/>
                <w:highlight w:val="yellow"/>
                <w:lang w:val="en-US" w:eastAsia="zh-CN"/>
              </w:rPr>
            </w:pPr>
            <w:r>
              <w:rPr>
                <w:rFonts w:hint="eastAsia"/>
                <w:color w:val="auto"/>
                <w:sz w:val="28"/>
                <w:szCs w:val="36"/>
                <w:highlight w:val="none"/>
                <w:lang w:val="en-US" w:eastAsia="zh-CN"/>
              </w:rPr>
              <w:t>4900</w:t>
            </w:r>
          </w:p>
        </w:tc>
      </w:tr>
      <w:tr w14:paraId="67695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1393" w:type="dxa"/>
            <w:vAlign w:val="center"/>
          </w:tcPr>
          <w:p w14:paraId="0A61B6F8">
            <w:pPr>
              <w:pStyle w:val="49"/>
              <w:rPr>
                <w:color w:val="auto"/>
                <w:sz w:val="28"/>
                <w:szCs w:val="28"/>
              </w:rPr>
            </w:pPr>
            <w:r>
              <w:rPr>
                <w:rFonts w:hint="eastAsia"/>
                <w:color w:val="auto"/>
                <w:sz w:val="28"/>
                <w:szCs w:val="28"/>
              </w:rPr>
              <w:t>专项评价设置情况</w:t>
            </w:r>
          </w:p>
        </w:tc>
        <w:tc>
          <w:tcPr>
            <w:tcW w:w="7477" w:type="dxa"/>
            <w:gridSpan w:val="3"/>
            <w:vAlign w:val="center"/>
          </w:tcPr>
          <w:p w14:paraId="43E3BD22">
            <w:pPr>
              <w:pStyle w:val="49"/>
              <w:spacing w:line="360" w:lineRule="auto"/>
              <w:ind w:firstLine="560" w:firstLineChars="200"/>
              <w:jc w:val="left"/>
              <w:rPr>
                <w:color w:val="auto"/>
                <w:sz w:val="28"/>
                <w:szCs w:val="28"/>
              </w:rPr>
            </w:pPr>
            <w:r>
              <w:rPr>
                <w:rFonts w:hint="eastAsia"/>
                <w:color w:val="auto"/>
                <w:sz w:val="28"/>
                <w:szCs w:val="28"/>
              </w:rPr>
              <w:t>根据建设项目环境影响报告表编制技术指南（污染影响类）（试行）表1，本项目不需要设置专项评价，对照情况见下表：</w:t>
            </w:r>
          </w:p>
          <w:p w14:paraId="55B23CD1">
            <w:pPr>
              <w:pStyle w:val="127"/>
              <w:spacing w:line="240" w:lineRule="auto"/>
              <w:ind w:firstLine="482"/>
              <w:rPr>
                <w:color w:val="auto"/>
                <w:sz w:val="24"/>
                <w:szCs w:val="24"/>
              </w:rPr>
            </w:pPr>
            <w:r>
              <w:rPr>
                <w:color w:val="auto"/>
                <w:sz w:val="24"/>
                <w:szCs w:val="24"/>
              </w:rPr>
              <w:t>表1-1专项评价设置原则对照表</w:t>
            </w:r>
          </w:p>
          <w:tbl>
            <w:tblPr>
              <w:tblStyle w:val="31"/>
              <w:tblW w:w="724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3971"/>
              <w:gridCol w:w="2552"/>
            </w:tblGrid>
            <w:tr w14:paraId="54DF07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4" w:type="dxa"/>
                  <w:vAlign w:val="center"/>
                </w:tcPr>
                <w:p w14:paraId="50CB646F">
                  <w:pPr>
                    <w:pStyle w:val="117"/>
                    <w:rPr>
                      <w:rFonts w:ascii="仿宋" w:hAnsi="仿宋" w:eastAsia="仿宋"/>
                      <w:color w:val="auto"/>
                      <w:sz w:val="24"/>
                    </w:rPr>
                  </w:pPr>
                  <w:r>
                    <w:rPr>
                      <w:rFonts w:ascii="仿宋" w:hAnsi="仿宋" w:eastAsia="仿宋"/>
                      <w:color w:val="auto"/>
                      <w:sz w:val="24"/>
                    </w:rPr>
                    <w:t>类别</w:t>
                  </w:r>
                </w:p>
              </w:tc>
              <w:tc>
                <w:tcPr>
                  <w:tcW w:w="3971" w:type="dxa"/>
                  <w:vAlign w:val="center"/>
                </w:tcPr>
                <w:p w14:paraId="1C6F8265">
                  <w:pPr>
                    <w:pStyle w:val="117"/>
                    <w:rPr>
                      <w:rFonts w:ascii="仿宋" w:hAnsi="仿宋" w:eastAsia="仿宋"/>
                      <w:color w:val="auto"/>
                      <w:sz w:val="24"/>
                    </w:rPr>
                  </w:pPr>
                  <w:r>
                    <w:rPr>
                      <w:rFonts w:ascii="仿宋" w:hAnsi="仿宋" w:eastAsia="仿宋"/>
                      <w:color w:val="auto"/>
                      <w:sz w:val="24"/>
                    </w:rPr>
                    <w:t>设置原则</w:t>
                  </w:r>
                </w:p>
              </w:tc>
              <w:tc>
                <w:tcPr>
                  <w:tcW w:w="2552" w:type="dxa"/>
                  <w:vAlign w:val="center"/>
                </w:tcPr>
                <w:p w14:paraId="522AD72F">
                  <w:pPr>
                    <w:pStyle w:val="117"/>
                    <w:rPr>
                      <w:rFonts w:ascii="仿宋" w:hAnsi="仿宋" w:eastAsia="仿宋"/>
                      <w:color w:val="auto"/>
                      <w:sz w:val="24"/>
                    </w:rPr>
                  </w:pPr>
                  <w:r>
                    <w:rPr>
                      <w:rFonts w:ascii="仿宋" w:hAnsi="仿宋" w:eastAsia="仿宋"/>
                      <w:color w:val="auto"/>
                      <w:sz w:val="24"/>
                    </w:rPr>
                    <w:t>项目情况对照</w:t>
                  </w:r>
                </w:p>
              </w:tc>
            </w:tr>
            <w:tr w14:paraId="06B603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4" w:type="dxa"/>
                  <w:vAlign w:val="center"/>
                </w:tcPr>
                <w:p w14:paraId="2D83E229">
                  <w:pPr>
                    <w:pStyle w:val="117"/>
                    <w:rPr>
                      <w:rFonts w:ascii="仿宋" w:hAnsi="仿宋" w:eastAsia="仿宋"/>
                      <w:color w:val="auto"/>
                      <w:sz w:val="24"/>
                    </w:rPr>
                  </w:pPr>
                  <w:r>
                    <w:rPr>
                      <w:rFonts w:ascii="仿宋" w:hAnsi="仿宋" w:eastAsia="仿宋"/>
                      <w:color w:val="auto"/>
                      <w:sz w:val="24"/>
                    </w:rPr>
                    <w:t>大气</w:t>
                  </w:r>
                </w:p>
              </w:tc>
              <w:tc>
                <w:tcPr>
                  <w:tcW w:w="3971" w:type="dxa"/>
                  <w:vAlign w:val="center"/>
                </w:tcPr>
                <w:p w14:paraId="05CC7E5F">
                  <w:pPr>
                    <w:pStyle w:val="117"/>
                    <w:jc w:val="left"/>
                    <w:rPr>
                      <w:rFonts w:ascii="仿宋" w:hAnsi="仿宋" w:eastAsia="仿宋"/>
                      <w:color w:val="auto"/>
                      <w:sz w:val="24"/>
                    </w:rPr>
                  </w:pPr>
                  <w:r>
                    <w:rPr>
                      <w:rFonts w:ascii="仿宋" w:hAnsi="仿宋" w:eastAsia="仿宋"/>
                      <w:color w:val="auto"/>
                      <w:sz w:val="24"/>
                    </w:rPr>
                    <w:t>排放废气含有毒有害污染物</w:t>
                  </w:r>
                  <w:r>
                    <w:rPr>
                      <w:rFonts w:ascii="仿宋" w:hAnsi="仿宋" w:eastAsia="仿宋"/>
                      <w:color w:val="auto"/>
                      <w:sz w:val="24"/>
                      <w:vertAlign w:val="superscript"/>
                    </w:rPr>
                    <w:t>（1）</w:t>
                  </w:r>
                  <w:r>
                    <w:rPr>
                      <w:rFonts w:ascii="仿宋" w:hAnsi="仿宋" w:eastAsia="仿宋"/>
                      <w:color w:val="auto"/>
                      <w:sz w:val="24"/>
                    </w:rPr>
                    <w:t>、二噁英、苯并[a]芘、氰化物、氯气且厂界外500米范围内有环境空气保护目标</w:t>
                  </w:r>
                  <w:r>
                    <w:rPr>
                      <w:rFonts w:ascii="仿宋" w:hAnsi="仿宋" w:eastAsia="仿宋"/>
                      <w:color w:val="auto"/>
                      <w:sz w:val="24"/>
                      <w:vertAlign w:val="superscript"/>
                    </w:rPr>
                    <w:t>（2）</w:t>
                  </w:r>
                  <w:r>
                    <w:rPr>
                      <w:rFonts w:ascii="仿宋" w:hAnsi="仿宋" w:eastAsia="仿宋"/>
                      <w:color w:val="auto"/>
                      <w:sz w:val="24"/>
                    </w:rPr>
                    <w:t>的建设项目</w:t>
                  </w:r>
                </w:p>
              </w:tc>
              <w:tc>
                <w:tcPr>
                  <w:tcW w:w="2552" w:type="dxa"/>
                  <w:vAlign w:val="center"/>
                </w:tcPr>
                <w:p w14:paraId="6CDF59F2">
                  <w:pPr>
                    <w:pStyle w:val="117"/>
                    <w:rPr>
                      <w:rFonts w:ascii="仿宋" w:hAnsi="仿宋" w:eastAsia="仿宋"/>
                      <w:color w:val="auto"/>
                      <w:sz w:val="24"/>
                    </w:rPr>
                  </w:pPr>
                  <w:r>
                    <w:rPr>
                      <w:rFonts w:ascii="仿宋" w:hAnsi="仿宋" w:eastAsia="仿宋"/>
                      <w:color w:val="auto"/>
                      <w:sz w:val="24"/>
                    </w:rPr>
                    <w:t>本项目</w:t>
                  </w:r>
                  <w:r>
                    <w:rPr>
                      <w:rFonts w:hint="eastAsia" w:ascii="仿宋" w:hAnsi="仿宋" w:eastAsia="仿宋"/>
                      <w:color w:val="auto"/>
                      <w:sz w:val="24"/>
                    </w:rPr>
                    <w:t>不涉及有毒有害污染物的排放</w:t>
                  </w:r>
                  <w:r>
                    <w:rPr>
                      <w:rFonts w:ascii="仿宋" w:hAnsi="仿宋" w:eastAsia="仿宋"/>
                      <w:color w:val="auto"/>
                      <w:sz w:val="24"/>
                    </w:rPr>
                    <w:t>，</w:t>
                  </w:r>
                  <w:r>
                    <w:rPr>
                      <w:rFonts w:hint="eastAsia" w:ascii="仿宋" w:hAnsi="仿宋" w:eastAsia="仿宋"/>
                      <w:color w:val="auto"/>
                      <w:sz w:val="24"/>
                    </w:rPr>
                    <w:t>不</w:t>
                  </w:r>
                  <w:r>
                    <w:rPr>
                      <w:rFonts w:ascii="仿宋" w:hAnsi="仿宋" w:eastAsia="仿宋"/>
                      <w:color w:val="auto"/>
                      <w:sz w:val="24"/>
                    </w:rPr>
                    <w:t>设专项评价</w:t>
                  </w:r>
                </w:p>
              </w:tc>
            </w:tr>
            <w:tr w14:paraId="16862F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4" w:type="dxa"/>
                  <w:vAlign w:val="center"/>
                </w:tcPr>
                <w:p w14:paraId="35E557D6">
                  <w:pPr>
                    <w:pStyle w:val="117"/>
                    <w:jc w:val="left"/>
                    <w:rPr>
                      <w:rFonts w:ascii="仿宋" w:hAnsi="仿宋" w:eastAsia="仿宋"/>
                      <w:color w:val="auto"/>
                      <w:sz w:val="24"/>
                    </w:rPr>
                  </w:pPr>
                  <w:r>
                    <w:rPr>
                      <w:rFonts w:ascii="仿宋" w:hAnsi="仿宋" w:eastAsia="仿宋"/>
                      <w:color w:val="auto"/>
                      <w:sz w:val="24"/>
                    </w:rPr>
                    <w:t>地表水</w:t>
                  </w:r>
                </w:p>
              </w:tc>
              <w:tc>
                <w:tcPr>
                  <w:tcW w:w="3971" w:type="dxa"/>
                  <w:vAlign w:val="center"/>
                </w:tcPr>
                <w:p w14:paraId="68D4D8B8">
                  <w:pPr>
                    <w:pStyle w:val="117"/>
                    <w:jc w:val="left"/>
                    <w:rPr>
                      <w:rFonts w:ascii="仿宋" w:hAnsi="仿宋" w:eastAsia="仿宋"/>
                      <w:color w:val="auto"/>
                      <w:sz w:val="24"/>
                    </w:rPr>
                  </w:pPr>
                  <w:r>
                    <w:rPr>
                      <w:rFonts w:ascii="仿宋" w:hAnsi="仿宋" w:eastAsia="仿宋"/>
                      <w:color w:val="auto"/>
                      <w:sz w:val="24"/>
                    </w:rPr>
                    <w:t>新增工业废水直排建设项目（槽罐车外送污水处理厂的除外）；新增废水直排的污水集中处理厂</w:t>
                  </w:r>
                </w:p>
              </w:tc>
              <w:tc>
                <w:tcPr>
                  <w:tcW w:w="2552" w:type="dxa"/>
                  <w:vAlign w:val="center"/>
                </w:tcPr>
                <w:p w14:paraId="128A30BD">
                  <w:pPr>
                    <w:pStyle w:val="117"/>
                    <w:jc w:val="left"/>
                    <w:rPr>
                      <w:rFonts w:ascii="仿宋" w:hAnsi="仿宋" w:eastAsia="仿宋"/>
                      <w:color w:val="auto"/>
                      <w:sz w:val="24"/>
                    </w:rPr>
                  </w:pPr>
                  <w:r>
                    <w:rPr>
                      <w:rFonts w:ascii="仿宋" w:hAnsi="仿宋" w:eastAsia="仿宋"/>
                      <w:color w:val="auto"/>
                      <w:sz w:val="24"/>
                    </w:rPr>
                    <w:t>本项目污废水排放方式为间接排放，不设置专项评价</w:t>
                  </w:r>
                </w:p>
              </w:tc>
            </w:tr>
            <w:tr w14:paraId="29F592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4" w:type="dxa"/>
                  <w:vAlign w:val="center"/>
                </w:tcPr>
                <w:p w14:paraId="002C400E">
                  <w:pPr>
                    <w:pStyle w:val="117"/>
                    <w:jc w:val="left"/>
                    <w:rPr>
                      <w:rFonts w:ascii="仿宋" w:hAnsi="仿宋" w:eastAsia="仿宋"/>
                      <w:color w:val="auto"/>
                      <w:sz w:val="24"/>
                    </w:rPr>
                  </w:pPr>
                  <w:r>
                    <w:rPr>
                      <w:rFonts w:ascii="仿宋" w:hAnsi="仿宋" w:eastAsia="仿宋"/>
                      <w:color w:val="auto"/>
                      <w:sz w:val="24"/>
                    </w:rPr>
                    <w:t>环境风险</w:t>
                  </w:r>
                </w:p>
              </w:tc>
              <w:tc>
                <w:tcPr>
                  <w:tcW w:w="3971" w:type="dxa"/>
                  <w:vAlign w:val="center"/>
                </w:tcPr>
                <w:p w14:paraId="12E11CE2">
                  <w:pPr>
                    <w:pStyle w:val="117"/>
                    <w:jc w:val="left"/>
                    <w:rPr>
                      <w:rFonts w:ascii="仿宋" w:hAnsi="仿宋" w:eastAsia="仿宋"/>
                      <w:color w:val="auto"/>
                      <w:sz w:val="24"/>
                    </w:rPr>
                  </w:pPr>
                  <w:r>
                    <w:rPr>
                      <w:rFonts w:ascii="仿宋" w:hAnsi="仿宋" w:eastAsia="仿宋"/>
                      <w:color w:val="auto"/>
                      <w:sz w:val="24"/>
                    </w:rPr>
                    <w:t>有毒有害和易燃易爆危险物质存储量超过临界量</w:t>
                  </w:r>
                  <w:r>
                    <w:rPr>
                      <w:rFonts w:ascii="仿宋" w:hAnsi="仿宋" w:eastAsia="仿宋"/>
                      <w:color w:val="auto"/>
                      <w:sz w:val="24"/>
                      <w:vertAlign w:val="superscript"/>
                    </w:rPr>
                    <w:t>（3）</w:t>
                  </w:r>
                  <w:r>
                    <w:rPr>
                      <w:rFonts w:ascii="仿宋" w:hAnsi="仿宋" w:eastAsia="仿宋"/>
                      <w:color w:val="auto"/>
                      <w:sz w:val="24"/>
                    </w:rPr>
                    <w:t>的建设项目</w:t>
                  </w:r>
                </w:p>
              </w:tc>
              <w:tc>
                <w:tcPr>
                  <w:tcW w:w="2552" w:type="dxa"/>
                  <w:vAlign w:val="center"/>
                </w:tcPr>
                <w:p w14:paraId="0E1F2AC8">
                  <w:pPr>
                    <w:pStyle w:val="117"/>
                    <w:jc w:val="left"/>
                    <w:rPr>
                      <w:rFonts w:ascii="仿宋" w:hAnsi="仿宋" w:eastAsia="仿宋"/>
                      <w:color w:val="auto"/>
                      <w:sz w:val="24"/>
                    </w:rPr>
                  </w:pPr>
                  <w:r>
                    <w:rPr>
                      <w:rFonts w:ascii="仿宋" w:hAnsi="仿宋" w:eastAsia="仿宋"/>
                      <w:color w:val="auto"/>
                      <w:sz w:val="24"/>
                    </w:rPr>
                    <w:t>本项目危险物质存储量</w:t>
                  </w:r>
                  <w:r>
                    <w:rPr>
                      <w:rFonts w:hint="eastAsia" w:ascii="仿宋" w:hAnsi="仿宋" w:eastAsia="仿宋"/>
                      <w:color w:val="auto"/>
                      <w:sz w:val="24"/>
                    </w:rPr>
                    <w:t>未</w:t>
                  </w:r>
                  <w:r>
                    <w:rPr>
                      <w:rFonts w:ascii="仿宋" w:hAnsi="仿宋" w:eastAsia="仿宋"/>
                      <w:color w:val="auto"/>
                      <w:sz w:val="24"/>
                    </w:rPr>
                    <w:t>超过临界量</w:t>
                  </w:r>
                </w:p>
              </w:tc>
            </w:tr>
            <w:tr w14:paraId="3AB926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4" w:type="dxa"/>
                  <w:vAlign w:val="center"/>
                </w:tcPr>
                <w:p w14:paraId="6E71CA51">
                  <w:pPr>
                    <w:pStyle w:val="117"/>
                    <w:jc w:val="left"/>
                    <w:rPr>
                      <w:rFonts w:ascii="仿宋" w:hAnsi="仿宋" w:eastAsia="仿宋"/>
                      <w:color w:val="auto"/>
                      <w:sz w:val="24"/>
                    </w:rPr>
                  </w:pPr>
                  <w:r>
                    <w:rPr>
                      <w:rFonts w:ascii="仿宋" w:hAnsi="仿宋" w:eastAsia="仿宋"/>
                      <w:color w:val="auto"/>
                      <w:sz w:val="24"/>
                    </w:rPr>
                    <w:t>生态</w:t>
                  </w:r>
                </w:p>
              </w:tc>
              <w:tc>
                <w:tcPr>
                  <w:tcW w:w="3971" w:type="dxa"/>
                  <w:vAlign w:val="center"/>
                </w:tcPr>
                <w:p w14:paraId="340A17AD">
                  <w:pPr>
                    <w:pStyle w:val="117"/>
                    <w:jc w:val="left"/>
                    <w:rPr>
                      <w:rFonts w:ascii="仿宋" w:hAnsi="仿宋" w:eastAsia="仿宋"/>
                      <w:color w:val="auto"/>
                      <w:sz w:val="24"/>
                    </w:rPr>
                  </w:pPr>
                  <w:r>
                    <w:rPr>
                      <w:rFonts w:ascii="仿宋" w:hAnsi="仿宋" w:eastAsia="仿宋"/>
                      <w:color w:val="auto"/>
                      <w:sz w:val="24"/>
                    </w:rPr>
                    <w:t>取水口下游500m范围内有重要水生生物的自然产卵场、索饵场、越冬场、洄游通道的新增河道取水的污染类建设项目</w:t>
                  </w:r>
                </w:p>
              </w:tc>
              <w:tc>
                <w:tcPr>
                  <w:tcW w:w="2552" w:type="dxa"/>
                  <w:vAlign w:val="center"/>
                </w:tcPr>
                <w:p w14:paraId="43E73C5B">
                  <w:pPr>
                    <w:pStyle w:val="117"/>
                    <w:jc w:val="left"/>
                    <w:rPr>
                      <w:rFonts w:ascii="仿宋" w:hAnsi="仿宋" w:eastAsia="仿宋"/>
                      <w:color w:val="auto"/>
                      <w:sz w:val="24"/>
                    </w:rPr>
                  </w:pPr>
                  <w:r>
                    <w:rPr>
                      <w:rFonts w:ascii="仿宋" w:hAnsi="仿宋" w:eastAsia="仿宋"/>
                      <w:color w:val="auto"/>
                      <w:sz w:val="24"/>
                    </w:rPr>
                    <w:t>本项目不涉及取水口，废水间接排放，不设专项评价</w:t>
                  </w:r>
                </w:p>
              </w:tc>
            </w:tr>
            <w:tr w14:paraId="6F2823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4" w:type="dxa"/>
                  <w:vAlign w:val="center"/>
                </w:tcPr>
                <w:p w14:paraId="5033C889">
                  <w:pPr>
                    <w:pStyle w:val="117"/>
                    <w:jc w:val="left"/>
                    <w:rPr>
                      <w:rFonts w:ascii="仿宋" w:hAnsi="仿宋" w:eastAsia="仿宋"/>
                      <w:color w:val="auto"/>
                      <w:sz w:val="24"/>
                    </w:rPr>
                  </w:pPr>
                  <w:r>
                    <w:rPr>
                      <w:rFonts w:ascii="仿宋" w:hAnsi="仿宋" w:eastAsia="仿宋"/>
                      <w:color w:val="auto"/>
                      <w:sz w:val="24"/>
                    </w:rPr>
                    <w:t>海洋</w:t>
                  </w:r>
                </w:p>
              </w:tc>
              <w:tc>
                <w:tcPr>
                  <w:tcW w:w="3971" w:type="dxa"/>
                  <w:vAlign w:val="center"/>
                </w:tcPr>
                <w:p w14:paraId="7F6D01E3">
                  <w:pPr>
                    <w:pStyle w:val="117"/>
                    <w:jc w:val="left"/>
                    <w:rPr>
                      <w:rFonts w:ascii="仿宋" w:hAnsi="仿宋" w:eastAsia="仿宋"/>
                      <w:color w:val="auto"/>
                      <w:sz w:val="24"/>
                    </w:rPr>
                  </w:pPr>
                  <w:r>
                    <w:rPr>
                      <w:rFonts w:ascii="仿宋" w:hAnsi="仿宋" w:eastAsia="仿宋"/>
                      <w:color w:val="auto"/>
                      <w:sz w:val="24"/>
                    </w:rPr>
                    <w:t>直接向海排放污染物的海洋工程建设项目</w:t>
                  </w:r>
                </w:p>
              </w:tc>
              <w:tc>
                <w:tcPr>
                  <w:tcW w:w="2552" w:type="dxa"/>
                  <w:vAlign w:val="center"/>
                </w:tcPr>
                <w:p w14:paraId="1C08A26B">
                  <w:pPr>
                    <w:pStyle w:val="117"/>
                    <w:jc w:val="left"/>
                    <w:rPr>
                      <w:rFonts w:ascii="仿宋" w:hAnsi="仿宋" w:eastAsia="仿宋"/>
                      <w:color w:val="auto"/>
                      <w:sz w:val="24"/>
                    </w:rPr>
                  </w:pPr>
                  <w:r>
                    <w:rPr>
                      <w:rFonts w:ascii="仿宋" w:hAnsi="仿宋" w:eastAsia="仿宋"/>
                      <w:color w:val="auto"/>
                      <w:sz w:val="24"/>
                    </w:rPr>
                    <w:t>本项目位于内陆地区，不属于直接向海排放污染物的海洋工程项目，不设专项评价</w:t>
                  </w:r>
                </w:p>
              </w:tc>
            </w:tr>
          </w:tbl>
          <w:p w14:paraId="33F25EBC">
            <w:pPr>
              <w:autoSpaceDE w:val="0"/>
              <w:autoSpaceDN w:val="0"/>
              <w:ind w:firstLine="480"/>
              <w:rPr>
                <w:color w:val="auto"/>
                <w:kern w:val="0"/>
                <w:sz w:val="24"/>
              </w:rPr>
            </w:pPr>
            <w:r>
              <w:rPr>
                <w:color w:val="auto"/>
                <w:kern w:val="0"/>
                <w:sz w:val="24"/>
              </w:rPr>
              <w:t>注</w:t>
            </w:r>
            <w:r>
              <w:rPr>
                <w:rFonts w:hint="eastAsia"/>
                <w:color w:val="auto"/>
                <w:kern w:val="0"/>
                <w:sz w:val="24"/>
              </w:rPr>
              <w:t>：</w:t>
            </w:r>
            <w:r>
              <w:rPr>
                <w:color w:val="auto"/>
                <w:kern w:val="0"/>
                <w:sz w:val="24"/>
              </w:rPr>
              <w:t>（1）废气中有毒有害污染物指纳入《有毒有害大气污染物名录》的污染物（不包括无排放标准的污染物</w:t>
            </w:r>
            <w:r>
              <w:rPr>
                <w:rFonts w:hint="eastAsia"/>
                <w:color w:val="auto"/>
                <w:kern w:val="0"/>
                <w:sz w:val="24"/>
                <w:lang w:eastAsia="zh-CN"/>
              </w:rPr>
              <w:t>）</w:t>
            </w:r>
            <w:r>
              <w:rPr>
                <w:color w:val="auto"/>
                <w:kern w:val="0"/>
                <w:sz w:val="24"/>
              </w:rPr>
              <w:t>，即</w:t>
            </w:r>
            <w:r>
              <w:rPr>
                <w:rFonts w:hint="eastAsia"/>
                <w:color w:val="auto"/>
                <w:kern w:val="0"/>
                <w:sz w:val="24"/>
              </w:rPr>
              <w:t>：</w:t>
            </w:r>
            <w:r>
              <w:rPr>
                <w:color w:val="auto"/>
                <w:kern w:val="0"/>
                <w:sz w:val="24"/>
              </w:rPr>
              <w:t>二氯甲烷、三氯甲烷、三氯乙烯、四氯乙烯、甲醛、乙醛、镉及其化合物、铬及其化合物、汞及其化合物、铅及其化合物、砷及其化合物。</w:t>
            </w:r>
          </w:p>
          <w:p w14:paraId="75322DF8">
            <w:pPr>
              <w:autoSpaceDE w:val="0"/>
              <w:autoSpaceDN w:val="0"/>
              <w:ind w:firstLine="480"/>
              <w:rPr>
                <w:color w:val="auto"/>
                <w:kern w:val="0"/>
                <w:sz w:val="24"/>
              </w:rPr>
            </w:pPr>
            <w:r>
              <w:rPr>
                <w:color w:val="auto"/>
                <w:kern w:val="0"/>
                <w:sz w:val="24"/>
              </w:rPr>
              <w:t>（2）环境空气保护目标指自然保护区、风景名胜区、居住区、文化区和农村地区中人群较集中的区域。</w:t>
            </w:r>
          </w:p>
          <w:p w14:paraId="6B1B51E0">
            <w:pPr>
              <w:autoSpaceDE w:val="0"/>
              <w:autoSpaceDN w:val="0"/>
              <w:ind w:firstLine="480"/>
              <w:rPr>
                <w:color w:val="auto"/>
                <w:kern w:val="0"/>
                <w:sz w:val="24"/>
              </w:rPr>
            </w:pPr>
            <w:r>
              <w:rPr>
                <w:color w:val="auto"/>
                <w:kern w:val="0"/>
                <w:sz w:val="24"/>
              </w:rPr>
              <w:t>（3）临界量及其计算方法可参考《建设项目环境风险评价技术导则》</w:t>
            </w:r>
            <w:r>
              <w:rPr>
                <w:rFonts w:hint="eastAsia"/>
                <w:color w:val="auto"/>
                <w:kern w:val="0"/>
                <w:sz w:val="24"/>
                <w:lang w:eastAsia="zh-CN"/>
              </w:rPr>
              <w:t>（</w:t>
            </w:r>
            <w:r>
              <w:rPr>
                <w:color w:val="auto"/>
                <w:kern w:val="0"/>
                <w:sz w:val="24"/>
              </w:rPr>
              <w:t>HJ169）附录B、附录C。</w:t>
            </w:r>
          </w:p>
          <w:p w14:paraId="5A979E8E">
            <w:pPr>
              <w:pStyle w:val="49"/>
              <w:spacing w:line="360" w:lineRule="auto"/>
              <w:ind w:firstLine="560" w:firstLineChars="200"/>
              <w:jc w:val="left"/>
              <w:rPr>
                <w:color w:val="auto"/>
                <w:sz w:val="28"/>
                <w:szCs w:val="28"/>
              </w:rPr>
            </w:pPr>
            <w:r>
              <w:rPr>
                <w:color w:val="auto"/>
                <w:sz w:val="28"/>
                <w:szCs w:val="28"/>
              </w:rPr>
              <w:t>由表1-1可知，本项目不需要设置大气、地表水、环境风险</w:t>
            </w:r>
            <w:r>
              <w:rPr>
                <w:rFonts w:hint="eastAsia"/>
                <w:color w:val="auto"/>
                <w:sz w:val="28"/>
                <w:szCs w:val="28"/>
              </w:rPr>
              <w:t>、</w:t>
            </w:r>
            <w:r>
              <w:rPr>
                <w:color w:val="auto"/>
                <w:sz w:val="28"/>
                <w:szCs w:val="28"/>
              </w:rPr>
              <w:t>生态和海洋专项评价。</w:t>
            </w:r>
          </w:p>
        </w:tc>
      </w:tr>
      <w:tr w14:paraId="23E14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Align w:val="center"/>
          </w:tcPr>
          <w:p w14:paraId="18B949FF">
            <w:pPr>
              <w:pStyle w:val="49"/>
              <w:rPr>
                <w:color w:val="auto"/>
                <w:sz w:val="28"/>
                <w:szCs w:val="28"/>
              </w:rPr>
            </w:pPr>
            <w:r>
              <w:rPr>
                <w:rFonts w:hint="eastAsia"/>
                <w:color w:val="auto"/>
                <w:sz w:val="28"/>
                <w:szCs w:val="28"/>
              </w:rPr>
              <w:t>规划情况</w:t>
            </w:r>
          </w:p>
        </w:tc>
        <w:tc>
          <w:tcPr>
            <w:tcW w:w="7477" w:type="dxa"/>
            <w:gridSpan w:val="3"/>
            <w:vAlign w:val="center"/>
          </w:tcPr>
          <w:p w14:paraId="584130CD">
            <w:pPr>
              <w:ind w:firstLine="0" w:firstLineChars="0"/>
              <w:jc w:val="both"/>
              <w:rPr>
                <w:rFonts w:hint="eastAsia" w:eastAsia="仿宋"/>
                <w:color w:val="auto"/>
                <w:sz w:val="28"/>
                <w:szCs w:val="28"/>
                <w:lang w:eastAsia="zh-CN"/>
              </w:rPr>
            </w:pPr>
            <w:r>
              <w:rPr>
                <w:rFonts w:hint="eastAsia"/>
                <w:color w:val="auto"/>
                <w:sz w:val="28"/>
                <w:szCs w:val="28"/>
                <w:highlight w:val="none"/>
              </w:rPr>
              <w:t>重庆西彭工业园区管理委员会组织编制了</w:t>
            </w:r>
            <w:r>
              <w:rPr>
                <w:rFonts w:hint="eastAsia"/>
                <w:color w:val="auto"/>
                <w:sz w:val="28"/>
                <w:szCs w:val="28"/>
                <w:highlight w:val="none"/>
                <w:lang w:val="en-US" w:eastAsia="zh-CN"/>
              </w:rPr>
              <w:t>《西部（重庆）科学城九龙新城园区规划</w:t>
            </w:r>
            <w:r>
              <w:rPr>
                <w:rFonts w:hint="eastAsia"/>
                <w:color w:val="auto"/>
                <w:sz w:val="28"/>
                <w:szCs w:val="28"/>
                <w:highlight w:val="none"/>
              </w:rPr>
              <w:t>》</w:t>
            </w:r>
            <w:r>
              <w:rPr>
                <w:rFonts w:hint="eastAsia"/>
                <w:i/>
                <w:iCs/>
                <w:color w:val="auto"/>
                <w:sz w:val="28"/>
                <w:szCs w:val="28"/>
                <w:highlight w:val="none"/>
                <w:lang w:eastAsia="zh-CN"/>
              </w:rPr>
              <w:t>（</w:t>
            </w:r>
            <w:r>
              <w:rPr>
                <w:rFonts w:hint="eastAsia"/>
                <w:i/>
                <w:iCs/>
                <w:color w:val="auto"/>
                <w:sz w:val="28"/>
                <w:szCs w:val="28"/>
                <w:highlight w:val="none"/>
                <w:lang w:val="en-US" w:eastAsia="zh-CN"/>
              </w:rPr>
              <w:t>2025—2030年</w:t>
            </w:r>
            <w:r>
              <w:rPr>
                <w:rFonts w:hint="eastAsia"/>
                <w:i/>
                <w:iCs/>
                <w:color w:val="auto"/>
                <w:sz w:val="28"/>
                <w:szCs w:val="28"/>
                <w:highlight w:val="none"/>
                <w:lang w:eastAsia="zh-CN"/>
              </w:rPr>
              <w:t>）</w:t>
            </w:r>
          </w:p>
        </w:tc>
      </w:tr>
      <w:tr w14:paraId="017D6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393" w:type="dxa"/>
            <w:vAlign w:val="center"/>
          </w:tcPr>
          <w:p w14:paraId="6F32F4D6">
            <w:pPr>
              <w:pStyle w:val="49"/>
              <w:rPr>
                <w:color w:val="auto"/>
                <w:sz w:val="28"/>
                <w:szCs w:val="28"/>
              </w:rPr>
            </w:pPr>
            <w:r>
              <w:rPr>
                <w:rFonts w:hint="eastAsia"/>
                <w:color w:val="auto"/>
                <w:sz w:val="28"/>
                <w:szCs w:val="28"/>
              </w:rPr>
              <w:t>规划环境影响评价情况</w:t>
            </w:r>
          </w:p>
        </w:tc>
        <w:tc>
          <w:tcPr>
            <w:tcW w:w="7477" w:type="dxa"/>
            <w:gridSpan w:val="3"/>
            <w:vAlign w:val="center"/>
          </w:tcPr>
          <w:p w14:paraId="2559B7E2">
            <w:pPr>
              <w:ind w:firstLine="560"/>
              <w:rPr>
                <w:color w:val="auto"/>
                <w:sz w:val="28"/>
                <w:szCs w:val="28"/>
                <w:highlight w:val="none"/>
              </w:rPr>
            </w:pPr>
            <w:r>
              <w:rPr>
                <w:rFonts w:hint="eastAsia"/>
                <w:color w:val="auto"/>
                <w:sz w:val="28"/>
                <w:szCs w:val="28"/>
                <w:highlight w:val="none"/>
              </w:rPr>
              <w:t>规划环评名称：</w:t>
            </w:r>
            <w:r>
              <w:rPr>
                <w:color w:val="auto"/>
                <w:sz w:val="28"/>
                <w:szCs w:val="28"/>
                <w:highlight w:val="none"/>
              </w:rPr>
              <w:t>《</w:t>
            </w:r>
            <w:r>
              <w:rPr>
                <w:rFonts w:hint="eastAsia"/>
                <w:color w:val="auto"/>
                <w:sz w:val="28"/>
                <w:szCs w:val="28"/>
                <w:highlight w:val="none"/>
                <w:lang w:val="en-US" w:eastAsia="zh-CN"/>
              </w:rPr>
              <w:t>西部（重庆）科学城九龙新城园区规划</w:t>
            </w:r>
            <w:r>
              <w:rPr>
                <w:rFonts w:hint="eastAsia"/>
                <w:color w:val="auto"/>
                <w:sz w:val="28"/>
                <w:szCs w:val="28"/>
                <w:highlight w:val="none"/>
              </w:rPr>
              <w:t>环境影响报告书</w:t>
            </w:r>
            <w:r>
              <w:rPr>
                <w:color w:val="auto"/>
                <w:sz w:val="28"/>
                <w:szCs w:val="28"/>
                <w:highlight w:val="none"/>
              </w:rPr>
              <w:t>》</w:t>
            </w:r>
          </w:p>
          <w:p w14:paraId="2B35A44F">
            <w:pPr>
              <w:ind w:firstLine="560"/>
              <w:rPr>
                <w:color w:val="auto"/>
                <w:sz w:val="28"/>
                <w:szCs w:val="28"/>
              </w:rPr>
            </w:pPr>
            <w:r>
              <w:rPr>
                <w:rFonts w:hint="eastAsia"/>
                <w:color w:val="auto"/>
                <w:sz w:val="28"/>
                <w:szCs w:val="28"/>
              </w:rPr>
              <w:t>审查文件名称及文号</w:t>
            </w:r>
            <w:r>
              <w:rPr>
                <w:rFonts w:hint="eastAsia"/>
                <w:color w:val="auto"/>
                <w:sz w:val="28"/>
                <w:szCs w:val="28"/>
                <w:highlight w:val="none"/>
              </w:rPr>
              <w:t>：《重庆市生态环境局关于西部（重庆）科学城九龙新城园区规划环境影响报告书审查意见的函》（渝环函〔2025〕421号）</w:t>
            </w:r>
            <w:r>
              <w:rPr>
                <w:rFonts w:hint="eastAsia"/>
                <w:color w:val="auto"/>
                <w:sz w:val="28"/>
                <w:szCs w:val="28"/>
              </w:rPr>
              <w:t>；</w:t>
            </w:r>
          </w:p>
          <w:p w14:paraId="479C7FF6">
            <w:pPr>
              <w:ind w:firstLine="560"/>
              <w:rPr>
                <w:color w:val="auto"/>
                <w:sz w:val="28"/>
                <w:szCs w:val="28"/>
              </w:rPr>
            </w:pPr>
            <w:r>
              <w:rPr>
                <w:rFonts w:hint="eastAsia"/>
                <w:color w:val="auto"/>
                <w:sz w:val="28"/>
                <w:szCs w:val="28"/>
              </w:rPr>
              <w:t>审查机关：重庆市生态环境局；</w:t>
            </w:r>
          </w:p>
        </w:tc>
      </w:tr>
      <w:tr w14:paraId="4CC79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1393" w:type="dxa"/>
            <w:vAlign w:val="center"/>
          </w:tcPr>
          <w:p w14:paraId="61CDCC3D">
            <w:pPr>
              <w:pStyle w:val="49"/>
              <w:rPr>
                <w:color w:val="auto"/>
              </w:rPr>
            </w:pPr>
            <w:r>
              <w:rPr>
                <w:rFonts w:hint="eastAsia"/>
                <w:color w:val="auto"/>
                <w:sz w:val="28"/>
                <w:szCs w:val="28"/>
              </w:rPr>
              <w:t>规划及规划环境影响评价符合性分析</w:t>
            </w:r>
          </w:p>
        </w:tc>
        <w:tc>
          <w:tcPr>
            <w:tcW w:w="7477" w:type="dxa"/>
            <w:gridSpan w:val="3"/>
            <w:vAlign w:val="center"/>
          </w:tcPr>
          <w:p w14:paraId="74C1B621">
            <w:pPr>
              <w:ind w:firstLine="0" w:firstLineChars="0"/>
              <w:rPr>
                <w:b/>
                <w:bCs/>
                <w:color w:val="auto"/>
                <w:sz w:val="28"/>
                <w:szCs w:val="28"/>
              </w:rPr>
            </w:pPr>
            <w:r>
              <w:rPr>
                <w:b/>
                <w:bCs/>
                <w:color w:val="auto"/>
                <w:sz w:val="28"/>
                <w:szCs w:val="28"/>
              </w:rPr>
              <w:t>1.</w:t>
            </w:r>
            <w:r>
              <w:rPr>
                <w:rFonts w:hint="eastAsia"/>
                <w:b/>
                <w:bCs/>
                <w:color w:val="auto"/>
                <w:sz w:val="28"/>
                <w:szCs w:val="28"/>
              </w:rPr>
              <w:t>与园区规划的符合性分析</w:t>
            </w:r>
          </w:p>
          <w:p w14:paraId="23C4488A">
            <w:pPr>
              <w:ind w:firstLine="560"/>
              <w:rPr>
                <w:rFonts w:hint="eastAsia"/>
                <w:color w:val="auto"/>
                <w:sz w:val="28"/>
                <w:szCs w:val="28"/>
              </w:rPr>
            </w:pPr>
            <w:r>
              <w:rPr>
                <w:rFonts w:hint="eastAsia"/>
                <w:color w:val="auto"/>
                <w:sz w:val="28"/>
                <w:szCs w:val="28"/>
                <w:lang w:val="en-US" w:eastAsia="zh-CN"/>
              </w:rPr>
              <w:t>根据该规划，九龙新城园区共包括五个组团7个区块，即西彭组团（批复文件中西彭区块）、陶家组团（批复文件中陶家区块）、铜罐驿组团（批复文件中铜罐驿区块）、华岩-二郎组团（批复文件中二郎区块和华岩区块）和环杨家坪新经济组团（批复文件中石桥铺区块和黄桷坪区块），规划总面积为34.02km</w:t>
            </w:r>
            <w:r>
              <w:rPr>
                <w:rFonts w:hint="eastAsia"/>
                <w:color w:val="auto"/>
                <w:sz w:val="28"/>
                <w:szCs w:val="28"/>
                <w:vertAlign w:val="superscript"/>
                <w:lang w:val="en-US" w:eastAsia="zh-CN"/>
              </w:rPr>
              <w:t>2</w:t>
            </w:r>
            <w:r>
              <w:rPr>
                <w:rFonts w:hint="eastAsia"/>
                <w:color w:val="auto"/>
                <w:sz w:val="28"/>
                <w:szCs w:val="28"/>
                <w:lang w:val="en-US" w:eastAsia="zh-CN"/>
              </w:rPr>
              <w:t>。</w:t>
            </w:r>
          </w:p>
          <w:p w14:paraId="213E89CE">
            <w:pPr>
              <w:ind w:firstLine="560"/>
              <w:rPr>
                <w:rFonts w:hint="eastAsia"/>
                <w:color w:val="auto"/>
                <w:sz w:val="28"/>
                <w:szCs w:val="28"/>
              </w:rPr>
            </w:pPr>
            <w:r>
              <w:rPr>
                <w:rFonts w:hint="eastAsia"/>
                <w:color w:val="auto"/>
                <w:sz w:val="28"/>
                <w:szCs w:val="28"/>
                <w:lang w:val="en-US" w:eastAsia="zh-CN"/>
              </w:rPr>
              <w:t>西彭组团规划面积为1499.15hm</w:t>
            </w:r>
            <w:r>
              <w:rPr>
                <w:rFonts w:hint="eastAsia"/>
                <w:color w:val="auto"/>
                <w:sz w:val="28"/>
                <w:szCs w:val="28"/>
                <w:vertAlign w:val="superscript"/>
                <w:lang w:val="en-US" w:eastAsia="zh-CN"/>
              </w:rPr>
              <w:t>2</w:t>
            </w:r>
            <w:r>
              <w:rPr>
                <w:rFonts w:hint="eastAsia"/>
                <w:color w:val="auto"/>
                <w:sz w:val="28"/>
                <w:szCs w:val="28"/>
                <w:lang w:val="en-US" w:eastAsia="zh-CN"/>
              </w:rPr>
              <w:t>，东至冬帽路，南至黄磏港，西至成渝环线高速西彭互通，北至西彭体育公园。该组团主导产业为有色金属冶炼和压延加工业、通用设备制造业和新材料制造业。其中，有色金属冶炼和压延加工业重点发展轻合金材料；通用设备制造业重点发展智能装备制造、数控机床等；新材料制造业重点发展气凝胶、纳米材料等轻量化高性能材料等。</w:t>
            </w:r>
          </w:p>
          <w:p w14:paraId="561DD3FA">
            <w:pPr>
              <w:ind w:firstLine="560"/>
              <w:rPr>
                <w:color w:val="auto"/>
                <w:sz w:val="28"/>
                <w:szCs w:val="28"/>
              </w:rPr>
            </w:pPr>
            <w:r>
              <w:rPr>
                <w:rFonts w:hint="eastAsia"/>
                <w:color w:val="auto"/>
                <w:sz w:val="28"/>
                <w:szCs w:val="28"/>
              </w:rPr>
              <w:t>本项目位于重庆市九龙坡区西彭</w:t>
            </w:r>
            <w:r>
              <w:rPr>
                <w:rFonts w:hint="eastAsia"/>
                <w:color w:val="auto"/>
                <w:sz w:val="28"/>
                <w:szCs w:val="28"/>
                <w:highlight w:val="none"/>
              </w:rPr>
              <w:t>镇森迪大道139号</w:t>
            </w:r>
            <w:r>
              <w:rPr>
                <w:rFonts w:hint="eastAsia"/>
                <w:color w:val="auto"/>
                <w:sz w:val="28"/>
              </w:rPr>
              <w:t>3号楼2层和3层</w:t>
            </w:r>
            <w:r>
              <w:rPr>
                <w:rFonts w:hint="eastAsia"/>
                <w:color w:val="auto"/>
                <w:sz w:val="28"/>
                <w:szCs w:val="28"/>
              </w:rPr>
              <w:t>，系租赁重庆盛德佳工贸有限公司厂房</w:t>
            </w:r>
            <w:r>
              <w:rPr>
                <w:rFonts w:hint="eastAsia"/>
                <w:color w:val="auto"/>
                <w:sz w:val="28"/>
                <w:szCs w:val="28"/>
                <w:lang w:val="en-US" w:eastAsia="zh-CN"/>
              </w:rPr>
              <w:t>2F、3F厂房</w:t>
            </w:r>
            <w:r>
              <w:rPr>
                <w:rFonts w:hint="eastAsia"/>
                <w:color w:val="auto"/>
                <w:sz w:val="28"/>
                <w:szCs w:val="28"/>
              </w:rPr>
              <w:t>，</w:t>
            </w:r>
            <w:r>
              <w:rPr>
                <w:rFonts w:hint="eastAsia"/>
                <w:color w:val="auto"/>
                <w:sz w:val="28"/>
                <w:szCs w:val="28"/>
                <w:highlight w:val="none"/>
                <w:lang w:eastAsia="zh-CN"/>
              </w:rPr>
              <w:t>主要加工生产隔音、隔热棉</w:t>
            </w:r>
            <w:r>
              <w:rPr>
                <w:rFonts w:hint="eastAsia"/>
                <w:color w:val="auto"/>
                <w:sz w:val="28"/>
                <w:szCs w:val="28"/>
                <w:highlight w:val="none"/>
              </w:rPr>
              <w:t>，</w:t>
            </w:r>
            <w:r>
              <w:rPr>
                <w:rFonts w:hint="eastAsia"/>
                <w:color w:val="auto"/>
                <w:sz w:val="28"/>
                <w:szCs w:val="28"/>
                <w:highlight w:val="none"/>
                <w:lang w:eastAsia="zh-CN"/>
              </w:rPr>
              <w:t>属于</w:t>
            </w:r>
            <w:r>
              <w:rPr>
                <w:rFonts w:hint="eastAsia"/>
                <w:color w:val="auto"/>
                <w:sz w:val="28"/>
                <w:szCs w:val="28"/>
              </w:rPr>
              <w:t>C2929塑料零件及其他塑料制品制造</w:t>
            </w:r>
            <w:r>
              <w:rPr>
                <w:rFonts w:hint="eastAsia"/>
                <w:color w:val="auto"/>
                <w:sz w:val="28"/>
                <w:szCs w:val="28"/>
                <w:lang w:eastAsia="zh-CN"/>
              </w:rPr>
              <w:t>、</w:t>
            </w:r>
            <w:r>
              <w:rPr>
                <w:rFonts w:hint="eastAsia"/>
                <w:color w:val="auto"/>
                <w:sz w:val="28"/>
                <w:szCs w:val="28"/>
                <w:lang w:val="en-US" w:eastAsia="zh-CN"/>
              </w:rPr>
              <w:t>C3670汽车零部件及配件制造</w:t>
            </w:r>
            <w:r>
              <w:rPr>
                <w:rFonts w:hint="eastAsia"/>
                <w:color w:val="auto"/>
                <w:sz w:val="28"/>
                <w:szCs w:val="28"/>
                <w:lang w:eastAsia="zh-CN"/>
              </w:rPr>
              <w:t>，</w:t>
            </w:r>
            <w:r>
              <w:rPr>
                <w:rFonts w:hint="eastAsia"/>
                <w:color w:val="auto"/>
                <w:sz w:val="28"/>
                <w:szCs w:val="28"/>
              </w:rPr>
              <w:t>不</w:t>
            </w:r>
            <w:r>
              <w:rPr>
                <w:rFonts w:hint="eastAsia"/>
                <w:color w:val="auto"/>
                <w:sz w:val="28"/>
                <w:szCs w:val="28"/>
                <w:lang w:eastAsia="zh-CN"/>
              </w:rPr>
              <w:t>与</w:t>
            </w:r>
            <w:r>
              <w:rPr>
                <w:rFonts w:hint="eastAsia"/>
                <w:color w:val="auto"/>
                <w:sz w:val="28"/>
                <w:szCs w:val="28"/>
              </w:rPr>
              <w:t>园区</w:t>
            </w:r>
            <w:r>
              <w:rPr>
                <w:rFonts w:hint="eastAsia"/>
                <w:color w:val="auto"/>
                <w:sz w:val="28"/>
                <w:szCs w:val="28"/>
                <w:lang w:eastAsia="zh-CN"/>
              </w:rPr>
              <w:t>主导产业相冲突</w:t>
            </w:r>
            <w:r>
              <w:rPr>
                <w:rFonts w:hint="eastAsia"/>
                <w:color w:val="auto"/>
                <w:sz w:val="28"/>
                <w:szCs w:val="28"/>
              </w:rPr>
              <w:t>，符合园区规划及产业定位。本项目所在区域位于重庆西彭工业园区</w:t>
            </w:r>
            <w:r>
              <w:rPr>
                <w:rFonts w:hint="eastAsia"/>
                <w:color w:val="auto"/>
                <w:sz w:val="28"/>
                <w:szCs w:val="28"/>
                <w:highlight w:val="none"/>
              </w:rPr>
              <w:t>D标准分区D</w:t>
            </w:r>
            <w:r>
              <w:rPr>
                <w:rFonts w:hint="eastAsia"/>
                <w:color w:val="auto"/>
                <w:sz w:val="28"/>
                <w:szCs w:val="28"/>
                <w:highlight w:val="none"/>
                <w:lang w:val="en-US" w:eastAsia="zh-CN"/>
              </w:rPr>
              <w:t>52</w:t>
            </w:r>
            <w:r>
              <w:rPr>
                <w:rFonts w:hint="eastAsia"/>
                <w:color w:val="auto"/>
                <w:sz w:val="28"/>
                <w:szCs w:val="28"/>
                <w:highlight w:val="none"/>
              </w:rPr>
              <w:t>-</w:t>
            </w:r>
            <w:r>
              <w:rPr>
                <w:rFonts w:hint="eastAsia"/>
                <w:color w:val="auto"/>
                <w:sz w:val="28"/>
                <w:szCs w:val="28"/>
                <w:highlight w:val="none"/>
                <w:lang w:val="en-US" w:eastAsia="zh-CN"/>
              </w:rPr>
              <w:t>2</w:t>
            </w:r>
            <w:r>
              <w:rPr>
                <w:rFonts w:hint="eastAsia"/>
                <w:color w:val="auto"/>
                <w:sz w:val="28"/>
                <w:szCs w:val="28"/>
              </w:rPr>
              <w:t>地块内</w:t>
            </w:r>
            <w:r>
              <w:rPr>
                <w:rFonts w:hint="eastAsia"/>
                <w:color w:val="auto"/>
                <w:sz w:val="28"/>
                <w:szCs w:val="28"/>
                <w:lang w:eastAsia="zh-CN"/>
              </w:rPr>
              <w:t>，</w:t>
            </w:r>
            <w:r>
              <w:rPr>
                <w:color w:val="auto"/>
                <w:sz w:val="28"/>
                <w:szCs w:val="28"/>
              </w:rPr>
              <w:t>位于规划范围内</w:t>
            </w:r>
            <w:r>
              <w:rPr>
                <w:rFonts w:hint="eastAsia"/>
                <w:color w:val="auto"/>
                <w:sz w:val="28"/>
                <w:szCs w:val="28"/>
              </w:rPr>
              <w:t>。</w:t>
            </w:r>
            <w:r>
              <w:rPr>
                <w:color w:val="auto"/>
                <w:sz w:val="28"/>
                <w:szCs w:val="28"/>
              </w:rPr>
              <w:t>本项目</w:t>
            </w:r>
            <w:r>
              <w:rPr>
                <w:rFonts w:hint="eastAsia"/>
                <w:color w:val="auto"/>
                <w:sz w:val="28"/>
                <w:szCs w:val="28"/>
              </w:rPr>
              <w:t>用地性质为</w:t>
            </w:r>
            <w:r>
              <w:rPr>
                <w:rFonts w:hint="eastAsia"/>
                <w:color w:val="auto"/>
                <w:sz w:val="28"/>
                <w:szCs w:val="28"/>
                <w:lang w:val="en-US" w:eastAsia="zh-CN"/>
              </w:rPr>
              <w:t>W1/W2/M1类物流仓储用地/</w:t>
            </w:r>
            <w:r>
              <w:rPr>
                <w:rFonts w:hint="eastAsia"/>
                <w:color w:val="auto"/>
                <w:sz w:val="28"/>
                <w:szCs w:val="28"/>
              </w:rPr>
              <w:t>工业</w:t>
            </w:r>
            <w:r>
              <w:rPr>
                <w:color w:val="auto"/>
                <w:sz w:val="28"/>
                <w:szCs w:val="28"/>
              </w:rPr>
              <w:t>用地，符合规划的要求。</w:t>
            </w:r>
          </w:p>
          <w:p w14:paraId="1851AEAF">
            <w:pPr>
              <w:ind w:firstLine="0" w:firstLineChars="0"/>
              <w:rPr>
                <w:b/>
                <w:bCs/>
                <w:color w:val="auto"/>
                <w:sz w:val="28"/>
                <w:szCs w:val="28"/>
              </w:rPr>
            </w:pPr>
            <w:r>
              <w:rPr>
                <w:rFonts w:hint="eastAsia"/>
                <w:b/>
                <w:bCs/>
                <w:color w:val="auto"/>
                <w:sz w:val="28"/>
                <w:szCs w:val="28"/>
              </w:rPr>
              <w:t>2</w:t>
            </w:r>
            <w:r>
              <w:rPr>
                <w:b/>
                <w:bCs/>
                <w:color w:val="auto"/>
                <w:sz w:val="28"/>
                <w:szCs w:val="28"/>
              </w:rPr>
              <w:t>.</w:t>
            </w:r>
            <w:r>
              <w:rPr>
                <w:rFonts w:hint="eastAsia"/>
                <w:b/>
                <w:bCs/>
                <w:color w:val="auto"/>
                <w:sz w:val="28"/>
                <w:szCs w:val="28"/>
              </w:rPr>
              <w:t>与《</w:t>
            </w:r>
            <w:r>
              <w:rPr>
                <w:rFonts w:hint="eastAsia"/>
                <w:b/>
                <w:bCs/>
                <w:color w:val="auto"/>
                <w:sz w:val="28"/>
                <w:szCs w:val="28"/>
                <w:lang w:val="en-US" w:eastAsia="zh-CN"/>
              </w:rPr>
              <w:t>西部（重庆）科学城九龙新城园区</w:t>
            </w:r>
            <w:r>
              <w:rPr>
                <w:rFonts w:hint="eastAsia"/>
                <w:b/>
                <w:bCs/>
                <w:color w:val="auto"/>
                <w:sz w:val="28"/>
                <w:szCs w:val="28"/>
              </w:rPr>
              <w:t>规划环境影响报告书》生态环境管控要求的符合性分析</w:t>
            </w:r>
          </w:p>
          <w:p w14:paraId="302C0E0B">
            <w:pPr>
              <w:ind w:firstLine="560"/>
              <w:rPr>
                <w:color w:val="auto"/>
                <w:sz w:val="28"/>
                <w:szCs w:val="28"/>
              </w:rPr>
            </w:pPr>
            <w:r>
              <w:rPr>
                <w:rFonts w:hint="eastAsia"/>
                <w:color w:val="auto"/>
                <w:sz w:val="28"/>
                <w:szCs w:val="28"/>
              </w:rPr>
              <w:t>项目与《</w:t>
            </w:r>
            <w:r>
              <w:rPr>
                <w:rFonts w:hint="eastAsia"/>
                <w:color w:val="auto"/>
                <w:sz w:val="28"/>
                <w:szCs w:val="28"/>
                <w:highlight w:val="none"/>
                <w:lang w:val="en-US" w:eastAsia="zh-CN"/>
              </w:rPr>
              <w:t>西部（重庆）科学城九龙新城园区规划</w:t>
            </w:r>
            <w:r>
              <w:rPr>
                <w:rFonts w:hint="eastAsia"/>
                <w:color w:val="auto"/>
                <w:sz w:val="28"/>
                <w:szCs w:val="28"/>
              </w:rPr>
              <w:t>环境影响报告书》生态环境管控要求的符合性分析详见</w:t>
            </w:r>
            <w:r>
              <w:rPr>
                <w:color w:val="auto"/>
                <w:sz w:val="28"/>
                <w:szCs w:val="28"/>
              </w:rPr>
              <w:t>表1-</w:t>
            </w:r>
            <w:r>
              <w:rPr>
                <w:rFonts w:hint="eastAsia"/>
                <w:color w:val="auto"/>
                <w:sz w:val="28"/>
                <w:szCs w:val="28"/>
              </w:rPr>
              <w:t>2。</w:t>
            </w:r>
          </w:p>
          <w:p w14:paraId="38166AF4">
            <w:pPr>
              <w:pStyle w:val="75"/>
              <w:rPr>
                <w:b/>
                <w:bCs/>
                <w:color w:val="auto"/>
                <w:sz w:val="24"/>
                <w:szCs w:val="24"/>
              </w:rPr>
            </w:pPr>
            <w:r>
              <w:rPr>
                <w:rFonts w:hint="eastAsia"/>
                <w:b/>
                <w:bCs/>
                <w:color w:val="auto"/>
                <w:sz w:val="24"/>
                <w:szCs w:val="24"/>
              </w:rPr>
              <w:t>表1-</w:t>
            </w:r>
            <w:r>
              <w:rPr>
                <w:rFonts w:hint="eastAsia"/>
                <w:b/>
                <w:bCs/>
                <w:color w:val="auto"/>
                <w:sz w:val="24"/>
                <w:szCs w:val="24"/>
                <w:lang w:val="en-US"/>
              </w:rPr>
              <w:t>2与《</w:t>
            </w:r>
            <w:r>
              <w:rPr>
                <w:rFonts w:hint="eastAsia"/>
                <w:b/>
                <w:bCs/>
                <w:color w:val="auto"/>
                <w:sz w:val="24"/>
                <w:szCs w:val="24"/>
                <w:lang w:val="en-US" w:eastAsia="zh-CN"/>
              </w:rPr>
              <w:t>西部（重庆）科学城九龙新城园区</w:t>
            </w:r>
            <w:r>
              <w:rPr>
                <w:rFonts w:hint="eastAsia"/>
                <w:b/>
                <w:bCs/>
                <w:color w:val="auto"/>
                <w:sz w:val="24"/>
                <w:szCs w:val="24"/>
                <w:lang w:val="en-US"/>
              </w:rPr>
              <w:t>规划环境影响报告书》生态环境管控要求符合性分析</w:t>
            </w:r>
          </w:p>
          <w:tbl>
            <w:tblPr>
              <w:tblStyle w:val="31"/>
              <w:tblW w:w="4992"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948"/>
              <w:gridCol w:w="3680"/>
              <w:gridCol w:w="2616"/>
            </w:tblGrid>
            <w:tr w14:paraId="5E48E33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tcMar>
                    <w:left w:w="28" w:type="dxa"/>
                    <w:right w:w="28" w:type="dxa"/>
                  </w:tcMar>
                  <w:vAlign w:val="center"/>
                </w:tcPr>
                <w:p w14:paraId="7F79146C">
                  <w:pPr>
                    <w:keepNext w:val="0"/>
                    <w:keepLines w:val="0"/>
                    <w:pageBreakBefore w:val="0"/>
                    <w:widowControl w:val="0"/>
                    <w:kinsoku/>
                    <w:wordWrap/>
                    <w:overflowPunct/>
                    <w:topLinePunct w:val="0"/>
                    <w:bidi w:val="0"/>
                    <w:adjustRightInd w:val="0"/>
                    <w:snapToGrid w:val="0"/>
                    <w:spacing w:line="240" w:lineRule="auto"/>
                    <w:ind w:firstLine="0" w:firstLineChars="0"/>
                    <w:contextualSpacing/>
                    <w:jc w:val="center"/>
                    <w:textAlignment w:val="auto"/>
                    <w:rPr>
                      <w:color w:val="auto"/>
                      <w:sz w:val="24"/>
                      <w:szCs w:val="24"/>
                    </w:rPr>
                  </w:pPr>
                  <w:r>
                    <w:rPr>
                      <w:color w:val="auto"/>
                      <w:sz w:val="24"/>
                      <w:szCs w:val="24"/>
                    </w:rPr>
                    <w:t>分类</w:t>
                  </w:r>
                </w:p>
              </w:tc>
              <w:tc>
                <w:tcPr>
                  <w:tcW w:w="2540" w:type="pct"/>
                  <w:tcMar>
                    <w:left w:w="28" w:type="dxa"/>
                    <w:right w:w="28" w:type="dxa"/>
                  </w:tcMar>
                  <w:vAlign w:val="center"/>
                </w:tcPr>
                <w:p w14:paraId="2CCD8138">
                  <w:pPr>
                    <w:keepNext w:val="0"/>
                    <w:keepLines w:val="0"/>
                    <w:pageBreakBefore w:val="0"/>
                    <w:widowControl w:val="0"/>
                    <w:kinsoku/>
                    <w:wordWrap/>
                    <w:overflowPunct/>
                    <w:topLinePunct w:val="0"/>
                    <w:bidi w:val="0"/>
                    <w:adjustRightInd w:val="0"/>
                    <w:snapToGrid w:val="0"/>
                    <w:spacing w:line="240" w:lineRule="auto"/>
                    <w:ind w:firstLine="0" w:firstLineChars="0"/>
                    <w:contextualSpacing/>
                    <w:jc w:val="center"/>
                    <w:textAlignment w:val="auto"/>
                    <w:rPr>
                      <w:color w:val="auto"/>
                      <w:sz w:val="24"/>
                      <w:szCs w:val="24"/>
                    </w:rPr>
                  </w:pPr>
                  <w:r>
                    <w:rPr>
                      <w:color w:val="auto"/>
                      <w:sz w:val="24"/>
                      <w:szCs w:val="24"/>
                    </w:rPr>
                    <w:t>环境准入要求</w:t>
                  </w:r>
                </w:p>
              </w:tc>
              <w:tc>
                <w:tcPr>
                  <w:tcW w:w="1805" w:type="pct"/>
                  <w:tcMar>
                    <w:left w:w="28" w:type="dxa"/>
                    <w:right w:w="28" w:type="dxa"/>
                  </w:tcMar>
                  <w:vAlign w:val="center"/>
                </w:tcPr>
                <w:p w14:paraId="27405CED">
                  <w:pPr>
                    <w:keepNext w:val="0"/>
                    <w:keepLines w:val="0"/>
                    <w:pageBreakBefore w:val="0"/>
                    <w:widowControl w:val="0"/>
                    <w:kinsoku/>
                    <w:wordWrap/>
                    <w:overflowPunct/>
                    <w:topLinePunct w:val="0"/>
                    <w:bidi w:val="0"/>
                    <w:adjustRightInd w:val="0"/>
                    <w:snapToGrid w:val="0"/>
                    <w:spacing w:line="240" w:lineRule="auto"/>
                    <w:ind w:firstLine="0" w:firstLineChars="0"/>
                    <w:contextualSpacing/>
                    <w:jc w:val="center"/>
                    <w:textAlignment w:val="auto"/>
                    <w:rPr>
                      <w:color w:val="auto"/>
                      <w:sz w:val="24"/>
                      <w:szCs w:val="24"/>
                    </w:rPr>
                  </w:pPr>
                  <w:r>
                    <w:rPr>
                      <w:color w:val="auto"/>
                      <w:sz w:val="24"/>
                      <w:szCs w:val="24"/>
                    </w:rPr>
                    <w:t>项目情况</w:t>
                  </w:r>
                </w:p>
              </w:tc>
            </w:tr>
            <w:tr w14:paraId="4EFFF98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restart"/>
                  <w:tcMar>
                    <w:left w:w="28" w:type="dxa"/>
                    <w:right w:w="28" w:type="dxa"/>
                  </w:tcMar>
                  <w:vAlign w:val="center"/>
                </w:tcPr>
                <w:p w14:paraId="62C11013">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color w:val="auto"/>
                      <w:sz w:val="24"/>
                      <w:szCs w:val="24"/>
                    </w:rPr>
                    <w:t>空间布局约束</w:t>
                  </w:r>
                </w:p>
              </w:tc>
              <w:tc>
                <w:tcPr>
                  <w:tcW w:w="2540" w:type="pct"/>
                  <w:tcMar>
                    <w:left w:w="28" w:type="dxa"/>
                    <w:right w:w="28" w:type="dxa"/>
                  </w:tcMar>
                  <w:vAlign w:val="center"/>
                </w:tcPr>
                <w:p w14:paraId="717BD9C1">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rPr>
                  </w:pPr>
                  <w:r>
                    <w:rPr>
                      <w:rFonts w:hint="eastAsia"/>
                      <w:color w:val="auto"/>
                      <w:sz w:val="24"/>
                      <w:szCs w:val="24"/>
                      <w:lang w:val="en-US" w:eastAsia="zh-CN"/>
                    </w:rPr>
                    <w:t>与优先保护单元重叠区域应严格落实生态环境分区管控中优先保护单</w:t>
                  </w:r>
                </w:p>
                <w:p w14:paraId="3FE40A34">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rPr>
                  </w:pPr>
                  <w:r>
                    <w:rPr>
                      <w:rFonts w:hint="eastAsia"/>
                      <w:color w:val="auto"/>
                      <w:sz w:val="24"/>
                      <w:szCs w:val="24"/>
                      <w:lang w:val="en-US" w:eastAsia="zh-CN"/>
                    </w:rPr>
                    <w:t>元的管控要求，规划实施不得占用优先保护单元</w:t>
                  </w:r>
                </w:p>
              </w:tc>
              <w:tc>
                <w:tcPr>
                  <w:tcW w:w="1805" w:type="pct"/>
                  <w:tcMar>
                    <w:left w:w="28" w:type="dxa"/>
                    <w:right w:w="28" w:type="dxa"/>
                  </w:tcMar>
                  <w:vAlign w:val="center"/>
                </w:tcPr>
                <w:p w14:paraId="5896D57F">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eastAsia="仿宋"/>
                      <w:color w:val="auto"/>
                      <w:sz w:val="24"/>
                      <w:szCs w:val="24"/>
                      <w:lang w:eastAsia="zh-CN"/>
                    </w:rPr>
                  </w:pPr>
                  <w:r>
                    <w:rPr>
                      <w:rFonts w:hint="eastAsia"/>
                      <w:color w:val="auto"/>
                      <w:sz w:val="24"/>
                      <w:szCs w:val="24"/>
                      <w:lang w:eastAsia="zh-CN"/>
                    </w:rPr>
                    <w:t>本项目不位于</w:t>
                  </w:r>
                  <w:r>
                    <w:rPr>
                      <w:rFonts w:hint="eastAsia"/>
                      <w:color w:val="auto"/>
                      <w:sz w:val="24"/>
                      <w:szCs w:val="24"/>
                      <w:lang w:val="en-US" w:eastAsia="zh-CN"/>
                    </w:rPr>
                    <w:t>优先保护单元</w:t>
                  </w:r>
                </w:p>
              </w:tc>
            </w:tr>
            <w:tr w14:paraId="5DDF7DD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continue"/>
                  <w:tcMar>
                    <w:left w:w="28" w:type="dxa"/>
                    <w:right w:w="28" w:type="dxa"/>
                  </w:tcMar>
                  <w:vAlign w:val="center"/>
                </w:tcPr>
                <w:p w14:paraId="5AAAD620">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p>
              </w:tc>
              <w:tc>
                <w:tcPr>
                  <w:tcW w:w="2540" w:type="pct"/>
                  <w:tcMar>
                    <w:left w:w="28" w:type="dxa"/>
                    <w:right w:w="28" w:type="dxa"/>
                  </w:tcMar>
                  <w:vAlign w:val="center"/>
                </w:tcPr>
                <w:p w14:paraId="34B1EDAB">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西彭组团东北侧科研用地兼工业用地（</w:t>
                  </w:r>
                  <w:r>
                    <w:rPr>
                      <w:rFonts w:hint="eastAsia"/>
                      <w:color w:val="auto"/>
                      <w:sz w:val="24"/>
                      <w:szCs w:val="24"/>
                      <w:lang w:val="en-US" w:eastAsia="zh-CN"/>
                    </w:rPr>
                    <w:t>010/01、013/01、016/01、018/01、021/01、038/01地块</w:t>
                  </w:r>
                  <w:r>
                    <w:rPr>
                      <w:rFonts w:hint="eastAsia"/>
                      <w:color w:val="auto"/>
                      <w:sz w:val="24"/>
                      <w:szCs w:val="24"/>
                    </w:rPr>
                    <w:t>）</w:t>
                  </w:r>
                  <w:r>
                    <w:rPr>
                      <w:rFonts w:hint="eastAsia"/>
                      <w:color w:val="auto"/>
                      <w:sz w:val="24"/>
                      <w:szCs w:val="24"/>
                      <w:lang w:val="en-US" w:eastAsia="zh-CN"/>
                    </w:rPr>
                    <w:t>后续引入项目应以大气污染较轻的项目为主，禁止新建涉及喷漆、重力铸造、酸洗、熔炼等大气污染较大的工业项目</w:t>
                  </w:r>
                </w:p>
              </w:tc>
              <w:tc>
                <w:tcPr>
                  <w:tcW w:w="1805" w:type="pct"/>
                  <w:tcMar>
                    <w:left w:w="28" w:type="dxa"/>
                    <w:right w:w="28" w:type="dxa"/>
                  </w:tcMar>
                  <w:vAlign w:val="center"/>
                </w:tcPr>
                <w:p w14:paraId="516FED34">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项目</w:t>
                  </w:r>
                  <w:r>
                    <w:rPr>
                      <w:color w:val="auto"/>
                      <w:sz w:val="24"/>
                      <w:szCs w:val="24"/>
                    </w:rPr>
                    <w:t>位</w:t>
                  </w:r>
                  <w:r>
                    <w:rPr>
                      <w:rFonts w:hint="eastAsia"/>
                      <w:color w:val="auto"/>
                      <w:sz w:val="24"/>
                      <w:szCs w:val="24"/>
                    </w:rPr>
                    <w:t>于重庆市九龙坡区西彭镇</w:t>
                  </w:r>
                  <w:r>
                    <w:rPr>
                      <w:rFonts w:hint="eastAsia"/>
                      <w:color w:val="auto"/>
                      <w:sz w:val="24"/>
                      <w:szCs w:val="24"/>
                      <w:highlight w:val="none"/>
                    </w:rPr>
                    <w:t>森迪大道139号3号楼2层和3层</w:t>
                  </w:r>
                  <w:r>
                    <w:rPr>
                      <w:rFonts w:hint="eastAsia"/>
                      <w:color w:val="auto"/>
                      <w:sz w:val="24"/>
                      <w:szCs w:val="24"/>
                    </w:rPr>
                    <w:t>，</w:t>
                  </w:r>
                  <w:r>
                    <w:rPr>
                      <w:rFonts w:hint="eastAsia"/>
                      <w:color w:val="auto"/>
                      <w:sz w:val="24"/>
                      <w:szCs w:val="24"/>
                      <w:highlight w:val="none"/>
                    </w:rPr>
                    <w:t>系租赁重庆盛德佳工贸有限公司厂房（属于西彭组团D</w:t>
                  </w:r>
                  <w:r>
                    <w:rPr>
                      <w:rFonts w:hint="eastAsia"/>
                      <w:color w:val="auto"/>
                      <w:sz w:val="24"/>
                      <w:szCs w:val="24"/>
                      <w:highlight w:val="none"/>
                      <w:lang w:val="en-US" w:eastAsia="zh-CN"/>
                    </w:rPr>
                    <w:t>52</w:t>
                  </w:r>
                  <w:r>
                    <w:rPr>
                      <w:rFonts w:hint="eastAsia"/>
                      <w:color w:val="auto"/>
                      <w:sz w:val="24"/>
                      <w:szCs w:val="24"/>
                      <w:highlight w:val="none"/>
                    </w:rPr>
                    <w:t>-</w:t>
                  </w:r>
                  <w:r>
                    <w:rPr>
                      <w:rFonts w:hint="eastAsia"/>
                      <w:color w:val="auto"/>
                      <w:sz w:val="24"/>
                      <w:szCs w:val="24"/>
                      <w:highlight w:val="none"/>
                      <w:lang w:val="en-US" w:eastAsia="zh-CN"/>
                    </w:rPr>
                    <w:t>2</w:t>
                  </w:r>
                  <w:r>
                    <w:rPr>
                      <w:rFonts w:hint="eastAsia"/>
                      <w:color w:val="auto"/>
                      <w:sz w:val="24"/>
                      <w:szCs w:val="24"/>
                      <w:highlight w:val="none"/>
                    </w:rPr>
                    <w:t>地块）</w:t>
                  </w:r>
                  <w:r>
                    <w:rPr>
                      <w:rFonts w:hint="eastAsia"/>
                      <w:color w:val="auto"/>
                      <w:sz w:val="24"/>
                      <w:szCs w:val="24"/>
                    </w:rPr>
                    <w:t>，不属于以上工业用地地块。</w:t>
                  </w:r>
                </w:p>
              </w:tc>
            </w:tr>
            <w:tr w14:paraId="271A717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continue"/>
                  <w:tcMar>
                    <w:left w:w="28" w:type="dxa"/>
                    <w:right w:w="28" w:type="dxa"/>
                  </w:tcMar>
                  <w:vAlign w:val="center"/>
                </w:tcPr>
                <w:p w14:paraId="796778DC">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p>
              </w:tc>
              <w:tc>
                <w:tcPr>
                  <w:tcW w:w="2540" w:type="pct"/>
                  <w:tcMar>
                    <w:left w:w="28" w:type="dxa"/>
                    <w:right w:w="28" w:type="dxa"/>
                  </w:tcMar>
                  <w:vAlign w:val="center"/>
                </w:tcPr>
                <w:p w14:paraId="484A2B63">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auto"/>
                      <w:sz w:val="24"/>
                      <w:szCs w:val="24"/>
                    </w:rPr>
                  </w:pPr>
                  <w:r>
                    <w:rPr>
                      <w:rFonts w:hint="eastAsia"/>
                      <w:color w:val="auto"/>
                      <w:sz w:val="24"/>
                      <w:szCs w:val="24"/>
                    </w:rPr>
                    <w:t>临近居住的A34/04、A33/04地块</w:t>
                  </w:r>
                  <w:r>
                    <w:rPr>
                      <w:rFonts w:hint="eastAsia"/>
                      <w:color w:val="auto"/>
                      <w:sz w:val="24"/>
                      <w:szCs w:val="24"/>
                      <w:lang w:eastAsia="zh-CN"/>
                    </w:rPr>
                    <w:t>禁止引入</w:t>
                  </w:r>
                  <w:r>
                    <w:rPr>
                      <w:rFonts w:hint="eastAsia"/>
                      <w:color w:val="auto"/>
                      <w:sz w:val="24"/>
                      <w:szCs w:val="24"/>
                    </w:rPr>
                    <w:t>涉及喷漆、酸洗、熔炼、</w:t>
                  </w:r>
                  <w:r>
                    <w:rPr>
                      <w:rFonts w:hint="eastAsia"/>
                      <w:color w:val="auto"/>
                      <w:sz w:val="24"/>
                      <w:szCs w:val="24"/>
                      <w:lang w:eastAsia="zh-CN"/>
                    </w:rPr>
                    <w:t>重力</w:t>
                  </w:r>
                  <w:r>
                    <w:rPr>
                      <w:rFonts w:hint="eastAsia"/>
                      <w:color w:val="auto"/>
                      <w:sz w:val="24"/>
                      <w:szCs w:val="24"/>
                    </w:rPr>
                    <w:t>铸造等异味较大的项目</w:t>
                  </w:r>
                </w:p>
              </w:tc>
              <w:tc>
                <w:tcPr>
                  <w:tcW w:w="1805" w:type="pct"/>
                  <w:tcMar>
                    <w:left w:w="28" w:type="dxa"/>
                    <w:right w:w="28" w:type="dxa"/>
                  </w:tcMar>
                  <w:vAlign w:val="center"/>
                </w:tcPr>
                <w:p w14:paraId="1B95574F">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项目位于</w:t>
                  </w:r>
                  <w:r>
                    <w:rPr>
                      <w:rFonts w:hint="eastAsia"/>
                      <w:color w:val="auto"/>
                      <w:sz w:val="24"/>
                      <w:szCs w:val="24"/>
                      <w:highlight w:val="none"/>
                    </w:rPr>
                    <w:t>西彭组团D</w:t>
                  </w:r>
                  <w:r>
                    <w:rPr>
                      <w:rFonts w:hint="eastAsia"/>
                      <w:color w:val="auto"/>
                      <w:sz w:val="24"/>
                      <w:szCs w:val="24"/>
                      <w:highlight w:val="none"/>
                      <w:lang w:val="en-US" w:eastAsia="zh-CN"/>
                    </w:rPr>
                    <w:t>52</w:t>
                  </w:r>
                  <w:r>
                    <w:rPr>
                      <w:rFonts w:hint="eastAsia"/>
                      <w:color w:val="auto"/>
                      <w:sz w:val="24"/>
                      <w:szCs w:val="24"/>
                      <w:highlight w:val="none"/>
                    </w:rPr>
                    <w:t>-</w:t>
                  </w:r>
                  <w:r>
                    <w:rPr>
                      <w:rFonts w:hint="eastAsia"/>
                      <w:color w:val="auto"/>
                      <w:sz w:val="24"/>
                      <w:szCs w:val="24"/>
                      <w:highlight w:val="none"/>
                      <w:lang w:val="en-US" w:eastAsia="zh-CN"/>
                    </w:rPr>
                    <w:t>2</w:t>
                  </w:r>
                  <w:r>
                    <w:rPr>
                      <w:rFonts w:hint="eastAsia"/>
                      <w:color w:val="auto"/>
                      <w:sz w:val="24"/>
                      <w:szCs w:val="24"/>
                      <w:highlight w:val="none"/>
                    </w:rPr>
                    <w:t>地块</w:t>
                  </w:r>
                  <w:r>
                    <w:rPr>
                      <w:rFonts w:hint="eastAsia"/>
                      <w:color w:val="auto"/>
                      <w:sz w:val="24"/>
                      <w:szCs w:val="24"/>
                    </w:rPr>
                    <w:t>，不属于以上地块范围</w:t>
                  </w:r>
                </w:p>
              </w:tc>
            </w:tr>
            <w:tr w14:paraId="0F01E48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54" w:type="pct"/>
                  <w:vMerge w:val="continue"/>
                  <w:tcMar>
                    <w:left w:w="28" w:type="dxa"/>
                    <w:right w:w="28" w:type="dxa"/>
                  </w:tcMar>
                  <w:vAlign w:val="center"/>
                </w:tcPr>
                <w:p w14:paraId="31D22451">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p>
              </w:tc>
              <w:tc>
                <w:tcPr>
                  <w:tcW w:w="2540" w:type="pct"/>
                  <w:tcMar>
                    <w:left w:w="28" w:type="dxa"/>
                    <w:right w:w="28" w:type="dxa"/>
                  </w:tcMar>
                  <w:vAlign w:val="center"/>
                </w:tcPr>
                <w:p w14:paraId="73D5ACCA">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rPr>
                  </w:pPr>
                  <w:r>
                    <w:rPr>
                      <w:rFonts w:hint="eastAsia"/>
                      <w:color w:val="auto"/>
                      <w:sz w:val="24"/>
                      <w:szCs w:val="24"/>
                      <w:lang w:val="en-US" w:eastAsia="zh-CN"/>
                    </w:rPr>
                    <w:t>涉及环境防护距离的工业企业或项目应通过选址或调整布局原则上将</w:t>
                  </w:r>
                </w:p>
                <w:p w14:paraId="2083D65A">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rPr>
                  </w:pPr>
                  <w:r>
                    <w:rPr>
                      <w:rFonts w:hint="eastAsia"/>
                      <w:color w:val="auto"/>
                      <w:sz w:val="24"/>
                      <w:szCs w:val="24"/>
                      <w:lang w:val="en-US" w:eastAsia="zh-CN"/>
                    </w:rPr>
                    <w:t>环境防护距离控制在园区边界或用地红线内。园区边界的界定原则按</w:t>
                  </w:r>
                </w:p>
                <w:p w14:paraId="614F7305">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rPr>
                  </w:pPr>
                  <w:r>
                    <w:rPr>
                      <w:rFonts w:hint="eastAsia"/>
                      <w:color w:val="auto"/>
                      <w:sz w:val="24"/>
                      <w:szCs w:val="24"/>
                      <w:lang w:val="en-US" w:eastAsia="zh-CN"/>
                    </w:rPr>
                    <w:t>《重庆市生态环境局办公室关于产业园区规划环评及建设项目环评所</w:t>
                  </w:r>
                </w:p>
                <w:p w14:paraId="258AD994">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rPr>
                  </w:pPr>
                  <w:r>
                    <w:rPr>
                      <w:rFonts w:hint="eastAsia"/>
                      <w:color w:val="auto"/>
                      <w:sz w:val="24"/>
                      <w:szCs w:val="24"/>
                      <w:lang w:val="en-US" w:eastAsia="zh-CN"/>
                    </w:rPr>
                    <w:t>涉环境防护距离审核相关事宜的通知》执行</w:t>
                  </w:r>
                </w:p>
              </w:tc>
              <w:tc>
                <w:tcPr>
                  <w:tcW w:w="1805" w:type="pct"/>
                  <w:tcMar>
                    <w:left w:w="28" w:type="dxa"/>
                    <w:right w:w="28" w:type="dxa"/>
                  </w:tcMar>
                  <w:vAlign w:val="center"/>
                </w:tcPr>
                <w:p w14:paraId="0F2F67B2">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eastAsia="仿宋"/>
                      <w:color w:val="auto"/>
                      <w:sz w:val="24"/>
                      <w:szCs w:val="24"/>
                      <w:lang w:eastAsia="zh-CN"/>
                    </w:rPr>
                  </w:pPr>
                  <w:r>
                    <w:rPr>
                      <w:rFonts w:hint="eastAsia"/>
                      <w:color w:val="auto"/>
                      <w:sz w:val="24"/>
                      <w:szCs w:val="24"/>
                      <w:lang w:eastAsia="zh-CN"/>
                    </w:rPr>
                    <w:t>本项目不涉及</w:t>
                  </w:r>
                  <w:r>
                    <w:rPr>
                      <w:rFonts w:hint="eastAsia"/>
                      <w:color w:val="auto"/>
                      <w:sz w:val="24"/>
                      <w:szCs w:val="24"/>
                      <w:lang w:val="en-US" w:eastAsia="zh-CN"/>
                    </w:rPr>
                    <w:t>环境防护距离</w:t>
                  </w:r>
                </w:p>
              </w:tc>
            </w:tr>
            <w:tr w14:paraId="1A2EC35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continue"/>
                  <w:tcMar>
                    <w:left w:w="28" w:type="dxa"/>
                    <w:right w:w="28" w:type="dxa"/>
                  </w:tcMar>
                  <w:vAlign w:val="center"/>
                </w:tcPr>
                <w:p w14:paraId="61C89C2B">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p>
              </w:tc>
              <w:tc>
                <w:tcPr>
                  <w:tcW w:w="2540" w:type="pct"/>
                  <w:tcMar>
                    <w:left w:w="28" w:type="dxa"/>
                    <w:right w:w="28" w:type="dxa"/>
                  </w:tcMar>
                  <w:vAlign w:val="center"/>
                </w:tcPr>
                <w:p w14:paraId="55CB2110">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禁止新</w:t>
                  </w:r>
                  <w:r>
                    <w:rPr>
                      <w:rFonts w:hint="eastAsia"/>
                      <w:color w:val="auto"/>
                      <w:sz w:val="24"/>
                      <w:szCs w:val="24"/>
                      <w:lang w:eastAsia="zh-CN"/>
                    </w:rPr>
                    <w:t>建、扩建</w:t>
                  </w:r>
                  <w:r>
                    <w:rPr>
                      <w:rFonts w:hint="eastAsia"/>
                      <w:color w:val="auto"/>
                      <w:sz w:val="24"/>
                      <w:szCs w:val="24"/>
                    </w:rPr>
                    <w:t>木质家具制造、报废汽车拆解，</w:t>
                  </w:r>
                  <w:r>
                    <w:rPr>
                      <w:rFonts w:hint="eastAsia"/>
                      <w:color w:val="auto"/>
                      <w:sz w:val="24"/>
                      <w:szCs w:val="24"/>
                      <w:lang w:val="en-US" w:eastAsia="zh-CN"/>
                    </w:rPr>
                    <w:t>平板玻璃制造工业项目</w:t>
                  </w:r>
                </w:p>
              </w:tc>
              <w:tc>
                <w:tcPr>
                  <w:tcW w:w="1805" w:type="pct"/>
                  <w:tcMar>
                    <w:left w:w="28" w:type="dxa"/>
                    <w:right w:w="28" w:type="dxa"/>
                  </w:tcMar>
                  <w:vAlign w:val="center"/>
                </w:tcPr>
                <w:p w14:paraId="35FD21CF">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color w:val="auto"/>
                      <w:sz w:val="24"/>
                      <w:szCs w:val="24"/>
                    </w:rPr>
                    <w:t>项目</w:t>
                  </w:r>
                  <w:r>
                    <w:rPr>
                      <w:rFonts w:hint="eastAsia"/>
                      <w:color w:val="auto"/>
                      <w:sz w:val="24"/>
                      <w:szCs w:val="24"/>
                    </w:rPr>
                    <w:t>不属于上述禁止项目</w:t>
                  </w:r>
                </w:p>
              </w:tc>
            </w:tr>
            <w:tr w14:paraId="57FA9C8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restart"/>
                  <w:tcMar>
                    <w:left w:w="28" w:type="dxa"/>
                    <w:right w:w="28" w:type="dxa"/>
                  </w:tcMar>
                  <w:vAlign w:val="center"/>
                </w:tcPr>
                <w:p w14:paraId="47B9FFCA">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color w:val="auto"/>
                      <w:sz w:val="24"/>
                      <w:szCs w:val="24"/>
                    </w:rPr>
                    <w:t>污染物排放管控</w:t>
                  </w:r>
                </w:p>
              </w:tc>
              <w:tc>
                <w:tcPr>
                  <w:tcW w:w="2540" w:type="pct"/>
                  <w:tcMar>
                    <w:left w:w="28" w:type="dxa"/>
                    <w:right w:w="28" w:type="dxa"/>
                  </w:tcMar>
                  <w:vAlign w:val="center"/>
                </w:tcPr>
                <w:p w14:paraId="13EBAA8F">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lang w:val="en-US" w:eastAsia="zh-CN"/>
                    </w:rPr>
                    <w:t>规划区范围内污染物排放总量不得突破本次规划环评确定的污染物排</w:t>
                  </w:r>
                </w:p>
                <w:p w14:paraId="127AB646">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lang w:val="en-US" w:eastAsia="zh-CN"/>
                    </w:rPr>
                    <w:t>放总量限值（</w:t>
                  </w:r>
                  <w:r>
                    <w:rPr>
                      <w:rFonts w:hint="default"/>
                      <w:color w:val="auto"/>
                      <w:sz w:val="24"/>
                      <w:szCs w:val="24"/>
                      <w:lang w:val="en-US" w:eastAsia="zh-CN"/>
                    </w:rPr>
                    <w:t>COD226.25t/a</w:t>
                  </w:r>
                  <w:r>
                    <w:rPr>
                      <w:rFonts w:hint="eastAsia"/>
                      <w:color w:val="auto"/>
                      <w:sz w:val="24"/>
                      <w:szCs w:val="24"/>
                      <w:lang w:val="en-US" w:eastAsia="zh-CN"/>
                    </w:rPr>
                    <w:t>，氨氮</w:t>
                  </w:r>
                  <w:r>
                    <w:rPr>
                      <w:rFonts w:hint="default"/>
                      <w:color w:val="auto"/>
                      <w:sz w:val="24"/>
                      <w:szCs w:val="24"/>
                      <w:lang w:val="en-US" w:eastAsia="zh-CN"/>
                    </w:rPr>
                    <w:t>19.09t/a</w:t>
                  </w:r>
                  <w:r>
                    <w:rPr>
                      <w:rFonts w:hint="eastAsia"/>
                      <w:color w:val="auto"/>
                      <w:sz w:val="24"/>
                      <w:szCs w:val="24"/>
                      <w:lang w:val="en-US" w:eastAsia="zh-CN"/>
                    </w:rPr>
                    <w:t>，</w:t>
                  </w:r>
                  <w:r>
                    <w:rPr>
                      <w:rFonts w:hint="default"/>
                      <w:color w:val="auto"/>
                      <w:sz w:val="24"/>
                      <w:szCs w:val="24"/>
                      <w:lang w:val="en-US" w:eastAsia="zh-CN"/>
                    </w:rPr>
                    <w:t>NO</w:t>
                  </w:r>
                  <w:r>
                    <w:rPr>
                      <w:rFonts w:hint="default"/>
                      <w:color w:val="auto"/>
                      <w:sz w:val="24"/>
                      <w:szCs w:val="24"/>
                      <w:vertAlign w:val="subscript"/>
                      <w:lang w:val="en-US" w:eastAsia="zh-CN"/>
                    </w:rPr>
                    <w:t>X</w:t>
                  </w:r>
                  <w:r>
                    <w:rPr>
                      <w:rFonts w:hint="default"/>
                      <w:color w:val="auto"/>
                      <w:sz w:val="24"/>
                      <w:szCs w:val="24"/>
                      <w:lang w:val="en-US" w:eastAsia="zh-CN"/>
                    </w:rPr>
                    <w:t>619.14t/a</w:t>
                  </w:r>
                  <w:r>
                    <w:rPr>
                      <w:rFonts w:hint="eastAsia"/>
                      <w:color w:val="auto"/>
                      <w:sz w:val="24"/>
                      <w:szCs w:val="24"/>
                      <w:lang w:val="en-US" w:eastAsia="zh-CN"/>
                    </w:rPr>
                    <w:t>，</w:t>
                  </w:r>
                  <w:r>
                    <w:rPr>
                      <w:rFonts w:hint="default"/>
                      <w:color w:val="auto"/>
                      <w:sz w:val="24"/>
                      <w:szCs w:val="24"/>
                      <w:lang w:val="en-US" w:eastAsia="zh-CN"/>
                    </w:rPr>
                    <w:t>VOCs439.00t/a</w:t>
                  </w:r>
                  <w:r>
                    <w:rPr>
                      <w:rFonts w:hint="eastAsia"/>
                      <w:color w:val="auto"/>
                      <w:sz w:val="24"/>
                      <w:szCs w:val="24"/>
                      <w:lang w:val="en-US" w:eastAsia="zh-CN"/>
                    </w:rPr>
                    <w:t>）</w:t>
                  </w:r>
                </w:p>
              </w:tc>
              <w:tc>
                <w:tcPr>
                  <w:tcW w:w="1805" w:type="pct"/>
                  <w:tcMar>
                    <w:left w:w="28" w:type="dxa"/>
                    <w:right w:w="28" w:type="dxa"/>
                  </w:tcMar>
                  <w:vAlign w:val="center"/>
                </w:tcPr>
                <w:p w14:paraId="52D54E8F">
                  <w:pPr>
                    <w:keepNext w:val="0"/>
                    <w:keepLines w:val="0"/>
                    <w:pageBreakBefore w:val="0"/>
                    <w:widowControl w:val="0"/>
                    <w:kinsoku/>
                    <w:wordWrap/>
                    <w:overflowPunct/>
                    <w:topLinePunct w:val="0"/>
                    <w:bidi w:val="0"/>
                    <w:adjustRightInd w:val="0"/>
                    <w:snapToGrid w:val="0"/>
                    <w:spacing w:line="240" w:lineRule="auto"/>
                    <w:ind w:firstLine="0" w:firstLineChars="0"/>
                    <w:contextualSpacing/>
                    <w:jc w:val="left"/>
                    <w:textAlignment w:val="auto"/>
                    <w:rPr>
                      <w:color w:val="auto"/>
                      <w:spacing w:val="-6"/>
                      <w:sz w:val="24"/>
                      <w:szCs w:val="24"/>
                    </w:rPr>
                  </w:pPr>
                  <w:r>
                    <w:rPr>
                      <w:rFonts w:hint="default" w:ascii="Times New Roman" w:hAnsi="Times New Roman" w:cs="Times New Roman"/>
                      <w:i/>
                      <w:iCs/>
                      <w:color w:val="auto"/>
                      <w:spacing w:val="-6"/>
                      <w:sz w:val="24"/>
                      <w:szCs w:val="24"/>
                    </w:rPr>
                    <w:t>项目排污总量</w:t>
                  </w:r>
                  <w:r>
                    <w:rPr>
                      <w:rFonts w:hint="default" w:ascii="Times New Roman" w:hAnsi="Times New Roman" w:cs="Times New Roman"/>
                      <w:i/>
                      <w:iCs/>
                      <w:color w:val="auto"/>
                      <w:spacing w:val="-6"/>
                      <w:sz w:val="24"/>
                      <w:szCs w:val="24"/>
                      <w:highlight w:val="none"/>
                      <w:lang w:val="en-US" w:eastAsia="zh-CN"/>
                    </w:rPr>
                    <w:t>满足总量管控要求。</w:t>
                  </w:r>
                </w:p>
              </w:tc>
            </w:tr>
            <w:tr w14:paraId="4FE7FE8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continue"/>
                  <w:tcMar>
                    <w:left w:w="28" w:type="dxa"/>
                    <w:right w:w="28" w:type="dxa"/>
                  </w:tcMar>
                  <w:vAlign w:val="center"/>
                </w:tcPr>
                <w:p w14:paraId="3B8B670F">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p>
              </w:tc>
              <w:tc>
                <w:tcPr>
                  <w:tcW w:w="2540" w:type="pct"/>
                  <w:tcMar>
                    <w:left w:w="28" w:type="dxa"/>
                    <w:right w:w="28" w:type="dxa"/>
                  </w:tcMar>
                  <w:vAlign w:val="center"/>
                </w:tcPr>
                <w:p w14:paraId="2F4ABA38">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lang w:val="en-US" w:eastAsia="zh-CN"/>
                    </w:rPr>
                  </w:pPr>
                  <w:r>
                    <w:rPr>
                      <w:rFonts w:hint="eastAsia"/>
                      <w:color w:val="auto"/>
                      <w:sz w:val="24"/>
                      <w:szCs w:val="24"/>
                      <w:lang w:val="en-US" w:eastAsia="zh-CN"/>
                    </w:rPr>
                    <w:t>引导企业选择多种技术的组合工艺提高VOCs治理效率，推广使用低</w:t>
                  </w:r>
                </w:p>
                <w:p w14:paraId="0AEAFD88">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lang w:val="en-US" w:eastAsia="zh-CN"/>
                    </w:rPr>
                  </w:pPr>
                  <w:r>
                    <w:rPr>
                      <w:rFonts w:hint="eastAsia"/>
                      <w:color w:val="auto"/>
                      <w:sz w:val="24"/>
                      <w:szCs w:val="24"/>
                      <w:lang w:val="en-US" w:eastAsia="zh-CN"/>
                    </w:rPr>
                    <w:t>（无）VOCs含量或者低反应活性的原辅料替代；现有排放挥发性有机</w:t>
                  </w:r>
                </w:p>
                <w:p w14:paraId="42F6AE11">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lang w:val="en-US" w:eastAsia="zh-CN"/>
                    </w:rPr>
                  </w:pPr>
                  <w:r>
                    <w:rPr>
                      <w:rFonts w:hint="eastAsia"/>
                      <w:color w:val="auto"/>
                      <w:sz w:val="24"/>
                      <w:szCs w:val="24"/>
                      <w:lang w:val="en-US" w:eastAsia="zh-CN"/>
                    </w:rPr>
                    <w:t>物的企业应深化废气污染防治，强化有机废气治理及无组织排放控制，按照“应收尽收”的原则梳理并提升废气收集率</w:t>
                  </w:r>
                </w:p>
              </w:tc>
              <w:tc>
                <w:tcPr>
                  <w:tcW w:w="1805" w:type="pct"/>
                  <w:tcMar>
                    <w:left w:w="28" w:type="dxa"/>
                    <w:right w:w="28" w:type="dxa"/>
                  </w:tcMar>
                  <w:vAlign w:val="center"/>
                </w:tcPr>
                <w:p w14:paraId="67F3C620">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eastAsia="仿宋"/>
                      <w:color w:val="auto"/>
                      <w:spacing w:val="-6"/>
                      <w:sz w:val="24"/>
                      <w:szCs w:val="24"/>
                      <w:lang w:eastAsia="zh-CN"/>
                    </w:rPr>
                  </w:pPr>
                  <w:r>
                    <w:rPr>
                      <w:rFonts w:hint="eastAsia"/>
                      <w:color w:val="auto"/>
                      <w:spacing w:val="-6"/>
                      <w:sz w:val="24"/>
                      <w:szCs w:val="24"/>
                      <w:lang w:eastAsia="zh-CN"/>
                    </w:rPr>
                    <w:t>本项目所用胶水为低</w:t>
                  </w:r>
                  <w:r>
                    <w:rPr>
                      <w:rFonts w:hint="eastAsia"/>
                      <w:color w:val="auto"/>
                      <w:sz w:val="24"/>
                      <w:szCs w:val="24"/>
                      <w:lang w:val="en-US" w:eastAsia="zh-CN"/>
                    </w:rPr>
                    <w:t>VOCs含量的，产生的涂布、烘烤有机废气收集后通过过滤棉+二级活性吸附处理后有组织排放</w:t>
                  </w:r>
                </w:p>
              </w:tc>
            </w:tr>
            <w:tr w14:paraId="5402823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continue"/>
                  <w:tcMar>
                    <w:left w:w="28" w:type="dxa"/>
                    <w:right w:w="28" w:type="dxa"/>
                  </w:tcMar>
                  <w:vAlign w:val="center"/>
                </w:tcPr>
                <w:p w14:paraId="380E8089">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p>
              </w:tc>
              <w:tc>
                <w:tcPr>
                  <w:tcW w:w="2540" w:type="pct"/>
                  <w:tcMar>
                    <w:left w:w="28" w:type="dxa"/>
                    <w:right w:w="28" w:type="dxa"/>
                  </w:tcMar>
                  <w:vAlign w:val="center"/>
                </w:tcPr>
                <w:p w14:paraId="7BE1CE0D">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lang w:val="en-US" w:eastAsia="zh-CN"/>
                    </w:rPr>
                  </w:pPr>
                  <w:r>
                    <w:rPr>
                      <w:rFonts w:hint="eastAsia"/>
                      <w:color w:val="auto"/>
                      <w:sz w:val="24"/>
                      <w:szCs w:val="24"/>
                      <w:lang w:val="en-US" w:eastAsia="zh-CN"/>
                    </w:rPr>
                    <w:t>涉及工艺粉尘排放的入驻工业企业或项目，应配置有效的除尘设备，严格控制工业粉尘排放；产尘点应按照“应收尽收”原则尽量提高废气收集率，采取合理有效的治理措施减少无组织排放</w:t>
                  </w:r>
                </w:p>
              </w:tc>
              <w:tc>
                <w:tcPr>
                  <w:tcW w:w="1805" w:type="pct"/>
                  <w:tcMar>
                    <w:left w:w="28" w:type="dxa"/>
                    <w:right w:w="28" w:type="dxa"/>
                  </w:tcMar>
                  <w:vAlign w:val="center"/>
                </w:tcPr>
                <w:p w14:paraId="18E808C2">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eastAsia="仿宋"/>
                      <w:color w:val="auto"/>
                      <w:spacing w:val="-6"/>
                      <w:sz w:val="24"/>
                      <w:szCs w:val="24"/>
                      <w:lang w:eastAsia="zh-CN"/>
                    </w:rPr>
                  </w:pPr>
                  <w:r>
                    <w:rPr>
                      <w:rFonts w:hint="eastAsia"/>
                      <w:color w:val="auto"/>
                      <w:spacing w:val="-6"/>
                      <w:sz w:val="24"/>
                      <w:szCs w:val="24"/>
                      <w:lang w:eastAsia="zh-CN"/>
                    </w:rPr>
                    <w:t>本项目排放的废气主要为涂胶、烘烤废气</w:t>
                  </w:r>
                  <w:bookmarkStart w:id="11" w:name="_GoBack"/>
                  <w:bookmarkEnd w:id="11"/>
                  <w:r>
                    <w:rPr>
                      <w:rFonts w:hint="eastAsia"/>
                      <w:color w:val="auto"/>
                      <w:spacing w:val="-6"/>
                      <w:sz w:val="24"/>
                      <w:szCs w:val="24"/>
                      <w:lang w:eastAsia="zh-CN"/>
                    </w:rPr>
                    <w:t>，不涉及</w:t>
                  </w:r>
                  <w:r>
                    <w:rPr>
                      <w:rFonts w:hint="eastAsia"/>
                      <w:color w:val="auto"/>
                      <w:sz w:val="24"/>
                      <w:szCs w:val="24"/>
                      <w:lang w:val="en-US" w:eastAsia="zh-CN"/>
                    </w:rPr>
                    <w:t>工艺粉尘排放</w:t>
                  </w:r>
                </w:p>
              </w:tc>
            </w:tr>
            <w:tr w14:paraId="6896C31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647" w:hRule="atLeast"/>
                <w:tblHeader/>
                <w:jc w:val="center"/>
              </w:trPr>
              <w:tc>
                <w:tcPr>
                  <w:tcW w:w="654" w:type="pct"/>
                  <w:vMerge w:val="restart"/>
                  <w:tcMar>
                    <w:left w:w="28" w:type="dxa"/>
                    <w:right w:w="28" w:type="dxa"/>
                  </w:tcMar>
                  <w:vAlign w:val="center"/>
                </w:tcPr>
                <w:p w14:paraId="193419DC">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环境风险防控</w:t>
                  </w:r>
                </w:p>
              </w:tc>
              <w:tc>
                <w:tcPr>
                  <w:tcW w:w="2540" w:type="pct"/>
                  <w:tcMar>
                    <w:left w:w="28" w:type="dxa"/>
                    <w:right w:w="28" w:type="dxa"/>
                  </w:tcMar>
                  <w:vAlign w:val="center"/>
                </w:tcPr>
                <w:p w14:paraId="4B2DDE5D">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color w:val="auto"/>
                      <w:sz w:val="24"/>
                      <w:szCs w:val="24"/>
                    </w:rPr>
                    <w:t>禁止新建、扩建排放废水</w:t>
                  </w:r>
                  <w:r>
                    <w:rPr>
                      <w:rFonts w:hint="eastAsia"/>
                      <w:color w:val="auto"/>
                      <w:sz w:val="24"/>
                      <w:szCs w:val="24"/>
                    </w:rPr>
                    <w:t>含有五类</w:t>
                  </w:r>
                  <w:r>
                    <w:rPr>
                      <w:color w:val="auto"/>
                      <w:sz w:val="24"/>
                      <w:szCs w:val="24"/>
                    </w:rPr>
                    <w:t>重金属（铬、镉、汞、砷、铅）、剧毒物质和持久性有机污染物的工业项目</w:t>
                  </w:r>
                </w:p>
              </w:tc>
              <w:tc>
                <w:tcPr>
                  <w:tcW w:w="1805" w:type="pct"/>
                  <w:tcMar>
                    <w:left w:w="28" w:type="dxa"/>
                    <w:right w:w="28" w:type="dxa"/>
                  </w:tcMar>
                  <w:vAlign w:val="center"/>
                </w:tcPr>
                <w:p w14:paraId="640C2738">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lang w:eastAsia="zh-CN"/>
                    </w:rPr>
                    <w:t>本</w:t>
                  </w:r>
                  <w:r>
                    <w:rPr>
                      <w:rFonts w:hint="eastAsia"/>
                      <w:color w:val="auto"/>
                      <w:sz w:val="24"/>
                      <w:szCs w:val="24"/>
                    </w:rPr>
                    <w:t>项目</w:t>
                  </w:r>
                  <w:r>
                    <w:rPr>
                      <w:color w:val="auto"/>
                      <w:sz w:val="24"/>
                      <w:szCs w:val="24"/>
                    </w:rPr>
                    <w:t>不排放五类重金属、剧毒物质和持久性有机污染物</w:t>
                  </w:r>
                </w:p>
              </w:tc>
            </w:tr>
            <w:tr w14:paraId="517D6C5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continue"/>
                  <w:tcMar>
                    <w:left w:w="28" w:type="dxa"/>
                    <w:right w:w="28" w:type="dxa"/>
                  </w:tcMar>
                  <w:vAlign w:val="center"/>
                </w:tcPr>
                <w:p w14:paraId="37EDC52F">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p>
              </w:tc>
              <w:tc>
                <w:tcPr>
                  <w:tcW w:w="2540" w:type="pct"/>
                  <w:shd w:val="clear" w:color="auto" w:fill="auto"/>
                  <w:tcMar>
                    <w:left w:w="28" w:type="dxa"/>
                    <w:right w:w="28" w:type="dxa"/>
                  </w:tcMar>
                  <w:vAlign w:val="center"/>
                </w:tcPr>
                <w:p w14:paraId="0D1544B6">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lang w:val="en-US" w:eastAsia="zh-CN"/>
                    </w:rPr>
                    <w:t>西彭组团紧邻长江一侧小冲沟以西区域禁止引入水环境风险较大、重大项目</w:t>
                  </w:r>
                </w:p>
              </w:tc>
              <w:tc>
                <w:tcPr>
                  <w:tcW w:w="1805" w:type="pct"/>
                  <w:tcMar>
                    <w:left w:w="28" w:type="dxa"/>
                    <w:right w:w="28" w:type="dxa"/>
                  </w:tcMar>
                  <w:vAlign w:val="center"/>
                </w:tcPr>
                <w:p w14:paraId="3D5A8CBA">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lang w:eastAsia="zh-CN"/>
                    </w:rPr>
                    <w:t>本</w:t>
                  </w:r>
                  <w:r>
                    <w:rPr>
                      <w:rFonts w:hint="eastAsia"/>
                      <w:color w:val="auto"/>
                      <w:sz w:val="24"/>
                      <w:szCs w:val="24"/>
                    </w:rPr>
                    <w:t>项目位于</w:t>
                  </w:r>
                  <w:r>
                    <w:rPr>
                      <w:rFonts w:hint="eastAsia"/>
                      <w:color w:val="auto"/>
                      <w:sz w:val="24"/>
                      <w:szCs w:val="24"/>
                      <w:highlight w:val="none"/>
                    </w:rPr>
                    <w:t>西彭组团D</w:t>
                  </w:r>
                  <w:r>
                    <w:rPr>
                      <w:rFonts w:hint="eastAsia"/>
                      <w:color w:val="auto"/>
                      <w:sz w:val="24"/>
                      <w:szCs w:val="24"/>
                      <w:highlight w:val="none"/>
                      <w:lang w:val="en-US" w:eastAsia="zh-CN"/>
                    </w:rPr>
                    <w:t>52</w:t>
                  </w:r>
                  <w:r>
                    <w:rPr>
                      <w:rFonts w:hint="eastAsia"/>
                      <w:color w:val="auto"/>
                      <w:sz w:val="24"/>
                      <w:szCs w:val="24"/>
                      <w:highlight w:val="none"/>
                    </w:rPr>
                    <w:t>-</w:t>
                  </w:r>
                  <w:r>
                    <w:rPr>
                      <w:rFonts w:hint="eastAsia"/>
                      <w:color w:val="auto"/>
                      <w:sz w:val="24"/>
                      <w:szCs w:val="24"/>
                      <w:highlight w:val="none"/>
                      <w:lang w:val="en-US" w:eastAsia="zh-CN"/>
                    </w:rPr>
                    <w:t>2</w:t>
                  </w:r>
                  <w:r>
                    <w:rPr>
                      <w:rFonts w:hint="eastAsia"/>
                      <w:color w:val="auto"/>
                      <w:sz w:val="24"/>
                      <w:szCs w:val="24"/>
                      <w:highlight w:val="none"/>
                    </w:rPr>
                    <w:t>地块</w:t>
                  </w:r>
                  <w:r>
                    <w:rPr>
                      <w:rFonts w:hint="eastAsia"/>
                      <w:color w:val="auto"/>
                      <w:sz w:val="24"/>
                      <w:szCs w:val="24"/>
                    </w:rPr>
                    <w:t>，不属于</w:t>
                  </w:r>
                  <w:r>
                    <w:rPr>
                      <w:rFonts w:hint="eastAsia"/>
                      <w:color w:val="auto"/>
                      <w:sz w:val="24"/>
                      <w:szCs w:val="24"/>
                      <w:lang w:val="en-US" w:eastAsia="zh-CN"/>
                    </w:rPr>
                    <w:t>水环境风险较大、重大项目</w:t>
                  </w:r>
                </w:p>
              </w:tc>
            </w:tr>
            <w:tr w14:paraId="42EDB85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continue"/>
                  <w:tcMar>
                    <w:left w:w="28" w:type="dxa"/>
                    <w:right w:w="28" w:type="dxa"/>
                  </w:tcMar>
                  <w:vAlign w:val="center"/>
                </w:tcPr>
                <w:p w14:paraId="79FA1770">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p>
              </w:tc>
              <w:tc>
                <w:tcPr>
                  <w:tcW w:w="2540" w:type="pct"/>
                  <w:shd w:val="clear" w:color="auto" w:fill="auto"/>
                  <w:tcMar>
                    <w:left w:w="28" w:type="dxa"/>
                    <w:right w:w="28" w:type="dxa"/>
                  </w:tcMar>
                  <w:vAlign w:val="center"/>
                </w:tcPr>
                <w:p w14:paraId="4018F082">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lang w:val="en-US" w:eastAsia="zh-CN"/>
                    </w:rPr>
                    <w:t>规划区内禁止新建、改扩建化工项目（安全、环保、节能和智能化改造等技改项目除外）；现有化工项目（重庆太岳新材料科技有限公司、重庆泰利德化学工业有限公司、重庆现代石油股份有限公司）按国家和重庆市相关要求适时搬入合规化工园区；搬迁前应加强企业日常监管，提升环境风险防范能力，严防发生突发环境事件</w:t>
                  </w:r>
                </w:p>
              </w:tc>
              <w:tc>
                <w:tcPr>
                  <w:tcW w:w="1805" w:type="pct"/>
                  <w:tcMar>
                    <w:left w:w="28" w:type="dxa"/>
                    <w:right w:w="28" w:type="dxa"/>
                  </w:tcMar>
                  <w:vAlign w:val="center"/>
                </w:tcPr>
                <w:p w14:paraId="24B244F5">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eastAsia="仿宋"/>
                      <w:color w:val="auto"/>
                      <w:sz w:val="24"/>
                      <w:szCs w:val="24"/>
                      <w:lang w:eastAsia="zh-CN"/>
                    </w:rPr>
                  </w:pPr>
                  <w:r>
                    <w:rPr>
                      <w:rFonts w:hint="eastAsia"/>
                      <w:color w:val="auto"/>
                      <w:sz w:val="24"/>
                      <w:szCs w:val="24"/>
                      <w:lang w:eastAsia="zh-CN"/>
                    </w:rPr>
                    <w:t>本项目为塑料零件及其他塑料制品制造、</w:t>
                  </w:r>
                  <w:r>
                    <w:rPr>
                      <w:rFonts w:hint="eastAsia"/>
                      <w:color w:val="auto"/>
                      <w:sz w:val="24"/>
                      <w:szCs w:val="24"/>
                      <w:lang w:val="en-US" w:eastAsia="zh-CN"/>
                    </w:rPr>
                    <w:t>汽车零部件及配件制造</w:t>
                  </w:r>
                  <w:r>
                    <w:rPr>
                      <w:rFonts w:hint="eastAsia"/>
                      <w:color w:val="auto"/>
                      <w:sz w:val="24"/>
                      <w:szCs w:val="24"/>
                      <w:lang w:eastAsia="zh-CN"/>
                    </w:rPr>
                    <w:t>，不属于化工项目</w:t>
                  </w:r>
                </w:p>
              </w:tc>
            </w:tr>
            <w:tr w14:paraId="1F2C347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continue"/>
                  <w:tcMar>
                    <w:left w:w="28" w:type="dxa"/>
                    <w:right w:w="28" w:type="dxa"/>
                  </w:tcMar>
                  <w:vAlign w:val="center"/>
                </w:tcPr>
                <w:p w14:paraId="454F8BCC">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p>
              </w:tc>
              <w:tc>
                <w:tcPr>
                  <w:tcW w:w="2540" w:type="pct"/>
                  <w:shd w:val="clear" w:color="auto" w:fill="auto"/>
                  <w:tcMar>
                    <w:left w:w="28" w:type="dxa"/>
                    <w:right w:w="28" w:type="dxa"/>
                  </w:tcMar>
                  <w:vAlign w:val="center"/>
                </w:tcPr>
                <w:p w14:paraId="65F03606">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lang w:val="en-US" w:eastAsia="zh-CN"/>
                    </w:rPr>
                  </w:pPr>
                  <w:r>
                    <w:rPr>
                      <w:rFonts w:hint="eastAsia"/>
                      <w:color w:val="auto"/>
                      <w:sz w:val="24"/>
                      <w:szCs w:val="24"/>
                      <w:lang w:val="en-US" w:eastAsia="zh-CN"/>
                    </w:rPr>
                    <w:t>长江干流岸线1公里范围内禁止新建、改建、扩建油库及其他高环境风险储罐设施（以提升安全、生态环境保护水平为目的的改建除外）</w:t>
                  </w:r>
                </w:p>
              </w:tc>
              <w:tc>
                <w:tcPr>
                  <w:tcW w:w="1805" w:type="pct"/>
                  <w:tcMar>
                    <w:left w:w="28" w:type="dxa"/>
                    <w:right w:w="28" w:type="dxa"/>
                  </w:tcMar>
                  <w:vAlign w:val="center"/>
                </w:tcPr>
                <w:p w14:paraId="434701B2">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lang w:val="en-US" w:eastAsia="zh-CN"/>
                    </w:rPr>
                    <w:t>本项目不属于油库及其他高环境风险储罐设施</w:t>
                  </w:r>
                </w:p>
              </w:tc>
            </w:tr>
            <w:tr w14:paraId="180C331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continue"/>
                  <w:tcMar>
                    <w:left w:w="28" w:type="dxa"/>
                    <w:right w:w="28" w:type="dxa"/>
                  </w:tcMar>
                  <w:vAlign w:val="center"/>
                </w:tcPr>
                <w:p w14:paraId="1C40E5C5">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p>
              </w:tc>
              <w:tc>
                <w:tcPr>
                  <w:tcW w:w="2540" w:type="pct"/>
                  <w:shd w:val="clear" w:color="auto" w:fill="auto"/>
                  <w:tcMar>
                    <w:left w:w="28" w:type="dxa"/>
                    <w:right w:w="28" w:type="dxa"/>
                  </w:tcMar>
                  <w:vAlign w:val="center"/>
                </w:tcPr>
                <w:p w14:paraId="37FF3AD8">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lang w:val="en-US" w:eastAsia="zh-CN"/>
                    </w:rPr>
                    <w:t>沿江</w:t>
                  </w:r>
                  <w:r>
                    <w:rPr>
                      <w:rFonts w:hint="default"/>
                      <w:color w:val="auto"/>
                      <w:sz w:val="24"/>
                      <w:szCs w:val="24"/>
                      <w:lang w:val="en-US" w:eastAsia="zh-CN"/>
                    </w:rPr>
                    <w:t>1km</w:t>
                  </w:r>
                  <w:r>
                    <w:rPr>
                      <w:rFonts w:hint="eastAsia"/>
                      <w:color w:val="auto"/>
                      <w:sz w:val="24"/>
                      <w:szCs w:val="24"/>
                      <w:lang w:val="en-US" w:eastAsia="zh-CN"/>
                    </w:rPr>
                    <w:t>范围内规划仓储用地（</w:t>
                  </w:r>
                  <w:r>
                    <w:rPr>
                      <w:rFonts w:hint="default"/>
                      <w:color w:val="auto"/>
                      <w:sz w:val="24"/>
                      <w:szCs w:val="24"/>
                      <w:lang w:val="en-US" w:eastAsia="zh-CN"/>
                    </w:rPr>
                    <w:t>052/01</w:t>
                  </w:r>
                  <w:r>
                    <w:rPr>
                      <w:rFonts w:hint="eastAsia"/>
                      <w:color w:val="auto"/>
                      <w:sz w:val="24"/>
                      <w:szCs w:val="24"/>
                      <w:lang w:val="en-US" w:eastAsia="zh-CN"/>
                    </w:rPr>
                    <w:t>、</w:t>
                  </w:r>
                  <w:r>
                    <w:rPr>
                      <w:rFonts w:hint="default"/>
                      <w:color w:val="auto"/>
                      <w:sz w:val="24"/>
                      <w:szCs w:val="24"/>
                      <w:lang w:val="en-US" w:eastAsia="zh-CN"/>
                    </w:rPr>
                    <w:t>048/01</w:t>
                  </w:r>
                  <w:r>
                    <w:rPr>
                      <w:rFonts w:hint="eastAsia"/>
                      <w:color w:val="auto"/>
                      <w:sz w:val="24"/>
                      <w:szCs w:val="24"/>
                      <w:lang w:val="en-US" w:eastAsia="zh-CN"/>
                    </w:rPr>
                    <w:t>、</w:t>
                  </w:r>
                  <w:r>
                    <w:rPr>
                      <w:rFonts w:hint="default"/>
                      <w:color w:val="auto"/>
                      <w:sz w:val="24"/>
                      <w:szCs w:val="24"/>
                      <w:lang w:val="en-US" w:eastAsia="zh-CN"/>
                    </w:rPr>
                    <w:t>049/01</w:t>
                  </w:r>
                  <w:r>
                    <w:rPr>
                      <w:rFonts w:hint="eastAsia"/>
                      <w:color w:val="auto"/>
                      <w:sz w:val="24"/>
                      <w:szCs w:val="24"/>
                      <w:lang w:val="en-US" w:eastAsia="zh-CN"/>
                    </w:rPr>
                    <w:t>、</w:t>
                  </w:r>
                  <w:r>
                    <w:rPr>
                      <w:rFonts w:hint="default"/>
                      <w:color w:val="auto"/>
                      <w:sz w:val="24"/>
                      <w:szCs w:val="24"/>
                      <w:lang w:val="en-US" w:eastAsia="zh-CN"/>
                    </w:rPr>
                    <w:t>A72-1</w:t>
                  </w:r>
                  <w:r>
                    <w:rPr>
                      <w:rFonts w:hint="eastAsia"/>
                      <w:color w:val="auto"/>
                      <w:sz w:val="24"/>
                      <w:szCs w:val="24"/>
                      <w:lang w:val="en-US" w:eastAsia="zh-CN"/>
                    </w:rPr>
                    <w:t>、</w:t>
                  </w:r>
                  <w:r>
                    <w:rPr>
                      <w:rFonts w:hint="default"/>
                      <w:color w:val="auto"/>
                      <w:sz w:val="24"/>
                      <w:szCs w:val="24"/>
                      <w:lang w:val="en-US" w:eastAsia="zh-CN"/>
                    </w:rPr>
                    <w:t>038/01</w:t>
                  </w:r>
                  <w:r>
                    <w:rPr>
                      <w:rFonts w:hint="eastAsia"/>
                      <w:color w:val="auto"/>
                      <w:sz w:val="24"/>
                      <w:szCs w:val="24"/>
                      <w:lang w:val="en-US" w:eastAsia="zh-CN"/>
                    </w:rPr>
                    <w:t>、</w:t>
                  </w:r>
                  <w:r>
                    <w:rPr>
                      <w:rFonts w:hint="default"/>
                      <w:color w:val="auto"/>
                      <w:sz w:val="24"/>
                      <w:szCs w:val="24"/>
                      <w:lang w:val="en-US" w:eastAsia="zh-CN"/>
                    </w:rPr>
                    <w:t>036/01</w:t>
                  </w:r>
                  <w:r>
                    <w:rPr>
                      <w:rFonts w:hint="eastAsia"/>
                      <w:color w:val="auto"/>
                      <w:sz w:val="24"/>
                      <w:szCs w:val="24"/>
                      <w:lang w:val="en-US" w:eastAsia="zh-CN"/>
                    </w:rPr>
                    <w:t>地块）禁止新引入从事危险化学品储存、运输的仓储物流项目</w:t>
                  </w:r>
                </w:p>
              </w:tc>
              <w:tc>
                <w:tcPr>
                  <w:tcW w:w="1805" w:type="pct"/>
                  <w:tcMar>
                    <w:left w:w="28" w:type="dxa"/>
                    <w:right w:w="28" w:type="dxa"/>
                  </w:tcMar>
                  <w:vAlign w:val="center"/>
                </w:tcPr>
                <w:p w14:paraId="1781617E">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lang w:val="en-US" w:eastAsia="zh-CN"/>
                    </w:rPr>
                    <w:t>本项目不属于从事危险化学品储存、运输的仓储物流项目</w:t>
                  </w:r>
                </w:p>
              </w:tc>
            </w:tr>
            <w:tr w14:paraId="11E60F6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restart"/>
                  <w:tcMar>
                    <w:left w:w="28" w:type="dxa"/>
                    <w:right w:w="28" w:type="dxa"/>
                  </w:tcMar>
                  <w:vAlign w:val="center"/>
                </w:tcPr>
                <w:p w14:paraId="5E082D2D">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color w:val="auto"/>
                      <w:sz w:val="24"/>
                      <w:szCs w:val="24"/>
                    </w:rPr>
                    <w:t>资源开发利用要求</w:t>
                  </w:r>
                </w:p>
              </w:tc>
              <w:tc>
                <w:tcPr>
                  <w:tcW w:w="2540" w:type="pct"/>
                  <w:tcMar>
                    <w:left w:w="28" w:type="dxa"/>
                    <w:right w:w="28" w:type="dxa"/>
                  </w:tcMar>
                  <w:vAlign w:val="center"/>
                </w:tcPr>
                <w:p w14:paraId="12CD599A">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禁止新建、扩建燃用煤、重油等高污染燃料的工业项目</w:t>
                  </w:r>
                </w:p>
              </w:tc>
              <w:tc>
                <w:tcPr>
                  <w:tcW w:w="1805" w:type="pct"/>
                  <w:tcMar>
                    <w:left w:w="28" w:type="dxa"/>
                    <w:right w:w="28" w:type="dxa"/>
                  </w:tcMar>
                  <w:vAlign w:val="center"/>
                </w:tcPr>
                <w:p w14:paraId="42DA477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lang w:eastAsia="zh-CN"/>
                    </w:rPr>
                    <w:t>本</w:t>
                  </w:r>
                  <w:r>
                    <w:rPr>
                      <w:color w:val="auto"/>
                      <w:sz w:val="24"/>
                      <w:szCs w:val="24"/>
                    </w:rPr>
                    <w:t>项目不</w:t>
                  </w:r>
                  <w:r>
                    <w:rPr>
                      <w:rFonts w:hint="eastAsia"/>
                      <w:color w:val="auto"/>
                      <w:sz w:val="24"/>
                      <w:szCs w:val="24"/>
                    </w:rPr>
                    <w:t>燃用煤、重油等高污染燃料</w:t>
                  </w:r>
                </w:p>
              </w:tc>
            </w:tr>
            <w:tr w14:paraId="5617049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continue"/>
                  <w:tcMar>
                    <w:left w:w="28" w:type="dxa"/>
                    <w:right w:w="28" w:type="dxa"/>
                  </w:tcMar>
                  <w:vAlign w:val="center"/>
                </w:tcPr>
                <w:p w14:paraId="192ED0AE">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p>
              </w:tc>
              <w:tc>
                <w:tcPr>
                  <w:tcW w:w="2540" w:type="pct"/>
                  <w:tcMar>
                    <w:left w:w="28" w:type="dxa"/>
                    <w:right w:w="28" w:type="dxa"/>
                  </w:tcMar>
                  <w:vAlign w:val="center"/>
                </w:tcPr>
                <w:p w14:paraId="5294DBE2">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新建和改、扩建的工业项目清洁生产水平应达到国内先进水平</w:t>
                  </w:r>
                </w:p>
              </w:tc>
              <w:tc>
                <w:tcPr>
                  <w:tcW w:w="1805" w:type="pct"/>
                  <w:tcMar>
                    <w:left w:w="28" w:type="dxa"/>
                    <w:right w:w="28" w:type="dxa"/>
                  </w:tcMar>
                  <w:vAlign w:val="center"/>
                </w:tcPr>
                <w:p w14:paraId="286FFFEB">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lang w:eastAsia="zh-CN"/>
                    </w:rPr>
                    <w:t>本</w:t>
                  </w:r>
                  <w:r>
                    <w:rPr>
                      <w:color w:val="auto"/>
                      <w:sz w:val="24"/>
                      <w:szCs w:val="24"/>
                    </w:rPr>
                    <w:t>项目</w:t>
                  </w:r>
                  <w:r>
                    <w:rPr>
                      <w:rFonts w:hint="eastAsia"/>
                      <w:color w:val="auto"/>
                      <w:sz w:val="24"/>
                      <w:szCs w:val="24"/>
                    </w:rPr>
                    <w:t>清洁生产</w:t>
                  </w:r>
                  <w:r>
                    <w:rPr>
                      <w:color w:val="auto"/>
                      <w:sz w:val="24"/>
                      <w:szCs w:val="24"/>
                    </w:rPr>
                    <w:t>水平</w:t>
                  </w:r>
                  <w:r>
                    <w:rPr>
                      <w:rFonts w:hint="eastAsia"/>
                      <w:color w:val="auto"/>
                      <w:sz w:val="24"/>
                      <w:szCs w:val="24"/>
                    </w:rPr>
                    <w:t>不低于</w:t>
                  </w:r>
                  <w:r>
                    <w:rPr>
                      <w:color w:val="auto"/>
                      <w:sz w:val="24"/>
                      <w:szCs w:val="24"/>
                    </w:rPr>
                    <w:t>国内先进水平</w:t>
                  </w:r>
                </w:p>
              </w:tc>
            </w:tr>
            <w:tr w14:paraId="0061BBB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54" w:type="pct"/>
                  <w:vMerge w:val="continue"/>
                  <w:tcMar>
                    <w:left w:w="28" w:type="dxa"/>
                    <w:right w:w="28" w:type="dxa"/>
                  </w:tcMar>
                  <w:vAlign w:val="center"/>
                </w:tcPr>
                <w:p w14:paraId="144FD759">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p>
              </w:tc>
              <w:tc>
                <w:tcPr>
                  <w:tcW w:w="2540" w:type="pct"/>
                  <w:tcMar>
                    <w:left w:w="28" w:type="dxa"/>
                    <w:right w:w="28" w:type="dxa"/>
                  </w:tcMar>
                  <w:vAlign w:val="center"/>
                </w:tcPr>
                <w:p w14:paraId="6A641222">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rPr>
                  </w:pPr>
                  <w:r>
                    <w:rPr>
                      <w:rFonts w:hint="eastAsia"/>
                      <w:color w:val="auto"/>
                      <w:sz w:val="24"/>
                      <w:szCs w:val="24"/>
                      <w:lang w:val="en-US" w:eastAsia="zh-CN"/>
                    </w:rPr>
                    <w:t>提高有色金属冶炼及压延加工业和汽车制造业等工业企业的节能水平，降低区域的能耗强度。加强重点行业能效管理，升级工艺技术，</w:t>
                  </w:r>
                </w:p>
                <w:p w14:paraId="289EDDB9">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rFonts w:hint="eastAsia"/>
                      <w:color w:val="auto"/>
                      <w:sz w:val="24"/>
                      <w:szCs w:val="24"/>
                    </w:rPr>
                  </w:pPr>
                  <w:r>
                    <w:rPr>
                      <w:rFonts w:hint="eastAsia"/>
                      <w:color w:val="auto"/>
                      <w:sz w:val="24"/>
                      <w:szCs w:val="24"/>
                      <w:lang w:val="en-US" w:eastAsia="zh-CN"/>
                    </w:rPr>
                    <w:t>提高用能设备能效水平</w:t>
                  </w:r>
                </w:p>
              </w:tc>
              <w:tc>
                <w:tcPr>
                  <w:tcW w:w="1805" w:type="pct"/>
                  <w:tcMar>
                    <w:left w:w="28" w:type="dxa"/>
                    <w:right w:w="28" w:type="dxa"/>
                  </w:tcMar>
                  <w:vAlign w:val="center"/>
                </w:tcPr>
                <w:p w14:paraId="45289773">
                  <w:pPr>
                    <w:keepNext w:val="0"/>
                    <w:keepLines w:val="0"/>
                    <w:pageBreakBefore w:val="0"/>
                    <w:widowControl w:val="0"/>
                    <w:kinsoku/>
                    <w:wordWrap/>
                    <w:overflowPunct/>
                    <w:topLinePunct w:val="0"/>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lang w:eastAsia="zh-CN"/>
                    </w:rPr>
                    <w:t>本项目属于塑料零件及其他塑料制品制造、</w:t>
                  </w:r>
                  <w:r>
                    <w:rPr>
                      <w:rFonts w:hint="eastAsia"/>
                      <w:color w:val="auto"/>
                      <w:sz w:val="24"/>
                      <w:szCs w:val="24"/>
                      <w:lang w:val="en-US" w:eastAsia="zh-CN"/>
                    </w:rPr>
                    <w:t>汽车零部件及配件制造</w:t>
                  </w:r>
                  <w:r>
                    <w:rPr>
                      <w:rFonts w:hint="eastAsia"/>
                      <w:color w:val="auto"/>
                      <w:sz w:val="24"/>
                      <w:szCs w:val="24"/>
                      <w:lang w:eastAsia="zh-CN"/>
                    </w:rPr>
                    <w:t>，不属于</w:t>
                  </w:r>
                  <w:r>
                    <w:rPr>
                      <w:rFonts w:hint="eastAsia"/>
                      <w:color w:val="auto"/>
                      <w:sz w:val="24"/>
                      <w:szCs w:val="24"/>
                      <w:lang w:val="en-US" w:eastAsia="zh-CN"/>
                    </w:rPr>
                    <w:t>有色金属冶炼及压延加工业和汽车制造业等工业企业</w:t>
                  </w:r>
                </w:p>
              </w:tc>
            </w:tr>
          </w:tbl>
          <w:p w14:paraId="390B1BA1">
            <w:pPr>
              <w:spacing w:before="120" w:beforeLines="50"/>
              <w:ind w:firstLine="560"/>
              <w:rPr>
                <w:color w:val="auto"/>
                <w:sz w:val="28"/>
                <w:highlight w:val="yellow"/>
              </w:rPr>
            </w:pPr>
            <w:r>
              <w:rPr>
                <w:rFonts w:hint="eastAsia"/>
                <w:color w:val="auto"/>
                <w:sz w:val="28"/>
              </w:rPr>
              <w:t>本项目符合《</w:t>
            </w:r>
            <w:r>
              <w:rPr>
                <w:rFonts w:hint="eastAsia"/>
                <w:color w:val="auto"/>
                <w:sz w:val="28"/>
                <w:lang w:val="en-US" w:eastAsia="zh-CN"/>
              </w:rPr>
              <w:t>西部（重庆）科学城九龙新城园区</w:t>
            </w:r>
            <w:r>
              <w:rPr>
                <w:rFonts w:hint="eastAsia"/>
                <w:color w:val="auto"/>
                <w:sz w:val="28"/>
              </w:rPr>
              <w:t>规划环境影响报告书》的生态环境管控要求。</w:t>
            </w:r>
          </w:p>
          <w:p w14:paraId="7F7523EF">
            <w:pPr>
              <w:pStyle w:val="53"/>
              <w:spacing w:before="120"/>
              <w:rPr>
                <w:rFonts w:ascii="仿宋" w:hAnsi="仿宋"/>
                <w:color w:val="auto"/>
                <w:sz w:val="28"/>
                <w:szCs w:val="28"/>
              </w:rPr>
            </w:pPr>
            <w:r>
              <w:rPr>
                <w:rFonts w:ascii="仿宋" w:hAnsi="仿宋"/>
                <w:color w:val="auto"/>
                <w:sz w:val="28"/>
                <w:szCs w:val="28"/>
              </w:rPr>
              <w:t>3.与</w:t>
            </w:r>
            <w:r>
              <w:rPr>
                <w:rFonts w:hint="eastAsia" w:ascii="仿宋" w:hAnsi="仿宋"/>
                <w:color w:val="auto"/>
                <w:sz w:val="28"/>
                <w:szCs w:val="28"/>
              </w:rPr>
              <w:t>《</w:t>
            </w:r>
            <w:r>
              <w:rPr>
                <w:rFonts w:hint="eastAsia" w:ascii="仿宋" w:hAnsi="仿宋"/>
                <w:color w:val="auto"/>
                <w:sz w:val="28"/>
                <w:szCs w:val="28"/>
                <w:lang w:val="en-US" w:eastAsia="zh-CN"/>
              </w:rPr>
              <w:t>西部（重庆）科学城九龙新城园区</w:t>
            </w:r>
            <w:r>
              <w:rPr>
                <w:rFonts w:hint="eastAsia" w:ascii="仿宋" w:hAnsi="仿宋"/>
                <w:color w:val="auto"/>
                <w:sz w:val="28"/>
                <w:szCs w:val="28"/>
              </w:rPr>
              <w:t>规划环境影响报告书》审查意见</w:t>
            </w:r>
            <w:r>
              <w:rPr>
                <w:rFonts w:ascii="仿宋" w:hAnsi="仿宋"/>
                <w:color w:val="auto"/>
                <w:sz w:val="28"/>
                <w:szCs w:val="28"/>
              </w:rPr>
              <w:t>的符合性分析</w:t>
            </w:r>
          </w:p>
          <w:p w14:paraId="0625D5E3">
            <w:pPr>
              <w:pStyle w:val="49"/>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b/>
                <w:color w:val="auto"/>
                <w:sz w:val="28"/>
              </w:rPr>
            </w:pPr>
            <w:r>
              <w:rPr>
                <w:color w:val="auto"/>
                <w:sz w:val="28"/>
                <w:szCs w:val="28"/>
              </w:rPr>
              <w:t>本项目位于</w:t>
            </w:r>
            <w:r>
              <w:rPr>
                <w:rFonts w:hint="eastAsia"/>
                <w:color w:val="auto"/>
                <w:sz w:val="28"/>
                <w:szCs w:val="28"/>
              </w:rPr>
              <w:t>重庆市九龙坡区西彭镇森迪大道139号3号楼2层和3层</w:t>
            </w:r>
            <w:r>
              <w:rPr>
                <w:color w:val="auto"/>
                <w:sz w:val="28"/>
                <w:szCs w:val="28"/>
              </w:rPr>
              <w:t>，与园区规划环评审查意见函分析见表1-</w:t>
            </w:r>
            <w:r>
              <w:rPr>
                <w:rFonts w:hint="eastAsia"/>
                <w:color w:val="auto"/>
                <w:sz w:val="28"/>
                <w:szCs w:val="28"/>
              </w:rPr>
              <w:t>3</w:t>
            </w:r>
            <w:r>
              <w:rPr>
                <w:color w:val="auto"/>
                <w:sz w:val="28"/>
                <w:szCs w:val="28"/>
              </w:rPr>
              <w:t>。</w:t>
            </w:r>
          </w:p>
          <w:p w14:paraId="50B07400">
            <w:pPr>
              <w:pStyle w:val="75"/>
              <w:rPr>
                <w:b/>
                <w:bCs/>
                <w:color w:val="auto"/>
                <w:sz w:val="24"/>
                <w:szCs w:val="24"/>
                <w:highlight w:val="none"/>
              </w:rPr>
            </w:pPr>
            <w:r>
              <w:rPr>
                <w:rFonts w:hint="eastAsia"/>
                <w:b/>
                <w:bCs/>
                <w:color w:val="auto"/>
                <w:sz w:val="24"/>
                <w:szCs w:val="24"/>
                <w:highlight w:val="none"/>
              </w:rPr>
              <w:t>表1-</w:t>
            </w:r>
            <w:r>
              <w:rPr>
                <w:rFonts w:hint="eastAsia"/>
                <w:b/>
                <w:bCs/>
                <w:color w:val="auto"/>
                <w:sz w:val="24"/>
                <w:szCs w:val="24"/>
                <w:highlight w:val="none"/>
                <w:lang w:val="en-US"/>
              </w:rPr>
              <w:t>3</w:t>
            </w:r>
            <w:r>
              <w:rPr>
                <w:rFonts w:hint="eastAsia"/>
                <w:b/>
                <w:bCs/>
                <w:color w:val="auto"/>
                <w:sz w:val="24"/>
                <w:szCs w:val="24"/>
                <w:highlight w:val="none"/>
              </w:rPr>
              <w:t>与规划环评审查意见函的符合性分析</w:t>
            </w:r>
          </w:p>
          <w:tbl>
            <w:tblPr>
              <w:tblStyle w:val="31"/>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28" w:type="dxa"/>
                <w:bottom w:w="0" w:type="dxa"/>
                <w:right w:w="28" w:type="dxa"/>
              </w:tblCellMar>
            </w:tblPr>
            <w:tblGrid>
              <w:gridCol w:w="331"/>
              <w:gridCol w:w="4647"/>
              <w:gridCol w:w="1856"/>
              <w:gridCol w:w="422"/>
            </w:tblGrid>
            <w:tr w14:paraId="1C0CFA2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2" w:type="pct"/>
                  <w:vAlign w:val="center"/>
                </w:tcPr>
                <w:p w14:paraId="145CE79B">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jc w:val="center"/>
                    <w:textAlignment w:val="auto"/>
                    <w:rPr>
                      <w:color w:val="auto"/>
                      <w:sz w:val="24"/>
                      <w:szCs w:val="24"/>
                    </w:rPr>
                  </w:pPr>
                  <w:r>
                    <w:rPr>
                      <w:rFonts w:hAnsi="宋体"/>
                      <w:color w:val="auto"/>
                      <w:sz w:val="24"/>
                      <w:szCs w:val="24"/>
                    </w:rPr>
                    <w:t>序号</w:t>
                  </w:r>
                </w:p>
              </w:tc>
              <w:tc>
                <w:tcPr>
                  <w:tcW w:w="3286" w:type="pct"/>
                  <w:vAlign w:val="center"/>
                </w:tcPr>
                <w:p w14:paraId="2DFE8571">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jc w:val="center"/>
                    <w:textAlignment w:val="auto"/>
                    <w:rPr>
                      <w:color w:val="auto"/>
                      <w:sz w:val="24"/>
                      <w:szCs w:val="24"/>
                      <w:highlight w:val="none"/>
                    </w:rPr>
                  </w:pPr>
                  <w:r>
                    <w:rPr>
                      <w:rFonts w:hAnsi="宋体"/>
                      <w:color w:val="auto"/>
                      <w:sz w:val="24"/>
                      <w:szCs w:val="24"/>
                      <w:highlight w:val="none"/>
                    </w:rPr>
                    <w:t>规划</w:t>
                  </w:r>
                  <w:r>
                    <w:rPr>
                      <w:rFonts w:hint="eastAsia" w:hAnsi="宋体"/>
                      <w:color w:val="auto"/>
                      <w:sz w:val="24"/>
                      <w:szCs w:val="24"/>
                      <w:highlight w:val="none"/>
                    </w:rPr>
                    <w:t>环评</w:t>
                  </w:r>
                  <w:r>
                    <w:rPr>
                      <w:rFonts w:hAnsi="宋体"/>
                      <w:color w:val="auto"/>
                      <w:sz w:val="24"/>
                      <w:szCs w:val="24"/>
                      <w:highlight w:val="none"/>
                    </w:rPr>
                    <w:t>审查意见</w:t>
                  </w:r>
                </w:p>
              </w:tc>
              <w:tc>
                <w:tcPr>
                  <w:tcW w:w="1028" w:type="pct"/>
                  <w:vAlign w:val="center"/>
                </w:tcPr>
                <w:p w14:paraId="7C75EAC3">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jc w:val="center"/>
                    <w:textAlignment w:val="auto"/>
                    <w:rPr>
                      <w:color w:val="auto"/>
                      <w:sz w:val="24"/>
                      <w:szCs w:val="24"/>
                      <w:highlight w:val="none"/>
                    </w:rPr>
                  </w:pPr>
                  <w:r>
                    <w:rPr>
                      <w:rFonts w:hAnsi="宋体"/>
                      <w:color w:val="auto"/>
                      <w:sz w:val="24"/>
                      <w:szCs w:val="24"/>
                      <w:highlight w:val="none"/>
                    </w:rPr>
                    <w:t>项目符合性</w:t>
                  </w:r>
                </w:p>
              </w:tc>
              <w:tc>
                <w:tcPr>
                  <w:tcW w:w="375" w:type="pct"/>
                  <w:vAlign w:val="center"/>
                </w:tcPr>
                <w:p w14:paraId="19A91C51">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Ansi="宋体"/>
                      <w:color w:val="auto"/>
                      <w:sz w:val="24"/>
                      <w:szCs w:val="24"/>
                    </w:rPr>
                    <w:t>结论</w:t>
                  </w:r>
                </w:p>
              </w:tc>
            </w:tr>
            <w:tr w14:paraId="0898891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2" w:type="pct"/>
                  <w:vAlign w:val="center"/>
                </w:tcPr>
                <w:p w14:paraId="66D71E20">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jc w:val="center"/>
                    <w:textAlignment w:val="auto"/>
                    <w:rPr>
                      <w:color w:val="auto"/>
                      <w:sz w:val="24"/>
                      <w:szCs w:val="24"/>
                    </w:rPr>
                  </w:pPr>
                  <w:r>
                    <w:rPr>
                      <w:color w:val="auto"/>
                      <w:sz w:val="24"/>
                      <w:szCs w:val="24"/>
                    </w:rPr>
                    <w:t>1</w:t>
                  </w:r>
                </w:p>
              </w:tc>
              <w:tc>
                <w:tcPr>
                  <w:tcW w:w="3286" w:type="pct"/>
                  <w:vAlign w:val="center"/>
                </w:tcPr>
                <w:p w14:paraId="7C1F0DC0">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b/>
                      <w:color w:val="auto"/>
                      <w:sz w:val="24"/>
                      <w:szCs w:val="24"/>
                    </w:rPr>
                  </w:pPr>
                  <w:r>
                    <w:rPr>
                      <w:rFonts w:hAnsi="宋体"/>
                      <w:b/>
                      <w:color w:val="auto"/>
                      <w:sz w:val="24"/>
                      <w:szCs w:val="24"/>
                    </w:rPr>
                    <w:t>严格生态环境准入。</w:t>
                  </w:r>
                  <w:r>
                    <w:rPr>
                      <w:rFonts w:hint="eastAsia"/>
                      <w:color w:val="auto"/>
                      <w:sz w:val="24"/>
                      <w:szCs w:val="32"/>
                    </w:rPr>
                    <w:t>强化规划环评与生态环境分区管控的联动，主要管控措施应符合重庆市及九龙坡区生态环境分区管控要求。严格建设项目环境准入，入驻工业企业需符合国家和重庆市相关产业和环境准入要求以及《报告书》制定的生态环境管控要求。有序推动华岩—二郎组团、环杨家坪新经济组团内环以内工业用地转型升级，后续重点发展研发创新、软件信息等生产性服务业。华岩—二郎组团和环杨家坪新经济组团禁止新增排放重金属(铬、镉、汞、砷铅等五类重金属)剧毒物质和持久性有机污染物的工业项目。禁止新建、改技改化工项目(安全、环保、节能和智能化改造等技改项目除外),现有化工项目按国家和重庆市相关要求适时搬入合规化工园区</w:t>
                  </w:r>
                  <w:r>
                    <w:rPr>
                      <w:rFonts w:hAnsi="宋体"/>
                      <w:color w:val="auto"/>
                      <w:sz w:val="24"/>
                      <w:szCs w:val="24"/>
                    </w:rPr>
                    <w:t>。</w:t>
                  </w:r>
                </w:p>
              </w:tc>
              <w:tc>
                <w:tcPr>
                  <w:tcW w:w="1028" w:type="pct"/>
                  <w:vAlign w:val="center"/>
                </w:tcPr>
                <w:p w14:paraId="4D5D8C7C">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项目不属于园区禁止引入类以及限制引入类企业，不在生态保护红线范围内，满足相关产业政策和环境准入要求以及《报告书》提出的生态环境管控要求。</w:t>
                  </w:r>
                </w:p>
              </w:tc>
              <w:tc>
                <w:tcPr>
                  <w:tcW w:w="375" w:type="pct"/>
                  <w:vAlign w:val="center"/>
                </w:tcPr>
                <w:p w14:paraId="451F5025">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Ansi="宋体"/>
                      <w:color w:val="auto"/>
                      <w:sz w:val="24"/>
                      <w:szCs w:val="24"/>
                    </w:rPr>
                    <w:t>符合</w:t>
                  </w:r>
                </w:p>
              </w:tc>
            </w:tr>
            <w:tr w14:paraId="722D025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2" w:type="pct"/>
                  <w:vAlign w:val="center"/>
                </w:tcPr>
                <w:p w14:paraId="42E43FC8">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jc w:val="center"/>
                    <w:textAlignment w:val="auto"/>
                    <w:rPr>
                      <w:color w:val="auto"/>
                      <w:sz w:val="24"/>
                      <w:szCs w:val="24"/>
                    </w:rPr>
                  </w:pPr>
                  <w:r>
                    <w:rPr>
                      <w:color w:val="auto"/>
                      <w:sz w:val="24"/>
                      <w:szCs w:val="24"/>
                    </w:rPr>
                    <w:t>2</w:t>
                  </w:r>
                </w:p>
              </w:tc>
              <w:tc>
                <w:tcPr>
                  <w:tcW w:w="3286" w:type="pct"/>
                  <w:vAlign w:val="center"/>
                </w:tcPr>
                <w:p w14:paraId="7F5B401C">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b w:val="0"/>
                      <w:bCs/>
                      <w:color w:val="auto"/>
                      <w:sz w:val="24"/>
                      <w:szCs w:val="24"/>
                    </w:rPr>
                  </w:pPr>
                  <w:r>
                    <w:rPr>
                      <w:rFonts w:hAnsi="宋体"/>
                      <w:b/>
                      <w:color w:val="auto"/>
                      <w:sz w:val="24"/>
                      <w:szCs w:val="24"/>
                    </w:rPr>
                    <w:t>空间布局约束</w:t>
                  </w:r>
                  <w:r>
                    <w:rPr>
                      <w:rFonts w:hAnsi="宋体"/>
                      <w:b w:val="0"/>
                      <w:bCs/>
                      <w:color w:val="auto"/>
                      <w:sz w:val="24"/>
                      <w:szCs w:val="24"/>
                    </w:rPr>
                    <w:t>。</w:t>
                  </w:r>
                  <w:r>
                    <w:rPr>
                      <w:rFonts w:hint="eastAsia" w:hAnsi="宋体"/>
                      <w:b w:val="0"/>
                      <w:bCs/>
                      <w:color w:val="auto"/>
                      <w:sz w:val="24"/>
                      <w:szCs w:val="24"/>
                    </w:rPr>
                    <w:t>规划区开发建设应符合重庆市、九龙坡区国土空间规划及用途管制要求。规划实施不得占用九龙坡区生态环境分区管控方案中划定的优先保护单元。涉及环境防护距离的工业企业或项目应通过选址或调整布局原则上将环境防护距离控制在园区边界或用地红线内。</w:t>
                  </w:r>
                </w:p>
                <w:p w14:paraId="19944CA0">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b/>
                      <w:color w:val="auto"/>
                      <w:sz w:val="24"/>
                      <w:szCs w:val="24"/>
                    </w:rPr>
                  </w:pPr>
                  <w:r>
                    <w:rPr>
                      <w:rFonts w:hint="eastAsia" w:hAnsi="宋体"/>
                      <w:b w:val="0"/>
                      <w:bCs/>
                      <w:color w:val="auto"/>
                      <w:sz w:val="24"/>
                      <w:szCs w:val="24"/>
                    </w:rPr>
                    <w:t>合理规划布局，工业用地紧邻居住用地等环境敏感区一侧宜布局宿舍、办公楼等非生产设施，避免对周边环境敏感目标造成影响。西彭组团与居住用地相邻的规划工业用地(A34、A33地块)及东北侧规划科研用地兼工业用地禁止新布局高噪声和涉及喷漆、重力铸造、酸洗、熔炼等大气污染较大的工业项目，陶家组团与居住用地相邻的规划工业用地(L9-01、L27-02-1地块)禁止新布局高噪声和涉及喷漆、重力铸造、酸洗、熔炼等大气污染较大的工业项目</w:t>
                  </w:r>
                  <w:r>
                    <w:rPr>
                      <w:rFonts w:hint="eastAsia" w:hAnsi="宋体"/>
                      <w:color w:val="auto"/>
                      <w:sz w:val="24"/>
                      <w:szCs w:val="24"/>
                    </w:rPr>
                    <w:t>。</w:t>
                  </w:r>
                </w:p>
              </w:tc>
              <w:tc>
                <w:tcPr>
                  <w:tcW w:w="1028" w:type="pct"/>
                  <w:vAlign w:val="center"/>
                </w:tcPr>
                <w:p w14:paraId="0F04B5E1">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项目位于西彭组团D</w:t>
                  </w:r>
                  <w:r>
                    <w:rPr>
                      <w:rFonts w:hint="eastAsia"/>
                      <w:color w:val="auto"/>
                      <w:sz w:val="24"/>
                      <w:szCs w:val="24"/>
                      <w:lang w:val="en-US" w:eastAsia="zh-CN"/>
                    </w:rPr>
                    <w:t>52</w:t>
                  </w:r>
                  <w:r>
                    <w:rPr>
                      <w:rFonts w:hint="eastAsia"/>
                      <w:color w:val="auto"/>
                      <w:sz w:val="24"/>
                      <w:szCs w:val="24"/>
                    </w:rPr>
                    <w:t>-</w:t>
                  </w:r>
                  <w:r>
                    <w:rPr>
                      <w:rFonts w:hint="eastAsia"/>
                      <w:color w:val="auto"/>
                      <w:sz w:val="24"/>
                      <w:szCs w:val="24"/>
                      <w:lang w:val="en-US" w:eastAsia="zh-CN"/>
                    </w:rPr>
                    <w:t>2</w:t>
                  </w:r>
                  <w:r>
                    <w:rPr>
                      <w:rFonts w:hint="eastAsia"/>
                      <w:color w:val="auto"/>
                      <w:sz w:val="24"/>
                      <w:szCs w:val="24"/>
                    </w:rPr>
                    <w:t>地块，不属于以上地块。项目不排放</w:t>
                  </w:r>
                  <w:r>
                    <w:rPr>
                      <w:rFonts w:hint="eastAsia" w:hAnsi="宋体"/>
                      <w:color w:val="auto"/>
                      <w:sz w:val="24"/>
                      <w:szCs w:val="24"/>
                    </w:rPr>
                    <w:t>含重金属（铬、镉、汞、砷、铅等重金属）、剧毒物质和持久性有机污染物的废水。</w:t>
                  </w:r>
                </w:p>
              </w:tc>
              <w:tc>
                <w:tcPr>
                  <w:tcW w:w="375" w:type="pct"/>
                  <w:vAlign w:val="center"/>
                </w:tcPr>
                <w:p w14:paraId="1508F507">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符合</w:t>
                  </w:r>
                </w:p>
              </w:tc>
            </w:tr>
            <w:tr w14:paraId="60EB069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2" w:type="pct"/>
                  <w:vAlign w:val="center"/>
                </w:tcPr>
                <w:p w14:paraId="10E1F330">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jc w:val="center"/>
                    <w:textAlignment w:val="auto"/>
                    <w:rPr>
                      <w:color w:val="auto"/>
                      <w:sz w:val="24"/>
                      <w:szCs w:val="24"/>
                    </w:rPr>
                  </w:pPr>
                  <w:r>
                    <w:rPr>
                      <w:color w:val="auto"/>
                      <w:sz w:val="24"/>
                      <w:szCs w:val="24"/>
                    </w:rPr>
                    <w:t>3</w:t>
                  </w:r>
                </w:p>
              </w:tc>
              <w:tc>
                <w:tcPr>
                  <w:tcW w:w="3286" w:type="pct"/>
                  <w:vAlign w:val="center"/>
                </w:tcPr>
                <w:p w14:paraId="10B41C6D">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b w:val="0"/>
                      <w:bCs/>
                      <w:color w:val="auto"/>
                      <w:sz w:val="24"/>
                      <w:szCs w:val="24"/>
                    </w:rPr>
                  </w:pPr>
                  <w:r>
                    <w:rPr>
                      <w:rFonts w:hAnsi="宋体"/>
                      <w:b/>
                      <w:color w:val="auto"/>
                      <w:sz w:val="24"/>
                      <w:szCs w:val="24"/>
                    </w:rPr>
                    <w:t>污染排放管控</w:t>
                  </w:r>
                  <w:r>
                    <w:rPr>
                      <w:rFonts w:hAnsi="宋体"/>
                      <w:b w:val="0"/>
                      <w:bCs/>
                      <w:color w:val="auto"/>
                      <w:sz w:val="24"/>
                      <w:szCs w:val="24"/>
                    </w:rPr>
                    <w:t>。</w:t>
                  </w:r>
                  <w:r>
                    <w:rPr>
                      <w:rFonts w:hint="eastAsia" w:hAnsi="宋体"/>
                      <w:b w:val="0"/>
                      <w:bCs/>
                      <w:color w:val="auto"/>
                      <w:sz w:val="24"/>
                      <w:szCs w:val="24"/>
                    </w:rPr>
                    <w:t>1、水污染物排放管控</w:t>
                  </w:r>
                </w:p>
                <w:p w14:paraId="2CB3C3A4">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int="eastAsia" w:hAnsi="宋体"/>
                      <w:b w:val="0"/>
                      <w:bCs/>
                      <w:color w:val="auto"/>
                      <w:sz w:val="24"/>
                      <w:szCs w:val="24"/>
                    </w:rPr>
                    <w:t>规划区排水系统采用雨、污分流制。西彭组团、陶家组团铜罐驿组团禁止新增废水排放五类重金属(铬、镉、汞、砷、铅)剧毒物质和持久性有机污染物的工业项目。西彭组团(除西南铝企业外)污废水经企业预处理达接管要求后进入西彭工业园区污水处理厂，西彭工业园区污水处理厂提标技改预计2025年年底前完成；西南铝企业污废水进入自建污水处理站处理。陶家组团污废水经企业预处理达接管要求后排入陶家工业污水处理厂进一步处理，陶家工业污水处理厂配套管网建设预计2025年年底前完成。铜罐驿组团污废水(除重庆和友实业股份有限公司)经企业预处理达接管要求后进入铜罐驿污水处理厂进一步处理;同时加快推进铜罐驿污水处理厂配套管网建设工作，小可食品污废水接入铜罐驿污水处理厂前不得实施增加入河污染物的改、技改项目重庆和友实业股份有限公司进入自建污水处理站处理。华岩--郎组团中华岩区块(成渝铁路以西区域)污废水经企业预处理达接管要求后接入九龙工业园区B3区污水处理厂进一步处理;华岩-二郎组团其他区域依托规划区外大九污水处理厂和彩云湖污水处理厂处理达标后排放。环杨家坪新经济组团污废水经扬声桥污水处理厂、鸡冠石污水处理厂处理达标后排放</w:t>
                  </w:r>
                  <w:r>
                    <w:rPr>
                      <w:rFonts w:hAnsi="宋体"/>
                      <w:color w:val="auto"/>
                      <w:sz w:val="24"/>
                      <w:szCs w:val="24"/>
                    </w:rPr>
                    <w:t>。</w:t>
                  </w:r>
                </w:p>
                <w:p w14:paraId="51C470A5">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int="eastAsia" w:hAnsi="宋体"/>
                      <w:color w:val="auto"/>
                      <w:sz w:val="24"/>
                      <w:szCs w:val="24"/>
                    </w:rPr>
                  </w:pPr>
                  <w:r>
                    <w:rPr>
                      <w:rFonts w:hint="eastAsia" w:hAnsi="宋体"/>
                      <w:color w:val="auto"/>
                      <w:sz w:val="24"/>
                      <w:szCs w:val="24"/>
                    </w:rPr>
                    <w:t>2、大气污染物排放管控</w:t>
                  </w:r>
                </w:p>
                <w:p w14:paraId="6C719871">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color w:val="auto"/>
                      <w:sz w:val="24"/>
                      <w:szCs w:val="24"/>
                    </w:rPr>
                  </w:pPr>
                  <w:r>
                    <w:rPr>
                      <w:rFonts w:hint="eastAsia" w:hAnsi="宋体"/>
                      <w:color w:val="auto"/>
                      <w:sz w:val="24"/>
                      <w:szCs w:val="24"/>
                    </w:rPr>
                    <w:t>优化能源结构，严格落实清洁能源计划，鼓励使用天然气电等清洁能源。燃气锅炉应采用低氮燃烧工艺。加强工业企业大气污染综合治理，各入驻企业应采取有效的废气处理措施，确保工艺废气稳定达标排放。严格按照国家及重庆市关于挥发性有机物治理的相关要求落实污染防治措施，涉及挥发性有机物排放的项目应从源头加强控制，优先使用低(无)VOCs含量的原辅料并按相关要求采用先进高效工艺，减少工艺过程无组织排放。汽车制造业、通用设备制造业企业应根据生产工艺、污染物类型对工艺废气实施分类收集、分质处理，按照“应收尽收”原则提高废气收集率。严格控制工业企业粉尘无组织排放，加强工业企业废气污染防治，确保厂界达标，减少对周边环境敏感目标的影响。</w:t>
                  </w:r>
                </w:p>
                <w:p w14:paraId="3C86FF7B">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int="eastAsia" w:hAnsi="宋体"/>
                      <w:color w:val="auto"/>
                      <w:sz w:val="24"/>
                      <w:szCs w:val="24"/>
                    </w:rPr>
                  </w:pPr>
                  <w:r>
                    <w:rPr>
                      <w:rFonts w:hint="eastAsia" w:hAnsi="宋体"/>
                      <w:color w:val="auto"/>
                      <w:sz w:val="24"/>
                      <w:szCs w:val="24"/>
                    </w:rPr>
                    <w:t>3.工业固体废物排放管控</w:t>
                  </w:r>
                </w:p>
                <w:p w14:paraId="53DB5EBD">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color w:val="auto"/>
                      <w:sz w:val="24"/>
                      <w:szCs w:val="24"/>
                    </w:rPr>
                  </w:pPr>
                  <w:r>
                    <w:rPr>
                      <w:rFonts w:hint="eastAsia" w:hAnsi="宋体"/>
                      <w:color w:val="auto"/>
                      <w:sz w:val="24"/>
                      <w:szCs w:val="24"/>
                    </w:rPr>
                    <w:t>加强一般工业固体废物综合利用和处置，鼓励企业自行回收利用一般工业固体废物，按减量化、资源化、无害化原则妥善收集、处置。危险废物产生单位应严格落实危险废物环境管理制度做好危险废物管理计划和管理台账，对项目危险废物收集、贮存运输、利用、处置各环节进行全过程环境监管;严格按照《危险废物贮存污染控制标准》(GB18597-2023)等有关规定，设置危险废物暂存场所;危险废物转移应严格执行《危险废物转移管理办法》(生态环境部公安部交通运输部部令第23号)等相关要求。</w:t>
                  </w:r>
                </w:p>
                <w:p w14:paraId="0351F31D">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color w:val="auto"/>
                      <w:sz w:val="24"/>
                      <w:szCs w:val="24"/>
                    </w:rPr>
                  </w:pPr>
                  <w:r>
                    <w:rPr>
                      <w:rFonts w:hint="eastAsia" w:hAnsi="宋体"/>
                      <w:color w:val="auto"/>
                      <w:sz w:val="24"/>
                      <w:szCs w:val="24"/>
                    </w:rPr>
                    <w:t>4.噪声污染管控。</w:t>
                  </w:r>
                </w:p>
                <w:p w14:paraId="4BE24161">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color w:val="auto"/>
                      <w:sz w:val="24"/>
                      <w:szCs w:val="24"/>
                    </w:rPr>
                  </w:pPr>
                  <w:r>
                    <w:rPr>
                      <w:rFonts w:hint="eastAsia" w:hAnsi="宋体"/>
                      <w:color w:val="auto"/>
                      <w:sz w:val="24"/>
                      <w:szCs w:val="24"/>
                    </w:rPr>
                    <w:t>加强交通噪声污染防治,合理规划工业片区运输线路和时间车辆实行限速、限时、禁鸣，减轻运输过程对沿线居民的影响，合理布局企业噪声源，高噪声源企业选址和布局尽量远离居住、学校等声环境敏感目标;工业企业应优先选择低噪声设备，采取消声、隔声、减振等措施，确保厂界噪声达标。</w:t>
                  </w:r>
                </w:p>
                <w:p w14:paraId="419D88C8">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color w:val="auto"/>
                      <w:sz w:val="24"/>
                      <w:szCs w:val="24"/>
                    </w:rPr>
                  </w:pPr>
                  <w:r>
                    <w:rPr>
                      <w:rFonts w:hint="eastAsia" w:hAnsi="宋体"/>
                      <w:color w:val="auto"/>
                      <w:sz w:val="24"/>
                      <w:szCs w:val="24"/>
                    </w:rPr>
                    <w:t>5.土壤、地下水污染风险防控。</w:t>
                  </w:r>
                </w:p>
                <w:p w14:paraId="14272BAC">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color w:val="auto"/>
                      <w:sz w:val="24"/>
                      <w:szCs w:val="24"/>
                    </w:rPr>
                  </w:pPr>
                  <w:r>
                    <w:rPr>
                      <w:rFonts w:hint="eastAsia" w:hAnsi="宋体"/>
                      <w:color w:val="auto"/>
                      <w:sz w:val="24"/>
                      <w:szCs w:val="24"/>
                    </w:rPr>
                    <w:t>规划区应按照《中华人民共和国土壤污染防治法》地下水管理条例》等相关要求加强区域土壤、地下水环境保护。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稳定达标。规划区应按照《重庆市建设用地土壤污染防治办法》等规定要求，依法开展土壤污染状况调查等工作，未达到土壤污染风险评估报告确定的风险管控、修复目标的地块，禁止开工建设任何与风险管控、修复无关的项目。</w:t>
                  </w:r>
                </w:p>
                <w:p w14:paraId="1093B287">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color w:val="auto"/>
                      <w:sz w:val="24"/>
                      <w:szCs w:val="24"/>
                    </w:rPr>
                  </w:pPr>
                  <w:r>
                    <w:rPr>
                      <w:rFonts w:hint="eastAsia" w:hAnsi="宋体"/>
                      <w:color w:val="auto"/>
                      <w:sz w:val="24"/>
                      <w:szCs w:val="24"/>
                    </w:rPr>
                    <w:t>6.碳排放管控。</w:t>
                  </w:r>
                </w:p>
                <w:p w14:paraId="078A1DCA">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color w:val="auto"/>
                      <w:sz w:val="24"/>
                      <w:szCs w:val="24"/>
                    </w:rPr>
                  </w:pPr>
                  <w:r>
                    <w:rPr>
                      <w:rFonts w:hint="eastAsia" w:hAnsi="宋体"/>
                      <w:color w:val="auto"/>
                      <w:sz w:val="24"/>
                      <w:szCs w:val="24"/>
                    </w:rPr>
                    <w:t>按照碳达峰、碳中和相关政策和国家减污降碳协同创新试点国家碳达峰试点要求，以能源、交通、产业等领域为重点，统筹抓好碳排放控制管理和生态环境保护工作，推动实现减污降碳协同共治。督促规划区企业采用先进的生产工艺，提高能源综合利用效率，从源头减少和控制温室气体排放，促进产业绿色低碳循环发展。</w:t>
                  </w:r>
                </w:p>
              </w:tc>
              <w:tc>
                <w:tcPr>
                  <w:tcW w:w="1028" w:type="pct"/>
                  <w:vAlign w:val="center"/>
                </w:tcPr>
                <w:p w14:paraId="64FA069C">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1.</w:t>
                  </w:r>
                  <w:r>
                    <w:rPr>
                      <w:rFonts w:hint="eastAsia"/>
                      <w:color w:val="auto"/>
                      <w:sz w:val="24"/>
                      <w:szCs w:val="24"/>
                      <w:highlight w:val="none"/>
                    </w:rPr>
                    <w:t>厂房生活污水</w:t>
                  </w:r>
                  <w:r>
                    <w:rPr>
                      <w:rFonts w:hint="eastAsia"/>
                      <w:color w:val="auto"/>
                      <w:sz w:val="24"/>
                      <w:szCs w:val="24"/>
                    </w:rPr>
                    <w:t>由已建成</w:t>
                  </w:r>
                  <w:r>
                    <w:rPr>
                      <w:color w:val="auto"/>
                      <w:sz w:val="24"/>
                      <w:szCs w:val="24"/>
                    </w:rPr>
                    <w:t>生化池处理达</w:t>
                  </w:r>
                  <w:r>
                    <w:rPr>
                      <w:color w:val="auto"/>
                      <w:kern w:val="1"/>
                      <w:sz w:val="24"/>
                      <w:szCs w:val="24"/>
                    </w:rPr>
                    <w:t>《污水综合排放标准》（GB8978-1996）三级标准</w:t>
                  </w:r>
                  <w:r>
                    <w:rPr>
                      <w:rFonts w:hint="eastAsia"/>
                      <w:color w:val="auto"/>
                      <w:kern w:val="1"/>
                      <w:sz w:val="24"/>
                      <w:szCs w:val="24"/>
                    </w:rPr>
                    <w:t>后</w:t>
                  </w:r>
                  <w:r>
                    <w:rPr>
                      <w:rFonts w:hint="eastAsia"/>
                      <w:color w:val="auto"/>
                      <w:sz w:val="24"/>
                      <w:szCs w:val="24"/>
                    </w:rPr>
                    <w:t>经园区污水管网进入</w:t>
                  </w:r>
                  <w:r>
                    <w:rPr>
                      <w:rFonts w:hAnsi="宋体"/>
                      <w:color w:val="auto"/>
                      <w:sz w:val="24"/>
                      <w:szCs w:val="24"/>
                    </w:rPr>
                    <w:t>西彭工业园区污水处理厂</w:t>
                  </w:r>
                  <w:r>
                    <w:rPr>
                      <w:color w:val="auto"/>
                      <w:sz w:val="24"/>
                      <w:szCs w:val="24"/>
                    </w:rPr>
                    <w:t>处理达标后排放。</w:t>
                  </w:r>
                  <w:r>
                    <w:rPr>
                      <w:rFonts w:hint="eastAsia"/>
                      <w:color w:val="auto"/>
                      <w:sz w:val="24"/>
                      <w:szCs w:val="24"/>
                    </w:rPr>
                    <w:t>本项目不涉及五类重金属(铬、镉、汞、砷、铅)剧毒物质和持久性有机污染物；</w:t>
                  </w:r>
                </w:p>
                <w:p w14:paraId="4DAA2D43">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color w:val="auto"/>
                      <w:sz w:val="24"/>
                      <w:szCs w:val="24"/>
                      <w:highlight w:val="yellow"/>
                    </w:rPr>
                  </w:pPr>
                  <w:r>
                    <w:rPr>
                      <w:rFonts w:hint="eastAsia"/>
                      <w:color w:val="auto"/>
                      <w:sz w:val="24"/>
                      <w:szCs w:val="24"/>
                    </w:rPr>
                    <w:t>2.项目使用清洁能源电能，</w:t>
                  </w:r>
                  <w:r>
                    <w:rPr>
                      <w:rFonts w:hint="eastAsia"/>
                      <w:color w:val="auto"/>
                      <w:sz w:val="24"/>
                      <w:szCs w:val="24"/>
                      <w:lang w:eastAsia="zh-CN"/>
                    </w:rPr>
                    <w:t>涂布、烘烤</w:t>
                  </w:r>
                  <w:r>
                    <w:rPr>
                      <w:rFonts w:hint="eastAsia"/>
                      <w:color w:val="auto"/>
                      <w:sz w:val="24"/>
                      <w:szCs w:val="24"/>
                    </w:rPr>
                    <w:t>废气经</w:t>
                  </w:r>
                  <w:r>
                    <w:rPr>
                      <w:rFonts w:hint="eastAsia"/>
                      <w:color w:val="auto"/>
                      <w:sz w:val="24"/>
                      <w:szCs w:val="24"/>
                      <w:lang w:eastAsia="zh-CN"/>
                    </w:rPr>
                    <w:t>过滤棉</w:t>
                  </w:r>
                  <w:r>
                    <w:rPr>
                      <w:rFonts w:hint="eastAsia"/>
                      <w:color w:val="auto"/>
                      <w:sz w:val="24"/>
                      <w:szCs w:val="24"/>
                      <w:lang w:val="en-US" w:eastAsia="zh-CN"/>
                    </w:rPr>
                    <w:t>+</w:t>
                  </w:r>
                  <w:r>
                    <w:rPr>
                      <w:rFonts w:hint="eastAsia"/>
                      <w:color w:val="auto"/>
                      <w:sz w:val="24"/>
                      <w:szCs w:val="24"/>
                      <w:lang w:eastAsia="zh-CN"/>
                    </w:rPr>
                    <w:t>二级活性炭吸附</w:t>
                  </w:r>
                  <w:r>
                    <w:rPr>
                      <w:rFonts w:hint="eastAsia"/>
                      <w:color w:val="auto"/>
                      <w:sz w:val="24"/>
                      <w:szCs w:val="24"/>
                    </w:rPr>
                    <w:t>措施处理后</w:t>
                  </w:r>
                  <w:r>
                    <w:rPr>
                      <w:rFonts w:hint="eastAsia"/>
                      <w:color w:val="auto"/>
                      <w:sz w:val="24"/>
                      <w:szCs w:val="24"/>
                      <w:lang w:eastAsia="zh-CN"/>
                    </w:rPr>
                    <w:t>有组织</w:t>
                  </w:r>
                  <w:r>
                    <w:rPr>
                      <w:rFonts w:hint="eastAsia"/>
                      <w:color w:val="auto"/>
                      <w:sz w:val="24"/>
                      <w:szCs w:val="24"/>
                    </w:rPr>
                    <w:t>排放。</w:t>
                  </w:r>
                </w:p>
                <w:p w14:paraId="021BDA0B">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color w:val="auto"/>
                      <w:sz w:val="24"/>
                      <w:szCs w:val="24"/>
                    </w:rPr>
                  </w:pPr>
                  <w:r>
                    <w:rPr>
                      <w:rFonts w:hint="eastAsia" w:hAnsi="宋体"/>
                      <w:color w:val="auto"/>
                      <w:sz w:val="24"/>
                      <w:szCs w:val="24"/>
                    </w:rPr>
                    <w:t>3.项目产生的工业固废能够妥善收集、处置固体废物。一般工业固废可由废品回收站回收等方式处置。危险废物分类收集，定期交有相应危废处理资质单位处置，严格落实危险废物环境管理制度等。生活垃圾由环卫部门统一清运。</w:t>
                  </w:r>
                </w:p>
                <w:p w14:paraId="015FFE32">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4.项目采取了隔声、减振等措施，厂界可达标。</w:t>
                  </w:r>
                </w:p>
                <w:p w14:paraId="269C76AE">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5.项目落实了分区防渗要求后，无土壤和地下水污染途径。</w:t>
                  </w:r>
                </w:p>
                <w:p w14:paraId="0EB22518">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6.本项目不涉及。</w:t>
                  </w:r>
                </w:p>
              </w:tc>
              <w:tc>
                <w:tcPr>
                  <w:tcW w:w="375" w:type="pct"/>
                  <w:vAlign w:val="center"/>
                </w:tcPr>
                <w:p w14:paraId="326FC997">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符合</w:t>
                  </w:r>
                </w:p>
              </w:tc>
            </w:tr>
            <w:tr w14:paraId="5C0258B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2" w:type="pct"/>
                  <w:vAlign w:val="center"/>
                </w:tcPr>
                <w:p w14:paraId="709EE1D4">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jc w:val="center"/>
                    <w:textAlignment w:val="auto"/>
                    <w:rPr>
                      <w:color w:val="auto"/>
                      <w:sz w:val="24"/>
                      <w:szCs w:val="24"/>
                    </w:rPr>
                  </w:pPr>
                  <w:r>
                    <w:rPr>
                      <w:color w:val="auto"/>
                      <w:sz w:val="24"/>
                      <w:szCs w:val="24"/>
                    </w:rPr>
                    <w:t>4</w:t>
                  </w:r>
                </w:p>
              </w:tc>
              <w:tc>
                <w:tcPr>
                  <w:tcW w:w="3286" w:type="pct"/>
                  <w:vAlign w:val="center"/>
                </w:tcPr>
                <w:p w14:paraId="5C41EE07">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rFonts w:hAnsi="宋体"/>
                      <w:b/>
                      <w:color w:val="auto"/>
                      <w:sz w:val="24"/>
                      <w:szCs w:val="24"/>
                    </w:rPr>
                  </w:pPr>
                  <w:r>
                    <w:rPr>
                      <w:rFonts w:hint="eastAsia" w:hAnsi="宋体"/>
                      <w:b/>
                      <w:color w:val="auto"/>
                      <w:sz w:val="24"/>
                      <w:szCs w:val="24"/>
                    </w:rPr>
                    <w:t>环境风险防控。</w:t>
                  </w:r>
                  <w:r>
                    <w:rPr>
                      <w:rFonts w:hint="eastAsia" w:hAnsi="宋体"/>
                      <w:b w:val="0"/>
                      <w:bCs/>
                      <w:color w:val="auto"/>
                      <w:sz w:val="24"/>
                      <w:szCs w:val="24"/>
                    </w:rPr>
                    <w:t>规划区应健全环境风险防范体系，按要求修订突发环境事件风险评估和应急预案，并定期开展突发性环境事件应急演练，以提升环境风险防范和事故应急处置能力。加强对企业环境风险源的监督管理，相关企业应严格落实各项环境风险防范措施，防范突发性环境风险事故发生，保障区域环境安全。西彭组团南侧临近长江区域开发建设时应同步在紧邻长江一侧雨水排放口设置雨污切换阀，并配套建设园区级事故池，确保事故废水得到有效收集、处理</w:t>
                  </w:r>
                  <w:r>
                    <w:rPr>
                      <w:rFonts w:hint="eastAsia" w:hAnsi="宋体"/>
                      <w:b w:val="0"/>
                      <w:bCs/>
                      <w:color w:val="auto"/>
                      <w:sz w:val="24"/>
                      <w:szCs w:val="24"/>
                      <w:lang w:eastAsia="zh-CN"/>
                    </w:rPr>
                    <w:t>；</w:t>
                  </w:r>
                  <w:r>
                    <w:rPr>
                      <w:rFonts w:hint="eastAsia" w:hAnsi="宋体"/>
                      <w:b w:val="0"/>
                      <w:bCs/>
                      <w:color w:val="auto"/>
                      <w:sz w:val="24"/>
                      <w:szCs w:val="24"/>
                    </w:rPr>
                    <w:t>西彭组团小冲沟以西尚未开发建设的区域，应禁止引入水环境风险较大或重大的项目。沿江1公里范围内规划仓储用地禁止新引入从事危险化学品储存、运输的仓储物流项目。铜罐驿组团应尽快完成金竹沟闸坝的建设，金竹沟闸坝未建成前，应强化现有重大环境风险源企业的日常环境风险监管，储备足够应急物资，定期开展应急演练，确保事故废水得到有效收集、处理。</w:t>
                  </w:r>
                </w:p>
              </w:tc>
              <w:tc>
                <w:tcPr>
                  <w:tcW w:w="1028" w:type="pct"/>
                  <w:vAlign w:val="center"/>
                </w:tcPr>
                <w:p w14:paraId="6E72F965">
                  <w:pPr>
                    <w:keepNext w:val="0"/>
                    <w:keepLines w:val="0"/>
                    <w:pageBreakBefore w:val="0"/>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项目位于西彭组团D</w:t>
                  </w:r>
                  <w:r>
                    <w:rPr>
                      <w:rFonts w:hint="eastAsia"/>
                      <w:color w:val="auto"/>
                      <w:sz w:val="24"/>
                      <w:szCs w:val="24"/>
                      <w:lang w:val="en-US" w:eastAsia="zh-CN"/>
                    </w:rPr>
                    <w:t>52</w:t>
                  </w:r>
                  <w:r>
                    <w:rPr>
                      <w:rFonts w:hint="eastAsia"/>
                      <w:color w:val="auto"/>
                      <w:sz w:val="24"/>
                      <w:szCs w:val="24"/>
                    </w:rPr>
                    <w:t>-</w:t>
                  </w:r>
                  <w:r>
                    <w:rPr>
                      <w:rFonts w:hint="eastAsia"/>
                      <w:color w:val="auto"/>
                      <w:sz w:val="24"/>
                      <w:szCs w:val="24"/>
                      <w:lang w:val="en-US" w:eastAsia="zh-CN"/>
                    </w:rPr>
                    <w:t>2</w:t>
                  </w:r>
                  <w:r>
                    <w:rPr>
                      <w:rFonts w:hint="eastAsia"/>
                      <w:color w:val="auto"/>
                      <w:sz w:val="24"/>
                      <w:szCs w:val="24"/>
                    </w:rPr>
                    <w:t>地块，不属于以上地块</w:t>
                  </w:r>
                  <w:r>
                    <w:rPr>
                      <w:rFonts w:hint="eastAsia"/>
                      <w:color w:val="auto"/>
                      <w:sz w:val="24"/>
                      <w:szCs w:val="24"/>
                      <w:lang w:eastAsia="zh-CN"/>
                    </w:rPr>
                    <w:t>，</w:t>
                  </w:r>
                  <w:r>
                    <w:rPr>
                      <w:rFonts w:hint="eastAsia"/>
                      <w:color w:val="auto"/>
                      <w:sz w:val="24"/>
                      <w:szCs w:val="24"/>
                    </w:rPr>
                    <w:t>不属于从事危险化学品存储的项目</w:t>
                  </w:r>
                  <w:r>
                    <w:rPr>
                      <w:rFonts w:hint="eastAsia"/>
                      <w:color w:val="auto"/>
                      <w:sz w:val="24"/>
                      <w:szCs w:val="24"/>
                      <w:lang w:eastAsia="zh-CN"/>
                    </w:rPr>
                    <w:t>。</w:t>
                  </w:r>
                  <w:r>
                    <w:rPr>
                      <w:rFonts w:hint="eastAsia"/>
                      <w:color w:val="auto"/>
                      <w:sz w:val="24"/>
                      <w:szCs w:val="24"/>
                    </w:rPr>
                    <w:t>建设单位将严格落实本次评价提出的环境风险防范措施，避免突发环境事件发生；</w:t>
                  </w:r>
                </w:p>
              </w:tc>
              <w:tc>
                <w:tcPr>
                  <w:tcW w:w="375" w:type="pct"/>
                  <w:vAlign w:val="center"/>
                </w:tcPr>
                <w:p w14:paraId="3AA4CD0A">
                  <w:pPr>
                    <w:keepNext w:val="0"/>
                    <w:keepLines w:val="0"/>
                    <w:pageBreakBefore w:val="0"/>
                    <w:widowControl/>
                    <w:tabs>
                      <w:tab w:val="left" w:pos="5208"/>
                    </w:tabs>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符合</w:t>
                  </w:r>
                </w:p>
              </w:tc>
            </w:tr>
            <w:tr w14:paraId="1823697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12" w:type="pct"/>
                  <w:vAlign w:val="center"/>
                </w:tcPr>
                <w:p w14:paraId="64D6598D">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jc w:val="center"/>
                    <w:textAlignment w:val="auto"/>
                    <w:rPr>
                      <w:color w:val="auto"/>
                      <w:sz w:val="24"/>
                      <w:szCs w:val="24"/>
                    </w:rPr>
                  </w:pPr>
                  <w:r>
                    <w:rPr>
                      <w:color w:val="auto"/>
                      <w:sz w:val="24"/>
                      <w:szCs w:val="24"/>
                    </w:rPr>
                    <w:t>5</w:t>
                  </w:r>
                </w:p>
              </w:tc>
              <w:tc>
                <w:tcPr>
                  <w:tcW w:w="3286" w:type="pct"/>
                  <w:vAlign w:val="center"/>
                </w:tcPr>
                <w:p w14:paraId="3FE99674">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textAlignment w:val="auto"/>
                    <w:rPr>
                      <w:rFonts w:hint="eastAsia" w:hAnsi="宋体"/>
                      <w:b w:val="0"/>
                      <w:bCs/>
                      <w:color w:val="auto"/>
                      <w:sz w:val="24"/>
                      <w:szCs w:val="24"/>
                    </w:rPr>
                  </w:pPr>
                  <w:r>
                    <w:rPr>
                      <w:rFonts w:hint="eastAsia" w:hAnsi="宋体"/>
                      <w:b/>
                      <w:color w:val="auto"/>
                      <w:sz w:val="24"/>
                      <w:szCs w:val="24"/>
                    </w:rPr>
                    <w:t>规范环境管理。</w:t>
                  </w:r>
                  <w:r>
                    <w:rPr>
                      <w:rFonts w:hint="eastAsia" w:hAnsi="宋体"/>
                      <w:b w:val="0"/>
                      <w:bCs/>
                      <w:color w:val="auto"/>
                      <w:sz w:val="24"/>
                      <w:szCs w:val="24"/>
                    </w:rPr>
                    <w:t>加强日常环境监管，落实建设项目环境影响评价和固定污染源排污许可制度，规划区应建立环境空气、地表水、地下水、土壤等环境要素的监控体系，落实环境跟踪监测计划，适时开展环境影响跟踪评价。规划在实施过程中，若规划范围、规划期限规模及结构、布局等方面发生重大调整或修订的，应重新或补充进行规划环境影响评价。</w:t>
                  </w:r>
                </w:p>
                <w:p w14:paraId="695129E3">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textAlignment w:val="auto"/>
                    <w:rPr>
                      <w:rFonts w:hAnsi="宋体"/>
                      <w:b/>
                      <w:color w:val="auto"/>
                      <w:sz w:val="24"/>
                      <w:szCs w:val="24"/>
                    </w:rPr>
                  </w:pPr>
                  <w:r>
                    <w:rPr>
                      <w:rFonts w:hint="eastAsia" w:hAnsi="宋体"/>
                      <w:b w:val="0"/>
                      <w:bCs/>
                      <w:color w:val="auto"/>
                      <w:sz w:val="24"/>
                      <w:szCs w:val="24"/>
                    </w:rPr>
                    <w:t>规划区内后续拟引入的建设项目，应结合规划环评提出的指导意见做好环境影响评价工作，加强与规划环评的联动，严格生态环境准入要求，重点做好工程分析、污染物允许排放量测算和环保措施可行性论证等内容。对与规划主导产业定位相符的建设项目，环境政策符合性、环境现状调查等内容可适当简化</w:t>
                  </w:r>
                  <w:r>
                    <w:rPr>
                      <w:rFonts w:hint="eastAsia" w:hAnsi="宋体"/>
                      <w:color w:val="auto"/>
                      <w:sz w:val="24"/>
                      <w:szCs w:val="24"/>
                    </w:rPr>
                    <w:t>。</w:t>
                  </w:r>
                </w:p>
              </w:tc>
              <w:tc>
                <w:tcPr>
                  <w:tcW w:w="1028" w:type="pct"/>
                  <w:vAlign w:val="center"/>
                </w:tcPr>
                <w:p w14:paraId="23072A5B">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color w:val="auto"/>
                      <w:sz w:val="24"/>
                      <w:szCs w:val="24"/>
                    </w:rPr>
                    <w:t>项目严格执行</w:t>
                  </w:r>
                  <w:r>
                    <w:rPr>
                      <w:rFonts w:hint="eastAsia" w:hAnsi="宋体"/>
                      <w:color w:val="auto"/>
                      <w:sz w:val="24"/>
                      <w:szCs w:val="24"/>
                    </w:rPr>
                    <w:t>建设项目环境影响评价和固定污染源排污许可制度。</w:t>
                  </w:r>
                </w:p>
              </w:tc>
              <w:tc>
                <w:tcPr>
                  <w:tcW w:w="375" w:type="pct"/>
                  <w:vAlign w:val="center"/>
                </w:tcPr>
                <w:p w14:paraId="18CF0B73">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textAlignment w:val="auto"/>
                    <w:rPr>
                      <w:color w:val="auto"/>
                      <w:sz w:val="24"/>
                      <w:szCs w:val="24"/>
                    </w:rPr>
                  </w:pPr>
                  <w:r>
                    <w:rPr>
                      <w:rFonts w:hint="eastAsia"/>
                      <w:color w:val="auto"/>
                      <w:sz w:val="24"/>
                      <w:szCs w:val="24"/>
                    </w:rPr>
                    <w:t>符合</w:t>
                  </w:r>
                </w:p>
              </w:tc>
            </w:tr>
          </w:tbl>
          <w:p w14:paraId="469A6C7B">
            <w:pPr>
              <w:spacing w:before="120" w:beforeLines="50"/>
              <w:ind w:firstLine="560"/>
              <w:rPr>
                <w:color w:val="auto"/>
                <w:lang w:val="zh-CN"/>
              </w:rPr>
            </w:pPr>
            <w:r>
              <w:rPr>
                <w:rFonts w:hint="eastAsia"/>
                <w:color w:val="auto"/>
                <w:sz w:val="28"/>
                <w:lang w:val="zh-CN"/>
              </w:rPr>
              <w:t>由上表可知，本项目符合规划环评审查意见。</w:t>
            </w:r>
          </w:p>
        </w:tc>
      </w:tr>
      <w:tr w14:paraId="130D7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Align w:val="center"/>
          </w:tcPr>
          <w:p w14:paraId="2F17AC81">
            <w:pPr>
              <w:pStyle w:val="49"/>
              <w:rPr>
                <w:color w:val="auto"/>
                <w:sz w:val="28"/>
                <w:szCs w:val="28"/>
              </w:rPr>
            </w:pPr>
            <w:r>
              <w:rPr>
                <w:rFonts w:hint="eastAsia"/>
                <w:color w:val="auto"/>
                <w:sz w:val="28"/>
                <w:szCs w:val="28"/>
              </w:rPr>
              <w:t>其他符合性分析</w:t>
            </w:r>
          </w:p>
        </w:tc>
        <w:tc>
          <w:tcPr>
            <w:tcW w:w="7477" w:type="dxa"/>
            <w:gridSpan w:val="3"/>
            <w:vAlign w:val="center"/>
          </w:tcPr>
          <w:p w14:paraId="6717B526">
            <w:pPr>
              <w:pStyle w:val="140"/>
              <w:spacing w:before="120" w:beforeLines="50"/>
              <w:rPr>
                <w:color w:val="auto"/>
                <w:sz w:val="28"/>
                <w:szCs w:val="28"/>
              </w:rPr>
            </w:pPr>
            <w:r>
              <w:rPr>
                <w:rFonts w:hint="eastAsia" w:ascii="仿宋" w:hAnsi="仿宋" w:eastAsia="仿宋" w:cs="仿宋"/>
                <w:b/>
                <w:bCs/>
                <w:color w:val="auto"/>
                <w:sz w:val="28"/>
                <w:szCs w:val="28"/>
                <w:lang w:val="zh-CN"/>
              </w:rPr>
              <w:t>1.</w:t>
            </w:r>
            <w:r>
              <w:rPr>
                <w:rFonts w:hint="eastAsia"/>
                <w:color w:val="auto"/>
                <w:sz w:val="28"/>
                <w:szCs w:val="28"/>
              </w:rPr>
              <w:t>与《产业结构调整指导目录（20</w:t>
            </w:r>
            <w:r>
              <w:rPr>
                <w:color w:val="auto"/>
                <w:sz w:val="28"/>
                <w:szCs w:val="28"/>
              </w:rPr>
              <w:t>24</w:t>
            </w:r>
            <w:r>
              <w:rPr>
                <w:rFonts w:hint="eastAsia"/>
                <w:color w:val="auto"/>
                <w:sz w:val="28"/>
                <w:szCs w:val="28"/>
              </w:rPr>
              <w:t>年本）》的符合性分析</w:t>
            </w:r>
          </w:p>
          <w:p w14:paraId="70517637">
            <w:pPr>
              <w:pStyle w:val="49"/>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color w:val="auto"/>
                <w:sz w:val="28"/>
                <w:szCs w:val="28"/>
              </w:rPr>
            </w:pPr>
            <w:r>
              <w:rPr>
                <w:rFonts w:hint="eastAsia"/>
                <w:color w:val="auto"/>
                <w:sz w:val="28"/>
                <w:szCs w:val="28"/>
              </w:rPr>
              <w:t>项目属于C2929塑料零件及其他塑料制品制造</w:t>
            </w:r>
            <w:r>
              <w:rPr>
                <w:rFonts w:hint="eastAsia"/>
                <w:color w:val="auto"/>
                <w:sz w:val="28"/>
                <w:szCs w:val="28"/>
                <w:lang w:eastAsia="zh-CN"/>
              </w:rPr>
              <w:t>、</w:t>
            </w:r>
            <w:r>
              <w:rPr>
                <w:rFonts w:hint="eastAsia"/>
                <w:color w:val="auto"/>
                <w:sz w:val="28"/>
                <w:szCs w:val="28"/>
                <w:lang w:val="en-US" w:eastAsia="zh-CN"/>
              </w:rPr>
              <w:t>C3670汽车零部件及配件制造</w:t>
            </w:r>
            <w:r>
              <w:rPr>
                <w:rFonts w:hint="eastAsia"/>
                <w:color w:val="auto"/>
                <w:sz w:val="28"/>
                <w:szCs w:val="28"/>
              </w:rPr>
              <w:t>，主要生产</w:t>
            </w:r>
            <w:r>
              <w:rPr>
                <w:rFonts w:hint="eastAsia"/>
                <w:color w:val="auto"/>
                <w:sz w:val="28"/>
                <w:szCs w:val="28"/>
                <w:highlight w:val="none"/>
                <w:lang w:eastAsia="zh-CN"/>
              </w:rPr>
              <w:t>隔音、隔热棉</w:t>
            </w:r>
            <w:r>
              <w:rPr>
                <w:rFonts w:hint="eastAsia"/>
                <w:color w:val="auto"/>
                <w:sz w:val="28"/>
                <w:szCs w:val="28"/>
              </w:rPr>
              <w:t>，根据《产业结构调整指导目录（2024年本）》，项目不属于限制类和淘汰类，属于允许类。项目已取得</w:t>
            </w:r>
            <w:r>
              <w:rPr>
                <w:rFonts w:hint="eastAsia"/>
                <w:color w:val="auto"/>
                <w:sz w:val="28"/>
                <w:szCs w:val="28"/>
                <w:highlight w:val="none"/>
              </w:rPr>
              <w:t>重庆市九龙坡区</w:t>
            </w:r>
            <w:r>
              <w:rPr>
                <w:rFonts w:hint="eastAsia"/>
                <w:color w:val="auto"/>
                <w:sz w:val="28"/>
                <w:szCs w:val="28"/>
                <w:highlight w:val="none"/>
                <w:lang w:eastAsia="zh-CN"/>
              </w:rPr>
              <w:t>发展</w:t>
            </w:r>
            <w:r>
              <w:rPr>
                <w:rFonts w:hint="eastAsia"/>
                <w:color w:val="auto"/>
                <w:sz w:val="28"/>
                <w:szCs w:val="28"/>
                <w:highlight w:val="none"/>
              </w:rPr>
              <w:t>和</w:t>
            </w:r>
            <w:r>
              <w:rPr>
                <w:rFonts w:hint="eastAsia"/>
                <w:color w:val="auto"/>
                <w:sz w:val="28"/>
                <w:szCs w:val="28"/>
                <w:highlight w:val="none"/>
                <w:lang w:eastAsia="zh-CN"/>
              </w:rPr>
              <w:t>改革</w:t>
            </w:r>
            <w:r>
              <w:rPr>
                <w:rFonts w:hint="eastAsia"/>
                <w:color w:val="auto"/>
                <w:sz w:val="28"/>
                <w:szCs w:val="28"/>
                <w:highlight w:val="none"/>
              </w:rPr>
              <w:t>委员会发布的投资备案证（编号：604-500107-04-01-624099）</w:t>
            </w:r>
            <w:r>
              <w:rPr>
                <w:rFonts w:hint="eastAsia"/>
                <w:color w:val="auto"/>
                <w:sz w:val="28"/>
                <w:szCs w:val="28"/>
              </w:rPr>
              <w:t>，符合国家产业政策。</w:t>
            </w:r>
          </w:p>
          <w:p w14:paraId="60FDB03E">
            <w:pPr>
              <w:pStyle w:val="46"/>
              <w:ind w:left="0" w:leftChars="0" w:firstLine="0" w:firstLineChars="0"/>
              <w:rPr>
                <w:rFonts w:ascii="仿宋" w:hAnsi="仿宋" w:eastAsia="仿宋" w:cs="仿宋"/>
                <w:b/>
                <w:bCs/>
                <w:color w:val="auto"/>
                <w:sz w:val="28"/>
                <w:szCs w:val="28"/>
                <w:lang w:val="zh-CN"/>
              </w:rPr>
            </w:pPr>
            <w:r>
              <w:rPr>
                <w:rFonts w:hint="eastAsia" w:ascii="仿宋" w:hAnsi="仿宋" w:eastAsia="仿宋" w:cs="仿宋"/>
                <w:b/>
                <w:bCs/>
                <w:color w:val="auto"/>
                <w:sz w:val="28"/>
                <w:szCs w:val="28"/>
                <w:lang w:val="en-US" w:eastAsia="zh-CN"/>
              </w:rPr>
              <w:t>2.</w:t>
            </w:r>
            <w:r>
              <w:rPr>
                <w:rFonts w:hint="eastAsia" w:ascii="仿宋" w:hAnsi="仿宋" w:eastAsia="仿宋" w:cs="仿宋"/>
                <w:b/>
                <w:bCs/>
                <w:color w:val="auto"/>
                <w:sz w:val="28"/>
                <w:szCs w:val="28"/>
                <w:lang w:val="zh-CN"/>
              </w:rPr>
              <w:t>与生态环境分区管控符合性分析</w:t>
            </w:r>
          </w:p>
          <w:p w14:paraId="69FB22E9">
            <w:pPr>
              <w:pStyle w:val="46"/>
              <w:ind w:firstLine="560"/>
              <w:rPr>
                <w:rFonts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（1）项目与环境管控单元位置关系</w:t>
            </w:r>
          </w:p>
          <w:p w14:paraId="213D0E0D">
            <w:pPr>
              <w:pStyle w:val="46"/>
              <w:ind w:firstLine="560"/>
              <w:rPr>
                <w:rFonts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根据《重庆市生态环境局关于印发《重庆市“三线一单”生态环境分区管控调整方案（2023年）》的通知》（渝环规〔2024〕2号）、《重庆市</w:t>
            </w:r>
            <w:r>
              <w:rPr>
                <w:rFonts w:hint="eastAsia" w:ascii="仿宋" w:hAnsi="仿宋" w:eastAsia="仿宋" w:cs="仿宋"/>
                <w:b w:val="0"/>
                <w:bCs/>
                <w:color w:val="auto"/>
                <w:sz w:val="28"/>
                <w:szCs w:val="28"/>
                <w:highlight w:val="none"/>
                <w:lang w:val="zh-CN"/>
              </w:rPr>
              <w:t>九龙坡区</w:t>
            </w:r>
            <w:r>
              <w:rPr>
                <w:rFonts w:hint="eastAsia" w:ascii="仿宋" w:hAnsi="仿宋" w:eastAsia="仿宋" w:cs="仿宋"/>
                <w:b w:val="0"/>
                <w:bCs/>
                <w:color w:val="auto"/>
                <w:sz w:val="28"/>
                <w:szCs w:val="28"/>
                <w:lang w:val="zh-CN"/>
              </w:rPr>
              <w:t>“三线一单”生态环境分区管控调整方案（2023年）》文件要求：</w:t>
            </w:r>
          </w:p>
          <w:p w14:paraId="5657FA3E">
            <w:pPr>
              <w:pStyle w:val="46"/>
              <w:ind w:firstLine="560"/>
              <w:rPr>
                <w:rFonts w:ascii="仿宋" w:hAnsi="仿宋" w:eastAsia="仿宋" w:cs="仿宋"/>
                <w:b w:val="0"/>
                <w:bCs/>
                <w:color w:val="auto"/>
                <w:sz w:val="28"/>
                <w:szCs w:val="28"/>
                <w:lang w:val="zh-CN"/>
              </w:rPr>
            </w:pPr>
            <w:r>
              <w:rPr>
                <w:rFonts w:hint="eastAsia" w:ascii="仿宋" w:hAnsi="仿宋" w:eastAsia="仿宋" w:cs="仿宋"/>
                <w:b w:val="0"/>
                <w:bCs/>
                <w:color w:val="auto"/>
                <w:sz w:val="28"/>
                <w:szCs w:val="28"/>
                <w:lang w:val="zh-CN"/>
              </w:rPr>
              <w:t>环境管控单元包括优先保护单元、重点管控单元、一般管控单元三类。优先保护单元指以生态环境保护为主的区域，主要包括饮用水水源保护区、环境空气一类功能区等。重点管控单元指涉及水、大气、土壤、自然资源等资源环境要素重点管控的区域，主要包括人口密集的城镇规划区和产业集聚的工业园区（工业集聚区）。一般管控单元指除优先保护单元和重点管控单元之外的其他区域。优先保护单元依法禁止或限制大规模、高强度的工业和城镇建设，在功能受损的优先保护单元优先开展生态保护修复活动，恢复生态系统服务功能。重点管控单元优化空间布局，不断提升资源利用效率，有针对性地加强污染物排放控制和环境风险防控，解决生态环境质量不达标、生态环境风险高等问题。一般管控单元主要落实生态环境保护基本要求。</w:t>
            </w:r>
          </w:p>
          <w:p w14:paraId="7F1E4621">
            <w:pPr>
              <w:pStyle w:val="46"/>
              <w:ind w:firstLine="560"/>
              <w:rPr>
                <w:color w:val="auto"/>
                <w:lang w:val="zh-CN"/>
              </w:rPr>
            </w:pPr>
            <w:r>
              <w:rPr>
                <w:rFonts w:hint="eastAsia" w:ascii="仿宋" w:hAnsi="仿宋" w:eastAsia="仿宋" w:cs="仿宋"/>
                <w:b w:val="0"/>
                <w:bCs/>
                <w:color w:val="auto"/>
                <w:sz w:val="28"/>
                <w:szCs w:val="28"/>
                <w:lang w:val="zh-CN"/>
              </w:rPr>
              <w:t>项目位于重庆市九龙坡区西彭镇森迪大道139号3号楼2层和3层</w:t>
            </w:r>
            <w:r>
              <w:rPr>
                <w:rFonts w:hint="eastAsia" w:ascii="仿宋" w:hAnsi="仿宋" w:eastAsia="仿宋" w:cs="仿宋"/>
                <w:b w:val="0"/>
                <w:bCs/>
                <w:color w:val="auto"/>
                <w:sz w:val="28"/>
                <w:szCs w:val="28"/>
                <w:highlight w:val="none"/>
                <w:lang w:val="zh-CN"/>
              </w:rPr>
              <w:t>，结合九龙坡</w:t>
            </w:r>
            <w:r>
              <w:rPr>
                <w:rFonts w:hint="eastAsia" w:ascii="仿宋" w:hAnsi="仿宋" w:eastAsia="仿宋" w:cs="仿宋"/>
                <w:b w:val="0"/>
                <w:bCs/>
                <w:color w:val="auto"/>
                <w:sz w:val="28"/>
                <w:szCs w:val="28"/>
                <w:lang w:val="zh-CN"/>
              </w:rPr>
              <w:t>区生态环境管控单元划分情况，本项目所属管控单元为</w:t>
            </w:r>
            <w:r>
              <w:rPr>
                <w:rFonts w:hint="eastAsia" w:ascii="仿宋" w:hAnsi="仿宋" w:eastAsia="仿宋" w:cs="仿宋"/>
                <w:b w:val="0"/>
                <w:bCs/>
                <w:color w:val="auto"/>
                <w:sz w:val="28"/>
                <w:szCs w:val="28"/>
                <w:lang w:val="zh-CN" w:eastAsia="zh-CN"/>
              </w:rPr>
              <w:t>九龙坡区工业城镇重点管控单元-九龙西城片区</w:t>
            </w:r>
            <w:r>
              <w:rPr>
                <w:rFonts w:hint="eastAsia" w:ascii="仿宋" w:hAnsi="仿宋" w:eastAsia="仿宋" w:cs="仿宋"/>
                <w:b w:val="0"/>
                <w:bCs/>
                <w:color w:val="auto"/>
                <w:sz w:val="28"/>
                <w:szCs w:val="28"/>
                <w:highlight w:val="none"/>
                <w:lang w:val="zh-CN"/>
              </w:rPr>
              <w:t>，管控单元编码为</w:t>
            </w:r>
            <w:r>
              <w:rPr>
                <w:rFonts w:hint="eastAsia" w:ascii="仿宋" w:hAnsi="仿宋" w:eastAsia="仿宋" w:cs="仿宋"/>
                <w:b w:val="0"/>
                <w:bCs/>
                <w:color w:val="auto"/>
                <w:sz w:val="28"/>
                <w:szCs w:val="28"/>
                <w:highlight w:val="none"/>
                <w:lang w:val="zh-CN" w:eastAsia="zh-CN"/>
              </w:rPr>
              <w:t>ZH50010720002</w:t>
            </w:r>
            <w:r>
              <w:rPr>
                <w:rFonts w:hint="eastAsia" w:ascii="仿宋" w:hAnsi="仿宋" w:eastAsia="仿宋" w:cs="仿宋"/>
                <w:b w:val="0"/>
                <w:bCs/>
                <w:color w:val="auto"/>
                <w:sz w:val="28"/>
                <w:szCs w:val="28"/>
                <w:highlight w:val="none"/>
                <w:lang w:val="zh-CN"/>
              </w:rPr>
              <w:t>；</w:t>
            </w:r>
            <w:r>
              <w:rPr>
                <w:rFonts w:hint="eastAsia" w:ascii="仿宋" w:hAnsi="仿宋" w:eastAsia="仿宋" w:cs="仿宋"/>
                <w:b w:val="0"/>
                <w:bCs/>
                <w:color w:val="auto"/>
                <w:sz w:val="28"/>
                <w:szCs w:val="28"/>
                <w:lang w:val="zh-CN"/>
              </w:rPr>
              <w:t>不涉及优先保护单元（饮用水源保护区、环境空气一类功能区等）：</w:t>
            </w:r>
          </w:p>
        </w:tc>
      </w:tr>
    </w:tbl>
    <w:p w14:paraId="0018737D">
      <w:pPr>
        <w:pStyle w:val="49"/>
        <w:rPr>
          <w:color w:val="auto"/>
          <w:sz w:val="28"/>
          <w:szCs w:val="28"/>
        </w:rPr>
      </w:pPr>
      <w:r>
        <w:rPr>
          <w:rFonts w:hint="eastAsia"/>
          <w:color w:val="auto"/>
          <w:sz w:val="28"/>
          <w:szCs w:val="28"/>
        </w:rPr>
        <w:br w:type="page"/>
      </w:r>
    </w:p>
    <w:p w14:paraId="52603CF7">
      <w:pPr>
        <w:pStyle w:val="49"/>
        <w:rPr>
          <w:color w:val="auto"/>
          <w:sz w:val="28"/>
          <w:szCs w:val="28"/>
        </w:rPr>
        <w:sectPr>
          <w:headerReference r:id="rId7" w:type="default"/>
          <w:footerReference r:id="rId8" w:type="default"/>
          <w:pgSz w:w="11906" w:h="16838"/>
          <w:pgMar w:top="1701" w:right="1531" w:bottom="1701" w:left="1531" w:header="851" w:footer="1077" w:gutter="0"/>
          <w:pgNumType w:start="1"/>
          <w:cols w:space="720" w:num="1"/>
          <w:docGrid w:linePitch="312" w:charSpace="0"/>
        </w:sectPr>
      </w:pPr>
    </w:p>
    <w:tbl>
      <w:tblPr>
        <w:tblStyle w:val="32"/>
        <w:tblW w:w="13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6"/>
      </w:tblGrid>
      <w:tr w14:paraId="447A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rPr>
        <w:tc>
          <w:tcPr>
            <w:tcW w:w="13426" w:type="dxa"/>
          </w:tcPr>
          <w:p w14:paraId="095E739F">
            <w:pPr>
              <w:spacing w:line="240" w:lineRule="auto"/>
              <w:ind w:firstLine="480"/>
              <w:jc w:val="center"/>
              <w:rPr>
                <w:color w:val="auto"/>
                <w:sz w:val="24"/>
              </w:rPr>
            </w:pPr>
            <w:r>
              <w:rPr>
                <w:rFonts w:hint="eastAsia"/>
                <w:color w:val="auto"/>
                <w:sz w:val="24"/>
              </w:rPr>
              <w:t>表1-4建设项目与生态环境分区管控符合性分析表</w:t>
            </w:r>
          </w:p>
          <w:tbl>
            <w:tblPr>
              <w:tblStyle w:val="32"/>
              <w:tblW w:w="13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825"/>
              <w:gridCol w:w="987"/>
              <w:gridCol w:w="4737"/>
              <w:gridCol w:w="3114"/>
              <w:gridCol w:w="1219"/>
            </w:tblGrid>
            <w:tr w14:paraId="76AA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5" w:type="dxa"/>
                  <w:gridSpan w:val="3"/>
                  <w:vAlign w:val="center"/>
                </w:tcPr>
                <w:p w14:paraId="05B2EC86">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环境管控单元编码</w:t>
                  </w:r>
                </w:p>
              </w:tc>
              <w:tc>
                <w:tcPr>
                  <w:tcW w:w="4737" w:type="dxa"/>
                  <w:vAlign w:val="center"/>
                </w:tcPr>
                <w:p w14:paraId="3DBE5960">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环境管控单元名称</w:t>
                  </w:r>
                </w:p>
              </w:tc>
              <w:tc>
                <w:tcPr>
                  <w:tcW w:w="4333" w:type="dxa"/>
                  <w:gridSpan w:val="2"/>
                  <w:vAlign w:val="center"/>
                </w:tcPr>
                <w:p w14:paraId="49AF847E">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环境管控单元类型</w:t>
                  </w:r>
                </w:p>
              </w:tc>
            </w:tr>
            <w:tr w14:paraId="08C6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5" w:type="dxa"/>
                  <w:gridSpan w:val="3"/>
                  <w:vAlign w:val="center"/>
                </w:tcPr>
                <w:p w14:paraId="1ACB0C41">
                  <w:pPr>
                    <w:pStyle w:val="46"/>
                    <w:spacing w:line="240" w:lineRule="auto"/>
                    <w:ind w:firstLine="0" w:firstLineChars="0"/>
                    <w:jc w:val="center"/>
                    <w:rPr>
                      <w:rFonts w:ascii="仿宋" w:hAnsi="仿宋" w:eastAsia="仿宋" w:cs="仿宋"/>
                      <w:b w:val="0"/>
                      <w:bCs/>
                      <w:color w:val="auto"/>
                      <w:highlight w:val="yellow"/>
                    </w:rPr>
                  </w:pPr>
                  <w:r>
                    <w:rPr>
                      <w:rFonts w:hint="eastAsia" w:ascii="仿宋" w:hAnsi="仿宋" w:eastAsia="仿宋" w:cs="仿宋"/>
                      <w:b w:val="0"/>
                      <w:bCs/>
                      <w:color w:val="auto"/>
                      <w:highlight w:val="none"/>
                      <w:lang w:val="zh-CN" w:eastAsia="zh-CN"/>
                    </w:rPr>
                    <w:t>ZH50010720002</w:t>
                  </w:r>
                </w:p>
              </w:tc>
              <w:tc>
                <w:tcPr>
                  <w:tcW w:w="4737" w:type="dxa"/>
                  <w:vAlign w:val="center"/>
                </w:tcPr>
                <w:p w14:paraId="7819C257">
                  <w:pPr>
                    <w:pStyle w:val="46"/>
                    <w:spacing w:line="240" w:lineRule="auto"/>
                    <w:ind w:firstLine="0" w:firstLineChars="0"/>
                    <w:jc w:val="center"/>
                    <w:rPr>
                      <w:rFonts w:ascii="仿宋" w:hAnsi="仿宋" w:eastAsia="仿宋" w:cs="仿宋"/>
                      <w:b w:val="0"/>
                      <w:bCs/>
                      <w:color w:val="auto"/>
                      <w:highlight w:val="yellow"/>
                    </w:rPr>
                  </w:pPr>
                  <w:r>
                    <w:rPr>
                      <w:rFonts w:hint="eastAsia" w:ascii="仿宋" w:hAnsi="仿宋" w:eastAsia="仿宋" w:cs="仿宋"/>
                      <w:b w:val="0"/>
                      <w:bCs/>
                      <w:color w:val="auto"/>
                      <w:highlight w:val="none"/>
                      <w:lang w:val="zh-CN" w:eastAsia="zh-CN"/>
                    </w:rPr>
                    <w:t>九龙坡区工业城镇重点管控单元-九龙西城片区</w:t>
                  </w:r>
                </w:p>
              </w:tc>
              <w:tc>
                <w:tcPr>
                  <w:tcW w:w="4333" w:type="dxa"/>
                  <w:gridSpan w:val="2"/>
                  <w:vAlign w:val="center"/>
                </w:tcPr>
                <w:p w14:paraId="569294BB">
                  <w:pPr>
                    <w:pStyle w:val="46"/>
                    <w:spacing w:line="240" w:lineRule="auto"/>
                    <w:ind w:firstLine="0" w:firstLineChars="0"/>
                    <w:jc w:val="center"/>
                    <w:rPr>
                      <w:rFonts w:ascii="仿宋" w:hAnsi="仿宋" w:eastAsia="仿宋" w:cs="仿宋"/>
                      <w:b w:val="0"/>
                      <w:bCs/>
                      <w:color w:val="auto"/>
                      <w:highlight w:val="yellow"/>
                    </w:rPr>
                  </w:pPr>
                  <w:r>
                    <w:rPr>
                      <w:rFonts w:ascii="仿宋" w:hAnsi="仿宋" w:eastAsia="仿宋" w:cs="仿宋"/>
                      <w:b w:val="0"/>
                      <w:bCs/>
                      <w:color w:val="auto"/>
                      <w:highlight w:val="none"/>
                      <w:lang w:val="en-US" w:eastAsia="zh-CN"/>
                    </w:rPr>
                    <w:t>重点管控单元</w:t>
                  </w:r>
                </w:p>
              </w:tc>
            </w:tr>
            <w:tr w14:paraId="5887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14:paraId="227F4711">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管控要求层级</w:t>
                  </w:r>
                </w:p>
              </w:tc>
              <w:tc>
                <w:tcPr>
                  <w:tcW w:w="1825" w:type="dxa"/>
                  <w:vAlign w:val="center"/>
                </w:tcPr>
                <w:p w14:paraId="695DAF26">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管控类型</w:t>
                  </w:r>
                </w:p>
              </w:tc>
              <w:tc>
                <w:tcPr>
                  <w:tcW w:w="5724" w:type="dxa"/>
                  <w:gridSpan w:val="2"/>
                  <w:vAlign w:val="center"/>
                </w:tcPr>
                <w:p w14:paraId="678CCFC9">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管控要求</w:t>
                  </w:r>
                </w:p>
              </w:tc>
              <w:tc>
                <w:tcPr>
                  <w:tcW w:w="3114" w:type="dxa"/>
                  <w:vAlign w:val="center"/>
                </w:tcPr>
                <w:p w14:paraId="5BB316CA">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建设项目相关情况</w:t>
                  </w:r>
                </w:p>
              </w:tc>
              <w:tc>
                <w:tcPr>
                  <w:tcW w:w="1219" w:type="dxa"/>
                  <w:vAlign w:val="center"/>
                </w:tcPr>
                <w:p w14:paraId="5CAECD9C">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符合性分析结论</w:t>
                  </w:r>
                </w:p>
              </w:tc>
            </w:tr>
            <w:tr w14:paraId="2716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2" w:hRule="atLeast"/>
              </w:trPr>
              <w:tc>
                <w:tcPr>
                  <w:tcW w:w="1313" w:type="dxa"/>
                  <w:vMerge w:val="restart"/>
                  <w:vAlign w:val="center"/>
                </w:tcPr>
                <w:p w14:paraId="1DBEF805">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重庆市总体管控要求</w:t>
                  </w:r>
                </w:p>
              </w:tc>
              <w:tc>
                <w:tcPr>
                  <w:tcW w:w="1825" w:type="dxa"/>
                  <w:vMerge w:val="restart"/>
                  <w:vAlign w:val="center"/>
                </w:tcPr>
                <w:p w14:paraId="0DAD50F9">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空间布局约束</w:t>
                  </w:r>
                </w:p>
              </w:tc>
              <w:tc>
                <w:tcPr>
                  <w:tcW w:w="5724" w:type="dxa"/>
                  <w:gridSpan w:val="2"/>
                  <w:vAlign w:val="center"/>
                </w:tcPr>
                <w:p w14:paraId="461B4F39">
                  <w:pPr>
                    <w:pStyle w:val="46"/>
                    <w:spacing w:line="240" w:lineRule="auto"/>
                    <w:ind w:firstLine="0" w:firstLineChars="0"/>
                    <w:rPr>
                      <w:rFonts w:hint="eastAsia" w:ascii="仿宋" w:hAnsi="仿宋" w:eastAsia="仿宋" w:cs="仿宋"/>
                      <w:b w:val="0"/>
                      <w:bCs/>
                      <w:color w:val="auto"/>
                    </w:rPr>
                  </w:pPr>
                  <w:r>
                    <w:rPr>
                      <w:rFonts w:hint="eastAsia" w:ascii="仿宋" w:hAnsi="仿宋" w:eastAsia="仿宋" w:cs="仿宋"/>
                      <w:b w:val="0"/>
                      <w:bCs/>
                      <w:color w:val="auto"/>
                    </w:rPr>
                    <w:t>第一条深入贯彻习近平生态文明思想，筑牢长江上游重要生态屏障，推动优势区域重点发展、生态功能区重点保护、城乡融合发展，优化重点区域、流域、产业的空间布局。</w:t>
                  </w:r>
                </w:p>
                <w:p w14:paraId="5F052434">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二条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14:paraId="1F1F54EF">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三条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119E0CD5">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四条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p w14:paraId="5AB2D8C8">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第五条新建、扩建有色金属冶炼、电镀、铅蓄电池等企业应布设在依法合规设立并经过规划环评的产业园区。</w:t>
                  </w:r>
                </w:p>
                <w:p w14:paraId="29BE63F6">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第六条涉及环境防护距离的工业企业或项目应通过选址或调整布局原则上将环境防护距离控制在园区边界或用地红线内，提前合理规划项目地块布置、预防环境风险。</w:t>
                  </w:r>
                </w:p>
                <w:p w14:paraId="781AA66D">
                  <w:pPr>
                    <w:pStyle w:val="46"/>
                    <w:spacing w:line="240" w:lineRule="auto"/>
                    <w:ind w:firstLine="0" w:firstLineChars="0"/>
                    <w:rPr>
                      <w:rFonts w:hint="eastAsia" w:ascii="仿宋" w:hAnsi="仿宋" w:eastAsia="仿宋" w:cs="仿宋"/>
                      <w:b w:val="0"/>
                      <w:bCs/>
                      <w:color w:val="auto"/>
                      <w:lang w:eastAsia="zh-CN"/>
                    </w:rPr>
                  </w:pPr>
                  <w:r>
                    <w:rPr>
                      <w:rFonts w:hint="eastAsia" w:ascii="仿宋" w:hAnsi="仿宋" w:eastAsia="仿宋" w:cs="仿宋"/>
                      <w:b w:val="0"/>
                      <w:bCs/>
                      <w:color w:val="auto"/>
                    </w:rPr>
                    <w:t>第七条有效规范空间开发秩序，合理控制空间开发强度，切实将各类开发活动限制在资源环境承载能力之内，为构建高效协调可持续的国土空间开发格局奠定坚实基础</w:t>
                  </w:r>
                  <w:r>
                    <w:rPr>
                      <w:rFonts w:hint="eastAsia" w:ascii="仿宋" w:hAnsi="仿宋" w:eastAsia="仿宋" w:cs="仿宋"/>
                      <w:b w:val="0"/>
                      <w:bCs/>
                      <w:color w:val="auto"/>
                      <w:lang w:eastAsia="zh-CN"/>
                    </w:rPr>
                    <w:t>。</w:t>
                  </w:r>
                </w:p>
              </w:tc>
              <w:tc>
                <w:tcPr>
                  <w:tcW w:w="3114" w:type="dxa"/>
                  <w:vAlign w:val="center"/>
                </w:tcPr>
                <w:p w14:paraId="73373619">
                  <w:pPr>
                    <w:pStyle w:val="49"/>
                    <w:jc w:val="left"/>
                    <w:rPr>
                      <w:rFonts w:ascii="仿宋" w:hAnsi="仿宋" w:eastAsia="仿宋" w:cs="仿宋"/>
                      <w:color w:val="auto"/>
                    </w:rPr>
                  </w:pPr>
                  <w:r>
                    <w:rPr>
                      <w:rFonts w:ascii="仿宋" w:hAnsi="仿宋" w:eastAsia="仿宋" w:cs="仿宋"/>
                      <w:color w:val="auto"/>
                      <w:sz w:val="24"/>
                      <w:szCs w:val="24"/>
                    </w:rPr>
                    <w:t>项目位于</w:t>
                  </w:r>
                  <w:r>
                    <w:rPr>
                      <w:rFonts w:hint="eastAsia" w:ascii="仿宋" w:hAnsi="仿宋" w:eastAsia="仿宋" w:cs="仿宋"/>
                      <w:color w:val="auto"/>
                      <w:sz w:val="24"/>
                      <w:szCs w:val="24"/>
                    </w:rPr>
                    <w:t>西彭组团D</w:t>
                  </w:r>
                  <w:r>
                    <w:rPr>
                      <w:rFonts w:hint="eastAsia" w:ascii="仿宋" w:hAnsi="仿宋" w:eastAsia="仿宋" w:cs="仿宋"/>
                      <w:color w:val="auto"/>
                      <w:sz w:val="24"/>
                      <w:szCs w:val="24"/>
                      <w:lang w:val="en-US" w:eastAsia="zh-CN"/>
                    </w:rPr>
                    <w:t>52</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地块，</w:t>
                  </w:r>
                  <w:r>
                    <w:rPr>
                      <w:rFonts w:hint="eastAsia" w:ascii="仿宋" w:hAnsi="仿宋" w:eastAsia="仿宋" w:cs="仿宋"/>
                      <w:color w:val="auto"/>
                      <w:sz w:val="24"/>
                      <w:szCs w:val="24"/>
                      <w:highlight w:val="none"/>
                    </w:rPr>
                    <w:t>为</w:t>
                  </w:r>
                  <w:r>
                    <w:rPr>
                      <w:rFonts w:hint="eastAsia"/>
                      <w:color w:val="auto"/>
                      <w:sz w:val="24"/>
                      <w:szCs w:val="24"/>
                      <w:highlight w:val="none"/>
                    </w:rPr>
                    <w:t>C2929塑料零件及其他塑料制品制造</w:t>
                  </w:r>
                  <w:r>
                    <w:rPr>
                      <w:rFonts w:hint="eastAsia"/>
                      <w:color w:val="auto"/>
                      <w:sz w:val="24"/>
                      <w:szCs w:val="24"/>
                      <w:highlight w:val="none"/>
                      <w:lang w:eastAsia="zh-CN"/>
                    </w:rPr>
                    <w:t>、</w:t>
                  </w:r>
                  <w:r>
                    <w:rPr>
                      <w:rFonts w:hint="eastAsia"/>
                      <w:color w:val="auto"/>
                      <w:sz w:val="24"/>
                      <w:szCs w:val="24"/>
                      <w:highlight w:val="none"/>
                      <w:lang w:val="en-US" w:eastAsia="zh-CN"/>
                    </w:rPr>
                    <w:t>C3670</w:t>
                  </w:r>
                  <w:r>
                    <w:rPr>
                      <w:rFonts w:hint="eastAsia"/>
                      <w:color w:val="auto"/>
                      <w:sz w:val="24"/>
                      <w:szCs w:val="24"/>
                      <w:lang w:val="en-US" w:eastAsia="zh-CN"/>
                    </w:rPr>
                    <w:t>汽车零部件及配件制造</w:t>
                  </w:r>
                  <w:r>
                    <w:rPr>
                      <w:rFonts w:ascii="仿宋" w:hAnsi="仿宋" w:eastAsia="仿宋" w:cs="仿宋"/>
                      <w:color w:val="auto"/>
                      <w:sz w:val="24"/>
                      <w:szCs w:val="24"/>
                      <w:highlight w:val="none"/>
                    </w:rPr>
                    <w:t>，</w:t>
                  </w:r>
                  <w:r>
                    <w:rPr>
                      <w:rFonts w:ascii="仿宋" w:hAnsi="仿宋" w:eastAsia="仿宋" w:cs="仿宋"/>
                      <w:color w:val="auto"/>
                      <w:sz w:val="24"/>
                      <w:szCs w:val="24"/>
                    </w:rPr>
                    <w:t>不属于重化工、纺织、造纸等存在污染风险的工业项目，不属于排放重点重金属（铬、镉、汞、砷、铅等五类重金属）、剧毒物质和持久性有机污染物的工业项目。项目不涉及占用生态红线、自然保护区、一般生态空间等控制禁止、限制开发区域。</w:t>
                  </w:r>
                </w:p>
              </w:tc>
              <w:tc>
                <w:tcPr>
                  <w:tcW w:w="1219" w:type="dxa"/>
                  <w:vAlign w:val="center"/>
                </w:tcPr>
                <w:p w14:paraId="1A847552">
                  <w:pPr>
                    <w:pStyle w:val="46"/>
                    <w:spacing w:line="240" w:lineRule="auto"/>
                    <w:ind w:firstLine="0" w:firstLineChars="0"/>
                    <w:jc w:val="center"/>
                    <w:rPr>
                      <w:rFonts w:ascii="仿宋" w:hAnsi="仿宋" w:eastAsia="仿宋" w:cs="仿宋"/>
                      <w:color w:val="auto"/>
                    </w:rPr>
                  </w:pPr>
                  <w:r>
                    <w:rPr>
                      <w:rFonts w:hint="eastAsia" w:ascii="仿宋" w:hAnsi="仿宋" w:eastAsia="仿宋" w:cs="仿宋"/>
                      <w:b w:val="0"/>
                      <w:bCs/>
                      <w:color w:val="auto"/>
                    </w:rPr>
                    <w:t>符合</w:t>
                  </w:r>
                </w:p>
              </w:tc>
            </w:tr>
            <w:tr w14:paraId="13A5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1313" w:type="dxa"/>
                  <w:vMerge w:val="continue"/>
                  <w:vAlign w:val="center"/>
                </w:tcPr>
                <w:p w14:paraId="03A43193">
                  <w:pPr>
                    <w:pStyle w:val="46"/>
                    <w:spacing w:line="240" w:lineRule="auto"/>
                    <w:ind w:firstLine="0" w:firstLineChars="0"/>
                    <w:jc w:val="center"/>
                    <w:rPr>
                      <w:rFonts w:ascii="仿宋" w:hAnsi="仿宋" w:eastAsia="仿宋" w:cs="仿宋"/>
                      <w:color w:val="auto"/>
                    </w:rPr>
                  </w:pPr>
                </w:p>
              </w:tc>
              <w:tc>
                <w:tcPr>
                  <w:tcW w:w="1825" w:type="dxa"/>
                  <w:vAlign w:val="center"/>
                </w:tcPr>
                <w:p w14:paraId="52C4768A">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污染物排放管控</w:t>
                  </w:r>
                </w:p>
              </w:tc>
              <w:tc>
                <w:tcPr>
                  <w:tcW w:w="5724" w:type="dxa"/>
                  <w:gridSpan w:val="2"/>
                  <w:vAlign w:val="center"/>
                </w:tcPr>
                <w:p w14:paraId="01FB2AC8">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八条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p w14:paraId="51C299B0">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九条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p w14:paraId="3BC55252">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十条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14:paraId="39295E5A">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十一条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14:paraId="3DC0B9B7">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十二条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p w14:paraId="5BAC80C4">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十三条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p w14:paraId="245A9BC0">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十四条固体废物污染环境防治坚持减量化、资源化和无害化的原则。产生工业固体废物的单位应当建立健全工业固体废物产生、收集、贮存、运输、利用、处置全过程的污染环境防治责任制度，建立工业固体废物管理台账。</w:t>
                  </w:r>
                </w:p>
                <w:p w14:paraId="10CA511B">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十五条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3114" w:type="dxa"/>
                  <w:vAlign w:val="center"/>
                </w:tcPr>
                <w:p w14:paraId="07BF3EC8">
                  <w:pPr>
                    <w:pStyle w:val="46"/>
                    <w:spacing w:line="240" w:lineRule="auto"/>
                    <w:ind w:firstLine="0" w:firstLineChars="0"/>
                    <w:jc w:val="center"/>
                    <w:rPr>
                      <w:rFonts w:ascii="仿宋" w:hAnsi="仿宋" w:eastAsia="仿宋" w:cs="仿宋"/>
                      <w:b w:val="0"/>
                      <w:bCs/>
                      <w:color w:val="auto"/>
                    </w:rPr>
                  </w:pPr>
                  <w:r>
                    <w:rPr>
                      <w:rFonts w:ascii="仿宋" w:hAnsi="仿宋" w:eastAsia="仿宋" w:cs="仿宋"/>
                      <w:b w:val="0"/>
                      <w:bCs/>
                      <w:color w:val="auto"/>
                    </w:rPr>
                    <w:t>项目位于</w:t>
                  </w:r>
                  <w:r>
                    <w:rPr>
                      <w:rFonts w:hint="eastAsia" w:ascii="仿宋" w:hAnsi="仿宋" w:eastAsia="仿宋" w:cs="仿宋"/>
                      <w:b w:val="0"/>
                      <w:bCs/>
                      <w:color w:val="auto"/>
                    </w:rPr>
                    <w:t>西彭组团D</w:t>
                  </w:r>
                  <w:r>
                    <w:rPr>
                      <w:rFonts w:hint="eastAsia" w:ascii="仿宋" w:hAnsi="仿宋" w:eastAsia="仿宋" w:cs="仿宋"/>
                      <w:b w:val="0"/>
                      <w:bCs/>
                      <w:color w:val="auto"/>
                      <w:lang w:val="en-US" w:eastAsia="zh-CN"/>
                    </w:rPr>
                    <w:t>52</w:t>
                  </w:r>
                  <w:r>
                    <w:rPr>
                      <w:rFonts w:hint="eastAsia" w:ascii="仿宋" w:hAnsi="仿宋" w:eastAsia="仿宋" w:cs="仿宋"/>
                      <w:b w:val="0"/>
                      <w:bCs/>
                      <w:color w:val="auto"/>
                    </w:rPr>
                    <w:t>-</w:t>
                  </w:r>
                  <w:r>
                    <w:rPr>
                      <w:rFonts w:hint="eastAsia" w:ascii="仿宋" w:hAnsi="仿宋" w:eastAsia="仿宋" w:cs="仿宋"/>
                      <w:b w:val="0"/>
                      <w:bCs/>
                      <w:color w:val="auto"/>
                      <w:lang w:val="en-US" w:eastAsia="zh-CN"/>
                    </w:rPr>
                    <w:t>2</w:t>
                  </w:r>
                  <w:r>
                    <w:rPr>
                      <w:rFonts w:hint="eastAsia" w:ascii="仿宋" w:hAnsi="仿宋" w:eastAsia="仿宋" w:cs="仿宋"/>
                      <w:b w:val="0"/>
                      <w:bCs/>
                      <w:color w:val="auto"/>
                    </w:rPr>
                    <w:t>地块，为C2929塑料零件及其他塑料制品制造</w:t>
                  </w:r>
                  <w:r>
                    <w:rPr>
                      <w:rFonts w:hint="eastAsia" w:ascii="仿宋" w:hAnsi="仿宋" w:eastAsia="仿宋" w:cs="仿宋"/>
                      <w:b w:val="0"/>
                      <w:bCs/>
                      <w:color w:val="auto"/>
                      <w:lang w:eastAsia="zh-CN"/>
                    </w:rPr>
                    <w:t>、</w:t>
                  </w:r>
                  <w:r>
                    <w:rPr>
                      <w:rFonts w:hint="eastAsia" w:ascii="仿宋" w:hAnsi="仿宋" w:eastAsia="仿宋" w:cs="仿宋"/>
                      <w:b w:val="0"/>
                      <w:bCs/>
                      <w:color w:val="auto"/>
                      <w:lang w:val="en-US" w:eastAsia="zh-CN"/>
                    </w:rPr>
                    <w:t>C3670汽车零部件及配件制造</w:t>
                  </w:r>
                  <w:r>
                    <w:rPr>
                      <w:rFonts w:hint="eastAsia" w:ascii="仿宋" w:hAnsi="仿宋" w:eastAsia="仿宋" w:cs="仿宋"/>
                      <w:b w:val="0"/>
                      <w:bCs/>
                      <w:color w:val="auto"/>
                    </w:rPr>
                    <w:t>，产生</w:t>
                  </w:r>
                  <w:r>
                    <w:rPr>
                      <w:rFonts w:hint="eastAsia" w:ascii="仿宋" w:hAnsi="仿宋" w:eastAsia="仿宋" w:cs="仿宋"/>
                      <w:b w:val="0"/>
                      <w:bCs/>
                      <w:color w:val="auto"/>
                      <w:highlight w:val="none"/>
                    </w:rPr>
                    <w:t>的</w:t>
                  </w:r>
                  <w:r>
                    <w:rPr>
                      <w:rFonts w:hint="eastAsia" w:ascii="仿宋" w:hAnsi="仿宋" w:eastAsia="仿宋" w:cs="仿宋"/>
                      <w:b w:val="0"/>
                      <w:bCs/>
                      <w:color w:val="auto"/>
                      <w:highlight w:val="none"/>
                      <w:lang w:eastAsia="zh-CN"/>
                    </w:rPr>
                    <w:t>有机</w:t>
                  </w:r>
                  <w:r>
                    <w:rPr>
                      <w:rFonts w:hint="eastAsia" w:ascii="仿宋" w:hAnsi="仿宋" w:eastAsia="仿宋" w:cs="仿宋"/>
                      <w:b w:val="0"/>
                      <w:bCs/>
                      <w:color w:val="auto"/>
                      <w:highlight w:val="none"/>
                    </w:rPr>
                    <w:t>废气经收集</w:t>
                  </w:r>
                  <w:r>
                    <w:rPr>
                      <w:rFonts w:hint="eastAsia" w:ascii="仿宋" w:hAnsi="仿宋" w:eastAsia="仿宋" w:cs="仿宋"/>
                      <w:b w:val="0"/>
                      <w:bCs/>
                      <w:color w:val="auto"/>
                      <w:highlight w:val="none"/>
                      <w:lang w:eastAsia="zh-CN"/>
                    </w:rPr>
                    <w:t>通过过滤棉</w:t>
                  </w:r>
                  <w:r>
                    <w:rPr>
                      <w:rFonts w:hint="eastAsia" w:ascii="仿宋" w:hAnsi="仿宋" w:eastAsia="仿宋" w:cs="仿宋"/>
                      <w:b w:val="0"/>
                      <w:bCs/>
                      <w:color w:val="auto"/>
                      <w:highlight w:val="none"/>
                      <w:lang w:val="en-US" w:eastAsia="zh-CN"/>
                    </w:rPr>
                    <w:t>+</w:t>
                  </w:r>
                  <w:r>
                    <w:rPr>
                      <w:rFonts w:hint="eastAsia" w:ascii="仿宋" w:hAnsi="仿宋" w:eastAsia="仿宋" w:cs="仿宋"/>
                      <w:b w:val="0"/>
                      <w:bCs/>
                      <w:color w:val="auto"/>
                      <w:highlight w:val="none"/>
                      <w:lang w:eastAsia="zh-CN"/>
                    </w:rPr>
                    <w:t>二级活性炭吸附</w:t>
                  </w:r>
                  <w:r>
                    <w:rPr>
                      <w:rFonts w:hint="eastAsia" w:ascii="仿宋" w:hAnsi="仿宋" w:eastAsia="仿宋" w:cs="仿宋"/>
                      <w:b w:val="0"/>
                      <w:bCs/>
                      <w:color w:val="auto"/>
                      <w:highlight w:val="none"/>
                    </w:rPr>
                    <w:t>处理后经15m排</w:t>
                  </w:r>
                  <w:r>
                    <w:rPr>
                      <w:rFonts w:hint="eastAsia" w:ascii="仿宋" w:hAnsi="仿宋" w:eastAsia="仿宋" w:cs="仿宋"/>
                      <w:b w:val="0"/>
                      <w:bCs/>
                      <w:color w:val="auto"/>
                    </w:rPr>
                    <w:t>气筒达标排放</w:t>
                  </w:r>
                  <w:r>
                    <w:rPr>
                      <w:rFonts w:ascii="仿宋" w:hAnsi="仿宋" w:eastAsia="仿宋" w:cs="仿宋"/>
                      <w:b w:val="0"/>
                      <w:bCs/>
                      <w:color w:val="auto"/>
                    </w:rPr>
                    <w:t>；</w:t>
                  </w:r>
                  <w:r>
                    <w:rPr>
                      <w:rFonts w:hint="eastAsia" w:ascii="仿宋" w:hAnsi="仿宋" w:eastAsia="仿宋" w:cs="仿宋"/>
                      <w:b w:val="0"/>
                      <w:bCs/>
                      <w:color w:val="auto"/>
                    </w:rPr>
                    <w:t>项目地面清洁废水和生活污水依托厂房配套的生化池处理达标后排入市政污水管网进入园区污水处理厂处理。</w:t>
                  </w:r>
                </w:p>
              </w:tc>
              <w:tc>
                <w:tcPr>
                  <w:tcW w:w="1219" w:type="dxa"/>
                  <w:vAlign w:val="center"/>
                </w:tcPr>
                <w:p w14:paraId="2AD6A7A8">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符合</w:t>
                  </w:r>
                </w:p>
              </w:tc>
            </w:tr>
            <w:tr w14:paraId="3618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06A17A77">
                  <w:pPr>
                    <w:pStyle w:val="46"/>
                    <w:spacing w:line="240" w:lineRule="auto"/>
                    <w:ind w:firstLine="0" w:firstLineChars="0"/>
                    <w:jc w:val="center"/>
                    <w:rPr>
                      <w:rFonts w:ascii="仿宋" w:hAnsi="仿宋" w:eastAsia="仿宋" w:cs="仿宋"/>
                      <w:color w:val="auto"/>
                    </w:rPr>
                  </w:pPr>
                </w:p>
              </w:tc>
              <w:tc>
                <w:tcPr>
                  <w:tcW w:w="1825" w:type="dxa"/>
                  <w:vAlign w:val="center"/>
                </w:tcPr>
                <w:p w14:paraId="64098FC8">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环境风险防控</w:t>
                  </w:r>
                </w:p>
              </w:tc>
              <w:tc>
                <w:tcPr>
                  <w:tcW w:w="5724" w:type="dxa"/>
                  <w:gridSpan w:val="2"/>
                  <w:vAlign w:val="center"/>
                </w:tcPr>
                <w:p w14:paraId="4790B531">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十六条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p w14:paraId="08ABCF59">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第十七条强化化工园区涉水突发环境事件四级环境风险防范体系建设。持续推进重点化工园区（化工集中区）建设有毒有害气体监测预警体系和水质生物毒性预警体系。</w:t>
                  </w:r>
                </w:p>
              </w:tc>
              <w:tc>
                <w:tcPr>
                  <w:tcW w:w="3114" w:type="dxa"/>
                  <w:vAlign w:val="center"/>
                </w:tcPr>
                <w:p w14:paraId="75B9F009">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项目无重大风险源，不属于存在重大环境安全隐患的工业项目。</w:t>
                  </w:r>
                </w:p>
              </w:tc>
              <w:tc>
                <w:tcPr>
                  <w:tcW w:w="1219" w:type="dxa"/>
                  <w:vAlign w:val="center"/>
                </w:tcPr>
                <w:p w14:paraId="7DDB71AC">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符合</w:t>
                  </w:r>
                </w:p>
              </w:tc>
            </w:tr>
            <w:tr w14:paraId="5536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46249476">
                  <w:pPr>
                    <w:pStyle w:val="46"/>
                    <w:spacing w:line="240" w:lineRule="auto"/>
                    <w:ind w:firstLine="0" w:firstLineChars="0"/>
                    <w:jc w:val="center"/>
                    <w:rPr>
                      <w:rFonts w:ascii="仿宋" w:hAnsi="仿宋" w:eastAsia="仿宋" w:cs="仿宋"/>
                      <w:color w:val="auto"/>
                    </w:rPr>
                  </w:pPr>
                </w:p>
              </w:tc>
              <w:tc>
                <w:tcPr>
                  <w:tcW w:w="1825" w:type="dxa"/>
                  <w:vAlign w:val="center"/>
                </w:tcPr>
                <w:p w14:paraId="10D653A0">
                  <w:pPr>
                    <w:pStyle w:val="46"/>
                    <w:spacing w:line="240" w:lineRule="auto"/>
                    <w:ind w:firstLine="0" w:firstLineChars="0"/>
                    <w:rPr>
                      <w:rFonts w:hint="eastAsia" w:ascii="仿宋" w:hAnsi="仿宋" w:eastAsia="仿宋" w:cs="仿宋"/>
                      <w:b w:val="0"/>
                      <w:bCs/>
                      <w:color w:val="auto"/>
                      <w:lang w:eastAsia="zh-CN"/>
                    </w:rPr>
                  </w:pPr>
                  <w:r>
                    <w:rPr>
                      <w:rFonts w:hint="eastAsia" w:ascii="仿宋" w:hAnsi="仿宋" w:eastAsia="仿宋" w:cs="仿宋"/>
                      <w:b w:val="0"/>
                      <w:bCs/>
                      <w:color w:val="auto"/>
                    </w:rPr>
                    <w:t>资源开发利用</w:t>
                  </w:r>
                </w:p>
                <w:p w14:paraId="51588473">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效率</w:t>
                  </w:r>
                </w:p>
              </w:tc>
              <w:tc>
                <w:tcPr>
                  <w:tcW w:w="5724" w:type="dxa"/>
                  <w:gridSpan w:val="2"/>
                  <w:vAlign w:val="center"/>
                </w:tcPr>
                <w:p w14:paraId="2327D496">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十八条实施能源领域碳达峰碳中和行动，科学有序推动能源生产消费方式绿色低碳变革。实施可再生能源替代，减少化石能源消费。加强产业布局和能耗“双控”政策衔接，促进重点用能领域用能结构优化和能效提升。</w:t>
                  </w:r>
                </w:p>
                <w:p w14:paraId="4CA5E120">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十九条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14:paraId="0B598A33">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第二十条新建、扩建“两高”项目应采用先进适用的工艺技术和装备，单位产品物耗、能耗、水耗等达到清洁生产先进水平。</w:t>
                  </w:r>
                </w:p>
                <w:p w14:paraId="7F433539">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二十一条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14:paraId="7BAD18AE">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第二十二条加快推进节水配套设施建设，加强再生水、雨水等非常规水多元、梯级和安全利用，逐年提高非常规水利用比例。结合现有污水处理设施提标升级扩能改造，系统规划城镇污水再生利用设施</w:t>
                  </w:r>
                </w:p>
              </w:tc>
              <w:tc>
                <w:tcPr>
                  <w:tcW w:w="3114" w:type="dxa"/>
                  <w:vAlign w:val="center"/>
                </w:tcPr>
                <w:p w14:paraId="68A4555F">
                  <w:pPr>
                    <w:pStyle w:val="46"/>
                    <w:spacing w:line="240" w:lineRule="auto"/>
                    <w:ind w:firstLine="0" w:firstLineChars="0"/>
                    <w:jc w:val="center"/>
                    <w:rPr>
                      <w:rFonts w:hint="eastAsia" w:ascii="仿宋" w:hAnsi="仿宋" w:eastAsia="仿宋" w:cs="仿宋"/>
                      <w:b w:val="0"/>
                      <w:bCs/>
                      <w:color w:val="auto"/>
                      <w:lang w:eastAsia="zh-CN"/>
                    </w:rPr>
                  </w:pPr>
                  <w:r>
                    <w:rPr>
                      <w:rFonts w:ascii="仿宋" w:hAnsi="仿宋" w:eastAsia="仿宋" w:cs="仿宋"/>
                      <w:b w:val="0"/>
                      <w:bCs/>
                      <w:color w:val="auto"/>
                    </w:rPr>
                    <w:t>项目位于</w:t>
                  </w:r>
                  <w:r>
                    <w:rPr>
                      <w:rFonts w:hint="eastAsia" w:ascii="仿宋" w:hAnsi="仿宋" w:eastAsia="仿宋" w:cs="仿宋"/>
                      <w:b w:val="0"/>
                      <w:bCs/>
                      <w:color w:val="auto"/>
                    </w:rPr>
                    <w:t>西彭组团D</w:t>
                  </w:r>
                  <w:r>
                    <w:rPr>
                      <w:rFonts w:hint="eastAsia" w:ascii="仿宋" w:hAnsi="仿宋" w:eastAsia="仿宋" w:cs="仿宋"/>
                      <w:b w:val="0"/>
                      <w:bCs/>
                      <w:color w:val="auto"/>
                      <w:lang w:val="en-US" w:eastAsia="zh-CN"/>
                    </w:rPr>
                    <w:t>52</w:t>
                  </w:r>
                  <w:r>
                    <w:rPr>
                      <w:rFonts w:hint="eastAsia" w:ascii="仿宋" w:hAnsi="仿宋" w:eastAsia="仿宋" w:cs="仿宋"/>
                      <w:b w:val="0"/>
                      <w:bCs/>
                      <w:color w:val="auto"/>
                    </w:rPr>
                    <w:t>-</w:t>
                  </w:r>
                  <w:r>
                    <w:rPr>
                      <w:rFonts w:hint="eastAsia" w:ascii="仿宋" w:hAnsi="仿宋" w:eastAsia="仿宋" w:cs="仿宋"/>
                      <w:b w:val="0"/>
                      <w:bCs/>
                      <w:color w:val="auto"/>
                      <w:lang w:val="en-US" w:eastAsia="zh-CN"/>
                    </w:rPr>
                    <w:t>2</w:t>
                  </w:r>
                  <w:r>
                    <w:rPr>
                      <w:rFonts w:hint="eastAsia" w:ascii="仿宋" w:hAnsi="仿宋" w:eastAsia="仿宋" w:cs="仿宋"/>
                      <w:b w:val="0"/>
                      <w:bCs/>
                      <w:color w:val="auto"/>
                    </w:rPr>
                    <w:t>地块，为C2929塑料零件及其他塑料制品制造</w:t>
                  </w:r>
                  <w:r>
                    <w:rPr>
                      <w:rFonts w:hint="eastAsia" w:ascii="仿宋" w:hAnsi="仿宋" w:eastAsia="仿宋" w:cs="仿宋"/>
                      <w:b w:val="0"/>
                      <w:bCs/>
                      <w:color w:val="auto"/>
                      <w:lang w:eastAsia="zh-CN"/>
                    </w:rPr>
                    <w:t>、</w:t>
                  </w:r>
                  <w:r>
                    <w:rPr>
                      <w:rFonts w:hint="eastAsia" w:ascii="仿宋" w:hAnsi="仿宋" w:eastAsia="仿宋" w:cs="仿宋"/>
                      <w:b w:val="0"/>
                      <w:bCs/>
                      <w:color w:val="auto"/>
                      <w:lang w:val="en-US" w:eastAsia="zh-CN"/>
                    </w:rPr>
                    <w:t>C3670汽车零部件及配件制造</w:t>
                  </w:r>
                  <w:r>
                    <w:rPr>
                      <w:rFonts w:hint="eastAsia" w:ascii="仿宋" w:hAnsi="仿宋" w:eastAsia="仿宋" w:cs="仿宋"/>
                      <w:b w:val="0"/>
                      <w:bCs/>
                      <w:color w:val="auto"/>
                    </w:rPr>
                    <w:t>，</w:t>
                  </w:r>
                  <w:r>
                    <w:rPr>
                      <w:rFonts w:hint="eastAsia" w:ascii="仿宋" w:hAnsi="仿宋" w:eastAsia="仿宋" w:cs="仿宋"/>
                      <w:b w:val="0"/>
                      <w:bCs/>
                      <w:color w:val="auto"/>
                      <w:lang w:eastAsia="zh-CN"/>
                    </w:rPr>
                    <w:t>不属于“</w:t>
                  </w:r>
                  <w:r>
                    <w:rPr>
                      <w:rFonts w:hint="eastAsia" w:ascii="仿宋" w:hAnsi="仿宋" w:eastAsia="仿宋" w:cs="仿宋"/>
                      <w:b w:val="0"/>
                      <w:bCs/>
                      <w:color w:val="auto"/>
                    </w:rPr>
                    <w:t>两高”项目</w:t>
                  </w:r>
                  <w:r>
                    <w:rPr>
                      <w:rFonts w:hint="eastAsia" w:ascii="仿宋" w:hAnsi="仿宋" w:eastAsia="仿宋" w:cs="仿宋"/>
                      <w:b w:val="0"/>
                      <w:bCs/>
                      <w:color w:val="auto"/>
                      <w:lang w:eastAsia="zh-CN"/>
                    </w:rPr>
                    <w:t>和</w:t>
                  </w:r>
                  <w:r>
                    <w:rPr>
                      <w:rFonts w:hint="eastAsia" w:ascii="仿宋" w:hAnsi="仿宋" w:eastAsia="仿宋" w:cs="仿宋"/>
                      <w:b w:val="0"/>
                      <w:bCs/>
                      <w:color w:val="auto"/>
                    </w:rPr>
                    <w:t>火电、石化、有色金属、造纸、印染等高耗水行业</w:t>
                  </w:r>
                  <w:r>
                    <w:rPr>
                      <w:rFonts w:hint="eastAsia" w:ascii="仿宋" w:hAnsi="仿宋" w:eastAsia="仿宋" w:cs="仿宋"/>
                      <w:b w:val="0"/>
                      <w:bCs/>
                      <w:color w:val="auto"/>
                      <w:lang w:eastAsia="zh-CN"/>
                    </w:rPr>
                    <w:t>，项目主要能源为电能</w:t>
                  </w:r>
                </w:p>
              </w:tc>
              <w:tc>
                <w:tcPr>
                  <w:tcW w:w="1219" w:type="dxa"/>
                  <w:vAlign w:val="center"/>
                </w:tcPr>
                <w:p w14:paraId="362C917B">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符合</w:t>
                  </w:r>
                </w:p>
              </w:tc>
            </w:tr>
            <w:tr w14:paraId="71A1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restart"/>
                  <w:vAlign w:val="center"/>
                </w:tcPr>
                <w:p w14:paraId="53E5837A">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lang w:eastAsia="zh-CN"/>
                    </w:rPr>
                    <w:t>九龙坡</w:t>
                  </w:r>
                  <w:r>
                    <w:rPr>
                      <w:rFonts w:hint="eastAsia" w:ascii="仿宋" w:hAnsi="仿宋" w:eastAsia="仿宋" w:cs="仿宋"/>
                      <w:b w:val="0"/>
                      <w:bCs/>
                      <w:color w:val="auto"/>
                    </w:rPr>
                    <w:t>区总体管控要求</w:t>
                  </w:r>
                </w:p>
              </w:tc>
              <w:tc>
                <w:tcPr>
                  <w:tcW w:w="1825" w:type="dxa"/>
                  <w:vAlign w:val="center"/>
                </w:tcPr>
                <w:p w14:paraId="3EE846E8">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空间布局约束</w:t>
                  </w:r>
                </w:p>
              </w:tc>
              <w:tc>
                <w:tcPr>
                  <w:tcW w:w="5724" w:type="dxa"/>
                  <w:gridSpan w:val="2"/>
                  <w:vAlign w:val="center"/>
                </w:tcPr>
                <w:p w14:paraId="720696A4">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第一条执行重点管控单元市级总体要求第一条、第二条、第三条、第四条、第五条和第七条。</w:t>
                  </w:r>
                </w:p>
                <w:p w14:paraId="768565F9">
                  <w:pPr>
                    <w:pStyle w:val="46"/>
                    <w:spacing w:line="240" w:lineRule="auto"/>
                    <w:ind w:firstLine="0" w:firstLineChars="0"/>
                    <w:rPr>
                      <w:rFonts w:ascii="仿宋" w:hAnsi="仿宋" w:eastAsia="仿宋" w:cs="仿宋"/>
                      <w:b w:val="0"/>
                      <w:bCs/>
                      <w:color w:val="auto"/>
                    </w:rPr>
                  </w:pPr>
                  <w:r>
                    <w:rPr>
                      <w:rFonts w:ascii="仿宋" w:hAnsi="仿宋" w:eastAsia="仿宋" w:cs="仿宋"/>
                      <w:b w:val="0"/>
                      <w:bCs/>
                      <w:color w:val="auto"/>
                    </w:rPr>
                    <w:t>第二条</w:t>
                  </w:r>
                  <w:r>
                    <w:rPr>
                      <w:rFonts w:hint="eastAsia" w:ascii="仿宋" w:hAnsi="仿宋" w:eastAsia="仿宋" w:cs="仿宋"/>
                      <w:b w:val="0"/>
                      <w:bCs/>
                      <w:color w:val="auto"/>
                    </w:rPr>
                    <w:t>以完善优势产业链发展作为方向，科学合理优化工业用地空间布局，推进产城融合高质量发展。</w:t>
                  </w:r>
                </w:p>
                <w:p w14:paraId="0D9EBBC2">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有序推动九龙新城园区东部片区（原九龙工业园区）“东三街”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3114" w:type="dxa"/>
                  <w:vAlign w:val="center"/>
                </w:tcPr>
                <w:p w14:paraId="338FD0BA">
                  <w:pPr>
                    <w:pStyle w:val="46"/>
                    <w:spacing w:line="240" w:lineRule="auto"/>
                    <w:ind w:firstLine="0" w:firstLineChars="0"/>
                    <w:jc w:val="center"/>
                    <w:rPr>
                      <w:rFonts w:ascii="仿宋" w:hAnsi="仿宋" w:eastAsia="仿宋" w:cs="仿宋"/>
                      <w:b w:val="0"/>
                      <w:bCs/>
                      <w:color w:val="auto"/>
                    </w:rPr>
                  </w:pPr>
                  <w:r>
                    <w:rPr>
                      <w:rFonts w:ascii="仿宋" w:hAnsi="仿宋" w:eastAsia="仿宋" w:cs="仿宋"/>
                      <w:b w:val="0"/>
                      <w:bCs/>
                      <w:color w:val="auto"/>
                    </w:rPr>
                    <w:t>项目位于</w:t>
                  </w:r>
                  <w:r>
                    <w:rPr>
                      <w:rFonts w:hint="eastAsia" w:ascii="仿宋" w:hAnsi="仿宋" w:eastAsia="仿宋" w:cs="仿宋"/>
                      <w:b w:val="0"/>
                      <w:bCs/>
                      <w:color w:val="auto"/>
                    </w:rPr>
                    <w:t>西彭组团D</w:t>
                  </w:r>
                  <w:r>
                    <w:rPr>
                      <w:rFonts w:hint="eastAsia" w:ascii="仿宋" w:hAnsi="仿宋" w:eastAsia="仿宋" w:cs="仿宋"/>
                      <w:b w:val="0"/>
                      <w:bCs/>
                      <w:color w:val="auto"/>
                      <w:lang w:val="en-US" w:eastAsia="zh-CN"/>
                    </w:rPr>
                    <w:t>52</w:t>
                  </w:r>
                  <w:r>
                    <w:rPr>
                      <w:rFonts w:hint="eastAsia" w:ascii="仿宋" w:hAnsi="仿宋" w:eastAsia="仿宋" w:cs="仿宋"/>
                      <w:b w:val="0"/>
                      <w:bCs/>
                      <w:color w:val="auto"/>
                    </w:rPr>
                    <w:t>-</w:t>
                  </w:r>
                  <w:r>
                    <w:rPr>
                      <w:rFonts w:hint="eastAsia" w:ascii="仿宋" w:hAnsi="仿宋" w:eastAsia="仿宋" w:cs="仿宋"/>
                      <w:b w:val="0"/>
                      <w:bCs/>
                      <w:color w:val="auto"/>
                      <w:lang w:val="en-US" w:eastAsia="zh-CN"/>
                    </w:rPr>
                    <w:t>2</w:t>
                  </w:r>
                  <w:r>
                    <w:rPr>
                      <w:rFonts w:hint="eastAsia" w:ascii="仿宋" w:hAnsi="仿宋" w:eastAsia="仿宋" w:cs="仿宋"/>
                      <w:b w:val="0"/>
                      <w:bCs/>
                      <w:color w:val="auto"/>
                    </w:rPr>
                    <w:t>地块，为C2929塑料零件及其他塑料制品制造</w:t>
                  </w:r>
                  <w:r>
                    <w:rPr>
                      <w:rFonts w:hint="eastAsia" w:ascii="仿宋" w:hAnsi="仿宋" w:eastAsia="仿宋" w:cs="仿宋"/>
                      <w:b w:val="0"/>
                      <w:bCs/>
                      <w:color w:val="auto"/>
                      <w:lang w:eastAsia="zh-CN"/>
                    </w:rPr>
                    <w:t>、</w:t>
                  </w:r>
                  <w:r>
                    <w:rPr>
                      <w:rFonts w:hint="eastAsia" w:ascii="仿宋" w:hAnsi="仿宋" w:eastAsia="仿宋" w:cs="仿宋"/>
                      <w:b w:val="0"/>
                      <w:bCs/>
                      <w:color w:val="auto"/>
                      <w:lang w:val="en-US" w:eastAsia="zh-CN"/>
                    </w:rPr>
                    <w:t>C3670汽车零部件及配件制造</w:t>
                  </w:r>
                  <w:r>
                    <w:rPr>
                      <w:rFonts w:ascii="仿宋" w:hAnsi="仿宋" w:eastAsia="仿宋" w:cs="仿宋"/>
                      <w:b w:val="0"/>
                      <w:bCs/>
                      <w:color w:val="auto"/>
                    </w:rPr>
                    <w:t>，属于允许建设项目</w:t>
                  </w:r>
                </w:p>
              </w:tc>
              <w:tc>
                <w:tcPr>
                  <w:tcW w:w="1219" w:type="dxa"/>
                  <w:vAlign w:val="center"/>
                </w:tcPr>
                <w:p w14:paraId="2F4406FF">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符合</w:t>
                  </w:r>
                </w:p>
              </w:tc>
            </w:tr>
            <w:tr w14:paraId="63F3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5A7344FD">
                  <w:pPr>
                    <w:pStyle w:val="46"/>
                    <w:spacing w:line="240" w:lineRule="auto"/>
                    <w:ind w:firstLine="0" w:firstLineChars="0"/>
                    <w:jc w:val="center"/>
                    <w:rPr>
                      <w:rFonts w:ascii="仿宋" w:hAnsi="仿宋" w:eastAsia="仿宋" w:cs="仿宋"/>
                      <w:b w:val="0"/>
                      <w:bCs/>
                      <w:color w:val="auto"/>
                    </w:rPr>
                  </w:pPr>
                </w:p>
              </w:tc>
              <w:tc>
                <w:tcPr>
                  <w:tcW w:w="1825" w:type="dxa"/>
                  <w:vAlign w:val="center"/>
                </w:tcPr>
                <w:p w14:paraId="6E5F5C87">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污染物排放管控</w:t>
                  </w:r>
                </w:p>
              </w:tc>
              <w:tc>
                <w:tcPr>
                  <w:tcW w:w="5724" w:type="dxa"/>
                  <w:gridSpan w:val="2"/>
                  <w:vAlign w:val="center"/>
                </w:tcPr>
                <w:p w14:paraId="7B160CF1">
                  <w:pPr>
                    <w:pStyle w:val="46"/>
                    <w:spacing w:line="240" w:lineRule="auto"/>
                    <w:ind w:firstLine="0" w:firstLineChars="0"/>
                    <w:rPr>
                      <w:rFonts w:hint="eastAsia" w:ascii="仿宋" w:hAnsi="仿宋" w:eastAsia="仿宋" w:cs="仿宋"/>
                      <w:b w:val="0"/>
                      <w:bCs/>
                      <w:color w:val="auto"/>
                    </w:rPr>
                  </w:pPr>
                  <w:r>
                    <w:rPr>
                      <w:rFonts w:hint="eastAsia" w:ascii="仿宋" w:hAnsi="仿宋" w:eastAsia="仿宋" w:cs="仿宋"/>
                      <w:b w:val="0"/>
                      <w:bCs/>
                      <w:color w:val="auto"/>
                    </w:rPr>
                    <w:t>第三条执行重点管控单元市级总体要求第八条、第九条、第十一条、第十二条、第十四条和第十五条。</w:t>
                  </w:r>
                </w:p>
                <w:p w14:paraId="531D6894">
                  <w:pPr>
                    <w:pStyle w:val="46"/>
                    <w:spacing w:line="240" w:lineRule="auto"/>
                    <w:ind w:firstLine="0" w:firstLineChars="0"/>
                    <w:rPr>
                      <w:rFonts w:hint="eastAsia" w:ascii="仿宋" w:hAnsi="仿宋" w:eastAsia="仿宋" w:cs="仿宋"/>
                      <w:b w:val="0"/>
                      <w:bCs/>
                      <w:color w:val="auto"/>
                    </w:rPr>
                  </w:pPr>
                  <w:r>
                    <w:rPr>
                      <w:rFonts w:hint="eastAsia" w:ascii="仿宋" w:hAnsi="仿宋" w:eastAsia="仿宋" w:cs="仿宋"/>
                      <w:b w:val="0"/>
                      <w:bCs/>
                      <w:color w:val="auto"/>
                    </w:rPr>
                    <w:t>第四条以重点行业为抓手，深化挥发性有机物治理，减缓工居混杂矛盾。</w:t>
                  </w:r>
                </w:p>
                <w:p w14:paraId="7CDD976F">
                  <w:pPr>
                    <w:pStyle w:val="46"/>
                    <w:spacing w:line="240" w:lineRule="auto"/>
                    <w:ind w:firstLine="0" w:firstLineChars="0"/>
                    <w:rPr>
                      <w:rFonts w:hint="eastAsia" w:ascii="仿宋" w:hAnsi="仿宋" w:eastAsia="仿宋" w:cs="仿宋"/>
                      <w:b w:val="0"/>
                      <w:bCs/>
                      <w:color w:val="auto"/>
                    </w:rPr>
                  </w:pPr>
                  <w:r>
                    <w:rPr>
                      <w:rFonts w:hint="eastAsia" w:ascii="仿宋" w:hAnsi="仿宋" w:eastAsia="仿宋" w:cs="仿宋"/>
                      <w:b w:val="0"/>
                      <w:bCs/>
                      <w:color w:val="auto"/>
                    </w:rPr>
                    <w:t>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p w14:paraId="4D1D23AF">
                  <w:pPr>
                    <w:pStyle w:val="46"/>
                    <w:spacing w:line="240" w:lineRule="auto"/>
                    <w:ind w:firstLine="0" w:firstLineChars="0"/>
                    <w:rPr>
                      <w:rFonts w:hint="eastAsia" w:ascii="仿宋" w:hAnsi="仿宋" w:eastAsia="仿宋" w:cs="仿宋"/>
                      <w:b w:val="0"/>
                      <w:bCs/>
                      <w:color w:val="auto"/>
                    </w:rPr>
                  </w:pPr>
                  <w:r>
                    <w:rPr>
                      <w:rFonts w:hint="eastAsia" w:ascii="仿宋" w:hAnsi="仿宋" w:eastAsia="仿宋" w:cs="仿宋"/>
                      <w:b w:val="0"/>
                      <w:bCs/>
                      <w:color w:val="auto"/>
                    </w:rPr>
                    <w:t>第五条以</w:t>
                  </w:r>
                  <w:r>
                    <w:rPr>
                      <w:rFonts w:hint="eastAsia" w:ascii="仿宋" w:hAnsi="仿宋" w:eastAsia="仿宋" w:cs="仿宋"/>
                      <w:b w:val="0"/>
                      <w:bCs/>
                      <w:color w:val="auto"/>
                      <w:highlight w:val="none"/>
                    </w:rPr>
                    <w:t>餐饮油烟</w:t>
                  </w:r>
                  <w:r>
                    <w:rPr>
                      <w:rFonts w:hint="eastAsia" w:ascii="仿宋" w:hAnsi="仿宋" w:eastAsia="仿宋" w:cs="仿宋"/>
                      <w:b w:val="0"/>
                      <w:bCs/>
                      <w:color w:val="auto"/>
                    </w:rPr>
                    <w:t>为重点，强化生活污染防治。</w:t>
                  </w:r>
                </w:p>
                <w:p w14:paraId="4F160EDD">
                  <w:pPr>
                    <w:pStyle w:val="46"/>
                    <w:spacing w:line="240" w:lineRule="auto"/>
                    <w:ind w:firstLine="0" w:firstLineChars="0"/>
                    <w:rPr>
                      <w:rFonts w:hint="eastAsia" w:ascii="仿宋" w:hAnsi="仿宋" w:eastAsia="仿宋" w:cs="仿宋"/>
                      <w:b w:val="0"/>
                      <w:bCs/>
                      <w:color w:val="auto"/>
                    </w:rPr>
                  </w:pPr>
                  <w:r>
                    <w:rPr>
                      <w:rFonts w:hint="eastAsia" w:ascii="仿宋" w:hAnsi="仿宋" w:eastAsia="仿宋" w:cs="仿宋"/>
                      <w:b w:val="0"/>
                      <w:bCs/>
                      <w:color w:val="auto"/>
                    </w:rPr>
                    <w:t>加大居民生活油烟排放治理，推动具备条件的餐饮单位安装餐饮油烟在线监控设施，加强对重点区域无油烟净化设施露天摊位的管理。</w:t>
                  </w:r>
                </w:p>
                <w:p w14:paraId="478E23C3">
                  <w:pPr>
                    <w:pStyle w:val="46"/>
                    <w:spacing w:line="240" w:lineRule="auto"/>
                    <w:ind w:firstLine="0" w:firstLineChars="0"/>
                    <w:rPr>
                      <w:rFonts w:ascii="仿宋" w:hAnsi="仿宋" w:eastAsia="仿宋" w:cs="仿宋"/>
                      <w:b w:val="0"/>
                      <w:bCs/>
                      <w:color w:val="auto"/>
                    </w:rPr>
                  </w:pPr>
                  <w:r>
                    <w:rPr>
                      <w:rFonts w:ascii="仿宋" w:hAnsi="仿宋" w:eastAsia="仿宋" w:cs="仿宋"/>
                      <w:b w:val="0"/>
                      <w:bCs/>
                      <w:color w:val="auto"/>
                    </w:rPr>
                    <w:t>第六条</w:t>
                  </w:r>
                  <w:r>
                    <w:rPr>
                      <w:rFonts w:hint="eastAsia" w:ascii="仿宋" w:hAnsi="仿宋" w:eastAsia="仿宋" w:cs="仿宋"/>
                      <w:b w:val="0"/>
                      <w:bCs/>
                      <w:color w:val="auto"/>
                    </w:rPr>
                    <w:t>以交通和扬尘污染治理为关键，提升环境空气质量。</w:t>
                  </w:r>
                </w:p>
                <w:p w14:paraId="1F8AF637">
                  <w:pPr>
                    <w:pStyle w:val="46"/>
                    <w:spacing w:line="240" w:lineRule="auto"/>
                    <w:ind w:firstLine="0" w:firstLineChars="0"/>
                    <w:rPr>
                      <w:rFonts w:hint="eastAsia" w:ascii="仿宋" w:hAnsi="仿宋" w:eastAsia="仿宋" w:cs="仿宋"/>
                      <w:b w:val="0"/>
                      <w:bCs/>
                      <w:color w:val="auto"/>
                    </w:rPr>
                  </w:pPr>
                  <w:r>
                    <w:rPr>
                      <w:rFonts w:hint="eastAsia" w:ascii="仿宋" w:hAnsi="仿宋" w:eastAsia="仿宋" w:cs="仿宋"/>
                      <w:b w:val="0"/>
                      <w:bCs/>
                      <w:color w:val="auto"/>
                    </w:rPr>
                    <w:t>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p w14:paraId="14C13BAD">
                  <w:pPr>
                    <w:pStyle w:val="46"/>
                    <w:spacing w:line="240" w:lineRule="auto"/>
                    <w:ind w:firstLine="0" w:firstLineChars="0"/>
                    <w:rPr>
                      <w:rFonts w:ascii="仿宋" w:hAnsi="仿宋" w:eastAsia="仿宋" w:cs="仿宋"/>
                      <w:b w:val="0"/>
                      <w:bCs/>
                      <w:color w:val="auto"/>
                    </w:rPr>
                  </w:pPr>
                  <w:r>
                    <w:rPr>
                      <w:rFonts w:ascii="仿宋" w:hAnsi="仿宋" w:eastAsia="仿宋" w:cs="仿宋"/>
                      <w:b w:val="0"/>
                      <w:bCs/>
                      <w:color w:val="auto"/>
                    </w:rPr>
                    <w:t>第七条</w:t>
                  </w:r>
                  <w:r>
                    <w:rPr>
                      <w:rFonts w:hint="eastAsia" w:ascii="仿宋" w:hAnsi="仿宋" w:eastAsia="仿宋" w:cs="仿宋"/>
                      <w:b w:val="0"/>
                      <w:bCs/>
                      <w:color w:val="auto"/>
                    </w:rPr>
                    <w:t>以“三河六溪”污染综合治理为核心，改善次级河流水质。</w:t>
                  </w:r>
                </w:p>
                <w:p w14:paraId="750BB234">
                  <w:pPr>
                    <w:pStyle w:val="46"/>
                    <w:spacing w:line="240" w:lineRule="auto"/>
                    <w:ind w:firstLine="0" w:firstLineChars="0"/>
                    <w:rPr>
                      <w:rFonts w:hint="eastAsia" w:ascii="仿宋" w:hAnsi="仿宋" w:eastAsia="仿宋" w:cs="仿宋"/>
                      <w:b w:val="0"/>
                      <w:bCs/>
                      <w:color w:val="auto"/>
                    </w:rPr>
                  </w:pPr>
                  <w:r>
                    <w:rPr>
                      <w:rFonts w:hint="eastAsia" w:ascii="仿宋" w:hAnsi="仿宋" w:eastAsia="仿宋" w:cs="仿宋"/>
                      <w:b w:val="0"/>
                      <w:bCs/>
                      <w:color w:val="auto"/>
                    </w:rPr>
                    <w:t>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p w14:paraId="4506AD55">
                  <w:pPr>
                    <w:pStyle w:val="46"/>
                    <w:spacing w:line="240" w:lineRule="auto"/>
                    <w:ind w:firstLine="0" w:firstLineChars="0"/>
                    <w:rPr>
                      <w:rFonts w:ascii="仿宋" w:hAnsi="仿宋" w:eastAsia="仿宋" w:cs="仿宋"/>
                      <w:b w:val="0"/>
                      <w:bCs/>
                      <w:color w:val="auto"/>
                    </w:rPr>
                  </w:pPr>
                  <w:r>
                    <w:rPr>
                      <w:rFonts w:ascii="仿宋" w:hAnsi="仿宋" w:eastAsia="仿宋" w:cs="仿宋"/>
                      <w:b w:val="0"/>
                      <w:bCs/>
                      <w:color w:val="auto"/>
                    </w:rPr>
                    <w:t>第八条</w:t>
                  </w:r>
                  <w:r>
                    <w:rPr>
                      <w:rFonts w:hint="eastAsia" w:ascii="仿宋" w:hAnsi="仿宋" w:eastAsia="仿宋" w:cs="仿宋"/>
                      <w:b w:val="0"/>
                      <w:bCs/>
                      <w:color w:val="auto"/>
                    </w:rPr>
                    <w:t>以农业种植和水产养殖为重点，强化面源污染防治。</w:t>
                  </w:r>
                </w:p>
                <w:p w14:paraId="0161F8F1">
                  <w:pPr>
                    <w:pStyle w:val="46"/>
                    <w:spacing w:line="240" w:lineRule="auto"/>
                    <w:ind w:firstLine="0" w:firstLineChars="0"/>
                    <w:rPr>
                      <w:rFonts w:hint="eastAsia" w:ascii="仿宋" w:hAnsi="仿宋" w:eastAsia="仿宋" w:cs="仿宋"/>
                      <w:b w:val="0"/>
                      <w:bCs/>
                      <w:color w:val="auto"/>
                    </w:rPr>
                  </w:pPr>
                  <w:r>
                    <w:rPr>
                      <w:rFonts w:hint="eastAsia" w:ascii="仿宋" w:hAnsi="仿宋" w:eastAsia="仿宋" w:cs="仿宋"/>
                      <w:b w:val="0"/>
                      <w:bCs/>
                      <w:color w:val="auto"/>
                    </w:rPr>
                    <w:t>严格控制化肥农药使用量，推进化肥农药减量增效；加强九龙西城西彭镇高标准农田管护运营；以九龙西城水产养殖污染防治为重点，全面推进池塘水产养殖综合治理，提高养殖尾水治理设施覆盖率。</w:t>
                  </w:r>
                </w:p>
                <w:p w14:paraId="63E9AFD0">
                  <w:pPr>
                    <w:pStyle w:val="46"/>
                    <w:spacing w:line="240" w:lineRule="auto"/>
                    <w:ind w:firstLine="0" w:firstLineChars="0"/>
                    <w:rPr>
                      <w:rFonts w:ascii="仿宋" w:hAnsi="仿宋" w:eastAsia="仿宋" w:cs="仿宋"/>
                      <w:b w:val="0"/>
                      <w:bCs/>
                      <w:color w:val="auto"/>
                    </w:rPr>
                  </w:pPr>
                </w:p>
              </w:tc>
              <w:tc>
                <w:tcPr>
                  <w:tcW w:w="3114" w:type="dxa"/>
                  <w:vAlign w:val="center"/>
                </w:tcPr>
                <w:p w14:paraId="3D9315A6">
                  <w:pPr>
                    <w:pStyle w:val="46"/>
                    <w:spacing w:line="240" w:lineRule="auto"/>
                    <w:ind w:firstLine="0" w:firstLineChars="0"/>
                    <w:jc w:val="center"/>
                    <w:rPr>
                      <w:rFonts w:ascii="仿宋" w:hAnsi="仿宋" w:eastAsia="仿宋" w:cs="仿宋"/>
                      <w:b w:val="0"/>
                      <w:bCs/>
                      <w:color w:val="auto"/>
                    </w:rPr>
                  </w:pPr>
                  <w:r>
                    <w:rPr>
                      <w:rFonts w:ascii="仿宋" w:hAnsi="仿宋" w:eastAsia="仿宋" w:cs="仿宋"/>
                      <w:b w:val="0"/>
                      <w:bCs/>
                      <w:color w:val="auto"/>
                    </w:rPr>
                    <w:t>项目位于</w:t>
                  </w:r>
                  <w:r>
                    <w:rPr>
                      <w:rFonts w:hint="eastAsia" w:ascii="仿宋" w:hAnsi="仿宋" w:eastAsia="仿宋" w:cs="仿宋"/>
                      <w:b w:val="0"/>
                      <w:bCs/>
                      <w:color w:val="auto"/>
                    </w:rPr>
                    <w:t>西彭组团D</w:t>
                  </w:r>
                  <w:r>
                    <w:rPr>
                      <w:rFonts w:hint="eastAsia" w:ascii="仿宋" w:hAnsi="仿宋" w:eastAsia="仿宋" w:cs="仿宋"/>
                      <w:b w:val="0"/>
                      <w:bCs/>
                      <w:color w:val="auto"/>
                      <w:lang w:val="en-US" w:eastAsia="zh-CN"/>
                    </w:rPr>
                    <w:t>52</w:t>
                  </w:r>
                  <w:r>
                    <w:rPr>
                      <w:rFonts w:hint="eastAsia" w:ascii="仿宋" w:hAnsi="仿宋" w:eastAsia="仿宋" w:cs="仿宋"/>
                      <w:b w:val="0"/>
                      <w:bCs/>
                      <w:color w:val="auto"/>
                    </w:rPr>
                    <w:t>-</w:t>
                  </w:r>
                  <w:r>
                    <w:rPr>
                      <w:rFonts w:hint="eastAsia" w:ascii="仿宋" w:hAnsi="仿宋" w:eastAsia="仿宋" w:cs="仿宋"/>
                      <w:b w:val="0"/>
                      <w:bCs/>
                      <w:color w:val="auto"/>
                      <w:lang w:val="en-US" w:eastAsia="zh-CN"/>
                    </w:rPr>
                    <w:t>2</w:t>
                  </w:r>
                  <w:r>
                    <w:rPr>
                      <w:rFonts w:hint="eastAsia" w:ascii="仿宋" w:hAnsi="仿宋" w:eastAsia="仿宋" w:cs="仿宋"/>
                      <w:b w:val="0"/>
                      <w:bCs/>
                      <w:color w:val="auto"/>
                    </w:rPr>
                    <w:t>地块，为C2929塑料零件及其他塑料制品制造</w:t>
                  </w:r>
                  <w:r>
                    <w:rPr>
                      <w:rFonts w:hint="eastAsia" w:ascii="仿宋" w:hAnsi="仿宋" w:eastAsia="仿宋" w:cs="仿宋"/>
                      <w:b w:val="0"/>
                      <w:bCs/>
                      <w:color w:val="auto"/>
                      <w:lang w:eastAsia="zh-CN"/>
                    </w:rPr>
                    <w:t>、</w:t>
                  </w:r>
                  <w:r>
                    <w:rPr>
                      <w:rFonts w:hint="eastAsia" w:ascii="仿宋" w:hAnsi="仿宋" w:eastAsia="仿宋" w:cs="仿宋"/>
                      <w:b w:val="0"/>
                      <w:bCs/>
                      <w:color w:val="auto"/>
                      <w:lang w:val="en-US" w:eastAsia="zh-CN"/>
                    </w:rPr>
                    <w:t>C3670汽车零部件及配件制造</w:t>
                  </w:r>
                  <w:r>
                    <w:rPr>
                      <w:rFonts w:ascii="仿宋" w:hAnsi="仿宋" w:eastAsia="仿宋" w:cs="仿宋"/>
                      <w:b w:val="0"/>
                      <w:bCs/>
                      <w:color w:val="auto"/>
                    </w:rPr>
                    <w:t>，废气经收集处理后达标排放；</w:t>
                  </w:r>
                  <w:r>
                    <w:rPr>
                      <w:rFonts w:hint="eastAsia" w:ascii="仿宋" w:hAnsi="仿宋" w:eastAsia="仿宋" w:cs="仿宋"/>
                      <w:b w:val="0"/>
                      <w:bCs/>
                      <w:color w:val="auto"/>
                    </w:rPr>
                    <w:t>项目地面清洁废水与生活污水依托厂房配套的生化池处理达标后排入市政污水管网进入园区污水处理厂处理</w:t>
                  </w:r>
                </w:p>
              </w:tc>
              <w:tc>
                <w:tcPr>
                  <w:tcW w:w="1219" w:type="dxa"/>
                  <w:vAlign w:val="center"/>
                </w:tcPr>
                <w:p w14:paraId="20D03247">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符合</w:t>
                  </w:r>
                </w:p>
              </w:tc>
            </w:tr>
            <w:tr w14:paraId="0549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2" w:hRule="atLeast"/>
              </w:trPr>
              <w:tc>
                <w:tcPr>
                  <w:tcW w:w="1313" w:type="dxa"/>
                  <w:vMerge w:val="continue"/>
                  <w:vAlign w:val="center"/>
                </w:tcPr>
                <w:p w14:paraId="6547D624">
                  <w:pPr>
                    <w:pStyle w:val="46"/>
                    <w:spacing w:line="240" w:lineRule="auto"/>
                    <w:ind w:firstLine="0" w:firstLineChars="0"/>
                    <w:jc w:val="center"/>
                    <w:rPr>
                      <w:rFonts w:ascii="仿宋" w:hAnsi="仿宋" w:eastAsia="仿宋" w:cs="仿宋"/>
                      <w:color w:val="auto"/>
                    </w:rPr>
                  </w:pPr>
                </w:p>
              </w:tc>
              <w:tc>
                <w:tcPr>
                  <w:tcW w:w="1825" w:type="dxa"/>
                  <w:vMerge w:val="restart"/>
                  <w:vAlign w:val="center"/>
                </w:tcPr>
                <w:p w14:paraId="327781BF">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环境风险防控</w:t>
                  </w:r>
                </w:p>
              </w:tc>
              <w:tc>
                <w:tcPr>
                  <w:tcW w:w="5724" w:type="dxa"/>
                  <w:gridSpan w:val="2"/>
                  <w:vMerge w:val="restart"/>
                  <w:vAlign w:val="center"/>
                </w:tcPr>
                <w:p w14:paraId="2BD61846">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第九条执行重点管控单元市级总体要求第十六条。</w:t>
                  </w:r>
                </w:p>
                <w:p w14:paraId="62050DE3">
                  <w:pPr>
                    <w:pStyle w:val="46"/>
                    <w:spacing w:line="240" w:lineRule="auto"/>
                    <w:ind w:firstLine="0" w:firstLineChars="0"/>
                    <w:rPr>
                      <w:rFonts w:ascii="仿宋" w:hAnsi="仿宋" w:eastAsia="仿宋" w:cs="仿宋"/>
                      <w:b w:val="0"/>
                      <w:bCs/>
                      <w:color w:val="auto"/>
                    </w:rPr>
                  </w:pPr>
                  <w:r>
                    <w:rPr>
                      <w:rFonts w:ascii="仿宋" w:hAnsi="仿宋" w:eastAsia="仿宋" w:cs="仿宋"/>
                      <w:b w:val="0"/>
                      <w:bCs/>
                      <w:color w:val="auto"/>
                    </w:rPr>
                    <w:t>第十条</w:t>
                  </w:r>
                  <w:r>
                    <w:rPr>
                      <w:rFonts w:hint="eastAsia" w:ascii="仿宋" w:hAnsi="仿宋" w:eastAsia="仿宋" w:cs="仿宋"/>
                      <w:b w:val="0"/>
                      <w:bCs/>
                      <w:color w:val="auto"/>
                    </w:rPr>
                    <w:t>以保障饮用水源安全为目标，完善区域环境风险措施。</w:t>
                  </w:r>
                </w:p>
                <w:p w14:paraId="17576030">
                  <w:pPr>
                    <w:pStyle w:val="46"/>
                    <w:spacing w:line="240" w:lineRule="auto"/>
                    <w:ind w:firstLine="0" w:firstLineChars="0"/>
                    <w:rPr>
                      <w:rFonts w:hint="eastAsia" w:ascii="仿宋" w:hAnsi="仿宋" w:eastAsia="仿宋" w:cs="仿宋"/>
                      <w:b w:val="0"/>
                      <w:bCs/>
                      <w:color w:val="auto"/>
                    </w:rPr>
                  </w:pPr>
                  <w:r>
                    <w:rPr>
                      <w:rFonts w:hint="eastAsia" w:ascii="仿宋" w:hAnsi="仿宋" w:eastAsia="仿宋" w:cs="仿宋"/>
                      <w:b w:val="0"/>
                      <w:bCs/>
                      <w:color w:val="auto"/>
                    </w:rPr>
                    <w:t>加强长江沿江1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p w14:paraId="09E7B428">
                  <w:pPr>
                    <w:pStyle w:val="46"/>
                    <w:spacing w:line="240" w:lineRule="auto"/>
                    <w:ind w:firstLine="0" w:firstLineChars="0"/>
                    <w:rPr>
                      <w:rFonts w:ascii="仿宋" w:hAnsi="仿宋" w:eastAsia="仿宋" w:cs="仿宋"/>
                      <w:b w:val="0"/>
                      <w:bCs/>
                      <w:color w:val="auto"/>
                    </w:rPr>
                  </w:pPr>
                  <w:r>
                    <w:rPr>
                      <w:rFonts w:ascii="仿宋" w:hAnsi="仿宋" w:eastAsia="仿宋" w:cs="仿宋"/>
                      <w:b w:val="0"/>
                      <w:bCs/>
                      <w:color w:val="auto"/>
                    </w:rPr>
                    <w:t>第十一条</w:t>
                  </w:r>
                  <w:r>
                    <w:rPr>
                      <w:rFonts w:hint="eastAsia" w:ascii="仿宋" w:hAnsi="仿宋" w:eastAsia="仿宋" w:cs="仿宋"/>
                      <w:b w:val="0"/>
                      <w:bCs/>
                      <w:color w:val="auto"/>
                    </w:rPr>
                    <w:t>以保障“一住两公”重点建设用地安全为目标，持续推进污染土壤治理，守牢土地安全利用底线。</w:t>
                  </w:r>
                </w:p>
                <w:p w14:paraId="18EE414B">
                  <w:pPr>
                    <w:pStyle w:val="46"/>
                    <w:spacing w:line="240" w:lineRule="auto"/>
                    <w:ind w:firstLine="0" w:firstLineChars="0"/>
                    <w:rPr>
                      <w:rFonts w:hint="eastAsia" w:ascii="仿宋" w:hAnsi="仿宋" w:eastAsia="仿宋" w:cs="仿宋"/>
                      <w:b w:val="0"/>
                      <w:bCs/>
                      <w:color w:val="auto"/>
                    </w:rPr>
                  </w:pPr>
                  <w:r>
                    <w:rPr>
                      <w:rFonts w:hint="eastAsia" w:ascii="仿宋" w:hAnsi="仿宋" w:eastAsia="仿宋" w:cs="仿宋"/>
                      <w:b w:val="0"/>
                      <w:bCs/>
                      <w:color w:val="auto"/>
                    </w:rPr>
                    <w:t>根据土壤污染状况合理确定土地用途，推进工业企业腾退地块土壤污染状况调查评估及治理修复。未依法完成土壤污染状况调查和风险评估的地块，不得开工建设与风险管控和修复无关的项目</w:t>
                  </w:r>
                </w:p>
                <w:p w14:paraId="1454C6F9">
                  <w:pPr>
                    <w:pStyle w:val="46"/>
                    <w:spacing w:line="240" w:lineRule="auto"/>
                    <w:ind w:firstLine="0" w:firstLineChars="0"/>
                    <w:rPr>
                      <w:rFonts w:ascii="仿宋" w:hAnsi="仿宋" w:eastAsia="仿宋" w:cs="仿宋"/>
                      <w:b w:val="0"/>
                      <w:bCs/>
                      <w:color w:val="auto"/>
                    </w:rPr>
                  </w:pPr>
                </w:p>
              </w:tc>
              <w:tc>
                <w:tcPr>
                  <w:tcW w:w="3114" w:type="dxa"/>
                  <w:vMerge w:val="restart"/>
                  <w:vAlign w:val="center"/>
                </w:tcPr>
                <w:p w14:paraId="617A4270">
                  <w:pPr>
                    <w:pStyle w:val="46"/>
                    <w:spacing w:line="240" w:lineRule="auto"/>
                    <w:ind w:firstLine="0" w:firstLineChars="0"/>
                    <w:jc w:val="center"/>
                    <w:rPr>
                      <w:rFonts w:hint="eastAsia" w:ascii="仿宋" w:hAnsi="仿宋" w:eastAsia="仿宋" w:cs="仿宋"/>
                      <w:b w:val="0"/>
                      <w:bCs/>
                      <w:color w:val="auto"/>
                      <w:lang w:eastAsia="zh-CN"/>
                    </w:rPr>
                  </w:pPr>
                  <w:r>
                    <w:rPr>
                      <w:rFonts w:ascii="仿宋" w:hAnsi="仿宋" w:eastAsia="仿宋" w:cs="仿宋"/>
                      <w:b w:val="0"/>
                      <w:bCs/>
                      <w:color w:val="auto"/>
                    </w:rPr>
                    <w:t>项目位于</w:t>
                  </w:r>
                  <w:r>
                    <w:rPr>
                      <w:rFonts w:hint="eastAsia" w:ascii="仿宋" w:hAnsi="仿宋" w:eastAsia="仿宋" w:cs="仿宋"/>
                      <w:b w:val="0"/>
                      <w:bCs/>
                      <w:color w:val="auto"/>
                    </w:rPr>
                    <w:t>西彭组团D</w:t>
                  </w:r>
                  <w:r>
                    <w:rPr>
                      <w:rFonts w:hint="eastAsia" w:ascii="仿宋" w:hAnsi="仿宋" w:eastAsia="仿宋" w:cs="仿宋"/>
                      <w:b w:val="0"/>
                      <w:bCs/>
                      <w:color w:val="auto"/>
                      <w:lang w:val="en-US" w:eastAsia="zh-CN"/>
                    </w:rPr>
                    <w:t>52</w:t>
                  </w:r>
                  <w:r>
                    <w:rPr>
                      <w:rFonts w:hint="eastAsia" w:ascii="仿宋" w:hAnsi="仿宋" w:eastAsia="仿宋" w:cs="仿宋"/>
                      <w:b w:val="0"/>
                      <w:bCs/>
                      <w:color w:val="auto"/>
                    </w:rPr>
                    <w:t>-</w:t>
                  </w:r>
                  <w:r>
                    <w:rPr>
                      <w:rFonts w:hint="eastAsia" w:ascii="仿宋" w:hAnsi="仿宋" w:eastAsia="仿宋" w:cs="仿宋"/>
                      <w:b w:val="0"/>
                      <w:bCs/>
                      <w:color w:val="auto"/>
                      <w:lang w:val="en-US" w:eastAsia="zh-CN"/>
                    </w:rPr>
                    <w:t>2</w:t>
                  </w:r>
                  <w:r>
                    <w:rPr>
                      <w:rFonts w:hint="eastAsia" w:ascii="仿宋" w:hAnsi="仿宋" w:eastAsia="仿宋" w:cs="仿宋"/>
                      <w:b w:val="0"/>
                      <w:bCs/>
                      <w:color w:val="auto"/>
                    </w:rPr>
                    <w:t>地块，为C2929塑料零件及其他塑料制品制造</w:t>
                  </w:r>
                  <w:r>
                    <w:rPr>
                      <w:rFonts w:hint="eastAsia" w:ascii="仿宋" w:hAnsi="仿宋" w:eastAsia="仿宋" w:cs="仿宋"/>
                      <w:b w:val="0"/>
                      <w:bCs/>
                      <w:color w:val="auto"/>
                      <w:lang w:eastAsia="zh-CN"/>
                    </w:rPr>
                    <w:t>、</w:t>
                  </w:r>
                  <w:r>
                    <w:rPr>
                      <w:rFonts w:hint="eastAsia" w:ascii="仿宋" w:hAnsi="仿宋" w:eastAsia="仿宋" w:cs="仿宋"/>
                      <w:b w:val="0"/>
                      <w:bCs/>
                      <w:color w:val="auto"/>
                      <w:lang w:val="en-US" w:eastAsia="zh-CN"/>
                    </w:rPr>
                    <w:t>C3670汽车零部件及配件制造</w:t>
                  </w:r>
                  <w:r>
                    <w:rPr>
                      <w:rFonts w:hint="eastAsia" w:ascii="仿宋" w:hAnsi="仿宋" w:eastAsia="仿宋" w:cs="仿宋"/>
                      <w:b w:val="0"/>
                      <w:bCs/>
                      <w:color w:val="auto"/>
                      <w:lang w:eastAsia="zh-CN"/>
                    </w:rPr>
                    <w:t>，不属于</w:t>
                  </w:r>
                  <w:r>
                    <w:rPr>
                      <w:rFonts w:hint="eastAsia" w:ascii="仿宋" w:hAnsi="仿宋" w:eastAsia="仿宋" w:cs="仿宋"/>
                      <w:b w:val="0"/>
                      <w:bCs/>
                      <w:color w:val="auto"/>
                    </w:rPr>
                    <w:t>化工企业及危化品仓库</w:t>
                  </w:r>
                </w:p>
              </w:tc>
              <w:tc>
                <w:tcPr>
                  <w:tcW w:w="1219" w:type="dxa"/>
                  <w:vAlign w:val="center"/>
                </w:tcPr>
                <w:p w14:paraId="00C38E32">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符合</w:t>
                  </w:r>
                </w:p>
              </w:tc>
            </w:tr>
            <w:tr w14:paraId="3F0F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313" w:type="dxa"/>
                  <w:vMerge w:val="continue"/>
                  <w:vAlign w:val="center"/>
                </w:tcPr>
                <w:p w14:paraId="4E0AC858">
                  <w:pPr>
                    <w:pStyle w:val="46"/>
                    <w:spacing w:line="240" w:lineRule="auto"/>
                    <w:ind w:firstLine="0" w:firstLineChars="0"/>
                    <w:jc w:val="center"/>
                    <w:rPr>
                      <w:rFonts w:ascii="仿宋" w:hAnsi="仿宋" w:eastAsia="仿宋" w:cs="仿宋"/>
                      <w:color w:val="auto"/>
                    </w:rPr>
                  </w:pPr>
                </w:p>
              </w:tc>
              <w:tc>
                <w:tcPr>
                  <w:tcW w:w="1825" w:type="dxa"/>
                  <w:vAlign w:val="center"/>
                </w:tcPr>
                <w:p w14:paraId="1779652F">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资源利用效率</w:t>
                  </w:r>
                </w:p>
              </w:tc>
              <w:tc>
                <w:tcPr>
                  <w:tcW w:w="5724" w:type="dxa"/>
                  <w:gridSpan w:val="2"/>
                  <w:vAlign w:val="center"/>
                </w:tcPr>
                <w:p w14:paraId="434D216B">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第十二条执行重点管控单元市级总体要求第十八条、第十九条、第二十条、第二十一条。</w:t>
                  </w:r>
                </w:p>
                <w:p w14:paraId="4488794A">
                  <w:pPr>
                    <w:pStyle w:val="46"/>
                    <w:spacing w:line="240" w:lineRule="auto"/>
                    <w:ind w:firstLine="0" w:firstLineChars="0"/>
                    <w:rPr>
                      <w:rFonts w:ascii="仿宋" w:hAnsi="仿宋" w:eastAsia="仿宋" w:cs="仿宋"/>
                      <w:b w:val="0"/>
                      <w:bCs/>
                      <w:color w:val="auto"/>
                    </w:rPr>
                  </w:pPr>
                  <w:r>
                    <w:rPr>
                      <w:rFonts w:ascii="仿宋" w:hAnsi="仿宋" w:eastAsia="仿宋" w:cs="仿宋"/>
                      <w:b w:val="0"/>
                      <w:bCs/>
                      <w:color w:val="auto"/>
                    </w:rPr>
                    <w:t>第十三条</w:t>
                  </w:r>
                  <w:r>
                    <w:rPr>
                      <w:rFonts w:hint="eastAsia" w:ascii="仿宋" w:hAnsi="仿宋" w:eastAsia="仿宋" w:cs="仿宋"/>
                      <w:b w:val="0"/>
                      <w:bCs/>
                      <w:color w:val="auto"/>
                    </w:rPr>
                    <w:t>以促进产业绿色低碳循环发展为导向，推动减污降碳协同共治。</w:t>
                  </w:r>
                </w:p>
                <w:p w14:paraId="064E542A">
                  <w:pPr>
                    <w:pStyle w:val="46"/>
                    <w:spacing w:line="240" w:lineRule="auto"/>
                    <w:ind w:firstLine="0" w:firstLineChars="0"/>
                    <w:rPr>
                      <w:rFonts w:hint="eastAsia" w:ascii="仿宋" w:hAnsi="仿宋" w:eastAsia="仿宋" w:cs="仿宋"/>
                      <w:b w:val="0"/>
                      <w:bCs/>
                      <w:color w:val="auto"/>
                    </w:rPr>
                  </w:pPr>
                  <w:r>
                    <w:rPr>
                      <w:rFonts w:hint="eastAsia" w:ascii="仿宋" w:hAnsi="仿宋" w:eastAsia="仿宋" w:cs="仿宋"/>
                      <w:b w:val="0"/>
                      <w:bCs/>
                      <w:color w:val="auto"/>
                    </w:rPr>
                    <w:t>结合九龙新城园区西部片区（原西彭工业园区）近零碳园区建设，深化有色金属冶炼及压延加工业、化学原料及化学制品制造业和汽车制造业等行业减污降碳。</w:t>
                  </w:r>
                </w:p>
                <w:p w14:paraId="47194174">
                  <w:pPr>
                    <w:pStyle w:val="46"/>
                    <w:spacing w:line="240" w:lineRule="auto"/>
                    <w:ind w:firstLine="0" w:firstLineChars="0"/>
                    <w:rPr>
                      <w:rFonts w:ascii="仿宋" w:hAnsi="仿宋" w:eastAsia="仿宋" w:cs="仿宋"/>
                      <w:b w:val="0"/>
                      <w:bCs/>
                      <w:color w:val="auto"/>
                    </w:rPr>
                  </w:pPr>
                  <w:r>
                    <w:rPr>
                      <w:rFonts w:ascii="仿宋" w:hAnsi="仿宋" w:eastAsia="仿宋" w:cs="仿宋"/>
                      <w:b w:val="0"/>
                      <w:bCs/>
                      <w:color w:val="auto"/>
                    </w:rPr>
                    <w:t>第十四条</w:t>
                  </w:r>
                  <w:r>
                    <w:rPr>
                      <w:rFonts w:hint="eastAsia" w:ascii="仿宋" w:hAnsi="仿宋" w:eastAsia="仿宋" w:cs="仿宋"/>
                      <w:b w:val="0"/>
                      <w:bCs/>
                      <w:color w:val="auto"/>
                    </w:rPr>
                    <w:t>提升工业、城镇生活、农业节水能力，推进再生水循环利用，提高水资源利用效率。</w:t>
                  </w:r>
                </w:p>
                <w:p w14:paraId="314B0644">
                  <w:pPr>
                    <w:pStyle w:val="46"/>
                    <w:spacing w:line="240" w:lineRule="auto"/>
                    <w:ind w:firstLine="0" w:firstLineChars="0"/>
                    <w:rPr>
                      <w:rFonts w:ascii="仿宋" w:hAnsi="仿宋" w:eastAsia="仿宋" w:cs="仿宋"/>
                      <w:b w:val="0"/>
                      <w:bCs/>
                      <w:color w:val="auto"/>
                    </w:rPr>
                  </w:pPr>
                  <w:r>
                    <w:rPr>
                      <w:rFonts w:hint="eastAsia" w:ascii="仿宋" w:hAnsi="仿宋" w:eastAsia="仿宋" w:cs="仿宋"/>
                      <w:b w:val="0"/>
                      <w:bCs/>
                      <w:color w:val="auto"/>
                    </w:rPr>
                    <w:t>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3114" w:type="dxa"/>
                  <w:vAlign w:val="center"/>
                </w:tcPr>
                <w:p w14:paraId="55A3BFAC">
                  <w:pPr>
                    <w:pStyle w:val="46"/>
                    <w:spacing w:line="240" w:lineRule="auto"/>
                    <w:ind w:firstLine="0" w:firstLineChars="0"/>
                    <w:rPr>
                      <w:rFonts w:ascii="仿宋" w:hAnsi="仿宋" w:eastAsia="仿宋" w:cs="仿宋"/>
                      <w:b w:val="0"/>
                      <w:bCs/>
                      <w:color w:val="auto"/>
                    </w:rPr>
                  </w:pPr>
                  <w:r>
                    <w:rPr>
                      <w:rFonts w:ascii="仿宋" w:hAnsi="仿宋" w:eastAsia="仿宋" w:cs="仿宋"/>
                      <w:b w:val="0"/>
                      <w:bCs/>
                      <w:color w:val="auto"/>
                    </w:rPr>
                    <w:t>项目</w:t>
                  </w:r>
                  <w:r>
                    <w:rPr>
                      <w:rFonts w:hint="eastAsia" w:ascii="仿宋" w:hAnsi="仿宋" w:eastAsia="仿宋" w:cs="仿宋"/>
                      <w:b w:val="0"/>
                      <w:bCs/>
                      <w:color w:val="auto"/>
                      <w:lang w:eastAsia="zh-CN"/>
                    </w:rPr>
                    <w:t>属于</w:t>
                  </w:r>
                  <w:r>
                    <w:rPr>
                      <w:rFonts w:hint="eastAsia" w:ascii="仿宋" w:hAnsi="仿宋" w:eastAsia="仿宋" w:cs="仿宋"/>
                      <w:b w:val="0"/>
                      <w:bCs/>
                      <w:color w:val="auto"/>
                    </w:rPr>
                    <w:t>C2929塑料零件及其他塑料制品制造</w:t>
                  </w:r>
                  <w:r>
                    <w:rPr>
                      <w:rFonts w:hint="eastAsia" w:ascii="仿宋" w:hAnsi="仿宋" w:eastAsia="仿宋" w:cs="仿宋"/>
                      <w:b w:val="0"/>
                      <w:bCs/>
                      <w:color w:val="auto"/>
                      <w:lang w:eastAsia="zh-CN"/>
                    </w:rPr>
                    <w:t>、</w:t>
                  </w:r>
                  <w:r>
                    <w:rPr>
                      <w:rFonts w:hint="eastAsia" w:ascii="仿宋" w:hAnsi="仿宋" w:eastAsia="仿宋" w:cs="仿宋"/>
                      <w:b w:val="0"/>
                      <w:bCs/>
                      <w:color w:val="auto"/>
                      <w:lang w:val="en-US" w:eastAsia="zh-CN"/>
                    </w:rPr>
                    <w:t>C3670汽车零部件及配件制造</w:t>
                  </w:r>
                  <w:r>
                    <w:rPr>
                      <w:rFonts w:hint="eastAsia" w:ascii="仿宋" w:hAnsi="仿宋" w:eastAsia="仿宋" w:cs="仿宋"/>
                      <w:b w:val="0"/>
                      <w:bCs/>
                      <w:color w:val="auto"/>
                    </w:rPr>
                    <w:t>，只使用清洁能源电能，不涉及其他能源消耗</w:t>
                  </w:r>
                  <w:r>
                    <w:rPr>
                      <w:rFonts w:hint="eastAsia" w:ascii="仿宋" w:hAnsi="仿宋" w:eastAsia="仿宋" w:cs="仿宋"/>
                      <w:b w:val="0"/>
                      <w:bCs/>
                      <w:color w:val="auto"/>
                      <w:lang w:eastAsia="zh-CN"/>
                    </w:rPr>
                    <w:t>，不属于</w:t>
                  </w:r>
                  <w:r>
                    <w:rPr>
                      <w:rFonts w:hint="eastAsia" w:ascii="仿宋" w:hAnsi="仿宋" w:eastAsia="仿宋" w:cs="仿宋"/>
                      <w:b w:val="0"/>
                      <w:bCs/>
                      <w:color w:val="auto"/>
                    </w:rPr>
                    <w:t>高耗水行业</w:t>
                  </w:r>
                </w:p>
              </w:tc>
              <w:tc>
                <w:tcPr>
                  <w:tcW w:w="1219" w:type="dxa"/>
                  <w:vAlign w:val="center"/>
                </w:tcPr>
                <w:p w14:paraId="10AB79FC">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符合</w:t>
                  </w:r>
                </w:p>
              </w:tc>
            </w:tr>
            <w:tr w14:paraId="3A64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restart"/>
                  <w:vAlign w:val="center"/>
                </w:tcPr>
                <w:p w14:paraId="4924042F">
                  <w:pPr>
                    <w:pStyle w:val="46"/>
                    <w:spacing w:line="240" w:lineRule="auto"/>
                    <w:ind w:firstLine="0" w:firstLineChars="0"/>
                    <w:jc w:val="center"/>
                    <w:rPr>
                      <w:rFonts w:ascii="仿宋" w:hAnsi="仿宋" w:eastAsia="仿宋" w:cs="仿宋"/>
                      <w:color w:val="auto"/>
                    </w:rPr>
                  </w:pPr>
                  <w:r>
                    <w:rPr>
                      <w:rFonts w:hint="eastAsia" w:ascii="仿宋" w:hAnsi="仿宋" w:eastAsia="仿宋" w:cs="仿宋"/>
                      <w:color w:val="auto"/>
                    </w:rPr>
                    <w:t>单元管控要求</w:t>
                  </w:r>
                </w:p>
              </w:tc>
              <w:tc>
                <w:tcPr>
                  <w:tcW w:w="1825" w:type="dxa"/>
                  <w:vAlign w:val="center"/>
                </w:tcPr>
                <w:p w14:paraId="3F1EF3A1">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空间布局约束</w:t>
                  </w:r>
                </w:p>
              </w:tc>
              <w:tc>
                <w:tcPr>
                  <w:tcW w:w="5724" w:type="dxa"/>
                  <w:gridSpan w:val="2"/>
                  <w:vAlign w:val="center"/>
                </w:tcPr>
                <w:p w14:paraId="0A7339B7">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ascii="仿宋" w:hAnsi="仿宋" w:eastAsia="仿宋" w:cs="仿宋"/>
                      <w:b w:val="0"/>
                      <w:bCs/>
                      <w:color w:val="auto"/>
                    </w:rPr>
                  </w:pPr>
                  <w:r>
                    <w:rPr>
                      <w:rFonts w:ascii="仿宋" w:hAnsi="仿宋" w:eastAsia="仿宋" w:cs="仿宋"/>
                      <w:b w:val="0"/>
                      <w:bCs/>
                      <w:color w:val="auto"/>
                      <w:lang w:val="en-US" w:eastAsia="zh-CN"/>
                    </w:rPr>
                    <w:t>1.紧邻现状及规划居住用地、中小学用地等的工业用地后续引入项目时应考虑以污</w:t>
                  </w:r>
                  <w:r>
                    <w:rPr>
                      <w:rFonts w:hint="eastAsia" w:ascii="仿宋" w:hAnsi="仿宋" w:eastAsia="仿宋" w:cs="仿宋"/>
                      <w:b w:val="0"/>
                      <w:bCs/>
                      <w:color w:val="auto"/>
                      <w:lang w:val="en-US" w:eastAsia="zh-CN"/>
                    </w:rPr>
                    <w:t>染较轻的项目为主，禁止新建涉及喷漆、酸洗、熔炼等异味较大的生产工艺项目。</w:t>
                  </w:r>
                </w:p>
                <w:p w14:paraId="14401EF8">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ascii="仿宋" w:hAnsi="仿宋" w:eastAsia="仿宋" w:cs="仿宋"/>
                      <w:b w:val="0"/>
                      <w:bCs/>
                      <w:color w:val="auto"/>
                    </w:rPr>
                  </w:pPr>
                  <w:r>
                    <w:rPr>
                      <w:rFonts w:hint="eastAsia" w:ascii="仿宋" w:hAnsi="仿宋" w:eastAsia="仿宋" w:cs="仿宋"/>
                      <w:b w:val="0"/>
                      <w:bCs/>
                      <w:color w:val="auto"/>
                      <w:lang w:val="en-US" w:eastAsia="zh-CN"/>
                    </w:rPr>
                    <w:t>2.推动九龙西城新能源、装备制造、新材料等产业往下游延伸；西彭工业园区禁止新建、扩建木质家具制造、报废汽车拆解、平板玻璃制造工业项目。3.重庆奇爽实业（集团）有限公司、红蜻蜓（重庆）植物油脂有限公司、重庆小可食品有限公司、重庆豆奇食品有限公司不再扩大用地规模、不新增污染物排放。</w:t>
                  </w:r>
                </w:p>
              </w:tc>
              <w:tc>
                <w:tcPr>
                  <w:tcW w:w="3114" w:type="dxa"/>
                  <w:vAlign w:val="center"/>
                </w:tcPr>
                <w:p w14:paraId="7D64885F">
                  <w:pPr>
                    <w:pStyle w:val="46"/>
                    <w:spacing w:line="240" w:lineRule="auto"/>
                    <w:ind w:firstLine="0" w:firstLineChars="0"/>
                    <w:rPr>
                      <w:rFonts w:hint="eastAsia" w:ascii="仿宋" w:hAnsi="仿宋" w:eastAsia="仿宋" w:cs="仿宋"/>
                      <w:b w:val="0"/>
                      <w:bCs/>
                      <w:color w:val="auto"/>
                      <w:lang w:eastAsia="zh-CN"/>
                    </w:rPr>
                  </w:pPr>
                  <w:r>
                    <w:rPr>
                      <w:rFonts w:hint="eastAsia" w:ascii="仿宋" w:hAnsi="仿宋" w:eastAsia="仿宋" w:cs="仿宋"/>
                      <w:b w:val="0"/>
                      <w:bCs/>
                      <w:color w:val="auto"/>
                      <w:lang w:eastAsia="zh-CN"/>
                    </w:rPr>
                    <w:t>本项目不紧邻</w:t>
                  </w:r>
                  <w:r>
                    <w:rPr>
                      <w:rFonts w:ascii="仿宋" w:hAnsi="仿宋" w:eastAsia="仿宋" w:cs="仿宋"/>
                      <w:b w:val="0"/>
                      <w:bCs/>
                      <w:color w:val="auto"/>
                      <w:lang w:val="en-US" w:eastAsia="zh-CN"/>
                    </w:rPr>
                    <w:t>现状及规划居住用地、中小学用地等</w:t>
                  </w:r>
                  <w:r>
                    <w:rPr>
                      <w:rFonts w:hint="eastAsia" w:ascii="仿宋" w:hAnsi="仿宋" w:eastAsia="仿宋" w:cs="仿宋"/>
                      <w:b w:val="0"/>
                      <w:bCs/>
                      <w:color w:val="auto"/>
                      <w:lang w:val="en-US" w:eastAsia="zh-CN"/>
                    </w:rPr>
                    <w:t>，不属于涉及喷漆、酸洗、熔炼等异味较大的生产工艺项目，项目为</w:t>
                  </w:r>
                  <w:r>
                    <w:rPr>
                      <w:rFonts w:hint="eastAsia" w:ascii="仿宋" w:hAnsi="仿宋" w:eastAsia="仿宋" w:cs="仿宋"/>
                      <w:b w:val="0"/>
                      <w:bCs/>
                      <w:color w:val="auto"/>
                    </w:rPr>
                    <w:t>C2929塑料零件及其他塑料制品制造</w:t>
                  </w:r>
                  <w:r>
                    <w:rPr>
                      <w:rFonts w:hint="eastAsia" w:ascii="仿宋" w:hAnsi="仿宋" w:eastAsia="仿宋" w:cs="仿宋"/>
                      <w:b w:val="0"/>
                      <w:bCs/>
                      <w:color w:val="auto"/>
                      <w:lang w:eastAsia="zh-CN"/>
                    </w:rPr>
                    <w:t>、</w:t>
                  </w:r>
                  <w:r>
                    <w:rPr>
                      <w:rFonts w:hint="eastAsia" w:ascii="仿宋" w:hAnsi="仿宋" w:eastAsia="仿宋" w:cs="仿宋"/>
                      <w:b w:val="0"/>
                      <w:bCs/>
                      <w:color w:val="auto"/>
                      <w:lang w:val="en-US" w:eastAsia="zh-CN"/>
                    </w:rPr>
                    <w:t>C3670汽车零部件及配件制造</w:t>
                  </w:r>
                  <w:r>
                    <w:rPr>
                      <w:rFonts w:hint="eastAsia" w:ascii="仿宋" w:hAnsi="仿宋" w:eastAsia="仿宋" w:cs="仿宋"/>
                      <w:b w:val="0"/>
                      <w:bCs/>
                      <w:color w:val="auto"/>
                      <w:lang w:eastAsia="zh-CN"/>
                    </w:rPr>
                    <w:t>，不属于</w:t>
                  </w:r>
                  <w:r>
                    <w:rPr>
                      <w:rFonts w:hint="eastAsia" w:ascii="仿宋" w:hAnsi="仿宋" w:eastAsia="仿宋" w:cs="仿宋"/>
                      <w:b w:val="0"/>
                      <w:bCs/>
                      <w:color w:val="auto"/>
                      <w:lang w:val="en-US" w:eastAsia="zh-CN"/>
                    </w:rPr>
                    <w:t>木质家具制造、报废汽车拆解、平板玻璃制造工业项目</w:t>
                  </w:r>
                </w:p>
              </w:tc>
              <w:tc>
                <w:tcPr>
                  <w:tcW w:w="1219" w:type="dxa"/>
                  <w:vAlign w:val="center"/>
                </w:tcPr>
                <w:p w14:paraId="5BE7F18B">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符合</w:t>
                  </w:r>
                </w:p>
              </w:tc>
            </w:tr>
            <w:tr w14:paraId="7B88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53EF71E3">
                  <w:pPr>
                    <w:pStyle w:val="46"/>
                    <w:spacing w:line="240" w:lineRule="auto"/>
                    <w:ind w:firstLine="0" w:firstLineChars="0"/>
                    <w:jc w:val="center"/>
                    <w:rPr>
                      <w:rFonts w:ascii="仿宋" w:hAnsi="仿宋" w:eastAsia="仿宋" w:cs="仿宋"/>
                      <w:color w:val="auto"/>
                    </w:rPr>
                  </w:pPr>
                </w:p>
              </w:tc>
              <w:tc>
                <w:tcPr>
                  <w:tcW w:w="1825" w:type="dxa"/>
                  <w:vAlign w:val="center"/>
                </w:tcPr>
                <w:p w14:paraId="45C97282">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污染物排放管控</w:t>
                  </w:r>
                </w:p>
              </w:tc>
              <w:tc>
                <w:tcPr>
                  <w:tcW w:w="5724" w:type="dxa"/>
                  <w:gridSpan w:val="2"/>
                  <w:vAlign w:val="center"/>
                </w:tcPr>
                <w:p w14:paraId="44E45D2B">
                  <w:pPr>
                    <w:pStyle w:val="46"/>
                    <w:numPr>
                      <w:ilvl w:val="0"/>
                      <w:numId w:val="3"/>
                    </w:numPr>
                    <w:spacing w:line="240" w:lineRule="auto"/>
                    <w:ind w:firstLine="0" w:firstLineChars="0"/>
                    <w:jc w:val="both"/>
                    <w:rPr>
                      <w:rFonts w:hint="eastAsia" w:ascii="仿宋" w:hAnsi="仿宋" w:eastAsia="仿宋" w:cs="仿宋"/>
                      <w:b w:val="0"/>
                      <w:bCs/>
                      <w:color w:val="auto"/>
                      <w:lang w:val="en-US" w:eastAsia="zh-CN"/>
                    </w:rPr>
                  </w:pPr>
                  <w:r>
                    <w:rPr>
                      <w:rFonts w:ascii="仿宋" w:hAnsi="仿宋" w:eastAsia="仿宋" w:cs="仿宋"/>
                      <w:b w:val="0"/>
                      <w:bCs/>
                      <w:color w:val="auto"/>
                      <w:lang w:val="en-US" w:eastAsia="zh-CN"/>
                    </w:rPr>
                    <w:t>推动重点行业持续提升低（无）VOCs含量、低反应活性的原辅材料替代比例，推</w:t>
                  </w:r>
                  <w:r>
                    <w:rPr>
                      <w:rFonts w:hint="eastAsia" w:ascii="仿宋" w:hAnsi="仿宋" w:eastAsia="仿宋" w:cs="仿宋"/>
                      <w:b w:val="0"/>
                      <w:bCs/>
                      <w:color w:val="auto"/>
                      <w:lang w:val="en-US" w:eastAsia="zh-CN"/>
                    </w:rPr>
                    <w:t>进重点监管企业VOCs综合整治，加强重点排污企业污染治理设施和在线监控建设和运维。</w:t>
                  </w:r>
                </w:p>
                <w:p w14:paraId="1466D29F">
                  <w:pPr>
                    <w:pStyle w:val="46"/>
                    <w:numPr>
                      <w:ilvl w:val="0"/>
                      <w:numId w:val="3"/>
                    </w:numPr>
                    <w:spacing w:line="240" w:lineRule="auto"/>
                    <w:ind w:firstLine="0" w:firstLineChars="0"/>
                    <w:jc w:val="both"/>
                    <w:rPr>
                      <w:rFonts w:ascii="仿宋" w:hAnsi="仿宋" w:eastAsia="仿宋" w:cs="仿宋"/>
                      <w:b w:val="0"/>
                      <w:bCs/>
                      <w:color w:val="auto"/>
                    </w:rPr>
                  </w:pPr>
                  <w:r>
                    <w:rPr>
                      <w:rFonts w:hint="eastAsia" w:ascii="仿宋" w:hAnsi="仿宋" w:eastAsia="仿宋" w:cs="仿宋"/>
                      <w:b w:val="0"/>
                      <w:bCs/>
                      <w:color w:val="auto"/>
                      <w:lang w:val="en-US" w:eastAsia="zh-CN"/>
                    </w:rPr>
                    <w:t>推进西彭工业园区污水处理厂提标扩建工程。新改建铜罐驿沿江片区、西彭镇和陶家镇等区域污水管网，改造管网错混接点；推进铜罐驿污水处理厂配套</w:t>
                  </w:r>
                </w:p>
                <w:p w14:paraId="429866B1">
                  <w:pPr>
                    <w:pStyle w:val="46"/>
                    <w:spacing w:line="240" w:lineRule="auto"/>
                    <w:ind w:firstLine="0" w:firstLineChars="0"/>
                    <w:jc w:val="both"/>
                    <w:rPr>
                      <w:rFonts w:hint="eastAsia" w:ascii="仿宋" w:hAnsi="仿宋" w:eastAsia="仿宋" w:cs="仿宋"/>
                      <w:b w:val="0"/>
                      <w:bCs/>
                      <w:color w:val="auto"/>
                      <w:lang w:val="en-US" w:eastAsia="zh-CN"/>
                    </w:rPr>
                  </w:pPr>
                  <w:r>
                    <w:rPr>
                      <w:rFonts w:hint="eastAsia" w:ascii="仿宋" w:hAnsi="仿宋" w:eastAsia="仿宋" w:cs="仿宋"/>
                      <w:b w:val="0"/>
                      <w:bCs/>
                      <w:color w:val="auto"/>
                      <w:lang w:val="en-US" w:eastAsia="zh-CN"/>
                    </w:rPr>
                    <w:t>管网建设工作。</w:t>
                  </w:r>
                </w:p>
                <w:p w14:paraId="35383726">
                  <w:pPr>
                    <w:pStyle w:val="46"/>
                    <w:spacing w:line="240" w:lineRule="auto"/>
                    <w:ind w:firstLine="0" w:firstLineChars="0"/>
                    <w:jc w:val="both"/>
                    <w:rPr>
                      <w:rFonts w:hint="eastAsia" w:ascii="仿宋" w:hAnsi="仿宋" w:eastAsia="仿宋" w:cs="仿宋"/>
                      <w:b w:val="0"/>
                      <w:bCs/>
                      <w:color w:val="auto"/>
                      <w:lang w:val="en-US" w:eastAsia="zh-CN"/>
                    </w:rPr>
                  </w:pPr>
                  <w:r>
                    <w:rPr>
                      <w:rFonts w:hint="eastAsia" w:ascii="仿宋" w:hAnsi="仿宋" w:eastAsia="仿宋" w:cs="仿宋"/>
                      <w:b w:val="0"/>
                      <w:bCs/>
                      <w:color w:val="auto"/>
                      <w:lang w:val="en-US" w:eastAsia="zh-CN"/>
                    </w:rPr>
                    <w:t>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p w14:paraId="00932466">
                  <w:pPr>
                    <w:pStyle w:val="46"/>
                    <w:spacing w:line="240" w:lineRule="auto"/>
                    <w:ind w:firstLine="0" w:firstLineChars="0"/>
                    <w:jc w:val="both"/>
                    <w:rPr>
                      <w:rFonts w:ascii="仿宋" w:hAnsi="仿宋" w:eastAsia="仿宋" w:cs="仿宋"/>
                      <w:b w:val="0"/>
                      <w:bCs/>
                      <w:color w:val="auto"/>
                    </w:rPr>
                  </w:pPr>
                  <w:r>
                    <w:rPr>
                      <w:rFonts w:hint="eastAsia" w:ascii="仿宋" w:hAnsi="仿宋" w:eastAsia="仿宋" w:cs="仿宋"/>
                      <w:b w:val="0"/>
                      <w:bCs/>
                      <w:color w:val="auto"/>
                      <w:lang w:val="en-US" w:eastAsia="zh-CN"/>
                    </w:rPr>
                    <w:t>4.加强施工扬尘监管，逐步推进建筑面积2万平方米以上的工地安装在线监控系统。</w:t>
                  </w:r>
                </w:p>
              </w:tc>
              <w:tc>
                <w:tcPr>
                  <w:tcW w:w="3114" w:type="dxa"/>
                  <w:vAlign w:val="center"/>
                </w:tcPr>
                <w:p w14:paraId="18C238D5">
                  <w:pPr>
                    <w:pStyle w:val="46"/>
                    <w:spacing w:line="240" w:lineRule="auto"/>
                    <w:ind w:firstLine="0" w:firstLineChars="0"/>
                    <w:jc w:val="center"/>
                    <w:rPr>
                      <w:rFonts w:hint="eastAsia" w:ascii="仿宋" w:hAnsi="仿宋" w:eastAsia="仿宋" w:cs="仿宋"/>
                      <w:b w:val="0"/>
                      <w:bCs/>
                      <w:color w:val="auto"/>
                      <w:lang w:eastAsia="zh-CN"/>
                    </w:rPr>
                  </w:pPr>
                  <w:r>
                    <w:rPr>
                      <w:rFonts w:hint="eastAsia" w:ascii="仿宋" w:hAnsi="仿宋" w:eastAsia="仿宋" w:cs="仿宋"/>
                      <w:b w:val="0"/>
                      <w:bCs/>
                      <w:color w:val="auto"/>
                      <w:lang w:eastAsia="zh-CN"/>
                    </w:rPr>
                    <w:t>本项目使用的胶粘剂为</w:t>
                  </w:r>
                  <w:r>
                    <w:rPr>
                      <w:rFonts w:ascii="仿宋" w:hAnsi="仿宋" w:eastAsia="仿宋" w:cs="仿宋"/>
                      <w:b w:val="0"/>
                      <w:bCs/>
                      <w:color w:val="auto"/>
                      <w:lang w:val="en-US" w:eastAsia="zh-CN"/>
                    </w:rPr>
                    <w:t>低VOCs含量</w:t>
                  </w:r>
                  <w:r>
                    <w:rPr>
                      <w:rFonts w:hint="eastAsia" w:ascii="仿宋" w:hAnsi="仿宋" w:eastAsia="仿宋" w:cs="仿宋"/>
                      <w:b w:val="0"/>
                      <w:bCs/>
                      <w:color w:val="auto"/>
                      <w:lang w:val="en-US" w:eastAsia="zh-CN"/>
                    </w:rPr>
                    <w:t>，项目产生的废水经处理后排入西彭工业园区污水处理厂处理，项目涂布、烘烤废气</w:t>
                  </w:r>
                  <w:r>
                    <w:rPr>
                      <w:rFonts w:hint="eastAsia" w:ascii="仿宋" w:hAnsi="仿宋" w:eastAsia="仿宋" w:cs="仿宋"/>
                      <w:b w:val="0"/>
                      <w:bCs/>
                      <w:color w:val="auto"/>
                      <w:highlight w:val="none"/>
                      <w:lang w:val="en-US" w:eastAsia="zh-CN"/>
                    </w:rPr>
                    <w:t>采取过滤棉+二级活性炭吸附</w:t>
                  </w:r>
                  <w:r>
                    <w:rPr>
                      <w:rFonts w:hint="eastAsia" w:ascii="仿宋" w:hAnsi="仿宋" w:eastAsia="仿宋" w:cs="仿宋"/>
                      <w:b w:val="0"/>
                      <w:bCs/>
                      <w:color w:val="auto"/>
                      <w:lang w:val="en-US" w:eastAsia="zh-CN"/>
                    </w:rPr>
                    <w:t>处理后排放</w:t>
                  </w:r>
                </w:p>
              </w:tc>
              <w:tc>
                <w:tcPr>
                  <w:tcW w:w="1219" w:type="dxa"/>
                  <w:vAlign w:val="center"/>
                </w:tcPr>
                <w:p w14:paraId="623B2C14">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符合</w:t>
                  </w:r>
                </w:p>
              </w:tc>
            </w:tr>
            <w:tr w14:paraId="1EF2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1F2B7691">
                  <w:pPr>
                    <w:pStyle w:val="46"/>
                    <w:spacing w:line="240" w:lineRule="auto"/>
                    <w:ind w:firstLine="0" w:firstLineChars="0"/>
                    <w:jc w:val="center"/>
                    <w:rPr>
                      <w:rFonts w:ascii="仿宋" w:hAnsi="仿宋" w:eastAsia="仿宋" w:cs="仿宋"/>
                      <w:color w:val="auto"/>
                    </w:rPr>
                  </w:pPr>
                </w:p>
              </w:tc>
              <w:tc>
                <w:tcPr>
                  <w:tcW w:w="1825" w:type="dxa"/>
                  <w:vAlign w:val="center"/>
                </w:tcPr>
                <w:p w14:paraId="2EC510BA">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环境风险防控</w:t>
                  </w:r>
                </w:p>
              </w:tc>
              <w:tc>
                <w:tcPr>
                  <w:tcW w:w="5724" w:type="dxa"/>
                  <w:gridSpan w:val="2"/>
                  <w:vAlign w:val="center"/>
                </w:tcPr>
                <w:p w14:paraId="2AFD16EC">
                  <w:pPr>
                    <w:pStyle w:val="46"/>
                    <w:numPr>
                      <w:ilvl w:val="0"/>
                      <w:numId w:val="4"/>
                    </w:numPr>
                    <w:spacing w:line="240" w:lineRule="auto"/>
                    <w:ind w:firstLine="0" w:firstLineChars="0"/>
                    <w:jc w:val="both"/>
                    <w:rPr>
                      <w:rFonts w:hint="eastAsia" w:ascii="仿宋" w:hAnsi="仿宋" w:eastAsia="仿宋" w:cs="仿宋"/>
                      <w:b w:val="0"/>
                      <w:bCs/>
                      <w:color w:val="auto"/>
                      <w:lang w:val="en-US" w:eastAsia="zh-CN"/>
                    </w:rPr>
                  </w:pPr>
                  <w:r>
                    <w:rPr>
                      <w:rFonts w:ascii="仿宋" w:hAnsi="仿宋" w:eastAsia="仿宋" w:cs="仿宋"/>
                      <w:b w:val="0"/>
                      <w:bCs/>
                      <w:color w:val="auto"/>
                      <w:lang w:val="en-US" w:eastAsia="zh-CN"/>
                    </w:rPr>
                    <w:t>西彭组团和铜罐驿组团沿江1km范围内规划仓储用地禁止新引入从事危险化学品</w:t>
                  </w:r>
                  <w:r>
                    <w:rPr>
                      <w:rFonts w:hint="eastAsia" w:ascii="仿宋" w:hAnsi="仿宋" w:eastAsia="仿宋" w:cs="仿宋"/>
                      <w:b w:val="0"/>
                      <w:bCs/>
                      <w:color w:val="auto"/>
                      <w:lang w:val="en-US" w:eastAsia="zh-CN"/>
                    </w:rPr>
                    <w:t>储存、运输的仓储物流项目。</w:t>
                  </w:r>
                </w:p>
                <w:p w14:paraId="3B88CECC">
                  <w:pPr>
                    <w:pStyle w:val="46"/>
                    <w:numPr>
                      <w:ilvl w:val="0"/>
                      <w:numId w:val="4"/>
                    </w:numPr>
                    <w:spacing w:line="240" w:lineRule="auto"/>
                    <w:ind w:firstLine="0" w:firstLineChars="0"/>
                    <w:jc w:val="both"/>
                    <w:rPr>
                      <w:rFonts w:ascii="仿宋" w:hAnsi="仿宋" w:eastAsia="仿宋" w:cs="仿宋"/>
                      <w:b w:val="0"/>
                      <w:bCs/>
                      <w:color w:val="auto"/>
                    </w:rPr>
                  </w:pPr>
                  <w:r>
                    <w:rPr>
                      <w:rFonts w:hint="eastAsia" w:ascii="仿宋" w:hAnsi="仿宋" w:eastAsia="仿宋" w:cs="仿宋"/>
                      <w:b w:val="0"/>
                      <w:bCs/>
                      <w:color w:val="auto"/>
                      <w:lang w:val="en-US" w:eastAsia="zh-CN"/>
                    </w:rPr>
                    <w:t>禁止新建、扩建化工项目。</w:t>
                  </w:r>
                </w:p>
                <w:p w14:paraId="1A35DAAE">
                  <w:pPr>
                    <w:pStyle w:val="46"/>
                    <w:numPr>
                      <w:ilvl w:val="0"/>
                      <w:numId w:val="4"/>
                    </w:numPr>
                    <w:spacing w:line="240" w:lineRule="auto"/>
                    <w:ind w:firstLine="0" w:firstLineChars="0"/>
                    <w:jc w:val="both"/>
                    <w:rPr>
                      <w:rFonts w:ascii="仿宋" w:hAnsi="仿宋" w:eastAsia="仿宋" w:cs="仿宋"/>
                      <w:b w:val="0"/>
                      <w:bCs/>
                      <w:color w:val="auto"/>
                    </w:rPr>
                  </w:pPr>
                  <w:r>
                    <w:rPr>
                      <w:rFonts w:hint="eastAsia" w:ascii="仿宋" w:hAnsi="仿宋" w:eastAsia="仿宋" w:cs="仿宋"/>
                      <w:b w:val="0"/>
                      <w:bCs/>
                      <w:color w:val="auto"/>
                      <w:lang w:val="en-US" w:eastAsia="zh-CN"/>
                    </w:rPr>
                    <w:t>推进铜罐驿组团金竹沟闸坝的修建。</w:t>
                  </w:r>
                </w:p>
                <w:p w14:paraId="2DAA4C53">
                  <w:pPr>
                    <w:pStyle w:val="46"/>
                    <w:numPr>
                      <w:ilvl w:val="0"/>
                      <w:numId w:val="4"/>
                    </w:numPr>
                    <w:spacing w:line="240" w:lineRule="auto"/>
                    <w:ind w:firstLine="0" w:firstLineChars="0"/>
                    <w:jc w:val="both"/>
                    <w:rPr>
                      <w:rFonts w:hint="eastAsia" w:ascii="仿宋" w:hAnsi="仿宋" w:eastAsia="仿宋" w:cs="仿宋"/>
                      <w:b w:val="0"/>
                      <w:bCs/>
                      <w:color w:val="auto"/>
                      <w:lang w:val="en-US" w:eastAsia="zh-CN"/>
                    </w:rPr>
                  </w:pPr>
                  <w:r>
                    <w:rPr>
                      <w:rFonts w:hint="eastAsia" w:ascii="仿宋" w:hAnsi="仿宋" w:eastAsia="仿宋" w:cs="仿宋"/>
                      <w:b w:val="0"/>
                      <w:bCs/>
                      <w:color w:val="auto"/>
                      <w:lang w:val="en-US" w:eastAsia="zh-CN"/>
                    </w:rPr>
                    <w:t>西彭工业园区应与下游饮用水水源取水口运营单位建立水源地突发环境事件应急联动机制。</w:t>
                  </w:r>
                </w:p>
                <w:p w14:paraId="7D15C48E">
                  <w:pPr>
                    <w:pStyle w:val="46"/>
                    <w:spacing w:line="240" w:lineRule="auto"/>
                    <w:ind w:firstLine="0" w:firstLineChars="0"/>
                    <w:jc w:val="both"/>
                    <w:rPr>
                      <w:rFonts w:ascii="仿宋" w:hAnsi="仿宋" w:eastAsia="仿宋" w:cs="仿宋"/>
                      <w:b w:val="0"/>
                      <w:bCs/>
                      <w:color w:val="auto"/>
                    </w:rPr>
                  </w:pPr>
                  <w:r>
                    <w:rPr>
                      <w:rFonts w:hint="eastAsia" w:ascii="仿宋" w:hAnsi="仿宋" w:eastAsia="仿宋" w:cs="仿宋"/>
                      <w:b w:val="0"/>
                      <w:bCs/>
                      <w:color w:val="auto"/>
                      <w:lang w:val="en-US" w:eastAsia="zh-CN"/>
                    </w:rPr>
                    <w:t>5.禁止新建、扩建排放废水含有五类重金属（铬、镉、汞、砷、铅）、剧毒物质和持久性有机污染物的工业项目。</w:t>
                  </w:r>
                </w:p>
              </w:tc>
              <w:tc>
                <w:tcPr>
                  <w:tcW w:w="3114" w:type="dxa"/>
                  <w:vAlign w:val="center"/>
                </w:tcPr>
                <w:p w14:paraId="7101F78C">
                  <w:pPr>
                    <w:pStyle w:val="46"/>
                    <w:numPr>
                      <w:ilvl w:val="0"/>
                      <w:numId w:val="0"/>
                    </w:numPr>
                    <w:spacing w:line="240" w:lineRule="auto"/>
                    <w:jc w:val="both"/>
                    <w:rPr>
                      <w:rFonts w:hint="eastAsia" w:ascii="仿宋" w:hAnsi="仿宋" w:eastAsia="仿宋" w:cs="仿宋"/>
                      <w:b w:val="0"/>
                      <w:bCs/>
                      <w:color w:val="auto"/>
                      <w:lang w:eastAsia="zh-CN"/>
                    </w:rPr>
                  </w:pPr>
                  <w:r>
                    <w:rPr>
                      <w:rFonts w:hint="eastAsia" w:ascii="仿宋" w:hAnsi="仿宋" w:eastAsia="仿宋" w:cs="仿宋"/>
                      <w:b w:val="0"/>
                      <w:bCs/>
                      <w:color w:val="auto"/>
                      <w:lang w:eastAsia="zh-CN"/>
                    </w:rPr>
                    <w:t>本项目</w:t>
                  </w:r>
                  <w:r>
                    <w:rPr>
                      <w:rFonts w:hint="eastAsia" w:ascii="仿宋" w:hAnsi="仿宋" w:eastAsia="仿宋" w:cs="仿宋"/>
                      <w:b w:val="0"/>
                      <w:bCs/>
                      <w:color w:val="auto"/>
                      <w:lang w:val="en-US" w:eastAsia="zh-CN"/>
                    </w:rPr>
                    <w:t>为</w:t>
                  </w:r>
                  <w:r>
                    <w:rPr>
                      <w:rFonts w:hint="eastAsia" w:ascii="仿宋" w:hAnsi="仿宋" w:eastAsia="仿宋" w:cs="仿宋"/>
                      <w:b w:val="0"/>
                      <w:bCs/>
                      <w:color w:val="auto"/>
                    </w:rPr>
                    <w:t>C2929塑料零件及其他塑料制品制造</w:t>
                  </w:r>
                  <w:r>
                    <w:rPr>
                      <w:rFonts w:hint="eastAsia" w:ascii="仿宋" w:hAnsi="仿宋" w:eastAsia="仿宋" w:cs="仿宋"/>
                      <w:b w:val="0"/>
                      <w:bCs/>
                      <w:color w:val="auto"/>
                      <w:lang w:eastAsia="zh-CN"/>
                    </w:rPr>
                    <w:t>、</w:t>
                  </w:r>
                  <w:r>
                    <w:rPr>
                      <w:rFonts w:hint="eastAsia" w:ascii="仿宋" w:hAnsi="仿宋" w:eastAsia="仿宋" w:cs="仿宋"/>
                      <w:b w:val="0"/>
                      <w:bCs/>
                      <w:color w:val="auto"/>
                      <w:lang w:val="en-US" w:eastAsia="zh-CN"/>
                    </w:rPr>
                    <w:t>C3670汽车零部件及配件制造</w:t>
                  </w:r>
                  <w:r>
                    <w:rPr>
                      <w:rFonts w:hint="eastAsia" w:ascii="仿宋" w:hAnsi="仿宋" w:eastAsia="仿宋" w:cs="仿宋"/>
                      <w:b w:val="0"/>
                      <w:bCs/>
                      <w:color w:val="auto"/>
                      <w:lang w:eastAsia="zh-CN"/>
                    </w:rPr>
                    <w:t>，不属于</w:t>
                  </w:r>
                  <w:r>
                    <w:rPr>
                      <w:rFonts w:ascii="仿宋" w:hAnsi="仿宋" w:eastAsia="仿宋" w:cs="仿宋"/>
                      <w:b w:val="0"/>
                      <w:bCs/>
                      <w:color w:val="auto"/>
                      <w:lang w:val="en-US" w:eastAsia="zh-CN"/>
                    </w:rPr>
                    <w:t>从事危险化学品</w:t>
                  </w:r>
                  <w:r>
                    <w:rPr>
                      <w:rFonts w:hint="eastAsia" w:ascii="仿宋" w:hAnsi="仿宋" w:eastAsia="仿宋" w:cs="仿宋"/>
                      <w:b w:val="0"/>
                      <w:bCs/>
                      <w:color w:val="auto"/>
                      <w:lang w:val="en-US" w:eastAsia="zh-CN"/>
                    </w:rPr>
                    <w:t>储存、运输的仓储物流项目和化工项目，项目排放废水不含有五类重金属（铬、镉、汞、砷、铅）、剧毒物质和持久性有机污染物。</w:t>
                  </w:r>
                </w:p>
              </w:tc>
              <w:tc>
                <w:tcPr>
                  <w:tcW w:w="1219" w:type="dxa"/>
                  <w:vAlign w:val="center"/>
                </w:tcPr>
                <w:p w14:paraId="3F968070">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符合</w:t>
                  </w:r>
                </w:p>
              </w:tc>
            </w:tr>
            <w:tr w14:paraId="0CDF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6EDF1DE0">
                  <w:pPr>
                    <w:pStyle w:val="46"/>
                    <w:spacing w:line="240" w:lineRule="auto"/>
                    <w:ind w:firstLine="0" w:firstLineChars="0"/>
                    <w:jc w:val="center"/>
                    <w:rPr>
                      <w:rFonts w:ascii="仿宋" w:hAnsi="仿宋" w:eastAsia="仿宋" w:cs="仿宋"/>
                      <w:color w:val="auto"/>
                    </w:rPr>
                  </w:pPr>
                </w:p>
              </w:tc>
              <w:tc>
                <w:tcPr>
                  <w:tcW w:w="1825" w:type="dxa"/>
                  <w:vAlign w:val="center"/>
                </w:tcPr>
                <w:p w14:paraId="7729324C">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资源开发利用效率</w:t>
                  </w:r>
                </w:p>
              </w:tc>
              <w:tc>
                <w:tcPr>
                  <w:tcW w:w="5724" w:type="dxa"/>
                  <w:gridSpan w:val="2"/>
                  <w:vAlign w:val="center"/>
                </w:tcPr>
                <w:p w14:paraId="25DDA39D">
                  <w:pPr>
                    <w:pStyle w:val="46"/>
                    <w:numPr>
                      <w:ilvl w:val="0"/>
                      <w:numId w:val="5"/>
                    </w:numPr>
                    <w:spacing w:line="240" w:lineRule="auto"/>
                    <w:ind w:firstLine="0" w:firstLineChars="0"/>
                    <w:jc w:val="both"/>
                    <w:rPr>
                      <w:rFonts w:hint="eastAsia" w:ascii="仿宋" w:hAnsi="仿宋" w:eastAsia="仿宋" w:cs="仿宋"/>
                      <w:b w:val="0"/>
                      <w:bCs/>
                      <w:color w:val="auto"/>
                      <w:lang w:val="en-US" w:eastAsia="zh-CN"/>
                    </w:rPr>
                  </w:pPr>
                  <w:r>
                    <w:rPr>
                      <w:rFonts w:ascii="仿宋" w:hAnsi="仿宋" w:eastAsia="仿宋" w:cs="仿宋"/>
                      <w:b w:val="0"/>
                      <w:bCs/>
                      <w:color w:val="auto"/>
                      <w:lang w:val="en-US" w:eastAsia="zh-CN"/>
                    </w:rPr>
                    <w:t>禁止新建、扩建燃用煤、重油等高污染燃料的工业项目，重庆和友实业股份有限</w:t>
                  </w:r>
                  <w:r>
                    <w:rPr>
                      <w:rFonts w:hint="eastAsia" w:ascii="仿宋" w:hAnsi="仿宋" w:eastAsia="仿宋" w:cs="仿宋"/>
                      <w:b w:val="0"/>
                      <w:bCs/>
                      <w:color w:val="auto"/>
                      <w:lang w:val="en-US" w:eastAsia="zh-CN"/>
                    </w:rPr>
                    <w:t>公司不再新增燃煤总量。</w:t>
                  </w:r>
                </w:p>
                <w:p w14:paraId="2B403467">
                  <w:pPr>
                    <w:pStyle w:val="46"/>
                    <w:numPr>
                      <w:ilvl w:val="0"/>
                      <w:numId w:val="5"/>
                    </w:numPr>
                    <w:spacing w:line="240" w:lineRule="auto"/>
                    <w:ind w:firstLine="0" w:firstLineChars="0"/>
                    <w:jc w:val="both"/>
                    <w:rPr>
                      <w:rFonts w:ascii="仿宋" w:hAnsi="仿宋" w:eastAsia="仿宋" w:cs="仿宋"/>
                      <w:b w:val="0"/>
                      <w:bCs/>
                      <w:color w:val="auto"/>
                    </w:rPr>
                  </w:pPr>
                  <w:r>
                    <w:rPr>
                      <w:rFonts w:hint="eastAsia" w:ascii="仿宋" w:hAnsi="仿宋" w:eastAsia="仿宋" w:cs="仿宋"/>
                      <w:b w:val="0"/>
                      <w:bCs/>
                      <w:color w:val="auto"/>
                      <w:lang w:val="en-US" w:eastAsia="zh-CN"/>
                    </w:rPr>
                    <w:t>新建和改、扩建的工业项目清洁生产水平应达到国内先进水平。</w:t>
                  </w:r>
                </w:p>
                <w:p w14:paraId="0A0E19C8">
                  <w:pPr>
                    <w:pStyle w:val="46"/>
                    <w:numPr>
                      <w:ilvl w:val="0"/>
                      <w:numId w:val="5"/>
                    </w:numPr>
                    <w:spacing w:line="240" w:lineRule="auto"/>
                    <w:ind w:firstLine="0" w:firstLineChars="0"/>
                    <w:jc w:val="both"/>
                    <w:rPr>
                      <w:rFonts w:hint="eastAsia" w:ascii="仿宋" w:hAnsi="仿宋" w:eastAsia="仿宋" w:cs="仿宋"/>
                      <w:b w:val="0"/>
                      <w:bCs/>
                      <w:color w:val="auto"/>
                      <w:lang w:val="en-US" w:eastAsia="zh-CN"/>
                    </w:rPr>
                  </w:pPr>
                  <w:r>
                    <w:rPr>
                      <w:rFonts w:hint="eastAsia" w:ascii="仿宋" w:hAnsi="仿宋" w:eastAsia="仿宋" w:cs="仿宋"/>
                      <w:b w:val="0"/>
                      <w:bCs/>
                      <w:color w:val="auto"/>
                      <w:lang w:val="en-US" w:eastAsia="zh-CN"/>
                    </w:rPr>
                    <w:t>提高有色金属冶炼及压延加工业、化学原料及化学制品制造业和汽车制造业等工业企业的节能水平，降低区域的能耗强度。加强重点行业能效管理，升级工艺技术，提高用能设备能效水平。</w:t>
                  </w:r>
                </w:p>
                <w:p w14:paraId="41FF3924">
                  <w:pPr>
                    <w:pStyle w:val="46"/>
                    <w:spacing w:line="240" w:lineRule="auto"/>
                    <w:ind w:firstLine="0" w:firstLineChars="0"/>
                    <w:jc w:val="both"/>
                    <w:rPr>
                      <w:rFonts w:ascii="仿宋" w:hAnsi="仿宋" w:eastAsia="仿宋" w:cs="仿宋"/>
                      <w:b w:val="0"/>
                      <w:bCs/>
                      <w:color w:val="auto"/>
                    </w:rPr>
                  </w:pPr>
                  <w:r>
                    <w:rPr>
                      <w:rFonts w:hint="eastAsia" w:ascii="仿宋" w:hAnsi="仿宋" w:eastAsia="仿宋" w:cs="仿宋"/>
                      <w:b w:val="0"/>
                      <w:bCs/>
                      <w:color w:val="auto"/>
                      <w:lang w:val="en-US" w:eastAsia="zh-CN"/>
                    </w:rPr>
                    <w:t>4.加强工业节水改造，限制高耗水行业发展，加强重点监控用水单位监管。</w:t>
                  </w:r>
                  <w:r>
                    <w:rPr>
                      <w:rFonts w:hint="eastAsia" w:ascii="仿宋" w:hAnsi="仿宋" w:eastAsia="仿宋" w:cs="仿宋"/>
                      <w:b w:val="0"/>
                      <w:bCs/>
                      <w:color w:val="auto"/>
                      <w:highlight w:val="none"/>
                      <w:lang w:val="en-US" w:eastAsia="zh-CN"/>
                    </w:rPr>
                    <w:t>加强城镇节水</w:t>
                  </w:r>
                  <w:r>
                    <w:rPr>
                      <w:rFonts w:hint="eastAsia" w:ascii="仿宋" w:hAnsi="仿宋" w:eastAsia="仿宋" w:cs="仿宋"/>
                      <w:b w:val="0"/>
                      <w:bCs/>
                      <w:color w:val="auto"/>
                      <w:lang w:val="en-US" w:eastAsia="zh-CN"/>
                    </w:rPr>
                    <w:t>，开展公共建筑节水改造、城镇供水管网漏损治理工程。</w:t>
                  </w:r>
                </w:p>
              </w:tc>
              <w:tc>
                <w:tcPr>
                  <w:tcW w:w="3114" w:type="dxa"/>
                  <w:vAlign w:val="center"/>
                </w:tcPr>
                <w:p w14:paraId="72CB864F">
                  <w:pPr>
                    <w:pStyle w:val="46"/>
                    <w:numPr>
                      <w:ilvl w:val="0"/>
                      <w:numId w:val="0"/>
                    </w:numPr>
                    <w:spacing w:line="240" w:lineRule="auto"/>
                    <w:jc w:val="both"/>
                    <w:rPr>
                      <w:rFonts w:ascii="仿宋" w:hAnsi="仿宋" w:eastAsia="仿宋" w:cs="仿宋"/>
                      <w:b w:val="0"/>
                      <w:bCs/>
                      <w:color w:val="auto"/>
                    </w:rPr>
                  </w:pPr>
                  <w:r>
                    <w:rPr>
                      <w:rFonts w:hint="eastAsia" w:ascii="仿宋" w:hAnsi="仿宋" w:eastAsia="仿宋" w:cs="仿宋"/>
                      <w:b w:val="0"/>
                      <w:bCs/>
                      <w:color w:val="auto"/>
                      <w:lang w:eastAsia="zh-CN"/>
                    </w:rPr>
                    <w:t>本项目不涉及</w:t>
                  </w:r>
                  <w:r>
                    <w:rPr>
                      <w:rFonts w:ascii="仿宋" w:hAnsi="仿宋" w:eastAsia="仿宋" w:cs="仿宋"/>
                      <w:b w:val="0"/>
                      <w:bCs/>
                      <w:color w:val="auto"/>
                      <w:lang w:val="en-US" w:eastAsia="zh-CN"/>
                    </w:rPr>
                    <w:t>燃用煤、重油等高污染燃料</w:t>
                  </w:r>
                  <w:r>
                    <w:rPr>
                      <w:rFonts w:hint="eastAsia" w:ascii="仿宋" w:hAnsi="仿宋" w:eastAsia="仿宋" w:cs="仿宋"/>
                      <w:b w:val="0"/>
                      <w:bCs/>
                      <w:color w:val="auto"/>
                      <w:lang w:val="en-US" w:eastAsia="zh-CN"/>
                    </w:rPr>
                    <w:t>，项目的清洁生产水平达到国内先进水平。</w:t>
                  </w:r>
                  <w:r>
                    <w:rPr>
                      <w:rFonts w:hint="eastAsia" w:ascii="仿宋" w:hAnsi="仿宋" w:eastAsia="仿宋" w:cs="仿宋"/>
                      <w:b w:val="0"/>
                      <w:bCs/>
                      <w:color w:val="auto"/>
                      <w:lang w:eastAsia="zh-CN"/>
                    </w:rPr>
                    <w:t>本项目</w:t>
                  </w:r>
                  <w:r>
                    <w:rPr>
                      <w:rFonts w:hint="eastAsia" w:ascii="仿宋" w:hAnsi="仿宋" w:eastAsia="仿宋" w:cs="仿宋"/>
                      <w:b w:val="0"/>
                      <w:bCs/>
                      <w:color w:val="auto"/>
                      <w:lang w:val="en-US" w:eastAsia="zh-CN"/>
                    </w:rPr>
                    <w:t>不属于有色金属冶炼及压延加工业、化学原料及化学制品制造业和汽车制造业等工业企业，和高耗水行业</w:t>
                  </w:r>
                </w:p>
                <w:p w14:paraId="18D9F05F">
                  <w:pPr>
                    <w:pStyle w:val="46"/>
                    <w:spacing w:line="240" w:lineRule="auto"/>
                    <w:ind w:firstLine="0" w:firstLineChars="0"/>
                    <w:jc w:val="center"/>
                    <w:rPr>
                      <w:rFonts w:hint="eastAsia" w:ascii="仿宋" w:hAnsi="仿宋" w:eastAsia="仿宋" w:cs="仿宋"/>
                      <w:b w:val="0"/>
                      <w:bCs/>
                      <w:color w:val="auto"/>
                      <w:lang w:eastAsia="zh-CN"/>
                    </w:rPr>
                  </w:pPr>
                </w:p>
              </w:tc>
              <w:tc>
                <w:tcPr>
                  <w:tcW w:w="1219" w:type="dxa"/>
                  <w:vAlign w:val="center"/>
                </w:tcPr>
                <w:p w14:paraId="659DE7A1">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符合</w:t>
                  </w:r>
                </w:p>
              </w:tc>
            </w:tr>
          </w:tbl>
          <w:p w14:paraId="3A403F49">
            <w:pPr>
              <w:spacing w:line="240" w:lineRule="auto"/>
              <w:ind w:firstLine="560"/>
              <w:rPr>
                <w:color w:val="auto"/>
                <w:sz w:val="24"/>
              </w:rPr>
            </w:pPr>
            <w:r>
              <w:rPr>
                <w:rFonts w:hint="eastAsia"/>
                <w:color w:val="auto"/>
                <w:sz w:val="28"/>
                <w:szCs w:val="28"/>
              </w:rPr>
              <w:t>综上所述，本项目符合生态环境分区管控要求。</w:t>
            </w:r>
          </w:p>
        </w:tc>
      </w:tr>
    </w:tbl>
    <w:p w14:paraId="4EAA711B">
      <w:pPr>
        <w:pStyle w:val="49"/>
        <w:rPr>
          <w:color w:val="auto"/>
          <w:sz w:val="28"/>
          <w:szCs w:val="28"/>
        </w:rPr>
        <w:sectPr>
          <w:pgSz w:w="16838" w:h="11906" w:orient="landscape"/>
          <w:pgMar w:top="1531" w:right="1701" w:bottom="1531" w:left="1701" w:header="851" w:footer="1077" w:gutter="0"/>
          <w:cols w:space="0" w:num="1"/>
          <w:docGrid w:linePitch="312" w:charSpace="0"/>
        </w:sectPr>
      </w:pPr>
    </w:p>
    <w:tbl>
      <w:tblPr>
        <w:tblStyle w:val="31"/>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7477"/>
      </w:tblGrid>
      <w:tr w14:paraId="082527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Align w:val="center"/>
          </w:tcPr>
          <w:p w14:paraId="4C81FF5F">
            <w:pPr>
              <w:pStyle w:val="49"/>
              <w:rPr>
                <w:color w:val="auto"/>
              </w:rPr>
            </w:pPr>
            <w:r>
              <w:rPr>
                <w:rFonts w:hint="eastAsia"/>
                <w:color w:val="auto"/>
                <w:sz w:val="28"/>
                <w:szCs w:val="28"/>
              </w:rPr>
              <w:t>其他符合性分析</w:t>
            </w:r>
          </w:p>
        </w:tc>
        <w:tc>
          <w:tcPr>
            <w:tcW w:w="7477" w:type="dxa"/>
            <w:vAlign w:val="center"/>
          </w:tcPr>
          <w:p w14:paraId="4EB087C6">
            <w:pPr>
              <w:pStyle w:val="53"/>
              <w:spacing w:before="120"/>
              <w:rPr>
                <w:color w:val="auto"/>
                <w:sz w:val="28"/>
              </w:rPr>
            </w:pPr>
            <w:r>
              <w:rPr>
                <w:rFonts w:hint="eastAsia"/>
                <w:color w:val="auto"/>
                <w:sz w:val="28"/>
                <w:lang w:val="en-US" w:eastAsia="zh-CN"/>
              </w:rPr>
              <w:t>3</w:t>
            </w:r>
            <w:r>
              <w:rPr>
                <w:color w:val="auto"/>
                <w:sz w:val="28"/>
              </w:rPr>
              <w:t>.</w:t>
            </w:r>
            <w:r>
              <w:rPr>
                <w:rFonts w:hint="eastAsia"/>
                <w:color w:val="auto"/>
                <w:sz w:val="28"/>
              </w:rPr>
              <w:t>与《重庆市产业投资准入工作手册》（渝发改投资〔2022〕1436号）符合性分析</w:t>
            </w:r>
          </w:p>
          <w:p w14:paraId="7FC3867A">
            <w:pPr>
              <w:ind w:firstLine="560"/>
              <w:rPr>
                <w:color w:val="auto"/>
                <w:sz w:val="28"/>
              </w:rPr>
            </w:pPr>
            <w:r>
              <w:rPr>
                <w:rFonts w:hint="eastAsia"/>
                <w:color w:val="auto"/>
                <w:sz w:val="28"/>
              </w:rPr>
              <w:t>本项目与《重庆市产业投资准入工作手册》（渝发改投〔2022〕1436号）符合性对比分析见表1-5。</w:t>
            </w:r>
          </w:p>
          <w:p w14:paraId="0101AED6">
            <w:pPr>
              <w:pStyle w:val="75"/>
              <w:rPr>
                <w:color w:val="auto"/>
                <w:sz w:val="24"/>
              </w:rPr>
            </w:pPr>
            <w:r>
              <w:rPr>
                <w:rFonts w:hint="eastAsia"/>
                <w:color w:val="auto"/>
                <w:sz w:val="24"/>
              </w:rPr>
              <w:t>表1-5重庆市产业投资准入工作手册（渝发改投</w:t>
            </w:r>
            <w:r>
              <w:rPr>
                <w:rFonts w:hint="eastAsia"/>
                <w:color w:val="auto"/>
                <w:sz w:val="28"/>
              </w:rPr>
              <w:t>〔</w:t>
            </w:r>
            <w:r>
              <w:rPr>
                <w:rFonts w:hint="eastAsia"/>
                <w:color w:val="auto"/>
                <w:sz w:val="24"/>
              </w:rPr>
              <w:t>2022</w:t>
            </w:r>
            <w:r>
              <w:rPr>
                <w:rFonts w:hint="eastAsia"/>
                <w:color w:val="auto"/>
                <w:sz w:val="28"/>
              </w:rPr>
              <w:t>〕</w:t>
            </w:r>
            <w:r>
              <w:rPr>
                <w:rFonts w:hint="eastAsia"/>
                <w:color w:val="auto"/>
                <w:sz w:val="24"/>
              </w:rPr>
              <w:t>1436号）</w:t>
            </w:r>
          </w:p>
          <w:p w14:paraId="1E1AF356">
            <w:pPr>
              <w:pStyle w:val="75"/>
              <w:rPr>
                <w:color w:val="auto"/>
              </w:rPr>
            </w:pPr>
            <w:r>
              <w:rPr>
                <w:rFonts w:hint="eastAsia"/>
                <w:color w:val="auto"/>
                <w:sz w:val="24"/>
              </w:rPr>
              <w:t>符合性分析表</w:t>
            </w:r>
          </w:p>
          <w:tbl>
            <w:tblPr>
              <w:tblStyle w:val="31"/>
              <w:tblW w:w="66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14"/>
              <w:gridCol w:w="1276"/>
              <w:gridCol w:w="933"/>
            </w:tblGrid>
            <w:tr w14:paraId="06E99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4414" w:type="dxa"/>
                  <w:tcBorders>
                    <w:top w:val="single" w:color="auto" w:sz="12" w:space="0"/>
                    <w:left w:val="single" w:color="auto" w:sz="12" w:space="0"/>
                    <w:bottom w:val="single" w:color="auto" w:sz="6" w:space="0"/>
                    <w:right w:val="single" w:color="auto" w:sz="6" w:space="0"/>
                  </w:tcBorders>
                  <w:vAlign w:val="center"/>
                </w:tcPr>
                <w:p w14:paraId="2B85A48D">
                  <w:pPr>
                    <w:spacing w:line="240" w:lineRule="auto"/>
                    <w:ind w:firstLine="0" w:firstLineChars="0"/>
                    <w:jc w:val="left"/>
                    <w:rPr>
                      <w:b/>
                      <w:color w:val="auto"/>
                      <w:sz w:val="24"/>
                    </w:rPr>
                  </w:pPr>
                  <w:r>
                    <w:rPr>
                      <w:rFonts w:hint="eastAsia"/>
                      <w:b/>
                      <w:color w:val="auto"/>
                      <w:sz w:val="24"/>
                    </w:rPr>
                    <w:t>二、不予准入类</w:t>
                  </w:r>
                </w:p>
              </w:tc>
              <w:tc>
                <w:tcPr>
                  <w:tcW w:w="1276" w:type="dxa"/>
                  <w:tcBorders>
                    <w:top w:val="single" w:color="auto" w:sz="12" w:space="0"/>
                    <w:left w:val="single" w:color="auto" w:sz="6" w:space="0"/>
                    <w:bottom w:val="single" w:color="auto" w:sz="6" w:space="0"/>
                    <w:right w:val="single" w:color="auto" w:sz="6" w:space="0"/>
                  </w:tcBorders>
                  <w:vAlign w:val="center"/>
                </w:tcPr>
                <w:p w14:paraId="0B7A1E9A">
                  <w:pPr>
                    <w:spacing w:line="240" w:lineRule="auto"/>
                    <w:ind w:firstLine="0" w:firstLineChars="0"/>
                    <w:jc w:val="center"/>
                    <w:rPr>
                      <w:color w:val="auto"/>
                      <w:sz w:val="24"/>
                    </w:rPr>
                  </w:pPr>
                  <w:r>
                    <w:rPr>
                      <w:rFonts w:hint="eastAsia"/>
                      <w:color w:val="auto"/>
                      <w:sz w:val="24"/>
                    </w:rPr>
                    <w:t>本项目</w:t>
                  </w:r>
                </w:p>
              </w:tc>
              <w:tc>
                <w:tcPr>
                  <w:tcW w:w="933" w:type="dxa"/>
                  <w:tcBorders>
                    <w:top w:val="single" w:color="auto" w:sz="12" w:space="0"/>
                    <w:left w:val="single" w:color="auto" w:sz="6" w:space="0"/>
                    <w:bottom w:val="single" w:color="auto" w:sz="6" w:space="0"/>
                    <w:right w:val="single" w:color="auto" w:sz="12" w:space="0"/>
                  </w:tcBorders>
                  <w:vAlign w:val="center"/>
                </w:tcPr>
                <w:p w14:paraId="0479F72F">
                  <w:pPr>
                    <w:spacing w:line="240" w:lineRule="auto"/>
                    <w:ind w:firstLine="0" w:firstLineChars="0"/>
                    <w:jc w:val="center"/>
                    <w:rPr>
                      <w:color w:val="auto"/>
                      <w:sz w:val="24"/>
                    </w:rPr>
                  </w:pPr>
                  <w:r>
                    <w:rPr>
                      <w:rFonts w:hint="eastAsia"/>
                      <w:color w:val="auto"/>
                      <w:sz w:val="24"/>
                    </w:rPr>
                    <w:t>结果</w:t>
                  </w:r>
                </w:p>
              </w:tc>
            </w:tr>
            <w:tr w14:paraId="04330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0A508BEE">
                  <w:pPr>
                    <w:spacing w:line="240" w:lineRule="auto"/>
                    <w:ind w:firstLine="0" w:firstLineChars="0"/>
                    <w:jc w:val="left"/>
                    <w:rPr>
                      <w:b/>
                      <w:color w:val="auto"/>
                      <w:sz w:val="24"/>
                    </w:rPr>
                  </w:pPr>
                  <w:r>
                    <w:rPr>
                      <w:rFonts w:hint="eastAsia"/>
                      <w:b/>
                      <w:color w:val="auto"/>
                      <w:sz w:val="24"/>
                    </w:rPr>
                    <w:t>（一）全市范围内不予准入的产业</w:t>
                  </w:r>
                </w:p>
              </w:tc>
              <w:tc>
                <w:tcPr>
                  <w:tcW w:w="1276" w:type="dxa"/>
                  <w:tcBorders>
                    <w:top w:val="single" w:color="auto" w:sz="6" w:space="0"/>
                    <w:left w:val="single" w:color="auto" w:sz="6" w:space="0"/>
                    <w:bottom w:val="single" w:color="auto" w:sz="6" w:space="0"/>
                    <w:right w:val="single" w:color="auto" w:sz="6" w:space="0"/>
                  </w:tcBorders>
                  <w:vAlign w:val="center"/>
                </w:tcPr>
                <w:p w14:paraId="7A59DF90">
                  <w:pPr>
                    <w:spacing w:line="240" w:lineRule="auto"/>
                    <w:ind w:firstLine="0" w:firstLineChars="0"/>
                    <w:jc w:val="center"/>
                    <w:rPr>
                      <w:color w:val="auto"/>
                      <w:sz w:val="24"/>
                    </w:rPr>
                  </w:pPr>
                </w:p>
              </w:tc>
              <w:tc>
                <w:tcPr>
                  <w:tcW w:w="933" w:type="dxa"/>
                  <w:tcBorders>
                    <w:top w:val="single" w:color="auto" w:sz="6" w:space="0"/>
                    <w:left w:val="single" w:color="auto" w:sz="6" w:space="0"/>
                    <w:bottom w:val="single" w:color="auto" w:sz="6" w:space="0"/>
                    <w:right w:val="single" w:color="auto" w:sz="12" w:space="0"/>
                  </w:tcBorders>
                  <w:vAlign w:val="center"/>
                </w:tcPr>
                <w:p w14:paraId="73A5800B">
                  <w:pPr>
                    <w:spacing w:line="240" w:lineRule="auto"/>
                    <w:ind w:firstLine="0" w:firstLineChars="0"/>
                    <w:jc w:val="center"/>
                    <w:rPr>
                      <w:color w:val="auto"/>
                      <w:sz w:val="24"/>
                    </w:rPr>
                  </w:pPr>
                </w:p>
              </w:tc>
            </w:tr>
            <w:tr w14:paraId="78C3C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206CD0A4">
                  <w:pPr>
                    <w:spacing w:line="240" w:lineRule="auto"/>
                    <w:ind w:firstLine="0" w:firstLineChars="0"/>
                    <w:jc w:val="left"/>
                    <w:rPr>
                      <w:color w:val="auto"/>
                      <w:sz w:val="24"/>
                    </w:rPr>
                  </w:pPr>
                  <w:r>
                    <w:rPr>
                      <w:rFonts w:hint="eastAsia"/>
                      <w:color w:val="auto"/>
                      <w:sz w:val="24"/>
                    </w:rPr>
                    <w:t>1、国家产业结构调整指导目录中的淘汰类项目。</w:t>
                  </w:r>
                </w:p>
              </w:tc>
              <w:tc>
                <w:tcPr>
                  <w:tcW w:w="1276" w:type="dxa"/>
                  <w:tcBorders>
                    <w:top w:val="single" w:color="auto" w:sz="6" w:space="0"/>
                    <w:left w:val="single" w:color="auto" w:sz="6" w:space="0"/>
                    <w:bottom w:val="single" w:color="auto" w:sz="6" w:space="0"/>
                    <w:right w:val="single" w:color="auto" w:sz="6" w:space="0"/>
                  </w:tcBorders>
                  <w:vAlign w:val="center"/>
                </w:tcPr>
                <w:p w14:paraId="3BCEBED4">
                  <w:pPr>
                    <w:spacing w:line="240" w:lineRule="auto"/>
                    <w:ind w:firstLine="0" w:firstLineChars="0"/>
                    <w:jc w:val="center"/>
                    <w:rPr>
                      <w:color w:val="auto"/>
                      <w:sz w:val="24"/>
                    </w:rPr>
                  </w:pPr>
                  <w:r>
                    <w:rPr>
                      <w:rFonts w:hint="eastAsia"/>
                      <w:color w:val="auto"/>
                      <w:sz w:val="24"/>
                    </w:rPr>
                    <w:t>不属于淘汰类</w:t>
                  </w:r>
                </w:p>
              </w:tc>
              <w:tc>
                <w:tcPr>
                  <w:tcW w:w="933" w:type="dxa"/>
                  <w:tcBorders>
                    <w:top w:val="single" w:color="auto" w:sz="6" w:space="0"/>
                    <w:left w:val="single" w:color="auto" w:sz="6" w:space="0"/>
                    <w:bottom w:val="single" w:color="auto" w:sz="6" w:space="0"/>
                    <w:right w:val="single" w:color="auto" w:sz="12" w:space="0"/>
                  </w:tcBorders>
                  <w:vAlign w:val="center"/>
                </w:tcPr>
                <w:p w14:paraId="57B53B4B">
                  <w:pPr>
                    <w:spacing w:line="240" w:lineRule="auto"/>
                    <w:ind w:firstLine="0" w:firstLineChars="0"/>
                    <w:jc w:val="center"/>
                    <w:rPr>
                      <w:color w:val="auto"/>
                      <w:sz w:val="24"/>
                    </w:rPr>
                  </w:pPr>
                  <w:r>
                    <w:rPr>
                      <w:rFonts w:hint="eastAsia"/>
                      <w:color w:val="auto"/>
                      <w:sz w:val="24"/>
                    </w:rPr>
                    <w:t>符合</w:t>
                  </w:r>
                </w:p>
              </w:tc>
            </w:tr>
            <w:tr w14:paraId="13B5A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70A6B4B0">
                  <w:pPr>
                    <w:spacing w:line="240" w:lineRule="auto"/>
                    <w:ind w:firstLine="0" w:firstLineChars="0"/>
                    <w:jc w:val="left"/>
                    <w:rPr>
                      <w:color w:val="auto"/>
                      <w:sz w:val="24"/>
                    </w:rPr>
                  </w:pPr>
                  <w:r>
                    <w:rPr>
                      <w:rFonts w:hint="eastAsia"/>
                      <w:color w:val="auto"/>
                      <w:sz w:val="24"/>
                    </w:rPr>
                    <w:t>2、天然林商业性采伐。</w:t>
                  </w:r>
                </w:p>
              </w:tc>
              <w:tc>
                <w:tcPr>
                  <w:tcW w:w="1276" w:type="dxa"/>
                  <w:tcBorders>
                    <w:top w:val="single" w:color="auto" w:sz="6" w:space="0"/>
                    <w:left w:val="single" w:color="auto" w:sz="6" w:space="0"/>
                    <w:bottom w:val="single" w:color="auto" w:sz="6" w:space="0"/>
                    <w:right w:val="single" w:color="auto" w:sz="6" w:space="0"/>
                  </w:tcBorders>
                  <w:vAlign w:val="center"/>
                </w:tcPr>
                <w:p w14:paraId="21F2AB84">
                  <w:pPr>
                    <w:spacing w:line="240" w:lineRule="auto"/>
                    <w:ind w:firstLine="0" w:firstLineChars="0"/>
                    <w:jc w:val="center"/>
                    <w:rPr>
                      <w:color w:val="auto"/>
                      <w:sz w:val="24"/>
                    </w:rPr>
                  </w:pPr>
                  <w:r>
                    <w:rPr>
                      <w:rFonts w:hint="eastAsia"/>
                      <w:color w:val="auto"/>
                      <w:sz w:val="24"/>
                    </w:rPr>
                    <w:t>不属于</w:t>
                  </w:r>
                </w:p>
              </w:tc>
              <w:tc>
                <w:tcPr>
                  <w:tcW w:w="933" w:type="dxa"/>
                  <w:tcBorders>
                    <w:top w:val="single" w:color="auto" w:sz="6" w:space="0"/>
                    <w:left w:val="single" w:color="auto" w:sz="6" w:space="0"/>
                    <w:bottom w:val="single" w:color="auto" w:sz="6" w:space="0"/>
                    <w:right w:val="single" w:color="auto" w:sz="12" w:space="0"/>
                  </w:tcBorders>
                  <w:vAlign w:val="center"/>
                </w:tcPr>
                <w:p w14:paraId="3B3007D5">
                  <w:pPr>
                    <w:spacing w:line="240" w:lineRule="auto"/>
                    <w:ind w:firstLine="0" w:firstLineChars="0"/>
                    <w:jc w:val="center"/>
                    <w:rPr>
                      <w:color w:val="auto"/>
                      <w:sz w:val="24"/>
                    </w:rPr>
                  </w:pPr>
                  <w:r>
                    <w:rPr>
                      <w:rFonts w:hint="eastAsia"/>
                      <w:color w:val="auto"/>
                      <w:sz w:val="24"/>
                    </w:rPr>
                    <w:t>符合</w:t>
                  </w:r>
                </w:p>
              </w:tc>
            </w:tr>
            <w:tr w14:paraId="5CAF7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31F8A2C2">
                  <w:pPr>
                    <w:spacing w:line="240" w:lineRule="auto"/>
                    <w:ind w:firstLine="0" w:firstLineChars="0"/>
                    <w:jc w:val="left"/>
                    <w:rPr>
                      <w:color w:val="auto"/>
                      <w:sz w:val="24"/>
                    </w:rPr>
                  </w:pPr>
                  <w:r>
                    <w:rPr>
                      <w:rFonts w:hint="eastAsia"/>
                      <w:color w:val="auto"/>
                      <w:sz w:val="24"/>
                    </w:rPr>
                    <w:t>3、法律法规和相关政策明令不予准入的其他项目。</w:t>
                  </w:r>
                </w:p>
              </w:tc>
              <w:tc>
                <w:tcPr>
                  <w:tcW w:w="1276" w:type="dxa"/>
                  <w:tcBorders>
                    <w:top w:val="single" w:color="auto" w:sz="6" w:space="0"/>
                    <w:left w:val="single" w:color="auto" w:sz="6" w:space="0"/>
                    <w:bottom w:val="single" w:color="auto" w:sz="6" w:space="0"/>
                    <w:right w:val="single" w:color="auto" w:sz="6" w:space="0"/>
                  </w:tcBorders>
                  <w:vAlign w:val="center"/>
                </w:tcPr>
                <w:p w14:paraId="4FECDB41">
                  <w:pPr>
                    <w:spacing w:line="240" w:lineRule="auto"/>
                    <w:ind w:firstLine="0" w:firstLineChars="0"/>
                    <w:jc w:val="center"/>
                    <w:rPr>
                      <w:color w:val="auto"/>
                      <w:sz w:val="24"/>
                    </w:rPr>
                  </w:pPr>
                  <w:r>
                    <w:rPr>
                      <w:rFonts w:hint="eastAsia"/>
                      <w:color w:val="auto"/>
                      <w:sz w:val="24"/>
                    </w:rPr>
                    <w:t>不属于</w:t>
                  </w:r>
                </w:p>
              </w:tc>
              <w:tc>
                <w:tcPr>
                  <w:tcW w:w="933" w:type="dxa"/>
                  <w:tcBorders>
                    <w:top w:val="single" w:color="auto" w:sz="6" w:space="0"/>
                    <w:left w:val="single" w:color="auto" w:sz="6" w:space="0"/>
                    <w:bottom w:val="single" w:color="auto" w:sz="6" w:space="0"/>
                    <w:right w:val="single" w:color="auto" w:sz="12" w:space="0"/>
                  </w:tcBorders>
                  <w:vAlign w:val="center"/>
                </w:tcPr>
                <w:p w14:paraId="047AD8C1">
                  <w:pPr>
                    <w:spacing w:line="240" w:lineRule="auto"/>
                    <w:ind w:firstLine="0" w:firstLineChars="0"/>
                    <w:jc w:val="center"/>
                    <w:rPr>
                      <w:color w:val="auto"/>
                      <w:sz w:val="24"/>
                    </w:rPr>
                  </w:pPr>
                  <w:r>
                    <w:rPr>
                      <w:rFonts w:hint="eastAsia"/>
                      <w:color w:val="auto"/>
                      <w:sz w:val="24"/>
                    </w:rPr>
                    <w:t>符合</w:t>
                  </w:r>
                </w:p>
              </w:tc>
            </w:tr>
            <w:tr w14:paraId="2835C2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2C110357">
                  <w:pPr>
                    <w:spacing w:line="240" w:lineRule="auto"/>
                    <w:ind w:firstLine="0" w:firstLineChars="0"/>
                    <w:jc w:val="left"/>
                    <w:rPr>
                      <w:b/>
                      <w:color w:val="auto"/>
                      <w:sz w:val="24"/>
                    </w:rPr>
                  </w:pPr>
                  <w:r>
                    <w:rPr>
                      <w:rFonts w:hint="eastAsia"/>
                      <w:b/>
                      <w:color w:val="auto"/>
                      <w:sz w:val="24"/>
                    </w:rPr>
                    <w:t>（二）重点区域范围内不予准入的产业</w:t>
                  </w:r>
                </w:p>
              </w:tc>
              <w:tc>
                <w:tcPr>
                  <w:tcW w:w="1276" w:type="dxa"/>
                  <w:tcBorders>
                    <w:top w:val="single" w:color="auto" w:sz="6" w:space="0"/>
                    <w:left w:val="single" w:color="auto" w:sz="6" w:space="0"/>
                    <w:bottom w:val="single" w:color="auto" w:sz="6" w:space="0"/>
                    <w:right w:val="single" w:color="auto" w:sz="6" w:space="0"/>
                  </w:tcBorders>
                  <w:vAlign w:val="center"/>
                </w:tcPr>
                <w:p w14:paraId="0868C868">
                  <w:pPr>
                    <w:spacing w:line="240" w:lineRule="auto"/>
                    <w:ind w:firstLine="0" w:firstLineChars="0"/>
                    <w:jc w:val="center"/>
                    <w:rPr>
                      <w:color w:val="auto"/>
                      <w:sz w:val="24"/>
                    </w:rPr>
                  </w:pPr>
                </w:p>
              </w:tc>
              <w:tc>
                <w:tcPr>
                  <w:tcW w:w="933" w:type="dxa"/>
                  <w:tcBorders>
                    <w:top w:val="single" w:color="auto" w:sz="6" w:space="0"/>
                    <w:left w:val="single" w:color="auto" w:sz="6" w:space="0"/>
                    <w:bottom w:val="single" w:color="auto" w:sz="6" w:space="0"/>
                    <w:right w:val="single" w:color="auto" w:sz="12" w:space="0"/>
                  </w:tcBorders>
                  <w:vAlign w:val="center"/>
                </w:tcPr>
                <w:p w14:paraId="31F5364D">
                  <w:pPr>
                    <w:spacing w:line="240" w:lineRule="auto"/>
                    <w:ind w:firstLine="0" w:firstLineChars="0"/>
                    <w:jc w:val="center"/>
                    <w:rPr>
                      <w:color w:val="auto"/>
                      <w:sz w:val="24"/>
                    </w:rPr>
                  </w:pPr>
                </w:p>
              </w:tc>
            </w:tr>
            <w:tr w14:paraId="600F1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29855AF4">
                  <w:pPr>
                    <w:spacing w:line="240" w:lineRule="auto"/>
                    <w:ind w:firstLine="0" w:firstLineChars="0"/>
                    <w:jc w:val="left"/>
                    <w:rPr>
                      <w:color w:val="auto"/>
                      <w:sz w:val="24"/>
                    </w:rPr>
                  </w:pPr>
                  <w:r>
                    <w:rPr>
                      <w:rFonts w:hint="eastAsia"/>
                      <w:color w:val="auto"/>
                      <w:sz w:val="24"/>
                    </w:rPr>
                    <w:t>1、外环绕城高速公路以内长江、嘉陵江水域采砂。</w:t>
                  </w:r>
                </w:p>
              </w:tc>
              <w:tc>
                <w:tcPr>
                  <w:tcW w:w="1276" w:type="dxa"/>
                  <w:tcBorders>
                    <w:top w:val="single" w:color="auto" w:sz="6" w:space="0"/>
                    <w:left w:val="single" w:color="auto" w:sz="6" w:space="0"/>
                    <w:bottom w:val="single" w:color="auto" w:sz="6" w:space="0"/>
                    <w:right w:val="single" w:color="auto" w:sz="6" w:space="0"/>
                  </w:tcBorders>
                  <w:vAlign w:val="center"/>
                </w:tcPr>
                <w:p w14:paraId="0B35C57E">
                  <w:pPr>
                    <w:spacing w:line="240" w:lineRule="auto"/>
                    <w:ind w:firstLine="0" w:firstLineChars="0"/>
                    <w:jc w:val="center"/>
                    <w:rPr>
                      <w:color w:val="auto"/>
                      <w:sz w:val="24"/>
                    </w:rPr>
                  </w:pPr>
                  <w:r>
                    <w:rPr>
                      <w:rFonts w:hint="eastAsia"/>
                      <w:color w:val="auto"/>
                      <w:sz w:val="24"/>
                    </w:rPr>
                    <w:t>不属于</w:t>
                  </w:r>
                </w:p>
              </w:tc>
              <w:tc>
                <w:tcPr>
                  <w:tcW w:w="933" w:type="dxa"/>
                  <w:tcBorders>
                    <w:top w:val="single" w:color="auto" w:sz="6" w:space="0"/>
                    <w:left w:val="single" w:color="auto" w:sz="6" w:space="0"/>
                    <w:bottom w:val="single" w:color="auto" w:sz="6" w:space="0"/>
                    <w:right w:val="single" w:color="auto" w:sz="12" w:space="0"/>
                  </w:tcBorders>
                  <w:vAlign w:val="center"/>
                </w:tcPr>
                <w:p w14:paraId="55961A03">
                  <w:pPr>
                    <w:spacing w:line="240" w:lineRule="auto"/>
                    <w:ind w:firstLine="0" w:firstLineChars="0"/>
                    <w:jc w:val="center"/>
                    <w:rPr>
                      <w:color w:val="auto"/>
                      <w:sz w:val="24"/>
                    </w:rPr>
                  </w:pPr>
                  <w:r>
                    <w:rPr>
                      <w:rFonts w:hint="eastAsia"/>
                      <w:color w:val="auto"/>
                      <w:sz w:val="24"/>
                    </w:rPr>
                    <w:t>符合</w:t>
                  </w:r>
                </w:p>
              </w:tc>
            </w:tr>
            <w:tr w14:paraId="7C3DC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7"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406855E1">
                  <w:pPr>
                    <w:spacing w:line="240" w:lineRule="auto"/>
                    <w:ind w:firstLine="0" w:firstLineChars="0"/>
                    <w:jc w:val="left"/>
                    <w:rPr>
                      <w:color w:val="auto"/>
                      <w:sz w:val="24"/>
                    </w:rPr>
                  </w:pPr>
                  <w:r>
                    <w:rPr>
                      <w:rFonts w:hint="eastAsia"/>
                      <w:color w:val="auto"/>
                      <w:sz w:val="24"/>
                    </w:rPr>
                    <w:t>2、二十五度以上陡坡地开垦种植农作物。</w:t>
                  </w:r>
                </w:p>
              </w:tc>
              <w:tc>
                <w:tcPr>
                  <w:tcW w:w="1276" w:type="dxa"/>
                  <w:tcBorders>
                    <w:top w:val="single" w:color="auto" w:sz="6" w:space="0"/>
                    <w:left w:val="single" w:color="auto" w:sz="6" w:space="0"/>
                    <w:bottom w:val="single" w:color="auto" w:sz="6" w:space="0"/>
                    <w:right w:val="single" w:color="auto" w:sz="6" w:space="0"/>
                  </w:tcBorders>
                  <w:vAlign w:val="center"/>
                </w:tcPr>
                <w:p w14:paraId="50486122">
                  <w:pPr>
                    <w:spacing w:line="240" w:lineRule="auto"/>
                    <w:ind w:firstLine="0" w:firstLineChars="0"/>
                    <w:jc w:val="center"/>
                    <w:rPr>
                      <w:color w:val="auto"/>
                      <w:sz w:val="24"/>
                    </w:rPr>
                  </w:pPr>
                  <w:r>
                    <w:rPr>
                      <w:rFonts w:hint="eastAsia"/>
                      <w:color w:val="auto"/>
                      <w:sz w:val="24"/>
                    </w:rPr>
                    <w:t>不属于</w:t>
                  </w:r>
                </w:p>
              </w:tc>
              <w:tc>
                <w:tcPr>
                  <w:tcW w:w="933" w:type="dxa"/>
                  <w:tcBorders>
                    <w:top w:val="single" w:color="auto" w:sz="6" w:space="0"/>
                    <w:left w:val="single" w:color="auto" w:sz="6" w:space="0"/>
                    <w:bottom w:val="single" w:color="auto" w:sz="6" w:space="0"/>
                    <w:right w:val="single" w:color="auto" w:sz="12" w:space="0"/>
                  </w:tcBorders>
                  <w:vAlign w:val="center"/>
                </w:tcPr>
                <w:p w14:paraId="7B692F81">
                  <w:pPr>
                    <w:spacing w:line="240" w:lineRule="auto"/>
                    <w:ind w:firstLine="0" w:firstLineChars="0"/>
                    <w:jc w:val="center"/>
                    <w:rPr>
                      <w:color w:val="auto"/>
                      <w:sz w:val="24"/>
                    </w:rPr>
                  </w:pPr>
                  <w:r>
                    <w:rPr>
                      <w:rFonts w:hint="eastAsia"/>
                      <w:color w:val="auto"/>
                      <w:sz w:val="24"/>
                    </w:rPr>
                    <w:t>符合</w:t>
                  </w:r>
                </w:p>
              </w:tc>
            </w:tr>
            <w:tr w14:paraId="4AC64C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38733E7D">
                  <w:pPr>
                    <w:spacing w:line="240" w:lineRule="auto"/>
                    <w:ind w:firstLine="0" w:firstLineChars="0"/>
                    <w:jc w:val="left"/>
                    <w:rPr>
                      <w:color w:val="auto"/>
                      <w:sz w:val="24"/>
                    </w:rPr>
                  </w:pPr>
                  <w:r>
                    <w:rPr>
                      <w:rFonts w:hint="eastAsia"/>
                      <w:color w:val="auto"/>
                      <w:sz w:val="24"/>
                    </w:rPr>
                    <w:t>3、在自然保护区核心区、缓冲区的岸线和河段范围内投资建设旅游和生产经营项目。</w:t>
                  </w:r>
                </w:p>
              </w:tc>
              <w:tc>
                <w:tcPr>
                  <w:tcW w:w="1276" w:type="dxa"/>
                  <w:tcBorders>
                    <w:top w:val="single" w:color="auto" w:sz="6" w:space="0"/>
                    <w:left w:val="single" w:color="auto" w:sz="6" w:space="0"/>
                    <w:bottom w:val="single" w:color="auto" w:sz="6" w:space="0"/>
                    <w:right w:val="single" w:color="auto" w:sz="6" w:space="0"/>
                  </w:tcBorders>
                  <w:vAlign w:val="center"/>
                </w:tcPr>
                <w:p w14:paraId="713E08E9">
                  <w:pPr>
                    <w:spacing w:line="240" w:lineRule="auto"/>
                    <w:ind w:firstLine="0" w:firstLineChars="0"/>
                    <w:jc w:val="center"/>
                    <w:rPr>
                      <w:color w:val="auto"/>
                      <w:sz w:val="24"/>
                    </w:rPr>
                  </w:pPr>
                  <w:r>
                    <w:rPr>
                      <w:rFonts w:hint="eastAsia"/>
                      <w:color w:val="auto"/>
                      <w:sz w:val="24"/>
                    </w:rPr>
                    <w:t>不属于</w:t>
                  </w:r>
                </w:p>
              </w:tc>
              <w:tc>
                <w:tcPr>
                  <w:tcW w:w="933" w:type="dxa"/>
                  <w:tcBorders>
                    <w:top w:val="single" w:color="auto" w:sz="6" w:space="0"/>
                    <w:left w:val="single" w:color="auto" w:sz="6" w:space="0"/>
                    <w:bottom w:val="single" w:color="auto" w:sz="6" w:space="0"/>
                    <w:right w:val="single" w:color="auto" w:sz="12" w:space="0"/>
                  </w:tcBorders>
                  <w:vAlign w:val="center"/>
                </w:tcPr>
                <w:p w14:paraId="4CEBE767">
                  <w:pPr>
                    <w:spacing w:line="240" w:lineRule="auto"/>
                    <w:ind w:firstLine="0" w:firstLineChars="0"/>
                    <w:jc w:val="center"/>
                    <w:rPr>
                      <w:color w:val="auto"/>
                      <w:sz w:val="24"/>
                    </w:rPr>
                  </w:pPr>
                  <w:r>
                    <w:rPr>
                      <w:rFonts w:hint="eastAsia"/>
                      <w:color w:val="auto"/>
                      <w:sz w:val="24"/>
                    </w:rPr>
                    <w:t>符合</w:t>
                  </w:r>
                </w:p>
              </w:tc>
            </w:tr>
            <w:tr w14:paraId="5F6650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4CADC7FA">
                  <w:pPr>
                    <w:spacing w:line="240" w:lineRule="auto"/>
                    <w:ind w:firstLine="0" w:firstLineChars="0"/>
                    <w:jc w:val="left"/>
                    <w:rPr>
                      <w:color w:val="auto"/>
                      <w:sz w:val="24"/>
                    </w:rPr>
                  </w:pPr>
                  <w:r>
                    <w:rPr>
                      <w:rFonts w:hint="eastAsia"/>
                      <w:color w:val="auto"/>
                      <w:sz w:val="24"/>
                    </w:rPr>
                    <w:t>4、饮用水水源一级保护区的岸线和河段范围内新建、改建、扩建与供水设施和保护水源无关的项目，以及网箱养殖、畜禽养殖、放养畜禽、旅游等可能污染饮用水水体的投资建设项目。在饮用水水源</w:t>
                  </w:r>
                  <w:r>
                    <w:rPr>
                      <w:rFonts w:hint="eastAsia"/>
                      <w:color w:val="auto"/>
                      <w:sz w:val="24"/>
                      <w:lang w:eastAsia="zh-CN"/>
                    </w:rPr>
                    <w:t>三级</w:t>
                  </w:r>
                  <w:r>
                    <w:rPr>
                      <w:rFonts w:hint="eastAsia"/>
                      <w:color w:val="auto"/>
                      <w:sz w:val="24"/>
                    </w:rPr>
                    <w:t>保护区的岸线和河段范围内新建、改建、扩建排放污染物的投资建设项目。</w:t>
                  </w:r>
                </w:p>
              </w:tc>
              <w:tc>
                <w:tcPr>
                  <w:tcW w:w="1276" w:type="dxa"/>
                  <w:tcBorders>
                    <w:top w:val="single" w:color="auto" w:sz="6" w:space="0"/>
                    <w:left w:val="single" w:color="auto" w:sz="6" w:space="0"/>
                    <w:bottom w:val="single" w:color="auto" w:sz="6" w:space="0"/>
                    <w:right w:val="single" w:color="auto" w:sz="6" w:space="0"/>
                  </w:tcBorders>
                  <w:vAlign w:val="center"/>
                </w:tcPr>
                <w:p w14:paraId="0FFBC111">
                  <w:pPr>
                    <w:spacing w:line="240" w:lineRule="auto"/>
                    <w:ind w:firstLine="0" w:firstLineChars="0"/>
                    <w:jc w:val="center"/>
                    <w:rPr>
                      <w:color w:val="auto"/>
                      <w:sz w:val="24"/>
                    </w:rPr>
                  </w:pPr>
                  <w:r>
                    <w:rPr>
                      <w:rFonts w:hint="eastAsia"/>
                      <w:color w:val="auto"/>
                      <w:sz w:val="24"/>
                    </w:rPr>
                    <w:t>不在该范围内</w:t>
                  </w:r>
                </w:p>
              </w:tc>
              <w:tc>
                <w:tcPr>
                  <w:tcW w:w="933" w:type="dxa"/>
                  <w:tcBorders>
                    <w:top w:val="single" w:color="auto" w:sz="6" w:space="0"/>
                    <w:left w:val="single" w:color="auto" w:sz="6" w:space="0"/>
                    <w:bottom w:val="single" w:color="auto" w:sz="6" w:space="0"/>
                    <w:right w:val="single" w:color="auto" w:sz="12" w:space="0"/>
                  </w:tcBorders>
                  <w:vAlign w:val="center"/>
                </w:tcPr>
                <w:p w14:paraId="184E4E86">
                  <w:pPr>
                    <w:spacing w:line="240" w:lineRule="auto"/>
                    <w:ind w:firstLine="0" w:firstLineChars="0"/>
                    <w:jc w:val="center"/>
                    <w:rPr>
                      <w:color w:val="auto"/>
                      <w:sz w:val="24"/>
                    </w:rPr>
                  </w:pPr>
                  <w:r>
                    <w:rPr>
                      <w:rFonts w:hint="eastAsia"/>
                      <w:color w:val="auto"/>
                      <w:sz w:val="24"/>
                    </w:rPr>
                    <w:t>符合</w:t>
                  </w:r>
                </w:p>
              </w:tc>
            </w:tr>
            <w:tr w14:paraId="43AB9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0460BDAE">
                  <w:pPr>
                    <w:spacing w:line="240" w:lineRule="auto"/>
                    <w:ind w:firstLine="0" w:firstLineChars="0"/>
                    <w:jc w:val="left"/>
                    <w:rPr>
                      <w:color w:val="auto"/>
                      <w:sz w:val="24"/>
                    </w:rPr>
                  </w:pPr>
                  <w:r>
                    <w:rPr>
                      <w:rFonts w:hint="eastAsia"/>
                      <w:color w:val="auto"/>
                      <w:sz w:val="24"/>
                    </w:rPr>
                    <w:t>5、长江干流岸线3公里范围内和重要支流岸线1公里范围内新建、改建、扩建尾矿库、冶炼渣库和磷石膏库（以提升安全、生态环境保护水平为目的的改建除外）。</w:t>
                  </w:r>
                </w:p>
              </w:tc>
              <w:tc>
                <w:tcPr>
                  <w:tcW w:w="1276" w:type="dxa"/>
                  <w:tcBorders>
                    <w:top w:val="single" w:color="auto" w:sz="6" w:space="0"/>
                    <w:left w:val="single" w:color="auto" w:sz="6" w:space="0"/>
                    <w:bottom w:val="single" w:color="auto" w:sz="6" w:space="0"/>
                    <w:right w:val="single" w:color="auto" w:sz="6" w:space="0"/>
                  </w:tcBorders>
                  <w:vAlign w:val="center"/>
                </w:tcPr>
                <w:p w14:paraId="6C036E3D">
                  <w:pPr>
                    <w:spacing w:line="240" w:lineRule="auto"/>
                    <w:ind w:firstLine="0" w:firstLineChars="0"/>
                    <w:jc w:val="center"/>
                    <w:rPr>
                      <w:color w:val="auto"/>
                      <w:sz w:val="24"/>
                    </w:rPr>
                  </w:pPr>
                  <w:r>
                    <w:rPr>
                      <w:rFonts w:hint="eastAsia"/>
                      <w:color w:val="auto"/>
                      <w:sz w:val="24"/>
                    </w:rPr>
                    <w:t>不属于尾矿库、冶炼渣库和磷石膏库</w:t>
                  </w:r>
                </w:p>
              </w:tc>
              <w:tc>
                <w:tcPr>
                  <w:tcW w:w="933" w:type="dxa"/>
                  <w:tcBorders>
                    <w:top w:val="single" w:color="auto" w:sz="6" w:space="0"/>
                    <w:left w:val="single" w:color="auto" w:sz="6" w:space="0"/>
                    <w:bottom w:val="single" w:color="auto" w:sz="6" w:space="0"/>
                    <w:right w:val="single" w:color="auto" w:sz="12" w:space="0"/>
                  </w:tcBorders>
                  <w:vAlign w:val="center"/>
                </w:tcPr>
                <w:p w14:paraId="46A48760">
                  <w:pPr>
                    <w:spacing w:line="240" w:lineRule="auto"/>
                    <w:ind w:firstLine="0" w:firstLineChars="0"/>
                    <w:jc w:val="center"/>
                    <w:rPr>
                      <w:color w:val="auto"/>
                      <w:sz w:val="24"/>
                    </w:rPr>
                  </w:pPr>
                  <w:r>
                    <w:rPr>
                      <w:rFonts w:hint="eastAsia"/>
                      <w:color w:val="auto"/>
                      <w:sz w:val="24"/>
                    </w:rPr>
                    <w:t>符合</w:t>
                  </w:r>
                </w:p>
              </w:tc>
            </w:tr>
            <w:tr w14:paraId="318EA8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173932E7">
                  <w:pPr>
                    <w:spacing w:line="240" w:lineRule="auto"/>
                    <w:ind w:firstLine="0" w:firstLineChars="0"/>
                    <w:jc w:val="left"/>
                    <w:rPr>
                      <w:color w:val="auto"/>
                      <w:sz w:val="24"/>
                    </w:rPr>
                  </w:pPr>
                  <w:r>
                    <w:rPr>
                      <w:rFonts w:hint="eastAsia"/>
                      <w:color w:val="auto"/>
                      <w:sz w:val="24"/>
                    </w:rPr>
                    <w:t>6、在风景名胜区核心景区的岸线和河段范围内投资建设与风景名胜资源保护无关的项目。</w:t>
                  </w:r>
                </w:p>
              </w:tc>
              <w:tc>
                <w:tcPr>
                  <w:tcW w:w="1276" w:type="dxa"/>
                  <w:tcBorders>
                    <w:top w:val="single" w:color="auto" w:sz="6" w:space="0"/>
                    <w:left w:val="single" w:color="auto" w:sz="6" w:space="0"/>
                    <w:bottom w:val="single" w:color="auto" w:sz="6" w:space="0"/>
                    <w:right w:val="single" w:color="auto" w:sz="6" w:space="0"/>
                  </w:tcBorders>
                  <w:vAlign w:val="center"/>
                </w:tcPr>
                <w:p w14:paraId="6C59D06A">
                  <w:pPr>
                    <w:spacing w:line="240" w:lineRule="auto"/>
                    <w:ind w:firstLine="0" w:firstLineChars="0"/>
                    <w:jc w:val="center"/>
                    <w:rPr>
                      <w:color w:val="auto"/>
                      <w:sz w:val="24"/>
                    </w:rPr>
                  </w:pPr>
                  <w:r>
                    <w:rPr>
                      <w:rFonts w:hint="eastAsia"/>
                      <w:color w:val="auto"/>
                      <w:sz w:val="24"/>
                    </w:rPr>
                    <w:t>不属于</w:t>
                  </w:r>
                </w:p>
              </w:tc>
              <w:tc>
                <w:tcPr>
                  <w:tcW w:w="933" w:type="dxa"/>
                  <w:tcBorders>
                    <w:top w:val="single" w:color="auto" w:sz="6" w:space="0"/>
                    <w:left w:val="single" w:color="auto" w:sz="6" w:space="0"/>
                    <w:bottom w:val="single" w:color="auto" w:sz="6" w:space="0"/>
                    <w:right w:val="single" w:color="auto" w:sz="12" w:space="0"/>
                  </w:tcBorders>
                  <w:vAlign w:val="center"/>
                </w:tcPr>
                <w:p w14:paraId="07AECD9A">
                  <w:pPr>
                    <w:spacing w:line="240" w:lineRule="auto"/>
                    <w:ind w:firstLine="0" w:firstLineChars="0"/>
                    <w:jc w:val="center"/>
                    <w:rPr>
                      <w:color w:val="auto"/>
                      <w:sz w:val="24"/>
                    </w:rPr>
                  </w:pPr>
                  <w:r>
                    <w:rPr>
                      <w:rFonts w:hint="eastAsia"/>
                      <w:color w:val="auto"/>
                      <w:sz w:val="24"/>
                    </w:rPr>
                    <w:t>符合</w:t>
                  </w:r>
                </w:p>
              </w:tc>
            </w:tr>
            <w:tr w14:paraId="15B08A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7"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003790E5">
                  <w:pPr>
                    <w:spacing w:line="240" w:lineRule="auto"/>
                    <w:ind w:firstLine="0" w:firstLineChars="0"/>
                    <w:jc w:val="left"/>
                    <w:rPr>
                      <w:color w:val="auto"/>
                      <w:sz w:val="24"/>
                    </w:rPr>
                  </w:pPr>
                  <w:r>
                    <w:rPr>
                      <w:rFonts w:hint="eastAsia"/>
                      <w:color w:val="auto"/>
                      <w:sz w:val="24"/>
                    </w:rPr>
                    <w:t>7、在国家湿地公园的岸线和河段范围内挖沙、采矿，以及任何不符合主体功能定位的投资建设项目。</w:t>
                  </w:r>
                </w:p>
              </w:tc>
              <w:tc>
                <w:tcPr>
                  <w:tcW w:w="1276" w:type="dxa"/>
                  <w:tcBorders>
                    <w:top w:val="single" w:color="auto" w:sz="6" w:space="0"/>
                    <w:left w:val="single" w:color="auto" w:sz="6" w:space="0"/>
                    <w:bottom w:val="single" w:color="auto" w:sz="6" w:space="0"/>
                    <w:right w:val="single" w:color="auto" w:sz="6" w:space="0"/>
                  </w:tcBorders>
                  <w:vAlign w:val="center"/>
                </w:tcPr>
                <w:p w14:paraId="4749D7F0">
                  <w:pPr>
                    <w:spacing w:line="240" w:lineRule="auto"/>
                    <w:ind w:firstLine="0" w:firstLineChars="0"/>
                    <w:jc w:val="center"/>
                    <w:rPr>
                      <w:color w:val="auto"/>
                      <w:sz w:val="24"/>
                    </w:rPr>
                  </w:pPr>
                  <w:r>
                    <w:rPr>
                      <w:rFonts w:hint="eastAsia"/>
                      <w:color w:val="auto"/>
                      <w:sz w:val="24"/>
                    </w:rPr>
                    <w:t>不属于</w:t>
                  </w:r>
                </w:p>
              </w:tc>
              <w:tc>
                <w:tcPr>
                  <w:tcW w:w="933" w:type="dxa"/>
                  <w:tcBorders>
                    <w:top w:val="single" w:color="auto" w:sz="6" w:space="0"/>
                    <w:left w:val="single" w:color="auto" w:sz="6" w:space="0"/>
                    <w:bottom w:val="single" w:color="auto" w:sz="6" w:space="0"/>
                    <w:right w:val="single" w:color="auto" w:sz="12" w:space="0"/>
                  </w:tcBorders>
                  <w:vAlign w:val="center"/>
                </w:tcPr>
                <w:p w14:paraId="02DC7DB4">
                  <w:pPr>
                    <w:spacing w:line="240" w:lineRule="auto"/>
                    <w:ind w:firstLine="0" w:firstLineChars="0"/>
                    <w:jc w:val="center"/>
                    <w:rPr>
                      <w:color w:val="auto"/>
                      <w:sz w:val="24"/>
                    </w:rPr>
                  </w:pPr>
                  <w:r>
                    <w:rPr>
                      <w:rFonts w:hint="eastAsia"/>
                      <w:color w:val="auto"/>
                      <w:sz w:val="24"/>
                    </w:rPr>
                    <w:t>符合</w:t>
                  </w:r>
                </w:p>
              </w:tc>
            </w:tr>
            <w:tr w14:paraId="41FED2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437FDAED">
                  <w:pPr>
                    <w:spacing w:line="240" w:lineRule="auto"/>
                    <w:ind w:firstLine="0" w:firstLineChars="0"/>
                    <w:jc w:val="left"/>
                    <w:rPr>
                      <w:color w:val="auto"/>
                      <w:sz w:val="24"/>
                    </w:rPr>
                  </w:pPr>
                  <w:r>
                    <w:rPr>
                      <w:rFonts w:hint="eastAsia"/>
                      <w:color w:val="auto"/>
                      <w:sz w:val="24"/>
                    </w:rPr>
                    <w:t>8、在《长江岸线保护和开发利用总体规划》划定的岸线保护区和保留区内投资建设除事关公共安全及公众利益的防洪护岸、河道治理、供水、生态环境保护、航道整治、国家重要基础设施以外的项目。</w:t>
                  </w:r>
                </w:p>
              </w:tc>
              <w:tc>
                <w:tcPr>
                  <w:tcW w:w="1276" w:type="dxa"/>
                  <w:tcBorders>
                    <w:top w:val="single" w:color="auto" w:sz="6" w:space="0"/>
                    <w:left w:val="single" w:color="auto" w:sz="6" w:space="0"/>
                    <w:bottom w:val="single" w:color="auto" w:sz="6" w:space="0"/>
                    <w:right w:val="single" w:color="auto" w:sz="6" w:space="0"/>
                  </w:tcBorders>
                  <w:vAlign w:val="center"/>
                </w:tcPr>
                <w:p w14:paraId="0C641125">
                  <w:pPr>
                    <w:spacing w:line="240" w:lineRule="auto"/>
                    <w:ind w:firstLine="0" w:firstLineChars="0"/>
                    <w:jc w:val="center"/>
                    <w:rPr>
                      <w:color w:val="auto"/>
                      <w:sz w:val="24"/>
                    </w:rPr>
                  </w:pPr>
                  <w:r>
                    <w:rPr>
                      <w:rFonts w:hint="eastAsia"/>
                      <w:color w:val="auto"/>
                      <w:sz w:val="24"/>
                    </w:rPr>
                    <w:t>不属于</w:t>
                  </w:r>
                </w:p>
              </w:tc>
              <w:tc>
                <w:tcPr>
                  <w:tcW w:w="933" w:type="dxa"/>
                  <w:tcBorders>
                    <w:top w:val="single" w:color="auto" w:sz="6" w:space="0"/>
                    <w:left w:val="single" w:color="auto" w:sz="6" w:space="0"/>
                    <w:bottom w:val="single" w:color="auto" w:sz="6" w:space="0"/>
                    <w:right w:val="single" w:color="auto" w:sz="12" w:space="0"/>
                  </w:tcBorders>
                  <w:vAlign w:val="center"/>
                </w:tcPr>
                <w:p w14:paraId="41A0283C">
                  <w:pPr>
                    <w:spacing w:line="240" w:lineRule="auto"/>
                    <w:ind w:firstLine="0" w:firstLineChars="0"/>
                    <w:jc w:val="center"/>
                    <w:rPr>
                      <w:color w:val="auto"/>
                      <w:sz w:val="24"/>
                    </w:rPr>
                  </w:pPr>
                  <w:r>
                    <w:rPr>
                      <w:rFonts w:hint="eastAsia"/>
                      <w:color w:val="auto"/>
                      <w:sz w:val="24"/>
                    </w:rPr>
                    <w:t>符合</w:t>
                  </w:r>
                </w:p>
              </w:tc>
            </w:tr>
            <w:tr w14:paraId="44961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175DFBD9">
                  <w:pPr>
                    <w:spacing w:line="240" w:lineRule="auto"/>
                    <w:ind w:firstLine="0" w:firstLineChars="0"/>
                    <w:jc w:val="left"/>
                    <w:rPr>
                      <w:color w:val="auto"/>
                      <w:sz w:val="24"/>
                    </w:rPr>
                  </w:pPr>
                  <w:r>
                    <w:rPr>
                      <w:rFonts w:hint="eastAsia"/>
                      <w:color w:val="auto"/>
                      <w:sz w:val="24"/>
                    </w:rPr>
                    <w:t>9、在《全国重要江河湖泊水功能区划》划定的河段及湖泊保护区、保留区内投资建设不利于水资源及自然生态保护的项目。</w:t>
                  </w:r>
                </w:p>
              </w:tc>
              <w:tc>
                <w:tcPr>
                  <w:tcW w:w="1276" w:type="dxa"/>
                  <w:tcBorders>
                    <w:top w:val="single" w:color="auto" w:sz="6" w:space="0"/>
                    <w:left w:val="single" w:color="auto" w:sz="6" w:space="0"/>
                    <w:bottom w:val="single" w:color="auto" w:sz="6" w:space="0"/>
                    <w:right w:val="single" w:color="auto" w:sz="6" w:space="0"/>
                  </w:tcBorders>
                  <w:vAlign w:val="center"/>
                </w:tcPr>
                <w:p w14:paraId="471AED61">
                  <w:pPr>
                    <w:spacing w:line="240" w:lineRule="auto"/>
                    <w:ind w:firstLine="0" w:firstLineChars="0"/>
                    <w:jc w:val="center"/>
                    <w:rPr>
                      <w:color w:val="auto"/>
                      <w:sz w:val="24"/>
                    </w:rPr>
                  </w:pPr>
                  <w:r>
                    <w:rPr>
                      <w:rFonts w:hint="eastAsia"/>
                      <w:color w:val="auto"/>
                      <w:sz w:val="24"/>
                    </w:rPr>
                    <w:t>不属于</w:t>
                  </w:r>
                </w:p>
              </w:tc>
              <w:tc>
                <w:tcPr>
                  <w:tcW w:w="933" w:type="dxa"/>
                  <w:tcBorders>
                    <w:top w:val="single" w:color="auto" w:sz="6" w:space="0"/>
                    <w:left w:val="single" w:color="auto" w:sz="6" w:space="0"/>
                    <w:bottom w:val="single" w:color="auto" w:sz="6" w:space="0"/>
                    <w:right w:val="single" w:color="auto" w:sz="12" w:space="0"/>
                  </w:tcBorders>
                  <w:vAlign w:val="center"/>
                </w:tcPr>
                <w:p w14:paraId="240C697D">
                  <w:pPr>
                    <w:spacing w:line="240" w:lineRule="auto"/>
                    <w:ind w:firstLine="0" w:firstLineChars="0"/>
                    <w:jc w:val="center"/>
                    <w:rPr>
                      <w:color w:val="auto"/>
                      <w:sz w:val="24"/>
                    </w:rPr>
                  </w:pPr>
                  <w:r>
                    <w:rPr>
                      <w:rFonts w:hint="eastAsia"/>
                      <w:color w:val="auto"/>
                      <w:sz w:val="24"/>
                    </w:rPr>
                    <w:t>符合</w:t>
                  </w:r>
                </w:p>
              </w:tc>
            </w:tr>
            <w:tr w14:paraId="6BD235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63A52E8C">
                  <w:pPr>
                    <w:spacing w:line="240" w:lineRule="auto"/>
                    <w:ind w:firstLine="0" w:firstLineChars="0"/>
                    <w:jc w:val="left"/>
                    <w:rPr>
                      <w:b/>
                      <w:color w:val="auto"/>
                      <w:sz w:val="24"/>
                    </w:rPr>
                  </w:pPr>
                  <w:r>
                    <w:rPr>
                      <w:rFonts w:hint="eastAsia"/>
                      <w:b/>
                      <w:color w:val="auto"/>
                      <w:sz w:val="24"/>
                    </w:rPr>
                    <w:t>三、限制准入类</w:t>
                  </w:r>
                </w:p>
              </w:tc>
              <w:tc>
                <w:tcPr>
                  <w:tcW w:w="1276" w:type="dxa"/>
                  <w:tcBorders>
                    <w:top w:val="single" w:color="auto" w:sz="6" w:space="0"/>
                    <w:left w:val="single" w:color="auto" w:sz="6" w:space="0"/>
                    <w:bottom w:val="single" w:color="auto" w:sz="6" w:space="0"/>
                    <w:right w:val="single" w:color="auto" w:sz="6" w:space="0"/>
                  </w:tcBorders>
                  <w:vAlign w:val="center"/>
                </w:tcPr>
                <w:p w14:paraId="1D55375F">
                  <w:pPr>
                    <w:spacing w:line="240" w:lineRule="auto"/>
                    <w:ind w:firstLine="0" w:firstLineChars="0"/>
                    <w:jc w:val="center"/>
                    <w:rPr>
                      <w:color w:val="auto"/>
                      <w:sz w:val="24"/>
                    </w:rPr>
                  </w:pPr>
                </w:p>
              </w:tc>
              <w:tc>
                <w:tcPr>
                  <w:tcW w:w="933" w:type="dxa"/>
                  <w:tcBorders>
                    <w:top w:val="single" w:color="auto" w:sz="6" w:space="0"/>
                    <w:left w:val="single" w:color="auto" w:sz="6" w:space="0"/>
                    <w:bottom w:val="single" w:color="auto" w:sz="6" w:space="0"/>
                    <w:right w:val="single" w:color="auto" w:sz="12" w:space="0"/>
                  </w:tcBorders>
                  <w:vAlign w:val="center"/>
                </w:tcPr>
                <w:p w14:paraId="473170A9">
                  <w:pPr>
                    <w:spacing w:line="240" w:lineRule="auto"/>
                    <w:ind w:firstLine="0" w:firstLineChars="0"/>
                    <w:jc w:val="center"/>
                    <w:rPr>
                      <w:color w:val="auto"/>
                      <w:sz w:val="24"/>
                    </w:rPr>
                  </w:pPr>
                </w:p>
              </w:tc>
            </w:tr>
            <w:tr w14:paraId="0B53E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4C3021B4">
                  <w:pPr>
                    <w:spacing w:line="240" w:lineRule="auto"/>
                    <w:ind w:firstLine="0" w:firstLineChars="0"/>
                    <w:jc w:val="left"/>
                    <w:rPr>
                      <w:b/>
                      <w:color w:val="auto"/>
                      <w:sz w:val="24"/>
                    </w:rPr>
                  </w:pPr>
                  <w:r>
                    <w:rPr>
                      <w:rFonts w:hint="eastAsia"/>
                      <w:b/>
                      <w:color w:val="auto"/>
                      <w:sz w:val="24"/>
                    </w:rPr>
                    <w:t>（一）全市范围内限制准入的产业</w:t>
                  </w:r>
                </w:p>
              </w:tc>
              <w:tc>
                <w:tcPr>
                  <w:tcW w:w="1276" w:type="dxa"/>
                  <w:tcBorders>
                    <w:top w:val="single" w:color="auto" w:sz="6" w:space="0"/>
                    <w:left w:val="single" w:color="auto" w:sz="6" w:space="0"/>
                    <w:bottom w:val="single" w:color="auto" w:sz="6" w:space="0"/>
                    <w:right w:val="single" w:color="auto" w:sz="6" w:space="0"/>
                  </w:tcBorders>
                  <w:vAlign w:val="center"/>
                </w:tcPr>
                <w:p w14:paraId="16F169E1">
                  <w:pPr>
                    <w:spacing w:line="240" w:lineRule="auto"/>
                    <w:ind w:firstLine="0" w:firstLineChars="0"/>
                    <w:jc w:val="center"/>
                    <w:rPr>
                      <w:color w:val="auto"/>
                      <w:sz w:val="24"/>
                    </w:rPr>
                  </w:pPr>
                </w:p>
              </w:tc>
              <w:tc>
                <w:tcPr>
                  <w:tcW w:w="933" w:type="dxa"/>
                  <w:tcBorders>
                    <w:top w:val="single" w:color="auto" w:sz="6" w:space="0"/>
                    <w:left w:val="single" w:color="auto" w:sz="6" w:space="0"/>
                    <w:bottom w:val="single" w:color="auto" w:sz="6" w:space="0"/>
                    <w:right w:val="single" w:color="auto" w:sz="12" w:space="0"/>
                  </w:tcBorders>
                  <w:vAlign w:val="center"/>
                </w:tcPr>
                <w:p w14:paraId="1D953B25">
                  <w:pPr>
                    <w:spacing w:line="240" w:lineRule="auto"/>
                    <w:ind w:firstLine="0" w:firstLineChars="0"/>
                    <w:jc w:val="center"/>
                    <w:rPr>
                      <w:color w:val="auto"/>
                      <w:sz w:val="24"/>
                    </w:rPr>
                  </w:pPr>
                </w:p>
              </w:tc>
            </w:tr>
            <w:tr w14:paraId="60027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5CF4F208">
                  <w:pPr>
                    <w:spacing w:line="240" w:lineRule="auto"/>
                    <w:ind w:firstLine="0" w:firstLineChars="0"/>
                    <w:jc w:val="left"/>
                    <w:rPr>
                      <w:color w:val="auto"/>
                      <w:sz w:val="24"/>
                    </w:rPr>
                  </w:pPr>
                  <w:r>
                    <w:rPr>
                      <w:rFonts w:hint="eastAsia"/>
                      <w:color w:val="auto"/>
                      <w:sz w:val="24"/>
                    </w:rPr>
                    <w:t>1、新建、扩建不符合国家产能置换要求的严重过剩产能行业的项目。新建、扩建不符合要求的高耗能高排放项目。</w:t>
                  </w:r>
                </w:p>
              </w:tc>
              <w:tc>
                <w:tcPr>
                  <w:tcW w:w="1276" w:type="dxa"/>
                  <w:tcBorders>
                    <w:top w:val="single" w:color="auto" w:sz="6" w:space="0"/>
                    <w:left w:val="single" w:color="auto" w:sz="6" w:space="0"/>
                    <w:bottom w:val="single" w:color="auto" w:sz="6" w:space="0"/>
                    <w:right w:val="single" w:color="auto" w:sz="6" w:space="0"/>
                  </w:tcBorders>
                  <w:vAlign w:val="center"/>
                </w:tcPr>
                <w:p w14:paraId="45AB4809">
                  <w:pPr>
                    <w:spacing w:line="240" w:lineRule="auto"/>
                    <w:ind w:firstLine="0" w:firstLineChars="0"/>
                    <w:jc w:val="center"/>
                    <w:rPr>
                      <w:color w:val="auto"/>
                      <w:sz w:val="24"/>
                    </w:rPr>
                  </w:pPr>
                  <w:r>
                    <w:rPr>
                      <w:rFonts w:hint="eastAsia"/>
                      <w:color w:val="auto"/>
                      <w:sz w:val="24"/>
                    </w:rPr>
                    <w:t>不属于高耗能高排放项目</w:t>
                  </w:r>
                </w:p>
              </w:tc>
              <w:tc>
                <w:tcPr>
                  <w:tcW w:w="933" w:type="dxa"/>
                  <w:tcBorders>
                    <w:top w:val="single" w:color="auto" w:sz="6" w:space="0"/>
                    <w:left w:val="single" w:color="auto" w:sz="6" w:space="0"/>
                    <w:bottom w:val="single" w:color="auto" w:sz="6" w:space="0"/>
                    <w:right w:val="single" w:color="auto" w:sz="12" w:space="0"/>
                  </w:tcBorders>
                  <w:vAlign w:val="center"/>
                </w:tcPr>
                <w:p w14:paraId="3B4BED4D">
                  <w:pPr>
                    <w:spacing w:line="240" w:lineRule="auto"/>
                    <w:ind w:firstLine="0" w:firstLineChars="0"/>
                    <w:jc w:val="center"/>
                    <w:rPr>
                      <w:color w:val="auto"/>
                      <w:sz w:val="24"/>
                    </w:rPr>
                  </w:pPr>
                  <w:r>
                    <w:rPr>
                      <w:rFonts w:hint="eastAsia"/>
                      <w:color w:val="auto"/>
                      <w:sz w:val="24"/>
                    </w:rPr>
                    <w:t>符合</w:t>
                  </w:r>
                </w:p>
              </w:tc>
            </w:tr>
            <w:tr w14:paraId="5D2709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379B5580">
                  <w:pPr>
                    <w:spacing w:line="240" w:lineRule="auto"/>
                    <w:ind w:firstLine="0" w:firstLineChars="0"/>
                    <w:jc w:val="left"/>
                    <w:rPr>
                      <w:color w:val="auto"/>
                      <w:sz w:val="24"/>
                    </w:rPr>
                  </w:pPr>
                  <w:r>
                    <w:rPr>
                      <w:rFonts w:hint="eastAsia"/>
                      <w:color w:val="auto"/>
                      <w:sz w:val="24"/>
                    </w:rPr>
                    <w:t>2、新建、扩建不符合国家石化、现代煤化工等产业布局规划的项目。</w:t>
                  </w:r>
                </w:p>
              </w:tc>
              <w:tc>
                <w:tcPr>
                  <w:tcW w:w="1276" w:type="dxa"/>
                  <w:tcBorders>
                    <w:top w:val="single" w:color="auto" w:sz="6" w:space="0"/>
                    <w:left w:val="single" w:color="auto" w:sz="6" w:space="0"/>
                    <w:bottom w:val="single" w:color="auto" w:sz="6" w:space="0"/>
                    <w:right w:val="single" w:color="auto" w:sz="6" w:space="0"/>
                  </w:tcBorders>
                  <w:vAlign w:val="center"/>
                </w:tcPr>
                <w:p w14:paraId="497CB0C5">
                  <w:pPr>
                    <w:spacing w:line="240" w:lineRule="auto"/>
                    <w:ind w:firstLine="0" w:firstLineChars="0"/>
                    <w:jc w:val="center"/>
                    <w:rPr>
                      <w:color w:val="auto"/>
                      <w:sz w:val="24"/>
                    </w:rPr>
                  </w:pPr>
                  <w:r>
                    <w:rPr>
                      <w:rFonts w:hint="eastAsia"/>
                      <w:color w:val="auto"/>
                      <w:sz w:val="24"/>
                    </w:rPr>
                    <w:t>不属于</w:t>
                  </w:r>
                </w:p>
              </w:tc>
              <w:tc>
                <w:tcPr>
                  <w:tcW w:w="933" w:type="dxa"/>
                  <w:tcBorders>
                    <w:top w:val="single" w:color="auto" w:sz="6" w:space="0"/>
                    <w:left w:val="single" w:color="auto" w:sz="6" w:space="0"/>
                    <w:bottom w:val="single" w:color="auto" w:sz="6" w:space="0"/>
                    <w:right w:val="single" w:color="auto" w:sz="12" w:space="0"/>
                  </w:tcBorders>
                  <w:vAlign w:val="center"/>
                </w:tcPr>
                <w:p w14:paraId="74689AA8">
                  <w:pPr>
                    <w:spacing w:line="240" w:lineRule="auto"/>
                    <w:ind w:firstLine="0" w:firstLineChars="0"/>
                    <w:jc w:val="center"/>
                    <w:rPr>
                      <w:color w:val="auto"/>
                      <w:sz w:val="24"/>
                    </w:rPr>
                  </w:pPr>
                  <w:r>
                    <w:rPr>
                      <w:rFonts w:hint="eastAsia"/>
                      <w:color w:val="auto"/>
                      <w:sz w:val="24"/>
                    </w:rPr>
                    <w:t>符合</w:t>
                  </w:r>
                </w:p>
              </w:tc>
            </w:tr>
            <w:tr w14:paraId="6945E2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015C730C">
                  <w:pPr>
                    <w:spacing w:line="240" w:lineRule="auto"/>
                    <w:ind w:firstLine="0" w:firstLineChars="0"/>
                    <w:jc w:val="left"/>
                    <w:rPr>
                      <w:color w:val="auto"/>
                      <w:sz w:val="24"/>
                    </w:rPr>
                  </w:pPr>
                  <w:r>
                    <w:rPr>
                      <w:rFonts w:hint="eastAsia"/>
                      <w:color w:val="auto"/>
                      <w:sz w:val="24"/>
                    </w:rPr>
                    <w:t>3、在合规园区外新建、扩建钢铁、石化、化工、焦化、建材、有色、制浆造纸等高污染项目。</w:t>
                  </w:r>
                </w:p>
              </w:tc>
              <w:tc>
                <w:tcPr>
                  <w:tcW w:w="1276" w:type="dxa"/>
                  <w:tcBorders>
                    <w:top w:val="single" w:color="auto" w:sz="6" w:space="0"/>
                    <w:left w:val="single" w:color="auto" w:sz="6" w:space="0"/>
                    <w:bottom w:val="single" w:color="auto" w:sz="6" w:space="0"/>
                    <w:right w:val="single" w:color="auto" w:sz="6" w:space="0"/>
                  </w:tcBorders>
                  <w:vAlign w:val="center"/>
                </w:tcPr>
                <w:p w14:paraId="332155CF">
                  <w:pPr>
                    <w:spacing w:line="240" w:lineRule="auto"/>
                    <w:ind w:firstLine="0" w:firstLineChars="0"/>
                    <w:jc w:val="center"/>
                    <w:rPr>
                      <w:color w:val="auto"/>
                      <w:sz w:val="24"/>
                    </w:rPr>
                  </w:pPr>
                  <w:r>
                    <w:rPr>
                      <w:rFonts w:hint="eastAsia"/>
                      <w:color w:val="auto"/>
                      <w:sz w:val="24"/>
                    </w:rPr>
                    <w:t>不属于高污染项目</w:t>
                  </w:r>
                </w:p>
              </w:tc>
              <w:tc>
                <w:tcPr>
                  <w:tcW w:w="933" w:type="dxa"/>
                  <w:tcBorders>
                    <w:top w:val="single" w:color="auto" w:sz="6" w:space="0"/>
                    <w:left w:val="single" w:color="auto" w:sz="6" w:space="0"/>
                    <w:bottom w:val="single" w:color="auto" w:sz="6" w:space="0"/>
                    <w:right w:val="single" w:color="auto" w:sz="12" w:space="0"/>
                  </w:tcBorders>
                  <w:vAlign w:val="center"/>
                </w:tcPr>
                <w:p w14:paraId="48D33902">
                  <w:pPr>
                    <w:spacing w:line="240" w:lineRule="auto"/>
                    <w:ind w:firstLine="0" w:firstLineChars="0"/>
                    <w:jc w:val="center"/>
                    <w:rPr>
                      <w:color w:val="auto"/>
                      <w:sz w:val="24"/>
                    </w:rPr>
                  </w:pPr>
                  <w:r>
                    <w:rPr>
                      <w:rFonts w:hint="eastAsia"/>
                      <w:color w:val="auto"/>
                      <w:sz w:val="24"/>
                    </w:rPr>
                    <w:t>符合</w:t>
                  </w:r>
                </w:p>
              </w:tc>
            </w:tr>
            <w:tr w14:paraId="0ECA8B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0A05E563">
                  <w:pPr>
                    <w:spacing w:line="240" w:lineRule="auto"/>
                    <w:ind w:firstLine="0" w:firstLineChars="0"/>
                    <w:jc w:val="left"/>
                    <w:rPr>
                      <w:color w:val="auto"/>
                      <w:sz w:val="24"/>
                    </w:rPr>
                  </w:pPr>
                  <w:r>
                    <w:rPr>
                      <w:rFonts w:hint="eastAsia"/>
                      <w:color w:val="auto"/>
                      <w:sz w:val="24"/>
                    </w:rPr>
                    <w:t>4、《汽车产业投资管理规定》（国家发展和改革委员会令第22号）明确禁止建设的汽车投资项目。</w:t>
                  </w:r>
                </w:p>
              </w:tc>
              <w:tc>
                <w:tcPr>
                  <w:tcW w:w="1276" w:type="dxa"/>
                  <w:tcBorders>
                    <w:top w:val="single" w:color="auto" w:sz="6" w:space="0"/>
                    <w:left w:val="single" w:color="auto" w:sz="6" w:space="0"/>
                    <w:bottom w:val="single" w:color="auto" w:sz="6" w:space="0"/>
                    <w:right w:val="single" w:color="auto" w:sz="6" w:space="0"/>
                  </w:tcBorders>
                  <w:vAlign w:val="center"/>
                </w:tcPr>
                <w:p w14:paraId="75FC90AF">
                  <w:pPr>
                    <w:spacing w:line="240" w:lineRule="auto"/>
                    <w:ind w:firstLine="0" w:firstLineChars="0"/>
                    <w:jc w:val="center"/>
                    <w:rPr>
                      <w:color w:val="auto"/>
                      <w:sz w:val="24"/>
                    </w:rPr>
                  </w:pPr>
                  <w:r>
                    <w:rPr>
                      <w:rFonts w:hint="eastAsia"/>
                      <w:color w:val="auto"/>
                      <w:sz w:val="24"/>
                    </w:rPr>
                    <w:t>不属于</w:t>
                  </w:r>
                </w:p>
              </w:tc>
              <w:tc>
                <w:tcPr>
                  <w:tcW w:w="933" w:type="dxa"/>
                  <w:tcBorders>
                    <w:top w:val="single" w:color="auto" w:sz="6" w:space="0"/>
                    <w:left w:val="single" w:color="auto" w:sz="6" w:space="0"/>
                    <w:bottom w:val="single" w:color="auto" w:sz="6" w:space="0"/>
                    <w:right w:val="single" w:color="auto" w:sz="12" w:space="0"/>
                  </w:tcBorders>
                  <w:vAlign w:val="center"/>
                </w:tcPr>
                <w:p w14:paraId="78D475B0">
                  <w:pPr>
                    <w:spacing w:line="240" w:lineRule="auto"/>
                    <w:ind w:firstLine="0" w:firstLineChars="0"/>
                    <w:jc w:val="center"/>
                    <w:rPr>
                      <w:color w:val="auto"/>
                      <w:sz w:val="24"/>
                    </w:rPr>
                  </w:pPr>
                  <w:r>
                    <w:rPr>
                      <w:rFonts w:hint="eastAsia"/>
                      <w:color w:val="auto"/>
                      <w:sz w:val="24"/>
                    </w:rPr>
                    <w:t>符合</w:t>
                  </w:r>
                </w:p>
              </w:tc>
            </w:tr>
            <w:tr w14:paraId="22ABE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19CB2F8B">
                  <w:pPr>
                    <w:spacing w:line="240" w:lineRule="auto"/>
                    <w:ind w:firstLine="0" w:firstLineChars="0"/>
                    <w:jc w:val="left"/>
                    <w:rPr>
                      <w:color w:val="auto"/>
                      <w:sz w:val="24"/>
                    </w:rPr>
                  </w:pPr>
                  <w:r>
                    <w:rPr>
                      <w:rFonts w:hint="eastAsia"/>
                      <w:color w:val="auto"/>
                      <w:sz w:val="24"/>
                    </w:rPr>
                    <w:t>（二）重点区域范围内限制准入的产业</w:t>
                  </w:r>
                </w:p>
              </w:tc>
              <w:tc>
                <w:tcPr>
                  <w:tcW w:w="1276" w:type="dxa"/>
                  <w:tcBorders>
                    <w:top w:val="single" w:color="auto" w:sz="6" w:space="0"/>
                    <w:left w:val="single" w:color="auto" w:sz="6" w:space="0"/>
                    <w:bottom w:val="single" w:color="auto" w:sz="6" w:space="0"/>
                    <w:right w:val="single" w:color="auto" w:sz="6" w:space="0"/>
                  </w:tcBorders>
                  <w:vAlign w:val="center"/>
                </w:tcPr>
                <w:p w14:paraId="47A50139">
                  <w:pPr>
                    <w:spacing w:line="240" w:lineRule="auto"/>
                    <w:ind w:firstLine="0" w:firstLineChars="0"/>
                    <w:jc w:val="center"/>
                    <w:rPr>
                      <w:color w:val="auto"/>
                      <w:sz w:val="24"/>
                    </w:rPr>
                  </w:pPr>
                </w:p>
              </w:tc>
              <w:tc>
                <w:tcPr>
                  <w:tcW w:w="933" w:type="dxa"/>
                  <w:tcBorders>
                    <w:top w:val="single" w:color="auto" w:sz="6" w:space="0"/>
                    <w:left w:val="single" w:color="auto" w:sz="6" w:space="0"/>
                    <w:bottom w:val="single" w:color="auto" w:sz="6" w:space="0"/>
                    <w:right w:val="single" w:color="auto" w:sz="12" w:space="0"/>
                  </w:tcBorders>
                  <w:vAlign w:val="center"/>
                </w:tcPr>
                <w:p w14:paraId="49759BF2">
                  <w:pPr>
                    <w:spacing w:line="240" w:lineRule="auto"/>
                    <w:ind w:firstLine="0" w:firstLineChars="0"/>
                    <w:jc w:val="center"/>
                    <w:rPr>
                      <w:color w:val="auto"/>
                      <w:sz w:val="24"/>
                    </w:rPr>
                  </w:pPr>
                </w:p>
              </w:tc>
            </w:tr>
            <w:tr w14:paraId="7265A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244D7420">
                  <w:pPr>
                    <w:spacing w:line="240" w:lineRule="auto"/>
                    <w:ind w:firstLine="0" w:firstLineChars="0"/>
                    <w:jc w:val="left"/>
                    <w:rPr>
                      <w:color w:val="auto"/>
                      <w:sz w:val="24"/>
                    </w:rPr>
                  </w:pPr>
                  <w:r>
                    <w:rPr>
                      <w:rFonts w:hint="eastAsia"/>
                      <w:color w:val="auto"/>
                      <w:sz w:val="24"/>
                    </w:rPr>
                    <w:t>1、长江干支流、重要湖泊岸线1公里范围内新建、扩建化工园区和化工项目，长江、嘉陵江、乌江岸线1公里范围内布局新建纸浆制造、印染等存在环境风险的项目。</w:t>
                  </w:r>
                </w:p>
              </w:tc>
              <w:tc>
                <w:tcPr>
                  <w:tcW w:w="1276" w:type="dxa"/>
                  <w:tcBorders>
                    <w:top w:val="single" w:color="auto" w:sz="6" w:space="0"/>
                    <w:left w:val="single" w:color="auto" w:sz="6" w:space="0"/>
                    <w:bottom w:val="single" w:color="auto" w:sz="6" w:space="0"/>
                    <w:right w:val="single" w:color="auto" w:sz="6" w:space="0"/>
                  </w:tcBorders>
                  <w:vAlign w:val="center"/>
                </w:tcPr>
                <w:p w14:paraId="2DCDA809">
                  <w:pPr>
                    <w:spacing w:line="240" w:lineRule="auto"/>
                    <w:ind w:firstLine="0" w:firstLineChars="0"/>
                    <w:jc w:val="center"/>
                    <w:rPr>
                      <w:color w:val="auto"/>
                      <w:sz w:val="24"/>
                    </w:rPr>
                  </w:pPr>
                  <w:r>
                    <w:rPr>
                      <w:rFonts w:hint="eastAsia"/>
                      <w:color w:val="auto"/>
                      <w:sz w:val="24"/>
                    </w:rPr>
                    <w:t>不属于</w:t>
                  </w:r>
                </w:p>
              </w:tc>
              <w:tc>
                <w:tcPr>
                  <w:tcW w:w="933" w:type="dxa"/>
                  <w:tcBorders>
                    <w:top w:val="single" w:color="auto" w:sz="6" w:space="0"/>
                    <w:left w:val="single" w:color="auto" w:sz="6" w:space="0"/>
                    <w:bottom w:val="single" w:color="auto" w:sz="6" w:space="0"/>
                    <w:right w:val="single" w:color="auto" w:sz="12" w:space="0"/>
                  </w:tcBorders>
                  <w:vAlign w:val="center"/>
                </w:tcPr>
                <w:p w14:paraId="31B43DCA">
                  <w:pPr>
                    <w:spacing w:line="240" w:lineRule="auto"/>
                    <w:ind w:firstLine="0" w:firstLineChars="0"/>
                    <w:jc w:val="center"/>
                    <w:rPr>
                      <w:color w:val="auto"/>
                      <w:sz w:val="24"/>
                    </w:rPr>
                  </w:pPr>
                  <w:r>
                    <w:rPr>
                      <w:rFonts w:hint="eastAsia"/>
                      <w:color w:val="auto"/>
                      <w:sz w:val="24"/>
                    </w:rPr>
                    <w:t>符合</w:t>
                  </w:r>
                </w:p>
              </w:tc>
            </w:tr>
            <w:tr w14:paraId="4730F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4414" w:type="dxa"/>
                  <w:tcBorders>
                    <w:top w:val="single" w:color="auto" w:sz="6" w:space="0"/>
                    <w:left w:val="single" w:color="auto" w:sz="12" w:space="0"/>
                    <w:bottom w:val="single" w:color="auto" w:sz="6" w:space="0"/>
                    <w:right w:val="single" w:color="auto" w:sz="6" w:space="0"/>
                  </w:tcBorders>
                  <w:vAlign w:val="center"/>
                </w:tcPr>
                <w:p w14:paraId="455BBF89">
                  <w:pPr>
                    <w:spacing w:line="240" w:lineRule="auto"/>
                    <w:ind w:firstLine="0" w:firstLineChars="0"/>
                    <w:jc w:val="left"/>
                    <w:rPr>
                      <w:color w:val="auto"/>
                      <w:sz w:val="24"/>
                    </w:rPr>
                  </w:pPr>
                  <w:r>
                    <w:rPr>
                      <w:rFonts w:hint="eastAsia"/>
                      <w:color w:val="auto"/>
                      <w:sz w:val="24"/>
                    </w:rPr>
                    <w:t>2、在水产种质资源保护区的岸线和河段范围内新建围湖造田等投资建设项目。</w:t>
                  </w:r>
                </w:p>
              </w:tc>
              <w:tc>
                <w:tcPr>
                  <w:tcW w:w="1276" w:type="dxa"/>
                  <w:tcBorders>
                    <w:top w:val="single" w:color="auto" w:sz="6" w:space="0"/>
                    <w:left w:val="single" w:color="auto" w:sz="6" w:space="0"/>
                    <w:bottom w:val="single" w:color="auto" w:sz="6" w:space="0"/>
                    <w:right w:val="single" w:color="auto" w:sz="6" w:space="0"/>
                  </w:tcBorders>
                  <w:vAlign w:val="center"/>
                </w:tcPr>
                <w:p w14:paraId="3A2D8F24">
                  <w:pPr>
                    <w:spacing w:line="240" w:lineRule="auto"/>
                    <w:ind w:firstLine="0" w:firstLineChars="0"/>
                    <w:jc w:val="center"/>
                    <w:rPr>
                      <w:color w:val="auto"/>
                      <w:sz w:val="24"/>
                    </w:rPr>
                  </w:pPr>
                  <w:r>
                    <w:rPr>
                      <w:rFonts w:hint="eastAsia"/>
                      <w:color w:val="auto"/>
                      <w:sz w:val="24"/>
                    </w:rPr>
                    <w:t>不属于围湖造田等投资建设项目</w:t>
                  </w:r>
                </w:p>
              </w:tc>
              <w:tc>
                <w:tcPr>
                  <w:tcW w:w="933" w:type="dxa"/>
                  <w:tcBorders>
                    <w:top w:val="single" w:color="auto" w:sz="6" w:space="0"/>
                    <w:left w:val="single" w:color="auto" w:sz="6" w:space="0"/>
                    <w:bottom w:val="single" w:color="auto" w:sz="6" w:space="0"/>
                    <w:right w:val="single" w:color="auto" w:sz="12" w:space="0"/>
                  </w:tcBorders>
                  <w:vAlign w:val="center"/>
                </w:tcPr>
                <w:p w14:paraId="5D22561B">
                  <w:pPr>
                    <w:spacing w:line="240" w:lineRule="auto"/>
                    <w:ind w:firstLine="0" w:firstLineChars="0"/>
                    <w:jc w:val="center"/>
                    <w:rPr>
                      <w:color w:val="auto"/>
                      <w:sz w:val="24"/>
                    </w:rPr>
                  </w:pPr>
                  <w:r>
                    <w:rPr>
                      <w:rFonts w:hint="eastAsia"/>
                      <w:color w:val="auto"/>
                      <w:sz w:val="24"/>
                    </w:rPr>
                    <w:t>符合</w:t>
                  </w:r>
                </w:p>
              </w:tc>
            </w:tr>
          </w:tbl>
          <w:p w14:paraId="13D24089">
            <w:pPr>
              <w:rPr>
                <w:color w:val="auto"/>
                <w:sz w:val="28"/>
              </w:rPr>
            </w:pPr>
            <w:r>
              <w:rPr>
                <w:rFonts w:hint="eastAsia"/>
                <w:color w:val="auto"/>
                <w:sz w:val="28"/>
              </w:rPr>
              <w:t>由表1-5中所列对比结果可见，本项目符合《重庆市产业投资准入工作手册》（渝发改投〔2022〕1436号）的相关要求。</w:t>
            </w:r>
          </w:p>
          <w:p w14:paraId="3C02CF84">
            <w:pPr>
              <w:spacing w:before="120" w:beforeLines="50"/>
              <w:ind w:firstLine="0" w:firstLineChars="0"/>
              <w:rPr>
                <w:b/>
                <w:bCs/>
                <w:color w:val="auto"/>
                <w:sz w:val="28"/>
              </w:rPr>
            </w:pPr>
            <w:r>
              <w:rPr>
                <w:rFonts w:hint="eastAsia"/>
                <w:b/>
                <w:bCs/>
                <w:color w:val="auto"/>
                <w:sz w:val="28"/>
                <w:lang w:val="en-US" w:eastAsia="zh-CN"/>
              </w:rPr>
              <w:t>4</w:t>
            </w:r>
            <w:r>
              <w:rPr>
                <w:b/>
                <w:bCs/>
                <w:color w:val="auto"/>
                <w:sz w:val="28"/>
              </w:rPr>
              <w:t>.</w:t>
            </w:r>
            <w:r>
              <w:rPr>
                <w:rFonts w:hint="eastAsia"/>
                <w:b/>
                <w:bCs/>
                <w:color w:val="auto"/>
                <w:sz w:val="28"/>
              </w:rPr>
              <w:t>与《四川、重庆长江经济带发展负面清单指南（试行，2022版）》的符合性分析</w:t>
            </w:r>
          </w:p>
          <w:p w14:paraId="34CCA6CF">
            <w:pPr>
              <w:ind w:firstLine="560"/>
              <w:rPr>
                <w:color w:val="auto"/>
                <w:sz w:val="28"/>
              </w:rPr>
            </w:pPr>
            <w:r>
              <w:rPr>
                <w:rFonts w:hint="eastAsia"/>
                <w:color w:val="auto"/>
                <w:sz w:val="28"/>
              </w:rPr>
              <w:t>本项目与《四川、重庆长江经济带发展负面清单指南（试行，2022版）》文件符合性分析详见表1-7。</w:t>
            </w:r>
          </w:p>
          <w:p w14:paraId="7729D5C3">
            <w:pPr>
              <w:pStyle w:val="75"/>
              <w:rPr>
                <w:color w:val="auto"/>
              </w:rPr>
            </w:pPr>
            <w:r>
              <w:rPr>
                <w:rFonts w:hint="eastAsia"/>
                <w:color w:val="auto"/>
                <w:sz w:val="24"/>
              </w:rPr>
              <w:t>表1-7与《四川、重庆长江经济带发展负面清单指南（试行，2022版）》符合性分析</w:t>
            </w:r>
          </w:p>
          <w:tbl>
            <w:tblPr>
              <w:tblStyle w:val="32"/>
              <w:tblW w:w="7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2"/>
              <w:gridCol w:w="2198"/>
              <w:gridCol w:w="771"/>
            </w:tblGrid>
            <w:tr w14:paraId="235C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402" w:type="dxa"/>
                  <w:vAlign w:val="center"/>
                </w:tcPr>
                <w:p w14:paraId="706C012E">
                  <w:pPr>
                    <w:pStyle w:val="48"/>
                    <w:rPr>
                      <w:color w:val="auto"/>
                      <w:szCs w:val="18"/>
                    </w:rPr>
                  </w:pPr>
                  <w:r>
                    <w:rPr>
                      <w:rFonts w:hint="eastAsia"/>
                      <w:color w:val="auto"/>
                      <w:sz w:val="24"/>
                      <w:szCs w:val="18"/>
                    </w:rPr>
                    <w:t>负面清单实施细则</w:t>
                  </w:r>
                </w:p>
              </w:tc>
              <w:tc>
                <w:tcPr>
                  <w:tcW w:w="2198" w:type="dxa"/>
                  <w:vAlign w:val="center"/>
                </w:tcPr>
                <w:p w14:paraId="38993C7C">
                  <w:pPr>
                    <w:pStyle w:val="48"/>
                    <w:rPr>
                      <w:color w:val="auto"/>
                      <w:szCs w:val="18"/>
                    </w:rPr>
                  </w:pPr>
                  <w:r>
                    <w:rPr>
                      <w:rFonts w:hint="eastAsia"/>
                      <w:color w:val="auto"/>
                      <w:sz w:val="24"/>
                      <w:szCs w:val="18"/>
                    </w:rPr>
                    <w:t>本项目情况</w:t>
                  </w:r>
                </w:p>
              </w:tc>
              <w:tc>
                <w:tcPr>
                  <w:tcW w:w="771" w:type="dxa"/>
                  <w:vAlign w:val="center"/>
                </w:tcPr>
                <w:p w14:paraId="64A90824">
                  <w:pPr>
                    <w:pStyle w:val="48"/>
                    <w:rPr>
                      <w:color w:val="auto"/>
                      <w:szCs w:val="18"/>
                    </w:rPr>
                  </w:pPr>
                  <w:r>
                    <w:rPr>
                      <w:rFonts w:hint="eastAsia"/>
                      <w:color w:val="auto"/>
                      <w:sz w:val="24"/>
                      <w:szCs w:val="18"/>
                    </w:rPr>
                    <w:t>分析</w:t>
                  </w:r>
                </w:p>
              </w:tc>
            </w:tr>
            <w:tr w14:paraId="4074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1CD7684A">
                  <w:pPr>
                    <w:pStyle w:val="48"/>
                    <w:jc w:val="both"/>
                    <w:rPr>
                      <w:color w:val="auto"/>
                      <w:szCs w:val="18"/>
                    </w:rPr>
                  </w:pPr>
                  <w:r>
                    <w:rPr>
                      <w:bCs/>
                      <w:color w:val="auto"/>
                      <w:sz w:val="24"/>
                    </w:rPr>
                    <w:t>禁止新建、改建和扩建不符合全国港口布局规划，以及《四川省内河水运发展规划》《泸州—宜宾—乐山港口群布局规划》《重庆港总体规划(2035年)》等省级港口布局规划及市级港口总体规划的码头项目。</w:t>
                  </w:r>
                </w:p>
              </w:tc>
              <w:tc>
                <w:tcPr>
                  <w:tcW w:w="2198" w:type="dxa"/>
                  <w:vAlign w:val="center"/>
                </w:tcPr>
                <w:p w14:paraId="0C814FD4">
                  <w:pPr>
                    <w:pStyle w:val="48"/>
                    <w:jc w:val="both"/>
                    <w:rPr>
                      <w:rFonts w:hint="eastAsia" w:eastAsia="仿宋"/>
                      <w:color w:val="auto"/>
                      <w:szCs w:val="18"/>
                      <w:lang w:eastAsia="zh-CN"/>
                    </w:rPr>
                  </w:pPr>
                  <w:r>
                    <w:rPr>
                      <w:rFonts w:hint="eastAsia"/>
                      <w:color w:val="auto"/>
                      <w:sz w:val="24"/>
                      <w:szCs w:val="18"/>
                    </w:rPr>
                    <w:t>本项目属于C2929塑料零件及其他塑料制品制造</w:t>
                  </w:r>
                  <w:r>
                    <w:rPr>
                      <w:rFonts w:hint="eastAsia"/>
                      <w:color w:val="auto"/>
                      <w:sz w:val="24"/>
                      <w:szCs w:val="18"/>
                      <w:lang w:eastAsia="zh-CN"/>
                    </w:rPr>
                    <w:t>、</w:t>
                  </w:r>
                  <w:r>
                    <w:rPr>
                      <w:rFonts w:hint="eastAsia"/>
                      <w:color w:val="auto"/>
                      <w:sz w:val="24"/>
                      <w:szCs w:val="18"/>
                      <w:lang w:val="en-US" w:eastAsia="zh-CN"/>
                    </w:rPr>
                    <w:t>C3670汽车零部件及配件制造</w:t>
                  </w:r>
                  <w:r>
                    <w:rPr>
                      <w:rFonts w:hint="eastAsia"/>
                      <w:color w:val="auto"/>
                      <w:sz w:val="24"/>
                    </w:rPr>
                    <w:t>，</w:t>
                  </w:r>
                  <w:r>
                    <w:rPr>
                      <w:rFonts w:hint="eastAsia"/>
                      <w:color w:val="auto"/>
                      <w:sz w:val="24"/>
                      <w:szCs w:val="18"/>
                    </w:rPr>
                    <w:t>不属于码头项目。</w:t>
                  </w:r>
                </w:p>
              </w:tc>
              <w:tc>
                <w:tcPr>
                  <w:tcW w:w="771" w:type="dxa"/>
                  <w:vAlign w:val="center"/>
                </w:tcPr>
                <w:p w14:paraId="7B22E338">
                  <w:pPr>
                    <w:pStyle w:val="48"/>
                    <w:rPr>
                      <w:color w:val="auto"/>
                      <w:szCs w:val="18"/>
                    </w:rPr>
                  </w:pPr>
                  <w:r>
                    <w:rPr>
                      <w:rFonts w:hint="eastAsia"/>
                      <w:color w:val="auto"/>
                      <w:sz w:val="24"/>
                      <w:szCs w:val="18"/>
                    </w:rPr>
                    <w:t>符合</w:t>
                  </w:r>
                </w:p>
              </w:tc>
            </w:tr>
            <w:tr w14:paraId="603C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554C4CE7">
                  <w:pPr>
                    <w:pStyle w:val="48"/>
                    <w:jc w:val="both"/>
                    <w:rPr>
                      <w:color w:val="auto"/>
                      <w:szCs w:val="18"/>
                    </w:rPr>
                  </w:pPr>
                  <w:r>
                    <w:rPr>
                      <w:bCs/>
                      <w:color w:val="auto"/>
                      <w:sz w:val="24"/>
                    </w:rPr>
                    <w:t>禁止新建、改建和扩建不符合《长江干线过江通道布局规划（2020——2035年)》的过长江通道项目（含桥梁、隧道)，国家发展改革委同意过长江通道线位调整的除外。</w:t>
                  </w:r>
                </w:p>
              </w:tc>
              <w:tc>
                <w:tcPr>
                  <w:tcW w:w="2198" w:type="dxa"/>
                  <w:vAlign w:val="center"/>
                </w:tcPr>
                <w:p w14:paraId="327BEF3A">
                  <w:pPr>
                    <w:pStyle w:val="48"/>
                    <w:jc w:val="both"/>
                    <w:rPr>
                      <w:color w:val="auto"/>
                      <w:szCs w:val="18"/>
                    </w:rPr>
                  </w:pPr>
                  <w:r>
                    <w:rPr>
                      <w:rFonts w:hint="eastAsia"/>
                      <w:color w:val="auto"/>
                      <w:sz w:val="24"/>
                    </w:rPr>
                    <w:t>本项目不属于</w:t>
                  </w:r>
                  <w:r>
                    <w:rPr>
                      <w:color w:val="auto"/>
                      <w:sz w:val="24"/>
                    </w:rPr>
                    <w:t>过长江通道项目</w:t>
                  </w:r>
                  <w:r>
                    <w:rPr>
                      <w:rFonts w:hint="eastAsia"/>
                      <w:color w:val="auto"/>
                      <w:sz w:val="24"/>
                    </w:rPr>
                    <w:t>。</w:t>
                  </w:r>
                </w:p>
              </w:tc>
              <w:tc>
                <w:tcPr>
                  <w:tcW w:w="771" w:type="dxa"/>
                  <w:vAlign w:val="center"/>
                </w:tcPr>
                <w:p w14:paraId="28F5F8B4">
                  <w:pPr>
                    <w:pStyle w:val="48"/>
                    <w:rPr>
                      <w:color w:val="auto"/>
                      <w:szCs w:val="18"/>
                    </w:rPr>
                  </w:pPr>
                  <w:r>
                    <w:rPr>
                      <w:rFonts w:hint="eastAsia"/>
                      <w:color w:val="auto"/>
                      <w:sz w:val="24"/>
                      <w:szCs w:val="18"/>
                    </w:rPr>
                    <w:t>符合</w:t>
                  </w:r>
                </w:p>
              </w:tc>
            </w:tr>
            <w:tr w14:paraId="2F3D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08A23881">
                  <w:pPr>
                    <w:pStyle w:val="48"/>
                    <w:jc w:val="both"/>
                    <w:rPr>
                      <w:color w:val="auto"/>
                      <w:szCs w:val="18"/>
                    </w:rPr>
                  </w:pPr>
                  <w:r>
                    <w:rPr>
                      <w:bCs/>
                      <w:color w:val="auto"/>
                      <w:sz w:val="24"/>
                    </w:rPr>
                    <w:t>禁止在自然保护区核心区、缓冲区的岸线和河段范围内投资建设旅游和生产经营项目。自然保护区的内部未分区的，依照核心区和缓冲区的规定管控。</w:t>
                  </w:r>
                </w:p>
              </w:tc>
              <w:tc>
                <w:tcPr>
                  <w:tcW w:w="2198" w:type="dxa"/>
                  <w:vAlign w:val="center"/>
                </w:tcPr>
                <w:p w14:paraId="1068723F">
                  <w:pPr>
                    <w:pStyle w:val="48"/>
                    <w:jc w:val="both"/>
                    <w:rPr>
                      <w:color w:val="auto"/>
                      <w:szCs w:val="18"/>
                    </w:rPr>
                  </w:pPr>
                  <w:r>
                    <w:rPr>
                      <w:rFonts w:hint="eastAsia"/>
                      <w:bCs/>
                      <w:color w:val="auto"/>
                      <w:sz w:val="24"/>
                    </w:rPr>
                    <w:t>不位于</w:t>
                  </w:r>
                  <w:r>
                    <w:rPr>
                      <w:bCs/>
                      <w:color w:val="auto"/>
                      <w:sz w:val="24"/>
                    </w:rPr>
                    <w:t>自然保护区核心区、缓冲区</w:t>
                  </w:r>
                  <w:r>
                    <w:rPr>
                      <w:rFonts w:hint="eastAsia"/>
                      <w:bCs/>
                      <w:color w:val="auto"/>
                      <w:sz w:val="24"/>
                    </w:rPr>
                    <w:t>，且本项目</w:t>
                  </w:r>
                  <w:r>
                    <w:rPr>
                      <w:rFonts w:hint="eastAsia"/>
                      <w:bCs/>
                      <w:color w:val="auto"/>
                      <w:sz w:val="24"/>
                      <w:lang w:eastAsia="zh-CN"/>
                    </w:rPr>
                    <w:t>为</w:t>
                  </w:r>
                  <w:r>
                    <w:rPr>
                      <w:rFonts w:hint="eastAsia"/>
                      <w:color w:val="auto"/>
                      <w:sz w:val="24"/>
                      <w:szCs w:val="18"/>
                    </w:rPr>
                    <w:t>C2929塑料零件及其他塑料制品制造</w:t>
                  </w:r>
                  <w:r>
                    <w:rPr>
                      <w:rFonts w:hint="eastAsia"/>
                      <w:color w:val="auto"/>
                      <w:sz w:val="24"/>
                      <w:szCs w:val="18"/>
                      <w:lang w:eastAsia="zh-CN"/>
                    </w:rPr>
                    <w:t>、</w:t>
                  </w:r>
                  <w:r>
                    <w:rPr>
                      <w:rFonts w:hint="eastAsia"/>
                      <w:color w:val="auto"/>
                      <w:sz w:val="24"/>
                      <w:szCs w:val="18"/>
                      <w:lang w:val="en-US" w:eastAsia="zh-CN"/>
                    </w:rPr>
                    <w:t>C3670汽车零部件及配件制造</w:t>
                  </w:r>
                  <w:r>
                    <w:rPr>
                      <w:rFonts w:hint="eastAsia"/>
                      <w:bCs/>
                      <w:color w:val="auto"/>
                      <w:sz w:val="24"/>
                    </w:rPr>
                    <w:t>。</w:t>
                  </w:r>
                </w:p>
              </w:tc>
              <w:tc>
                <w:tcPr>
                  <w:tcW w:w="771" w:type="dxa"/>
                  <w:vAlign w:val="center"/>
                </w:tcPr>
                <w:p w14:paraId="3D9B87F9">
                  <w:pPr>
                    <w:pStyle w:val="48"/>
                    <w:rPr>
                      <w:color w:val="auto"/>
                      <w:szCs w:val="18"/>
                    </w:rPr>
                  </w:pPr>
                  <w:r>
                    <w:rPr>
                      <w:rFonts w:hint="eastAsia"/>
                      <w:color w:val="auto"/>
                      <w:sz w:val="24"/>
                      <w:szCs w:val="18"/>
                    </w:rPr>
                    <w:t>符合</w:t>
                  </w:r>
                </w:p>
              </w:tc>
            </w:tr>
            <w:tr w14:paraId="6055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2730F8A5">
                  <w:pPr>
                    <w:pStyle w:val="48"/>
                    <w:jc w:val="both"/>
                    <w:rPr>
                      <w:color w:val="auto"/>
                      <w:szCs w:val="18"/>
                    </w:rPr>
                  </w:pPr>
                  <w:r>
                    <w:rPr>
                      <w:bCs/>
                      <w:color w:val="auto"/>
                      <w:sz w:val="24"/>
                    </w:rPr>
                    <w:t>禁止违反风景名胜区规划，在风景名胜区内设立各类开发区。禁止在风景名胜区核心景区的岸线和河段范围内建设宾馆、招待所、培训中心、疗养院以及与风景名胜资源保护无关的项目。</w:t>
                  </w:r>
                </w:p>
              </w:tc>
              <w:tc>
                <w:tcPr>
                  <w:tcW w:w="2198" w:type="dxa"/>
                  <w:vAlign w:val="center"/>
                </w:tcPr>
                <w:p w14:paraId="3C588A7A">
                  <w:pPr>
                    <w:pStyle w:val="48"/>
                    <w:jc w:val="both"/>
                    <w:rPr>
                      <w:color w:val="auto"/>
                      <w:szCs w:val="18"/>
                    </w:rPr>
                  </w:pPr>
                  <w:r>
                    <w:rPr>
                      <w:rFonts w:hint="eastAsia"/>
                      <w:bCs/>
                      <w:color w:val="auto"/>
                      <w:sz w:val="24"/>
                    </w:rPr>
                    <w:t>项目为</w:t>
                  </w:r>
                  <w:r>
                    <w:rPr>
                      <w:rFonts w:hint="eastAsia"/>
                      <w:color w:val="auto"/>
                      <w:sz w:val="24"/>
                      <w:szCs w:val="18"/>
                    </w:rPr>
                    <w:t>C2929塑料零件及其他塑料制品制造</w:t>
                  </w:r>
                  <w:r>
                    <w:rPr>
                      <w:rFonts w:hint="eastAsia"/>
                      <w:color w:val="auto"/>
                      <w:sz w:val="24"/>
                      <w:szCs w:val="18"/>
                      <w:lang w:eastAsia="zh-CN"/>
                    </w:rPr>
                    <w:t>、</w:t>
                  </w:r>
                  <w:r>
                    <w:rPr>
                      <w:rFonts w:hint="eastAsia"/>
                      <w:color w:val="auto"/>
                      <w:sz w:val="24"/>
                      <w:szCs w:val="18"/>
                      <w:lang w:val="en-US" w:eastAsia="zh-CN"/>
                    </w:rPr>
                    <w:t>C3670汽车零部件及配件制造</w:t>
                  </w:r>
                  <w:r>
                    <w:rPr>
                      <w:rFonts w:hint="eastAsia"/>
                      <w:bCs/>
                      <w:color w:val="auto"/>
                      <w:sz w:val="24"/>
                    </w:rPr>
                    <w:t>，</w:t>
                  </w:r>
                  <w:r>
                    <w:rPr>
                      <w:bCs/>
                      <w:color w:val="auto"/>
                      <w:sz w:val="24"/>
                    </w:rPr>
                    <w:t>不位于风景名胜区内</w:t>
                  </w:r>
                  <w:r>
                    <w:rPr>
                      <w:rFonts w:hint="eastAsia"/>
                      <w:bCs/>
                      <w:color w:val="auto"/>
                      <w:sz w:val="24"/>
                    </w:rPr>
                    <w:t>。</w:t>
                  </w:r>
                </w:p>
              </w:tc>
              <w:tc>
                <w:tcPr>
                  <w:tcW w:w="771" w:type="dxa"/>
                  <w:vAlign w:val="center"/>
                </w:tcPr>
                <w:p w14:paraId="4ECA0DC9">
                  <w:pPr>
                    <w:pStyle w:val="48"/>
                    <w:rPr>
                      <w:color w:val="auto"/>
                      <w:szCs w:val="18"/>
                    </w:rPr>
                  </w:pPr>
                  <w:r>
                    <w:rPr>
                      <w:rFonts w:hint="eastAsia"/>
                      <w:color w:val="auto"/>
                      <w:sz w:val="24"/>
                      <w:szCs w:val="18"/>
                    </w:rPr>
                    <w:t>符合</w:t>
                  </w:r>
                </w:p>
              </w:tc>
            </w:tr>
            <w:tr w14:paraId="4D6B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1C13FD44">
                  <w:pPr>
                    <w:pStyle w:val="48"/>
                    <w:jc w:val="both"/>
                    <w:rPr>
                      <w:color w:val="auto"/>
                      <w:szCs w:val="18"/>
                    </w:rPr>
                  </w:pPr>
                  <w:r>
                    <w:rPr>
                      <w:bCs/>
                      <w:color w:val="auto"/>
                      <w:sz w:val="24"/>
                    </w:rPr>
                    <w:t>禁止在饮用水水源准保护区的岸线和河段范围内新建、扩建对水体污染严重的建设项目，禁止改建增加排污量的建设项目</w:t>
                  </w:r>
                </w:p>
              </w:tc>
              <w:tc>
                <w:tcPr>
                  <w:tcW w:w="2198" w:type="dxa"/>
                  <w:vAlign w:val="center"/>
                </w:tcPr>
                <w:p w14:paraId="4BDB613D">
                  <w:pPr>
                    <w:pStyle w:val="48"/>
                    <w:jc w:val="both"/>
                    <w:rPr>
                      <w:color w:val="auto"/>
                      <w:szCs w:val="18"/>
                    </w:rPr>
                  </w:pPr>
                  <w:r>
                    <w:rPr>
                      <w:bCs/>
                      <w:color w:val="auto"/>
                      <w:sz w:val="24"/>
                    </w:rPr>
                    <w:t>项目</w:t>
                  </w:r>
                  <w:r>
                    <w:rPr>
                      <w:rFonts w:hint="eastAsia"/>
                      <w:bCs/>
                      <w:color w:val="auto"/>
                      <w:sz w:val="24"/>
                    </w:rPr>
                    <w:t>为新建</w:t>
                  </w:r>
                  <w:r>
                    <w:rPr>
                      <w:rFonts w:hint="eastAsia"/>
                      <w:color w:val="auto"/>
                      <w:sz w:val="24"/>
                      <w:szCs w:val="18"/>
                    </w:rPr>
                    <w:t>C2929塑料零件及其他塑料制品制</w:t>
                  </w:r>
                  <w:r>
                    <w:rPr>
                      <w:rFonts w:hint="eastAsia"/>
                      <w:color w:val="auto"/>
                      <w:sz w:val="24"/>
                      <w:szCs w:val="18"/>
                      <w:lang w:eastAsia="zh-CN"/>
                    </w:rPr>
                    <w:t>造、</w:t>
                  </w:r>
                  <w:r>
                    <w:rPr>
                      <w:rFonts w:hint="eastAsia"/>
                      <w:color w:val="auto"/>
                      <w:sz w:val="24"/>
                      <w:szCs w:val="18"/>
                      <w:lang w:val="en-US" w:eastAsia="zh-CN"/>
                    </w:rPr>
                    <w:t>C3670汽车零部件及配件制造</w:t>
                  </w:r>
                  <w:r>
                    <w:rPr>
                      <w:rFonts w:hint="eastAsia"/>
                      <w:bCs/>
                      <w:color w:val="auto"/>
                      <w:sz w:val="24"/>
                    </w:rPr>
                    <w:t>，不属于对水体污染严重的建设项目，不在</w:t>
                  </w:r>
                  <w:r>
                    <w:rPr>
                      <w:bCs/>
                      <w:color w:val="auto"/>
                      <w:sz w:val="24"/>
                    </w:rPr>
                    <w:t>饮用水源</w:t>
                  </w:r>
                  <w:r>
                    <w:rPr>
                      <w:rFonts w:hint="eastAsia"/>
                      <w:bCs/>
                      <w:color w:val="auto"/>
                      <w:sz w:val="24"/>
                    </w:rPr>
                    <w:t>准</w:t>
                  </w:r>
                  <w:r>
                    <w:rPr>
                      <w:bCs/>
                      <w:color w:val="auto"/>
                      <w:sz w:val="24"/>
                    </w:rPr>
                    <w:t>保护区范围内</w:t>
                  </w:r>
                </w:p>
              </w:tc>
              <w:tc>
                <w:tcPr>
                  <w:tcW w:w="771" w:type="dxa"/>
                  <w:vAlign w:val="center"/>
                </w:tcPr>
                <w:p w14:paraId="45C4BF6A">
                  <w:pPr>
                    <w:pStyle w:val="48"/>
                    <w:rPr>
                      <w:color w:val="auto"/>
                      <w:szCs w:val="18"/>
                    </w:rPr>
                  </w:pPr>
                  <w:r>
                    <w:rPr>
                      <w:rFonts w:hint="eastAsia"/>
                      <w:color w:val="auto"/>
                      <w:sz w:val="24"/>
                      <w:szCs w:val="18"/>
                    </w:rPr>
                    <w:t>符合</w:t>
                  </w:r>
                </w:p>
              </w:tc>
            </w:tr>
            <w:tr w14:paraId="0334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1831A7AE">
                  <w:pPr>
                    <w:pStyle w:val="48"/>
                    <w:jc w:val="both"/>
                    <w:rPr>
                      <w:color w:val="auto"/>
                      <w:szCs w:val="18"/>
                    </w:rPr>
                  </w:pPr>
                  <w:r>
                    <w:rPr>
                      <w:bCs/>
                      <w:color w:val="auto"/>
                      <w:sz w:val="24"/>
                    </w:rPr>
                    <w:t>饮用水水源</w:t>
                  </w:r>
                  <w:r>
                    <w:rPr>
                      <w:rFonts w:hint="eastAsia"/>
                      <w:bCs/>
                      <w:color w:val="auto"/>
                      <w:sz w:val="24"/>
                      <w:lang w:eastAsia="zh-CN"/>
                    </w:rPr>
                    <w:t>三级</w:t>
                  </w:r>
                  <w:r>
                    <w:rPr>
                      <w:bCs/>
                      <w:color w:val="auto"/>
                      <w:sz w:val="24"/>
                    </w:rPr>
                    <w:t>保护区的岸线和河段范围内，除遵守准保护区规定外，禁止新建、改建、扩建排放污染物的投资建设项目；禁止从事对水体有污染的水产养殖等活动。</w:t>
                  </w:r>
                </w:p>
              </w:tc>
              <w:tc>
                <w:tcPr>
                  <w:tcW w:w="2198" w:type="dxa"/>
                  <w:vAlign w:val="center"/>
                </w:tcPr>
                <w:p w14:paraId="140CFA48">
                  <w:pPr>
                    <w:pStyle w:val="48"/>
                    <w:jc w:val="both"/>
                    <w:rPr>
                      <w:color w:val="auto"/>
                      <w:szCs w:val="18"/>
                    </w:rPr>
                  </w:pPr>
                  <w:r>
                    <w:rPr>
                      <w:bCs/>
                      <w:color w:val="auto"/>
                      <w:sz w:val="24"/>
                    </w:rPr>
                    <w:t>项目不</w:t>
                  </w:r>
                  <w:r>
                    <w:rPr>
                      <w:rFonts w:hint="eastAsia"/>
                      <w:bCs/>
                      <w:color w:val="auto"/>
                      <w:sz w:val="24"/>
                    </w:rPr>
                    <w:t>在</w:t>
                  </w:r>
                  <w:r>
                    <w:rPr>
                      <w:bCs/>
                      <w:color w:val="auto"/>
                      <w:sz w:val="24"/>
                    </w:rPr>
                    <w:t>饮用水水源</w:t>
                  </w:r>
                  <w:r>
                    <w:rPr>
                      <w:rFonts w:hint="eastAsia"/>
                      <w:bCs/>
                      <w:color w:val="auto"/>
                      <w:sz w:val="24"/>
                      <w:lang w:eastAsia="zh-CN"/>
                    </w:rPr>
                    <w:t>三级</w:t>
                  </w:r>
                  <w:r>
                    <w:rPr>
                      <w:bCs/>
                      <w:color w:val="auto"/>
                      <w:sz w:val="24"/>
                    </w:rPr>
                    <w:t>保护区内</w:t>
                  </w:r>
                  <w:r>
                    <w:rPr>
                      <w:rFonts w:hint="eastAsia"/>
                      <w:bCs/>
                      <w:color w:val="auto"/>
                      <w:sz w:val="24"/>
                    </w:rPr>
                    <w:t>，且本项目不属于对水体有污染的水产养殖活动</w:t>
                  </w:r>
                </w:p>
              </w:tc>
              <w:tc>
                <w:tcPr>
                  <w:tcW w:w="771" w:type="dxa"/>
                  <w:vAlign w:val="center"/>
                </w:tcPr>
                <w:p w14:paraId="5BF46B16">
                  <w:pPr>
                    <w:pStyle w:val="48"/>
                    <w:rPr>
                      <w:color w:val="auto"/>
                      <w:szCs w:val="18"/>
                    </w:rPr>
                  </w:pPr>
                  <w:r>
                    <w:rPr>
                      <w:rFonts w:hint="eastAsia"/>
                      <w:color w:val="auto"/>
                      <w:sz w:val="24"/>
                      <w:szCs w:val="18"/>
                    </w:rPr>
                    <w:t>符合</w:t>
                  </w:r>
                </w:p>
              </w:tc>
            </w:tr>
            <w:tr w14:paraId="39AE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6DEE249C">
                  <w:pPr>
                    <w:pStyle w:val="48"/>
                    <w:jc w:val="both"/>
                    <w:rPr>
                      <w:color w:val="auto"/>
                      <w:szCs w:val="18"/>
                    </w:rPr>
                  </w:pPr>
                  <w:r>
                    <w:rPr>
                      <w:bCs/>
                      <w:color w:val="auto"/>
                      <w:sz w:val="24"/>
                    </w:rPr>
                    <w:t>饮用水水源一级保护区的岸线和河段范围内，除遵守</w:t>
                  </w:r>
                  <w:r>
                    <w:rPr>
                      <w:rFonts w:hint="eastAsia"/>
                      <w:bCs/>
                      <w:color w:val="auto"/>
                      <w:sz w:val="24"/>
                      <w:lang w:eastAsia="zh-CN"/>
                    </w:rPr>
                    <w:t>三级</w:t>
                  </w:r>
                  <w:r>
                    <w:rPr>
                      <w:bCs/>
                      <w:color w:val="auto"/>
                      <w:sz w:val="24"/>
                    </w:rPr>
                    <w:t>保护区规定外，禁止新建、改建、扩建与供水设施和保护水源无关的项目，以及网箱养殖、畜禽养殖、旅游等可能污染饮用水水体的投资建设项目。</w:t>
                  </w:r>
                </w:p>
              </w:tc>
              <w:tc>
                <w:tcPr>
                  <w:tcW w:w="2198" w:type="dxa"/>
                  <w:vAlign w:val="center"/>
                </w:tcPr>
                <w:p w14:paraId="48DB4275">
                  <w:pPr>
                    <w:pStyle w:val="48"/>
                    <w:jc w:val="both"/>
                    <w:rPr>
                      <w:color w:val="auto"/>
                      <w:szCs w:val="18"/>
                    </w:rPr>
                  </w:pPr>
                  <w:r>
                    <w:rPr>
                      <w:rFonts w:hint="eastAsia"/>
                      <w:bCs/>
                      <w:color w:val="auto"/>
                      <w:sz w:val="24"/>
                    </w:rPr>
                    <w:t>本项目位于工业园，不涉及饮用水水源保护区。</w:t>
                  </w:r>
                </w:p>
              </w:tc>
              <w:tc>
                <w:tcPr>
                  <w:tcW w:w="771" w:type="dxa"/>
                  <w:vAlign w:val="center"/>
                </w:tcPr>
                <w:p w14:paraId="00C8D1F4">
                  <w:pPr>
                    <w:pStyle w:val="48"/>
                    <w:rPr>
                      <w:color w:val="auto"/>
                      <w:szCs w:val="18"/>
                    </w:rPr>
                  </w:pPr>
                  <w:r>
                    <w:rPr>
                      <w:rFonts w:hint="eastAsia"/>
                      <w:color w:val="auto"/>
                      <w:sz w:val="24"/>
                      <w:szCs w:val="18"/>
                    </w:rPr>
                    <w:t>符合</w:t>
                  </w:r>
                </w:p>
              </w:tc>
            </w:tr>
            <w:tr w14:paraId="3F74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12269040">
                  <w:pPr>
                    <w:pStyle w:val="48"/>
                    <w:jc w:val="both"/>
                    <w:rPr>
                      <w:color w:val="auto"/>
                      <w:szCs w:val="18"/>
                    </w:rPr>
                  </w:pPr>
                  <w:r>
                    <w:rPr>
                      <w:bCs/>
                      <w:color w:val="auto"/>
                      <w:sz w:val="24"/>
                    </w:rPr>
                    <w:t>禁止在水产种质资源保护区岸线和河段范围内新建围湖造田、围湖造地或挖沙采石等投资建设项目。</w:t>
                  </w:r>
                </w:p>
              </w:tc>
              <w:tc>
                <w:tcPr>
                  <w:tcW w:w="2198" w:type="dxa"/>
                  <w:vAlign w:val="center"/>
                </w:tcPr>
                <w:p w14:paraId="572B94F0">
                  <w:pPr>
                    <w:pStyle w:val="48"/>
                    <w:jc w:val="both"/>
                    <w:rPr>
                      <w:color w:val="auto"/>
                      <w:szCs w:val="18"/>
                    </w:rPr>
                  </w:pPr>
                  <w:r>
                    <w:rPr>
                      <w:rFonts w:hint="eastAsia"/>
                      <w:color w:val="auto"/>
                      <w:sz w:val="24"/>
                    </w:rPr>
                    <w:t>本项目不涉及水产种质资源保护区</w:t>
                  </w:r>
                </w:p>
              </w:tc>
              <w:tc>
                <w:tcPr>
                  <w:tcW w:w="771" w:type="dxa"/>
                  <w:vAlign w:val="center"/>
                </w:tcPr>
                <w:p w14:paraId="1E4F1EF9">
                  <w:pPr>
                    <w:pStyle w:val="48"/>
                    <w:rPr>
                      <w:color w:val="auto"/>
                      <w:szCs w:val="18"/>
                    </w:rPr>
                  </w:pPr>
                  <w:r>
                    <w:rPr>
                      <w:rFonts w:hint="eastAsia"/>
                      <w:color w:val="auto"/>
                      <w:sz w:val="24"/>
                      <w:szCs w:val="18"/>
                    </w:rPr>
                    <w:t>符合</w:t>
                  </w:r>
                </w:p>
              </w:tc>
            </w:tr>
            <w:tr w14:paraId="58FD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6CF8B7A5">
                  <w:pPr>
                    <w:pStyle w:val="48"/>
                    <w:jc w:val="both"/>
                    <w:rPr>
                      <w:color w:val="auto"/>
                      <w:szCs w:val="18"/>
                    </w:rPr>
                  </w:pPr>
                  <w:r>
                    <w:rPr>
                      <w:bCs/>
                      <w:color w:val="auto"/>
                      <w:sz w:val="24"/>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bCs/>
                      <w:color w:val="auto"/>
                      <w:sz w:val="24"/>
                    </w:rPr>
                    <w:t>洄游</w:t>
                  </w:r>
                  <w:r>
                    <w:rPr>
                      <w:bCs/>
                      <w:color w:val="auto"/>
                      <w:sz w:val="24"/>
                    </w:rPr>
                    <w:t>通道。</w:t>
                  </w:r>
                </w:p>
              </w:tc>
              <w:tc>
                <w:tcPr>
                  <w:tcW w:w="2198" w:type="dxa"/>
                  <w:vAlign w:val="center"/>
                </w:tcPr>
                <w:p w14:paraId="6ADC5F98">
                  <w:pPr>
                    <w:pStyle w:val="48"/>
                    <w:jc w:val="both"/>
                    <w:rPr>
                      <w:color w:val="auto"/>
                      <w:szCs w:val="18"/>
                    </w:rPr>
                  </w:pPr>
                  <w:r>
                    <w:rPr>
                      <w:rFonts w:hint="eastAsia"/>
                      <w:color w:val="auto"/>
                      <w:sz w:val="24"/>
                    </w:rPr>
                    <w:t>本项目不在国家湿地公园的岸线和河段范围内。</w:t>
                  </w:r>
                </w:p>
              </w:tc>
              <w:tc>
                <w:tcPr>
                  <w:tcW w:w="771" w:type="dxa"/>
                  <w:vAlign w:val="center"/>
                </w:tcPr>
                <w:p w14:paraId="4C70E43D">
                  <w:pPr>
                    <w:pStyle w:val="48"/>
                    <w:rPr>
                      <w:color w:val="auto"/>
                      <w:szCs w:val="18"/>
                    </w:rPr>
                  </w:pPr>
                  <w:r>
                    <w:rPr>
                      <w:rFonts w:hint="eastAsia"/>
                      <w:color w:val="auto"/>
                      <w:sz w:val="24"/>
                      <w:szCs w:val="18"/>
                    </w:rPr>
                    <w:t>符合</w:t>
                  </w:r>
                </w:p>
              </w:tc>
            </w:tr>
            <w:tr w14:paraId="66D3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4004866E">
                  <w:pPr>
                    <w:pStyle w:val="48"/>
                    <w:jc w:val="both"/>
                    <w:rPr>
                      <w:color w:val="auto"/>
                      <w:szCs w:val="18"/>
                    </w:rPr>
                  </w:pPr>
                  <w:r>
                    <w:rPr>
                      <w:bCs/>
                      <w:color w:val="auto"/>
                      <w:sz w:val="24"/>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198" w:type="dxa"/>
                  <w:vAlign w:val="center"/>
                </w:tcPr>
                <w:p w14:paraId="024B91A3">
                  <w:pPr>
                    <w:pStyle w:val="48"/>
                    <w:jc w:val="both"/>
                    <w:rPr>
                      <w:color w:val="auto"/>
                      <w:szCs w:val="18"/>
                    </w:rPr>
                  </w:pPr>
                  <w:r>
                    <w:rPr>
                      <w:rFonts w:hint="eastAsia"/>
                      <w:color w:val="auto"/>
                      <w:sz w:val="24"/>
                    </w:rPr>
                    <w:t>本项目位于工业园，不在岸线保护区内，不属于《全国重要江河湖泊水功能区划》划定的河段保护区、保留区内。</w:t>
                  </w:r>
                </w:p>
              </w:tc>
              <w:tc>
                <w:tcPr>
                  <w:tcW w:w="771" w:type="dxa"/>
                  <w:vAlign w:val="center"/>
                </w:tcPr>
                <w:p w14:paraId="6ED820E2">
                  <w:pPr>
                    <w:pStyle w:val="48"/>
                    <w:rPr>
                      <w:color w:val="auto"/>
                      <w:szCs w:val="18"/>
                    </w:rPr>
                  </w:pPr>
                  <w:r>
                    <w:rPr>
                      <w:rFonts w:hint="eastAsia"/>
                      <w:color w:val="auto"/>
                      <w:sz w:val="24"/>
                      <w:szCs w:val="18"/>
                    </w:rPr>
                    <w:t>符合</w:t>
                  </w:r>
                </w:p>
              </w:tc>
            </w:tr>
            <w:tr w14:paraId="4C44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40612352">
                  <w:pPr>
                    <w:pStyle w:val="48"/>
                    <w:jc w:val="both"/>
                    <w:rPr>
                      <w:bCs/>
                      <w:color w:val="auto"/>
                      <w:sz w:val="24"/>
                    </w:rPr>
                  </w:pPr>
                  <w:r>
                    <w:rPr>
                      <w:bCs/>
                      <w:color w:val="auto"/>
                      <w:sz w:val="24"/>
                    </w:rPr>
                    <w:t>禁止在《全国重要江河湖泊水功能区划》划定的河段及湖泊保护区、保留区内投资建设不利于水资源及自然生态保护的项目</w:t>
                  </w:r>
                </w:p>
              </w:tc>
              <w:tc>
                <w:tcPr>
                  <w:tcW w:w="2198" w:type="dxa"/>
                  <w:vAlign w:val="center"/>
                </w:tcPr>
                <w:p w14:paraId="12BC3107">
                  <w:pPr>
                    <w:pStyle w:val="48"/>
                    <w:jc w:val="both"/>
                    <w:rPr>
                      <w:color w:val="auto"/>
                      <w:sz w:val="24"/>
                      <w:szCs w:val="18"/>
                    </w:rPr>
                  </w:pPr>
                  <w:r>
                    <w:rPr>
                      <w:rFonts w:hint="eastAsia"/>
                      <w:color w:val="auto"/>
                      <w:sz w:val="24"/>
                    </w:rPr>
                    <w:t>本项目位于工业园，不在</w:t>
                  </w:r>
                  <w:r>
                    <w:rPr>
                      <w:bCs/>
                      <w:color w:val="auto"/>
                      <w:sz w:val="24"/>
                    </w:rPr>
                    <w:t>《全国重要江河湖泊水功能区划》划定的河段及湖泊保护区、保留区内</w:t>
                  </w:r>
                </w:p>
              </w:tc>
              <w:tc>
                <w:tcPr>
                  <w:tcW w:w="771" w:type="dxa"/>
                  <w:vAlign w:val="center"/>
                </w:tcPr>
                <w:p w14:paraId="1CE803AB">
                  <w:pPr>
                    <w:spacing w:line="240" w:lineRule="auto"/>
                    <w:ind w:firstLine="0" w:firstLineChars="0"/>
                    <w:rPr>
                      <w:color w:val="auto"/>
                      <w:sz w:val="24"/>
                      <w:szCs w:val="18"/>
                    </w:rPr>
                  </w:pPr>
                  <w:r>
                    <w:rPr>
                      <w:rFonts w:hint="eastAsia"/>
                      <w:color w:val="auto"/>
                      <w:sz w:val="24"/>
                      <w:szCs w:val="18"/>
                    </w:rPr>
                    <w:t>符合</w:t>
                  </w:r>
                </w:p>
              </w:tc>
            </w:tr>
            <w:tr w14:paraId="7CD3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3B26754A">
                  <w:pPr>
                    <w:pStyle w:val="48"/>
                    <w:jc w:val="both"/>
                    <w:rPr>
                      <w:bCs/>
                      <w:color w:val="auto"/>
                      <w:sz w:val="24"/>
                    </w:rPr>
                  </w:pPr>
                  <w:r>
                    <w:rPr>
                      <w:bCs/>
                      <w:color w:val="auto"/>
                      <w:sz w:val="24"/>
                    </w:rPr>
                    <w:t>禁止在长江流域江河、湖泊新设、改设或者扩大排污口，经有管辖权的生态环境主管部门或者长江流域生态环境监督管理机构同意的除外。</w:t>
                  </w:r>
                </w:p>
              </w:tc>
              <w:tc>
                <w:tcPr>
                  <w:tcW w:w="2198" w:type="dxa"/>
                  <w:vAlign w:val="center"/>
                </w:tcPr>
                <w:p w14:paraId="176D31B2">
                  <w:pPr>
                    <w:pStyle w:val="48"/>
                    <w:jc w:val="both"/>
                    <w:rPr>
                      <w:color w:val="auto"/>
                      <w:sz w:val="24"/>
                      <w:szCs w:val="18"/>
                    </w:rPr>
                  </w:pPr>
                  <w:r>
                    <w:rPr>
                      <w:rFonts w:hint="eastAsia"/>
                      <w:color w:val="auto"/>
                      <w:sz w:val="24"/>
                    </w:rPr>
                    <w:t>本项目废水为间接排放，不涉及排污口</w:t>
                  </w:r>
                </w:p>
              </w:tc>
              <w:tc>
                <w:tcPr>
                  <w:tcW w:w="771" w:type="dxa"/>
                  <w:vAlign w:val="center"/>
                </w:tcPr>
                <w:p w14:paraId="2881BBF5">
                  <w:pPr>
                    <w:spacing w:line="240" w:lineRule="auto"/>
                    <w:ind w:firstLine="0" w:firstLineChars="0"/>
                    <w:rPr>
                      <w:color w:val="auto"/>
                      <w:sz w:val="24"/>
                      <w:szCs w:val="18"/>
                    </w:rPr>
                  </w:pPr>
                  <w:r>
                    <w:rPr>
                      <w:rFonts w:hint="eastAsia"/>
                      <w:color w:val="auto"/>
                      <w:sz w:val="24"/>
                      <w:szCs w:val="18"/>
                    </w:rPr>
                    <w:t>符合</w:t>
                  </w:r>
                </w:p>
              </w:tc>
            </w:tr>
            <w:tr w14:paraId="6842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40BB351B">
                  <w:pPr>
                    <w:pStyle w:val="48"/>
                    <w:jc w:val="both"/>
                    <w:rPr>
                      <w:bCs/>
                      <w:color w:val="auto"/>
                      <w:sz w:val="24"/>
                    </w:rPr>
                  </w:pPr>
                  <w:r>
                    <w:rPr>
                      <w:bCs/>
                      <w:color w:val="auto"/>
                      <w:sz w:val="24"/>
                    </w:rPr>
                    <w:t>禁止在长江干流、大渡河、岷江、赤水河、沱江、嘉陵江、乌江、汉江和51个（四川省45个、重庆市6个)水生生物保护区开展生产性捕捞。</w:t>
                  </w:r>
                </w:p>
              </w:tc>
              <w:tc>
                <w:tcPr>
                  <w:tcW w:w="2198" w:type="dxa"/>
                  <w:vAlign w:val="center"/>
                </w:tcPr>
                <w:p w14:paraId="409DD824">
                  <w:pPr>
                    <w:pStyle w:val="48"/>
                    <w:jc w:val="both"/>
                    <w:rPr>
                      <w:color w:val="auto"/>
                      <w:sz w:val="24"/>
                      <w:szCs w:val="18"/>
                    </w:rPr>
                  </w:pPr>
                  <w:r>
                    <w:rPr>
                      <w:rFonts w:hint="eastAsia"/>
                      <w:color w:val="auto"/>
                      <w:sz w:val="24"/>
                      <w:szCs w:val="18"/>
                    </w:rPr>
                    <w:t>本项目不涉及</w:t>
                  </w:r>
                </w:p>
              </w:tc>
              <w:tc>
                <w:tcPr>
                  <w:tcW w:w="771" w:type="dxa"/>
                  <w:vAlign w:val="center"/>
                </w:tcPr>
                <w:p w14:paraId="33A4B74C">
                  <w:pPr>
                    <w:spacing w:line="240" w:lineRule="auto"/>
                    <w:ind w:firstLine="0" w:firstLineChars="0"/>
                    <w:rPr>
                      <w:color w:val="auto"/>
                      <w:sz w:val="24"/>
                      <w:szCs w:val="18"/>
                    </w:rPr>
                  </w:pPr>
                  <w:r>
                    <w:rPr>
                      <w:rFonts w:hint="eastAsia"/>
                      <w:color w:val="auto"/>
                      <w:sz w:val="24"/>
                      <w:szCs w:val="18"/>
                    </w:rPr>
                    <w:t>符合</w:t>
                  </w:r>
                </w:p>
              </w:tc>
            </w:tr>
            <w:tr w14:paraId="6F25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7B4C0197">
                  <w:pPr>
                    <w:pStyle w:val="48"/>
                    <w:jc w:val="both"/>
                    <w:rPr>
                      <w:bCs/>
                      <w:color w:val="auto"/>
                      <w:sz w:val="24"/>
                    </w:rPr>
                  </w:pPr>
                  <w:r>
                    <w:rPr>
                      <w:bCs/>
                      <w:color w:val="auto"/>
                      <w:sz w:val="24"/>
                    </w:rPr>
                    <w:t>禁止在长江干支流、重要湖泊岸线一公里范围内新建、扩建化工园区和化工项目</w:t>
                  </w:r>
                </w:p>
              </w:tc>
              <w:tc>
                <w:tcPr>
                  <w:tcW w:w="2198" w:type="dxa"/>
                  <w:vAlign w:val="center"/>
                </w:tcPr>
                <w:p w14:paraId="1AD6F8D5">
                  <w:pPr>
                    <w:pStyle w:val="48"/>
                    <w:jc w:val="both"/>
                    <w:rPr>
                      <w:rFonts w:hint="eastAsia" w:eastAsia="仿宋"/>
                      <w:color w:val="auto"/>
                      <w:sz w:val="24"/>
                      <w:szCs w:val="18"/>
                      <w:lang w:eastAsia="zh-CN"/>
                    </w:rPr>
                  </w:pPr>
                  <w:r>
                    <w:rPr>
                      <w:rFonts w:hint="eastAsia"/>
                      <w:color w:val="auto"/>
                      <w:sz w:val="24"/>
                      <w:szCs w:val="18"/>
                    </w:rPr>
                    <w:t>本项目位于工业园区内，</w:t>
                  </w:r>
                  <w:r>
                    <w:rPr>
                      <w:rFonts w:hint="eastAsia"/>
                      <w:color w:val="auto"/>
                      <w:sz w:val="24"/>
                      <w:szCs w:val="18"/>
                      <w:highlight w:val="none"/>
                    </w:rPr>
                    <w:t>为</w:t>
                  </w:r>
                  <w:r>
                    <w:rPr>
                      <w:rFonts w:hint="eastAsia"/>
                      <w:color w:val="auto"/>
                      <w:sz w:val="24"/>
                      <w:szCs w:val="18"/>
                    </w:rPr>
                    <w:t>C2929塑料零件及其他塑料制品制造</w:t>
                  </w:r>
                  <w:r>
                    <w:rPr>
                      <w:rFonts w:hint="eastAsia"/>
                      <w:color w:val="auto"/>
                      <w:sz w:val="24"/>
                      <w:szCs w:val="18"/>
                      <w:lang w:eastAsia="zh-CN"/>
                    </w:rPr>
                    <w:t>、</w:t>
                  </w:r>
                  <w:r>
                    <w:rPr>
                      <w:rFonts w:hint="eastAsia" w:ascii="仿宋" w:hAnsi="仿宋" w:eastAsia="仿宋" w:cs="仿宋"/>
                      <w:b w:val="0"/>
                      <w:bCs/>
                      <w:color w:val="auto"/>
                      <w:sz w:val="24"/>
                      <w:szCs w:val="40"/>
                      <w:lang w:val="en-US" w:eastAsia="zh-CN"/>
                    </w:rPr>
                    <w:t>C3670汽车零部件及配件制造</w:t>
                  </w:r>
                </w:p>
              </w:tc>
              <w:tc>
                <w:tcPr>
                  <w:tcW w:w="771" w:type="dxa"/>
                  <w:vAlign w:val="center"/>
                </w:tcPr>
                <w:p w14:paraId="64DF3362">
                  <w:pPr>
                    <w:spacing w:line="240" w:lineRule="auto"/>
                    <w:ind w:firstLine="0" w:firstLineChars="0"/>
                    <w:rPr>
                      <w:color w:val="auto"/>
                      <w:sz w:val="24"/>
                      <w:szCs w:val="18"/>
                    </w:rPr>
                  </w:pPr>
                  <w:r>
                    <w:rPr>
                      <w:rFonts w:hint="eastAsia"/>
                      <w:color w:val="auto"/>
                      <w:sz w:val="24"/>
                      <w:szCs w:val="18"/>
                    </w:rPr>
                    <w:t>符合</w:t>
                  </w:r>
                </w:p>
              </w:tc>
            </w:tr>
            <w:tr w14:paraId="632F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3DDEE41B">
                  <w:pPr>
                    <w:pStyle w:val="48"/>
                    <w:jc w:val="both"/>
                    <w:rPr>
                      <w:bCs/>
                      <w:color w:val="auto"/>
                      <w:sz w:val="24"/>
                    </w:rPr>
                  </w:pPr>
                  <w:r>
                    <w:rPr>
                      <w:bCs/>
                      <w:color w:val="auto"/>
                      <w:sz w:val="24"/>
                    </w:rPr>
                    <w:t>禁止在长江干流岸线三公里范围内和重要支流岸线一公里范围内新建、改建、扩建尾矿库、冶炼渣库、磷石膏库，以提升安全、生态环境保护水平为目的的改建除外。</w:t>
                  </w:r>
                </w:p>
              </w:tc>
              <w:tc>
                <w:tcPr>
                  <w:tcW w:w="2198" w:type="dxa"/>
                  <w:vAlign w:val="center"/>
                </w:tcPr>
                <w:p w14:paraId="54465CF3">
                  <w:pPr>
                    <w:pStyle w:val="48"/>
                    <w:jc w:val="both"/>
                    <w:rPr>
                      <w:color w:val="auto"/>
                      <w:sz w:val="24"/>
                      <w:szCs w:val="18"/>
                    </w:rPr>
                  </w:pPr>
                  <w:r>
                    <w:rPr>
                      <w:rFonts w:hint="eastAsia"/>
                      <w:bCs/>
                      <w:color w:val="auto"/>
                      <w:sz w:val="24"/>
                    </w:rPr>
                    <w:t>本项目为</w:t>
                  </w:r>
                  <w:r>
                    <w:rPr>
                      <w:rFonts w:hint="eastAsia"/>
                      <w:color w:val="auto"/>
                      <w:sz w:val="24"/>
                      <w:szCs w:val="18"/>
                    </w:rPr>
                    <w:t>C2929塑料零件及其他塑料制品制造</w:t>
                  </w:r>
                  <w:r>
                    <w:rPr>
                      <w:rFonts w:hint="eastAsia"/>
                      <w:color w:val="auto"/>
                      <w:sz w:val="24"/>
                      <w:szCs w:val="18"/>
                      <w:lang w:eastAsia="zh-CN"/>
                    </w:rPr>
                    <w:t>、</w:t>
                  </w:r>
                  <w:r>
                    <w:rPr>
                      <w:rFonts w:hint="eastAsia" w:ascii="仿宋" w:hAnsi="仿宋" w:eastAsia="仿宋" w:cs="仿宋"/>
                      <w:b w:val="0"/>
                      <w:bCs/>
                      <w:color w:val="auto"/>
                      <w:sz w:val="24"/>
                      <w:szCs w:val="40"/>
                      <w:lang w:val="en-US" w:eastAsia="zh-CN"/>
                    </w:rPr>
                    <w:t>C3670汽车零部件及配件制造</w:t>
                  </w:r>
                  <w:r>
                    <w:rPr>
                      <w:rFonts w:hint="eastAsia"/>
                      <w:color w:val="auto"/>
                      <w:sz w:val="24"/>
                    </w:rPr>
                    <w:t>，</w:t>
                  </w:r>
                  <w:r>
                    <w:rPr>
                      <w:rFonts w:hint="eastAsia"/>
                      <w:bCs/>
                      <w:color w:val="auto"/>
                      <w:sz w:val="24"/>
                    </w:rPr>
                    <w:t>不属于</w:t>
                  </w:r>
                  <w:r>
                    <w:rPr>
                      <w:bCs/>
                      <w:color w:val="auto"/>
                      <w:sz w:val="24"/>
                    </w:rPr>
                    <w:t>尾矿库、冶炼渣库、磷石膏库</w:t>
                  </w:r>
                </w:p>
              </w:tc>
              <w:tc>
                <w:tcPr>
                  <w:tcW w:w="771" w:type="dxa"/>
                  <w:vAlign w:val="center"/>
                </w:tcPr>
                <w:p w14:paraId="2B1D698C">
                  <w:pPr>
                    <w:spacing w:line="240" w:lineRule="auto"/>
                    <w:ind w:firstLine="0" w:firstLineChars="0"/>
                    <w:rPr>
                      <w:color w:val="auto"/>
                      <w:sz w:val="24"/>
                      <w:szCs w:val="18"/>
                    </w:rPr>
                  </w:pPr>
                  <w:r>
                    <w:rPr>
                      <w:rFonts w:hint="eastAsia"/>
                      <w:color w:val="auto"/>
                      <w:sz w:val="24"/>
                      <w:szCs w:val="18"/>
                    </w:rPr>
                    <w:t>符合</w:t>
                  </w:r>
                </w:p>
              </w:tc>
            </w:tr>
            <w:tr w14:paraId="510E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2E77FC21">
                  <w:pPr>
                    <w:pStyle w:val="48"/>
                    <w:jc w:val="both"/>
                    <w:rPr>
                      <w:bCs/>
                      <w:color w:val="auto"/>
                      <w:sz w:val="24"/>
                    </w:rPr>
                  </w:pPr>
                  <w:r>
                    <w:rPr>
                      <w:bCs/>
                      <w:color w:val="auto"/>
                      <w:sz w:val="24"/>
                    </w:rPr>
                    <w:t>禁止在生态保护红线区域、永久基本农田集中区域和其他需要特别保护的区域内选址建设尾矿库、冶炼渣库、磷石膏库。</w:t>
                  </w:r>
                </w:p>
              </w:tc>
              <w:tc>
                <w:tcPr>
                  <w:tcW w:w="2198" w:type="dxa"/>
                  <w:vAlign w:val="center"/>
                </w:tcPr>
                <w:p w14:paraId="54CAD3C1">
                  <w:pPr>
                    <w:pStyle w:val="48"/>
                    <w:jc w:val="both"/>
                    <w:rPr>
                      <w:color w:val="auto"/>
                      <w:sz w:val="24"/>
                      <w:szCs w:val="18"/>
                    </w:rPr>
                  </w:pPr>
                  <w:r>
                    <w:rPr>
                      <w:rFonts w:hint="eastAsia"/>
                      <w:bCs/>
                      <w:color w:val="auto"/>
                      <w:sz w:val="24"/>
                    </w:rPr>
                    <w:t>本项目</w:t>
                  </w:r>
                  <w:r>
                    <w:rPr>
                      <w:rFonts w:hint="eastAsia"/>
                      <w:bCs/>
                      <w:color w:val="auto"/>
                      <w:sz w:val="24"/>
                      <w:lang w:eastAsia="zh-CN"/>
                    </w:rPr>
                    <w:t>为</w:t>
                  </w:r>
                  <w:r>
                    <w:rPr>
                      <w:rFonts w:hint="eastAsia"/>
                      <w:color w:val="auto"/>
                      <w:sz w:val="24"/>
                      <w:szCs w:val="18"/>
                    </w:rPr>
                    <w:t>C2929塑料零件及其他塑料制品制造</w:t>
                  </w:r>
                  <w:r>
                    <w:rPr>
                      <w:rFonts w:hint="eastAsia"/>
                      <w:color w:val="auto"/>
                      <w:sz w:val="24"/>
                      <w:szCs w:val="18"/>
                      <w:lang w:eastAsia="zh-CN"/>
                    </w:rPr>
                    <w:t>、</w:t>
                  </w:r>
                  <w:r>
                    <w:rPr>
                      <w:rFonts w:hint="eastAsia" w:ascii="仿宋" w:hAnsi="仿宋" w:eastAsia="仿宋" w:cs="仿宋"/>
                      <w:b w:val="0"/>
                      <w:bCs/>
                      <w:color w:val="auto"/>
                      <w:sz w:val="24"/>
                      <w:szCs w:val="40"/>
                      <w:lang w:val="en-US" w:eastAsia="zh-CN"/>
                    </w:rPr>
                    <w:t>C3670汽车零部件及配件制造</w:t>
                  </w:r>
                  <w:r>
                    <w:rPr>
                      <w:rFonts w:hint="eastAsia"/>
                      <w:color w:val="auto"/>
                      <w:sz w:val="24"/>
                    </w:rPr>
                    <w:t>，</w:t>
                  </w:r>
                  <w:r>
                    <w:rPr>
                      <w:rFonts w:hint="eastAsia"/>
                      <w:bCs/>
                      <w:color w:val="auto"/>
                      <w:sz w:val="24"/>
                    </w:rPr>
                    <w:t>不属于</w:t>
                  </w:r>
                  <w:r>
                    <w:rPr>
                      <w:bCs/>
                      <w:color w:val="auto"/>
                      <w:sz w:val="24"/>
                    </w:rPr>
                    <w:t>尾矿库、冶炼渣库、磷石膏库</w:t>
                  </w:r>
                </w:p>
              </w:tc>
              <w:tc>
                <w:tcPr>
                  <w:tcW w:w="771" w:type="dxa"/>
                  <w:vAlign w:val="center"/>
                </w:tcPr>
                <w:p w14:paraId="4C265AA9">
                  <w:pPr>
                    <w:spacing w:line="240" w:lineRule="auto"/>
                    <w:ind w:firstLine="0" w:firstLineChars="0"/>
                    <w:rPr>
                      <w:color w:val="auto"/>
                      <w:sz w:val="24"/>
                      <w:szCs w:val="18"/>
                    </w:rPr>
                  </w:pPr>
                  <w:r>
                    <w:rPr>
                      <w:rFonts w:hint="eastAsia"/>
                      <w:color w:val="auto"/>
                      <w:sz w:val="24"/>
                      <w:szCs w:val="18"/>
                    </w:rPr>
                    <w:t>符合</w:t>
                  </w:r>
                </w:p>
              </w:tc>
            </w:tr>
            <w:tr w14:paraId="06AE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52894DC3">
                  <w:pPr>
                    <w:pStyle w:val="48"/>
                    <w:jc w:val="both"/>
                    <w:rPr>
                      <w:bCs/>
                      <w:color w:val="auto"/>
                      <w:sz w:val="24"/>
                    </w:rPr>
                  </w:pPr>
                  <w:r>
                    <w:rPr>
                      <w:bCs/>
                      <w:color w:val="auto"/>
                      <w:sz w:val="24"/>
                    </w:rPr>
                    <w:t>禁止在合规园区外新建、扩建钢铁、石化、化工、焦化、建材、有色、制浆造纸等高污染项目。</w:t>
                  </w:r>
                </w:p>
              </w:tc>
              <w:tc>
                <w:tcPr>
                  <w:tcW w:w="2198" w:type="dxa"/>
                  <w:vAlign w:val="center"/>
                </w:tcPr>
                <w:p w14:paraId="443DE9F5">
                  <w:pPr>
                    <w:pStyle w:val="48"/>
                    <w:jc w:val="both"/>
                    <w:rPr>
                      <w:color w:val="auto"/>
                      <w:sz w:val="24"/>
                      <w:szCs w:val="18"/>
                    </w:rPr>
                  </w:pPr>
                  <w:r>
                    <w:rPr>
                      <w:rFonts w:hint="eastAsia"/>
                      <w:color w:val="auto"/>
                      <w:sz w:val="24"/>
                      <w:szCs w:val="18"/>
                    </w:rPr>
                    <w:t>本项目位于工业园区内</w:t>
                  </w:r>
                </w:p>
              </w:tc>
              <w:tc>
                <w:tcPr>
                  <w:tcW w:w="771" w:type="dxa"/>
                  <w:vAlign w:val="center"/>
                </w:tcPr>
                <w:p w14:paraId="0551ECF8">
                  <w:pPr>
                    <w:spacing w:line="240" w:lineRule="auto"/>
                    <w:ind w:firstLine="0" w:firstLineChars="0"/>
                    <w:rPr>
                      <w:color w:val="auto"/>
                      <w:sz w:val="24"/>
                      <w:szCs w:val="18"/>
                    </w:rPr>
                  </w:pPr>
                  <w:r>
                    <w:rPr>
                      <w:rFonts w:hint="eastAsia"/>
                      <w:color w:val="auto"/>
                      <w:sz w:val="24"/>
                      <w:szCs w:val="18"/>
                    </w:rPr>
                    <w:t>符合</w:t>
                  </w:r>
                </w:p>
              </w:tc>
            </w:tr>
            <w:tr w14:paraId="16E9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04DA1E7C">
                  <w:pPr>
                    <w:pStyle w:val="48"/>
                    <w:jc w:val="both"/>
                    <w:rPr>
                      <w:bCs/>
                      <w:color w:val="auto"/>
                      <w:sz w:val="24"/>
                    </w:rPr>
                  </w:pPr>
                  <w:r>
                    <w:rPr>
                      <w:bCs/>
                      <w:color w:val="auto"/>
                      <w:sz w:val="24"/>
                    </w:rPr>
                    <w:t>禁止新建、扩建不符合国家石化、现代煤化工等产业布局规划的项目。(一）严格控制新增炼油产能，未列入《石化产业规划布局方案（修订版)》的新增炼油产能一律不得建设。(二）新建煤制</w:t>
                  </w:r>
                  <w:r>
                    <w:rPr>
                      <w:rFonts w:hint="eastAsia"/>
                      <w:bCs/>
                      <w:color w:val="auto"/>
                      <w:sz w:val="24"/>
                    </w:rPr>
                    <w:t>烯烃</w:t>
                  </w:r>
                  <w:r>
                    <w:rPr>
                      <w:bCs/>
                      <w:color w:val="auto"/>
                      <w:sz w:val="24"/>
                    </w:rPr>
                    <w:t>、煤制</w:t>
                  </w:r>
                  <w:r>
                    <w:rPr>
                      <w:rFonts w:hint="eastAsia"/>
                      <w:bCs/>
                      <w:color w:val="auto"/>
                      <w:sz w:val="24"/>
                    </w:rPr>
                    <w:t>芳烃</w:t>
                  </w:r>
                  <w:r>
                    <w:rPr>
                      <w:bCs/>
                      <w:color w:val="auto"/>
                      <w:sz w:val="24"/>
                    </w:rPr>
                    <w:t>项目必须列入《现代煤化工产业创新发展布局方案》，必须符合《现代煤化工建设项目环境准入条件（试行)》要求</w:t>
                  </w:r>
                </w:p>
              </w:tc>
              <w:tc>
                <w:tcPr>
                  <w:tcW w:w="2198" w:type="dxa"/>
                  <w:vAlign w:val="center"/>
                </w:tcPr>
                <w:p w14:paraId="001894F4">
                  <w:pPr>
                    <w:pStyle w:val="48"/>
                    <w:jc w:val="both"/>
                    <w:rPr>
                      <w:color w:val="auto"/>
                      <w:sz w:val="24"/>
                      <w:szCs w:val="18"/>
                    </w:rPr>
                  </w:pPr>
                  <w:r>
                    <w:rPr>
                      <w:rFonts w:hint="eastAsia"/>
                      <w:color w:val="auto"/>
                      <w:sz w:val="24"/>
                    </w:rPr>
                    <w:t>本项目不属于石化、现代煤化工等项目</w:t>
                  </w:r>
                </w:p>
              </w:tc>
              <w:tc>
                <w:tcPr>
                  <w:tcW w:w="771" w:type="dxa"/>
                  <w:vAlign w:val="center"/>
                </w:tcPr>
                <w:p w14:paraId="0CA3F4E1">
                  <w:pPr>
                    <w:spacing w:line="240" w:lineRule="auto"/>
                    <w:ind w:firstLine="0" w:firstLineChars="0"/>
                    <w:rPr>
                      <w:color w:val="auto"/>
                      <w:sz w:val="24"/>
                      <w:szCs w:val="18"/>
                    </w:rPr>
                  </w:pPr>
                  <w:r>
                    <w:rPr>
                      <w:rFonts w:hint="eastAsia"/>
                      <w:color w:val="auto"/>
                      <w:sz w:val="24"/>
                      <w:szCs w:val="18"/>
                    </w:rPr>
                    <w:t>符合</w:t>
                  </w:r>
                </w:p>
              </w:tc>
            </w:tr>
            <w:tr w14:paraId="547E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55ED41D7">
                  <w:pPr>
                    <w:pStyle w:val="48"/>
                    <w:jc w:val="both"/>
                    <w:rPr>
                      <w:bCs/>
                      <w:color w:val="auto"/>
                      <w:sz w:val="24"/>
                    </w:rPr>
                  </w:pPr>
                  <w:r>
                    <w:rPr>
                      <w:bCs/>
                      <w:color w:val="auto"/>
                      <w:sz w:val="24"/>
                    </w:rPr>
                    <w:t>禁止新建、扩建法律法规和相关政策明令禁止的落后产能项目。对《产业结构调整指导目录》中淘汰类项目，禁止投资</w:t>
                  </w:r>
                  <w:r>
                    <w:rPr>
                      <w:rFonts w:hint="eastAsia"/>
                      <w:bCs/>
                      <w:color w:val="auto"/>
                      <w:sz w:val="24"/>
                    </w:rPr>
                    <w:t>；</w:t>
                  </w:r>
                  <w:r>
                    <w:rPr>
                      <w:bCs/>
                      <w:color w:val="auto"/>
                      <w:sz w:val="24"/>
                    </w:rPr>
                    <w:t>限制类的新建项目，禁止投资，对属于限制类的现有生产能力，允许企业在一定期限内采取措施改造升级。</w:t>
                  </w:r>
                </w:p>
              </w:tc>
              <w:tc>
                <w:tcPr>
                  <w:tcW w:w="2198" w:type="dxa"/>
                  <w:vAlign w:val="center"/>
                </w:tcPr>
                <w:p w14:paraId="34F73AA9">
                  <w:pPr>
                    <w:pStyle w:val="48"/>
                    <w:jc w:val="both"/>
                    <w:rPr>
                      <w:color w:val="auto"/>
                      <w:sz w:val="24"/>
                      <w:szCs w:val="18"/>
                    </w:rPr>
                  </w:pPr>
                  <w:r>
                    <w:rPr>
                      <w:rFonts w:hint="eastAsia"/>
                      <w:color w:val="auto"/>
                      <w:sz w:val="24"/>
                    </w:rPr>
                    <w:t>本项目不属于落后产能项目、不属于淘汰类、限制类项目</w:t>
                  </w:r>
                </w:p>
              </w:tc>
              <w:tc>
                <w:tcPr>
                  <w:tcW w:w="771" w:type="dxa"/>
                  <w:vAlign w:val="center"/>
                </w:tcPr>
                <w:p w14:paraId="05990653">
                  <w:pPr>
                    <w:spacing w:line="240" w:lineRule="auto"/>
                    <w:ind w:firstLine="0" w:firstLineChars="0"/>
                    <w:rPr>
                      <w:color w:val="auto"/>
                      <w:sz w:val="24"/>
                      <w:szCs w:val="18"/>
                    </w:rPr>
                  </w:pPr>
                  <w:r>
                    <w:rPr>
                      <w:rFonts w:hint="eastAsia"/>
                      <w:color w:val="auto"/>
                      <w:sz w:val="24"/>
                      <w:szCs w:val="18"/>
                    </w:rPr>
                    <w:t>符合</w:t>
                  </w:r>
                </w:p>
              </w:tc>
            </w:tr>
            <w:tr w14:paraId="6AB9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44AAFAFF">
                  <w:pPr>
                    <w:pStyle w:val="48"/>
                    <w:jc w:val="both"/>
                    <w:rPr>
                      <w:bCs/>
                      <w:color w:val="auto"/>
                      <w:sz w:val="24"/>
                    </w:rPr>
                  </w:pPr>
                  <w:r>
                    <w:rPr>
                      <w:bCs/>
                      <w:color w:val="auto"/>
                      <w:sz w:val="24"/>
                    </w:rPr>
                    <w:t>禁止新建、扩建不符合国家产能置换要求的严重过剩产能行业的项目。对于不符合国家产能置换要求的严重过剩产能行业，不得以其他任何名义、任何方式备案新增产能项目。</w:t>
                  </w:r>
                </w:p>
              </w:tc>
              <w:tc>
                <w:tcPr>
                  <w:tcW w:w="2198" w:type="dxa"/>
                  <w:vAlign w:val="center"/>
                </w:tcPr>
                <w:p w14:paraId="1BD70948">
                  <w:pPr>
                    <w:pStyle w:val="48"/>
                    <w:jc w:val="both"/>
                    <w:rPr>
                      <w:color w:val="auto"/>
                      <w:sz w:val="24"/>
                      <w:szCs w:val="18"/>
                    </w:rPr>
                  </w:pPr>
                  <w:r>
                    <w:rPr>
                      <w:rFonts w:hint="eastAsia"/>
                      <w:color w:val="auto"/>
                      <w:sz w:val="24"/>
                    </w:rPr>
                    <w:t>本项目不属于产能过剩行业</w:t>
                  </w:r>
                </w:p>
              </w:tc>
              <w:tc>
                <w:tcPr>
                  <w:tcW w:w="771" w:type="dxa"/>
                  <w:vAlign w:val="center"/>
                </w:tcPr>
                <w:p w14:paraId="2C5DB8BB">
                  <w:pPr>
                    <w:spacing w:line="240" w:lineRule="auto"/>
                    <w:ind w:firstLine="0" w:firstLineChars="0"/>
                    <w:rPr>
                      <w:color w:val="auto"/>
                      <w:sz w:val="24"/>
                      <w:szCs w:val="18"/>
                    </w:rPr>
                  </w:pPr>
                  <w:r>
                    <w:rPr>
                      <w:rFonts w:hint="eastAsia"/>
                      <w:color w:val="auto"/>
                      <w:sz w:val="24"/>
                      <w:szCs w:val="18"/>
                    </w:rPr>
                    <w:t>符合</w:t>
                  </w:r>
                </w:p>
              </w:tc>
            </w:tr>
            <w:tr w14:paraId="4215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49CF8D74">
                  <w:pPr>
                    <w:pStyle w:val="48"/>
                    <w:jc w:val="both"/>
                    <w:rPr>
                      <w:bCs/>
                      <w:color w:val="auto"/>
                      <w:sz w:val="24"/>
                    </w:rPr>
                  </w:pPr>
                  <w:r>
                    <w:rPr>
                      <w:bCs/>
                      <w:color w:val="auto"/>
                      <w:sz w:val="24"/>
                    </w:rPr>
                    <w:t>禁止建设以下燃油汽车投资项目（不在中国境内销售产品的投资项目除外)</w:t>
                  </w:r>
                  <w:r>
                    <w:rPr>
                      <w:rFonts w:hint="eastAsia"/>
                      <w:bCs/>
                      <w:color w:val="auto"/>
                      <w:sz w:val="24"/>
                    </w:rPr>
                    <w:t>：</w:t>
                  </w:r>
                  <w:r>
                    <w:rPr>
                      <w:bCs/>
                      <w:color w:val="auto"/>
                      <w:sz w:val="24"/>
                    </w:rPr>
                    <w:t>(一）新建独立燃油汽车企业</w:t>
                  </w:r>
                  <w:r>
                    <w:rPr>
                      <w:rFonts w:hint="eastAsia"/>
                      <w:bCs/>
                      <w:color w:val="auto"/>
                      <w:sz w:val="24"/>
                    </w:rPr>
                    <w:t>；</w:t>
                  </w:r>
                  <w:r>
                    <w:rPr>
                      <w:bCs/>
                      <w:color w:val="auto"/>
                      <w:sz w:val="24"/>
                    </w:rPr>
                    <w:t>(二）现有汽车企业跨乘用车、商用车类别建设燃油汽车生产能力;(三）外省现有燃油汽车企业整体搬迁至本省（列入国家级区域发展规划或不改变企业股权结构的项目除外);(四）对行业管理部门特别公示的燃油汽车企业进行投资(企业原有股东投资或将该企业转为非独立法人的投资项目除外)。</w:t>
                  </w:r>
                </w:p>
              </w:tc>
              <w:tc>
                <w:tcPr>
                  <w:tcW w:w="2198" w:type="dxa"/>
                  <w:vAlign w:val="center"/>
                </w:tcPr>
                <w:p w14:paraId="2450936C">
                  <w:pPr>
                    <w:pStyle w:val="48"/>
                    <w:jc w:val="both"/>
                    <w:rPr>
                      <w:color w:val="auto"/>
                      <w:sz w:val="24"/>
                      <w:szCs w:val="18"/>
                    </w:rPr>
                  </w:pPr>
                  <w:r>
                    <w:rPr>
                      <w:rFonts w:hint="eastAsia"/>
                      <w:color w:val="auto"/>
                      <w:sz w:val="24"/>
                    </w:rPr>
                    <w:t>本项目不属于</w:t>
                  </w:r>
                  <w:r>
                    <w:rPr>
                      <w:bCs/>
                      <w:color w:val="auto"/>
                      <w:sz w:val="24"/>
                    </w:rPr>
                    <w:t>燃油汽车投资项目</w:t>
                  </w:r>
                </w:p>
              </w:tc>
              <w:tc>
                <w:tcPr>
                  <w:tcW w:w="771" w:type="dxa"/>
                  <w:vAlign w:val="center"/>
                </w:tcPr>
                <w:p w14:paraId="1AE7630B">
                  <w:pPr>
                    <w:spacing w:line="240" w:lineRule="auto"/>
                    <w:ind w:firstLine="0" w:firstLineChars="0"/>
                    <w:rPr>
                      <w:color w:val="auto"/>
                      <w:sz w:val="24"/>
                      <w:szCs w:val="18"/>
                    </w:rPr>
                  </w:pPr>
                  <w:r>
                    <w:rPr>
                      <w:rFonts w:hint="eastAsia"/>
                      <w:color w:val="auto"/>
                      <w:sz w:val="24"/>
                      <w:szCs w:val="18"/>
                    </w:rPr>
                    <w:t>符合</w:t>
                  </w:r>
                </w:p>
              </w:tc>
            </w:tr>
            <w:tr w14:paraId="0AF8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2" w:type="dxa"/>
                  <w:vAlign w:val="center"/>
                </w:tcPr>
                <w:p w14:paraId="51531253">
                  <w:pPr>
                    <w:pStyle w:val="48"/>
                    <w:jc w:val="both"/>
                    <w:rPr>
                      <w:bCs/>
                      <w:color w:val="auto"/>
                      <w:sz w:val="24"/>
                    </w:rPr>
                  </w:pPr>
                  <w:r>
                    <w:rPr>
                      <w:bCs/>
                      <w:color w:val="auto"/>
                      <w:sz w:val="24"/>
                    </w:rPr>
                    <w:t>禁止新建、扩建不符合要求的高耗能、高排放、低水平项目。</w:t>
                  </w:r>
                </w:p>
              </w:tc>
              <w:tc>
                <w:tcPr>
                  <w:tcW w:w="2198" w:type="dxa"/>
                  <w:vAlign w:val="center"/>
                </w:tcPr>
                <w:p w14:paraId="32630EA7">
                  <w:pPr>
                    <w:pStyle w:val="48"/>
                    <w:jc w:val="both"/>
                    <w:rPr>
                      <w:color w:val="auto"/>
                      <w:sz w:val="24"/>
                      <w:szCs w:val="18"/>
                    </w:rPr>
                  </w:pPr>
                  <w:r>
                    <w:rPr>
                      <w:rFonts w:hint="eastAsia"/>
                      <w:color w:val="auto"/>
                      <w:sz w:val="24"/>
                    </w:rPr>
                    <w:t>本项目不属于</w:t>
                  </w:r>
                  <w:r>
                    <w:rPr>
                      <w:bCs/>
                      <w:color w:val="auto"/>
                      <w:sz w:val="24"/>
                    </w:rPr>
                    <w:t>高耗能、高排放、低水平项目。</w:t>
                  </w:r>
                </w:p>
              </w:tc>
              <w:tc>
                <w:tcPr>
                  <w:tcW w:w="771" w:type="dxa"/>
                  <w:vAlign w:val="center"/>
                </w:tcPr>
                <w:p w14:paraId="2C7FA68D">
                  <w:pPr>
                    <w:spacing w:line="240" w:lineRule="auto"/>
                    <w:ind w:firstLine="0" w:firstLineChars="0"/>
                    <w:rPr>
                      <w:color w:val="auto"/>
                      <w:sz w:val="24"/>
                      <w:szCs w:val="18"/>
                    </w:rPr>
                  </w:pPr>
                  <w:r>
                    <w:rPr>
                      <w:rFonts w:hint="eastAsia"/>
                      <w:color w:val="auto"/>
                      <w:sz w:val="24"/>
                      <w:szCs w:val="18"/>
                    </w:rPr>
                    <w:t>符合</w:t>
                  </w:r>
                </w:p>
              </w:tc>
            </w:tr>
          </w:tbl>
          <w:p w14:paraId="38EFD5D9">
            <w:pPr>
              <w:spacing w:before="120" w:beforeLines="50"/>
              <w:ind w:firstLine="560"/>
              <w:rPr>
                <w:color w:val="auto"/>
                <w:sz w:val="28"/>
              </w:rPr>
            </w:pPr>
            <w:r>
              <w:rPr>
                <w:rFonts w:hint="eastAsia"/>
                <w:color w:val="auto"/>
                <w:sz w:val="28"/>
                <w:szCs w:val="28"/>
              </w:rPr>
              <w:t>由上表可知，本项目符合《四川、重庆长江经济带发展负面清单指南（试行，2022版）》的相关要求</w:t>
            </w:r>
            <w:r>
              <w:rPr>
                <w:rFonts w:hint="eastAsia"/>
                <w:color w:val="auto"/>
                <w:sz w:val="28"/>
              </w:rPr>
              <w:t>。</w:t>
            </w:r>
          </w:p>
          <w:p w14:paraId="7203CD43">
            <w:pPr>
              <w:pStyle w:val="53"/>
              <w:spacing w:before="120"/>
              <w:rPr>
                <w:color w:val="auto"/>
                <w:sz w:val="28"/>
              </w:rPr>
            </w:pPr>
            <w:r>
              <w:rPr>
                <w:rFonts w:hint="eastAsia"/>
                <w:color w:val="auto"/>
                <w:sz w:val="28"/>
                <w:lang w:val="en-US" w:eastAsia="zh-CN"/>
              </w:rPr>
              <w:t>5</w:t>
            </w:r>
            <w:r>
              <w:rPr>
                <w:color w:val="auto"/>
                <w:sz w:val="28"/>
              </w:rPr>
              <w:t>.</w:t>
            </w:r>
            <w:r>
              <w:rPr>
                <w:rFonts w:hint="eastAsia" w:ascii="仿宋" w:hAnsi="仿宋"/>
                <w:bCs/>
                <w:color w:val="auto"/>
                <w:sz w:val="28"/>
                <w:szCs w:val="28"/>
              </w:rPr>
              <w:t>与《关于印发重庆市大气环境保护“十四五”规划（2021—2025年）的通知》（渝环〔2022〕43号）符合性分析</w:t>
            </w:r>
          </w:p>
          <w:p w14:paraId="49F93CE5">
            <w:pPr>
              <w:ind w:firstLine="560"/>
              <w:rPr>
                <w:color w:val="auto"/>
                <w:sz w:val="28"/>
              </w:rPr>
            </w:pPr>
            <w:r>
              <w:rPr>
                <w:rFonts w:hint="eastAsia"/>
                <w:color w:val="auto"/>
                <w:sz w:val="28"/>
              </w:rPr>
              <w:t>本项目与《关于印发重庆市大气环境保护“十四五”规划（2021—2025年）的通知》（渝环〔2022〕43号）符合性分析详见表1-8。</w:t>
            </w:r>
          </w:p>
          <w:p w14:paraId="61634B06">
            <w:pPr>
              <w:pStyle w:val="75"/>
              <w:rPr>
                <w:color w:val="auto"/>
                <w:lang w:val="en-US"/>
              </w:rPr>
            </w:pPr>
            <w:r>
              <w:rPr>
                <w:rFonts w:hint="eastAsia"/>
                <w:color w:val="auto"/>
                <w:sz w:val="24"/>
              </w:rPr>
              <w:t>表1-8与《关于印发重庆市大气环境保护“十四五”规划（2021—2025年）的通知》（渝环〔2022〕43号）符合性分析表</w:t>
            </w:r>
          </w:p>
          <w:tbl>
            <w:tblPr>
              <w:tblStyle w:val="32"/>
              <w:tblW w:w="7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4"/>
              <w:gridCol w:w="2543"/>
              <w:gridCol w:w="924"/>
            </w:tblGrid>
            <w:tr w14:paraId="7CCC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4" w:type="dxa"/>
                  <w:vAlign w:val="center"/>
                </w:tcPr>
                <w:p w14:paraId="0BCA9A09">
                  <w:pPr>
                    <w:pStyle w:val="48"/>
                    <w:rPr>
                      <w:color w:val="auto"/>
                      <w:szCs w:val="18"/>
                    </w:rPr>
                  </w:pPr>
                  <w:r>
                    <w:rPr>
                      <w:rFonts w:hint="eastAsia"/>
                      <w:color w:val="auto"/>
                      <w:sz w:val="24"/>
                      <w:szCs w:val="18"/>
                    </w:rPr>
                    <w:t>相关内容</w:t>
                  </w:r>
                </w:p>
              </w:tc>
              <w:tc>
                <w:tcPr>
                  <w:tcW w:w="2543" w:type="dxa"/>
                  <w:vAlign w:val="center"/>
                </w:tcPr>
                <w:p w14:paraId="4A51C89E">
                  <w:pPr>
                    <w:pStyle w:val="48"/>
                    <w:rPr>
                      <w:color w:val="auto"/>
                      <w:szCs w:val="18"/>
                    </w:rPr>
                  </w:pPr>
                  <w:r>
                    <w:rPr>
                      <w:rFonts w:hint="eastAsia"/>
                      <w:color w:val="auto"/>
                      <w:sz w:val="24"/>
                      <w:szCs w:val="18"/>
                    </w:rPr>
                    <w:t>本项目情况</w:t>
                  </w:r>
                </w:p>
              </w:tc>
              <w:tc>
                <w:tcPr>
                  <w:tcW w:w="924" w:type="dxa"/>
                  <w:vAlign w:val="center"/>
                </w:tcPr>
                <w:p w14:paraId="32FD4B4F">
                  <w:pPr>
                    <w:pStyle w:val="48"/>
                    <w:rPr>
                      <w:color w:val="auto"/>
                      <w:szCs w:val="18"/>
                    </w:rPr>
                  </w:pPr>
                  <w:r>
                    <w:rPr>
                      <w:rFonts w:hint="eastAsia"/>
                      <w:color w:val="auto"/>
                      <w:sz w:val="24"/>
                      <w:szCs w:val="18"/>
                    </w:rPr>
                    <w:t>符合性</w:t>
                  </w:r>
                </w:p>
              </w:tc>
            </w:tr>
            <w:tr w14:paraId="4D98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4" w:type="dxa"/>
                  <w:vAlign w:val="center"/>
                </w:tcPr>
                <w:p w14:paraId="5CCACC73">
                  <w:pPr>
                    <w:pStyle w:val="48"/>
                    <w:jc w:val="left"/>
                    <w:rPr>
                      <w:color w:val="auto"/>
                    </w:rPr>
                  </w:pPr>
                  <w:r>
                    <w:rPr>
                      <w:b/>
                      <w:bCs/>
                      <w:color w:val="auto"/>
                      <w:sz w:val="24"/>
                    </w:rPr>
                    <w:t>1.加强源头控制。</w:t>
                  </w:r>
                  <w:r>
                    <w:rPr>
                      <w:color w:val="auto"/>
                      <w:sz w:val="24"/>
                    </w:rPr>
                    <w:t>实施VOCs排放总量控制，涉VOCs建设项目按照新增排放量进行减量替代。以工业涂装、包装印刷等行业为重点，实施原辅材料和产品源头替代。加快对溶剂型涂料、油墨、胶粘剂、清洗剂使用企业制定低VOCs含量原辅材料替代计划。将生产和使用高VOCs含量产品的企业列入强制性清洁生产审核名单。到2025年，基本完成汽车、摩托车整车制造底漆、中涂、色漆低VOCs含量涂料替代；在木质家具、汽车零部件、工程机械、钢结构、船舶制造等行业技术成熟环节，大力推广低VOCs含量涂料。在房屋建筑、市政工程和城市道路交通标志中，除特殊功能要求外，全面推广使用低VOCs含量的涂料、胶粘剂。到2025年，全市溶剂型工业涂料、溶剂型油墨使用比例分别降低20%、15%，溶剂型胶粘剂使用量下降20%。</w:t>
                  </w:r>
                </w:p>
              </w:tc>
              <w:tc>
                <w:tcPr>
                  <w:tcW w:w="2543" w:type="dxa"/>
                  <w:vAlign w:val="center"/>
                </w:tcPr>
                <w:p w14:paraId="5BE587BE">
                  <w:pPr>
                    <w:pStyle w:val="48"/>
                    <w:jc w:val="left"/>
                    <w:rPr>
                      <w:color w:val="auto"/>
                    </w:rPr>
                  </w:pPr>
                  <w:r>
                    <w:rPr>
                      <w:rFonts w:hint="eastAsia"/>
                      <w:color w:val="auto"/>
                      <w:sz w:val="24"/>
                    </w:rPr>
                    <w:t>本项目属于</w:t>
                  </w:r>
                  <w:r>
                    <w:rPr>
                      <w:rFonts w:hint="eastAsia"/>
                      <w:color w:val="auto"/>
                      <w:sz w:val="24"/>
                      <w:szCs w:val="18"/>
                    </w:rPr>
                    <w:t>C2929塑料零件及其他塑料制品制造</w:t>
                  </w:r>
                  <w:r>
                    <w:rPr>
                      <w:rFonts w:hint="eastAsia"/>
                      <w:color w:val="auto"/>
                      <w:sz w:val="24"/>
                      <w:szCs w:val="18"/>
                      <w:lang w:eastAsia="zh-CN"/>
                    </w:rPr>
                    <w:t>、</w:t>
                  </w:r>
                  <w:r>
                    <w:rPr>
                      <w:rFonts w:hint="eastAsia" w:ascii="仿宋" w:hAnsi="仿宋" w:eastAsia="仿宋" w:cs="仿宋"/>
                      <w:b w:val="0"/>
                      <w:bCs/>
                      <w:color w:val="auto"/>
                      <w:sz w:val="24"/>
                      <w:szCs w:val="40"/>
                      <w:lang w:val="en-US" w:eastAsia="zh-CN"/>
                    </w:rPr>
                    <w:t>C3670汽车零部件及配件制造</w:t>
                  </w:r>
                  <w:r>
                    <w:rPr>
                      <w:rFonts w:hint="eastAsia"/>
                      <w:color w:val="auto"/>
                      <w:sz w:val="24"/>
                    </w:rPr>
                    <w:t>，不属于生产和使用高VOCs含量产品的企业。</w:t>
                  </w:r>
                </w:p>
              </w:tc>
              <w:tc>
                <w:tcPr>
                  <w:tcW w:w="924" w:type="dxa"/>
                  <w:vAlign w:val="center"/>
                </w:tcPr>
                <w:p w14:paraId="365EFBF3">
                  <w:pPr>
                    <w:pStyle w:val="48"/>
                    <w:rPr>
                      <w:color w:val="auto"/>
                      <w:szCs w:val="18"/>
                    </w:rPr>
                  </w:pPr>
                  <w:r>
                    <w:rPr>
                      <w:rFonts w:hint="eastAsia"/>
                      <w:color w:val="auto"/>
                      <w:sz w:val="24"/>
                      <w:szCs w:val="18"/>
                    </w:rPr>
                    <w:t>符合</w:t>
                  </w:r>
                </w:p>
              </w:tc>
            </w:tr>
            <w:tr w14:paraId="3530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4" w:type="dxa"/>
                  <w:vAlign w:val="center"/>
                </w:tcPr>
                <w:p w14:paraId="55842132">
                  <w:pPr>
                    <w:pStyle w:val="48"/>
                    <w:jc w:val="left"/>
                    <w:rPr>
                      <w:color w:val="auto"/>
                    </w:rPr>
                  </w:pPr>
                  <w:r>
                    <w:rPr>
                      <w:b/>
                      <w:bCs/>
                      <w:color w:val="auto"/>
                      <w:sz w:val="24"/>
                    </w:rPr>
                    <w:t>2.强化VOCs无组织排放管控。</w:t>
                  </w:r>
                  <w:r>
                    <w:rPr>
                      <w:color w:val="auto"/>
                      <w:sz w:val="24"/>
                    </w:rPr>
                    <w:t>实施储罐综合治理，浮顶与罐壁之间应采用高效密封方式，重点区域存储汽油、航空煤油、石脑油以及苯、甲苯、二甲苯的浮顶罐应使用全液面接触式浮顶。强化装卸废气收集治理，限期推动装载汽油、航空煤油、石脑油和苯、甲苯、二甲苯等的汽车罐车全部采用底部装载方式，换用自封式快速接头。指导企业规范开展泄漏检测与修复（LDAR）工作，优先在密封点超过2000个的企业推行LDAR技术改造，并加强监督检查。长寿、万州、涪陵及其他重点工业园区，逐步建立统一的LDAR信息管理平台试点。2023年年底前完成万吨级及以上原油、成品油码头油气回收治理。鼓励重点区域年销售汽油5000吨以上加油站完成油气三级回收处理。</w:t>
                  </w:r>
                </w:p>
              </w:tc>
              <w:tc>
                <w:tcPr>
                  <w:tcW w:w="2543" w:type="dxa"/>
                  <w:vAlign w:val="center"/>
                </w:tcPr>
                <w:p w14:paraId="61CAA83A">
                  <w:pPr>
                    <w:pStyle w:val="48"/>
                    <w:jc w:val="left"/>
                    <w:rPr>
                      <w:rFonts w:hint="default" w:eastAsia="仿宋"/>
                      <w:color w:val="auto"/>
                      <w:lang w:val="en-US" w:eastAsia="zh-CN"/>
                    </w:rPr>
                  </w:pPr>
                  <w:r>
                    <w:rPr>
                      <w:rFonts w:hint="eastAsia"/>
                      <w:color w:val="auto"/>
                      <w:sz w:val="24"/>
                      <w:szCs w:val="40"/>
                      <w:lang w:eastAsia="zh-CN"/>
                    </w:rPr>
                    <w:t>项目胶水采用桶装密闭储存，不涉及储罐</w:t>
                  </w:r>
                </w:p>
              </w:tc>
              <w:tc>
                <w:tcPr>
                  <w:tcW w:w="924" w:type="dxa"/>
                  <w:vAlign w:val="center"/>
                </w:tcPr>
                <w:p w14:paraId="1D58028C">
                  <w:pPr>
                    <w:pStyle w:val="48"/>
                    <w:rPr>
                      <w:color w:val="auto"/>
                      <w:szCs w:val="18"/>
                    </w:rPr>
                  </w:pPr>
                  <w:r>
                    <w:rPr>
                      <w:rFonts w:hint="eastAsia"/>
                      <w:color w:val="auto"/>
                      <w:sz w:val="24"/>
                      <w:szCs w:val="18"/>
                    </w:rPr>
                    <w:t>符合</w:t>
                  </w:r>
                </w:p>
              </w:tc>
            </w:tr>
            <w:tr w14:paraId="4F3F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4" w:type="dxa"/>
                  <w:vAlign w:val="center"/>
                </w:tcPr>
                <w:p w14:paraId="1707C904">
                  <w:pPr>
                    <w:pStyle w:val="48"/>
                    <w:jc w:val="left"/>
                    <w:rPr>
                      <w:color w:val="auto"/>
                    </w:rPr>
                  </w:pPr>
                  <w:r>
                    <w:rPr>
                      <w:rFonts w:hint="eastAsia"/>
                      <w:b/>
                      <w:bCs/>
                      <w:color w:val="auto"/>
                      <w:sz w:val="24"/>
                    </w:rPr>
                    <w:t>3.</w:t>
                  </w:r>
                  <w:r>
                    <w:rPr>
                      <w:b/>
                      <w:bCs/>
                      <w:color w:val="auto"/>
                      <w:sz w:val="24"/>
                      <w:highlight w:val="none"/>
                    </w:rPr>
                    <w:t>推动VOCs末端治理升级。</w:t>
                  </w:r>
                  <w:r>
                    <w:rPr>
                      <w:color w:val="auto"/>
                      <w:sz w:val="24"/>
                    </w:rPr>
                    <w:t>推行“一企一策”，引导企业选择多种技术的组合工艺提高VOCs治理效率。石化、化工企业加强火炬系统排放监管，保证燃烧温度和污染物停留时间能有效去除污染物。加强非正常工况废气排放管控，制定非正常工况VOCs管控规程，严格按规程操作。有条件的工业集聚区建设集中喷涂工程中心，配备高效治污设施，替代企业独立喷涂工序，对涉及喷漆、喷粉、印刷等废气进行集中处理。鼓励对中小型企业集群开展企业分散收集—活性炭移动集中再生治理模式的示范推广。</w:t>
                  </w:r>
                </w:p>
              </w:tc>
              <w:tc>
                <w:tcPr>
                  <w:tcW w:w="2543" w:type="dxa"/>
                  <w:vAlign w:val="center"/>
                </w:tcPr>
                <w:p w14:paraId="1008FFB4">
                  <w:pPr>
                    <w:pStyle w:val="48"/>
                    <w:jc w:val="left"/>
                    <w:rPr>
                      <w:color w:val="auto"/>
                    </w:rPr>
                  </w:pPr>
                  <w:r>
                    <w:rPr>
                      <w:rFonts w:hint="eastAsia"/>
                      <w:color w:val="auto"/>
                      <w:sz w:val="24"/>
                      <w:szCs w:val="40"/>
                      <w:lang w:eastAsia="zh-CN"/>
                    </w:rPr>
                    <w:t>项目生产过程中产生的</w:t>
                  </w:r>
                  <w:r>
                    <w:rPr>
                      <w:rFonts w:hint="eastAsia"/>
                      <w:color w:val="auto"/>
                      <w:sz w:val="24"/>
                      <w:szCs w:val="40"/>
                      <w:lang w:val="en-US" w:eastAsia="zh-CN"/>
                    </w:rPr>
                    <w:t>有机废气经集气罩收集后经过滤棉+二级活性炭吸附处理后有组织排放</w:t>
                  </w:r>
                </w:p>
              </w:tc>
              <w:tc>
                <w:tcPr>
                  <w:tcW w:w="924" w:type="dxa"/>
                  <w:vAlign w:val="center"/>
                </w:tcPr>
                <w:p w14:paraId="536BA999">
                  <w:pPr>
                    <w:pStyle w:val="48"/>
                    <w:rPr>
                      <w:color w:val="auto"/>
                      <w:szCs w:val="18"/>
                    </w:rPr>
                  </w:pPr>
                  <w:r>
                    <w:rPr>
                      <w:rFonts w:hint="eastAsia" w:cs="宋体"/>
                      <w:color w:val="auto"/>
                      <w:kern w:val="0"/>
                      <w:sz w:val="24"/>
                      <w:szCs w:val="18"/>
                    </w:rPr>
                    <w:t>符合</w:t>
                  </w:r>
                </w:p>
              </w:tc>
            </w:tr>
          </w:tbl>
          <w:p w14:paraId="04917F1D">
            <w:pPr>
              <w:spacing w:before="120" w:beforeLines="50"/>
              <w:ind w:firstLine="560"/>
              <w:rPr>
                <w:rFonts w:hint="eastAsia"/>
                <w:color w:val="auto"/>
                <w:sz w:val="28"/>
              </w:rPr>
            </w:pPr>
            <w:r>
              <w:rPr>
                <w:rFonts w:hint="eastAsia"/>
                <w:color w:val="auto"/>
                <w:sz w:val="28"/>
              </w:rPr>
              <w:t>由表1-8中所列对比结果可见，本项目符合《关于印发重庆市大气环境保护“十四五”规划（2021-2025年）的通知》（渝环〔2022〕43号）的相关要求。</w:t>
            </w:r>
          </w:p>
          <w:p w14:paraId="59244F7C">
            <w:pPr>
              <w:pStyle w:val="111"/>
              <w:ind w:firstLine="522"/>
              <w:rPr>
                <w:rFonts w:hint="eastAsia" w:ascii="仿宋" w:hAnsi="仿宋" w:eastAsia="仿宋" w:cs="仿宋"/>
                <w:b/>
                <w:bCs w:val="0"/>
                <w:color w:val="auto"/>
                <w:sz w:val="28"/>
                <w:szCs w:val="28"/>
              </w:rPr>
            </w:pPr>
            <w:r>
              <w:rPr>
                <w:rFonts w:hint="eastAsia" w:eastAsia="仿宋" w:cs="仿宋"/>
                <w:b/>
                <w:bCs w:val="0"/>
                <w:color w:val="auto"/>
                <w:sz w:val="28"/>
                <w:szCs w:val="28"/>
                <w:lang w:val="en-US" w:eastAsia="zh-CN"/>
              </w:rPr>
              <w:t>6.</w:t>
            </w:r>
            <w:r>
              <w:rPr>
                <w:rFonts w:hint="eastAsia" w:ascii="仿宋" w:hAnsi="仿宋" w:eastAsia="仿宋" w:cs="仿宋"/>
                <w:b/>
                <w:bCs w:val="0"/>
                <w:color w:val="auto"/>
                <w:sz w:val="28"/>
                <w:szCs w:val="28"/>
              </w:rPr>
              <w:t>与《重庆市九龙坡区生态环境保护“十四五”规划》（九龙坡府办发〔2022〕1号）符合性分析</w:t>
            </w:r>
          </w:p>
          <w:p w14:paraId="4FAB69EE">
            <w:pPr>
              <w:pStyle w:val="111"/>
              <w:ind w:firstLine="520"/>
              <w:rPr>
                <w:rFonts w:hint="eastAsia" w:ascii="仿宋" w:hAnsi="仿宋" w:eastAsia="仿宋" w:cs="仿宋"/>
                <w:color w:val="auto"/>
                <w:sz w:val="28"/>
                <w:szCs w:val="28"/>
              </w:rPr>
            </w:pPr>
            <w:r>
              <w:rPr>
                <w:rFonts w:hint="eastAsia" w:ascii="仿宋" w:hAnsi="仿宋" w:eastAsia="仿宋" w:cs="仿宋"/>
                <w:color w:val="auto"/>
                <w:sz w:val="28"/>
                <w:szCs w:val="28"/>
              </w:rPr>
              <w:t>《重庆市九龙坡区生态环境保护“十四五”规划》（九龙坡府办发〔2022〕1号）于2022年1月7日开始执行，对比该文件，项目符合性分析如下：</w:t>
            </w:r>
          </w:p>
          <w:p w14:paraId="6A040066">
            <w:pPr>
              <w:pStyle w:val="111"/>
              <w:ind w:firstLine="520"/>
              <w:rPr>
                <w:rFonts w:hint="eastAsia" w:ascii="仿宋" w:hAnsi="仿宋" w:eastAsia="仿宋" w:cs="仿宋"/>
                <w:color w:val="auto"/>
                <w:sz w:val="24"/>
                <w:szCs w:val="24"/>
              </w:rPr>
            </w:pPr>
            <w:r>
              <w:rPr>
                <w:rFonts w:hint="eastAsia" w:ascii="仿宋" w:hAnsi="仿宋" w:eastAsia="仿宋" w:cs="仿宋"/>
                <w:color w:val="auto"/>
                <w:sz w:val="24"/>
                <w:szCs w:val="24"/>
              </w:rPr>
              <w:t>表1.2-4与（九龙坡府办发〔2022〕1号）符合性分析（摘录）</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6"/>
              <w:gridCol w:w="1644"/>
              <w:gridCol w:w="928"/>
            </w:tblGrid>
            <w:tr w14:paraId="591C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pct"/>
                  <w:noWrap w:val="0"/>
                  <w:vAlign w:val="center"/>
                </w:tcPr>
                <w:p w14:paraId="10333A1F">
                  <w:pPr>
                    <w:pStyle w:val="111"/>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要求</w:t>
                  </w:r>
                </w:p>
              </w:tc>
              <w:tc>
                <w:tcPr>
                  <w:tcW w:w="1134" w:type="pct"/>
                  <w:noWrap w:val="0"/>
                  <w:vAlign w:val="center"/>
                </w:tcPr>
                <w:p w14:paraId="5E32E83C">
                  <w:pPr>
                    <w:pStyle w:val="111"/>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本项目情况</w:t>
                  </w:r>
                </w:p>
              </w:tc>
              <w:tc>
                <w:tcPr>
                  <w:tcW w:w="640" w:type="pct"/>
                  <w:noWrap w:val="0"/>
                  <w:vAlign w:val="center"/>
                </w:tcPr>
                <w:p w14:paraId="1D3C4DF0">
                  <w:pPr>
                    <w:pStyle w:val="111"/>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符合性分析</w:t>
                  </w:r>
                </w:p>
              </w:tc>
            </w:tr>
            <w:tr w14:paraId="6EE46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pct"/>
                  <w:noWrap w:val="0"/>
                  <w:vAlign w:val="center"/>
                </w:tcPr>
                <w:p w14:paraId="5173DCE5">
                  <w:pPr>
                    <w:pStyle w:val="111"/>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改善水环境质量：整治污水偷排直排乱排问题；完善污水收集和处理措施；修复水生态扩大水环境容量；持续改善河流湖库水环境质量；保障集中式饮用水水源水质安全。</w:t>
                  </w:r>
                </w:p>
              </w:tc>
              <w:tc>
                <w:tcPr>
                  <w:tcW w:w="1134" w:type="pct"/>
                  <w:noWrap w:val="0"/>
                  <w:vAlign w:val="center"/>
                </w:tcPr>
                <w:p w14:paraId="3A5E6D1A">
                  <w:pPr>
                    <w:pStyle w:val="111"/>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项目废水经预处理达标后排入</w:t>
                  </w:r>
                  <w:r>
                    <w:rPr>
                      <w:rFonts w:hint="eastAsia" w:eastAsia="仿宋" w:cs="仿宋"/>
                      <w:color w:val="auto"/>
                      <w:sz w:val="24"/>
                      <w:szCs w:val="24"/>
                      <w:lang w:eastAsia="zh-CN"/>
                    </w:rPr>
                    <w:t>西彭工业园区</w:t>
                  </w:r>
                  <w:r>
                    <w:rPr>
                      <w:rFonts w:hint="eastAsia" w:ascii="仿宋" w:hAnsi="仿宋" w:eastAsia="仿宋" w:cs="仿宋"/>
                      <w:color w:val="auto"/>
                      <w:sz w:val="24"/>
                      <w:szCs w:val="24"/>
                    </w:rPr>
                    <w:t>污水处理厂，无偷排直排乱排问题。</w:t>
                  </w:r>
                </w:p>
              </w:tc>
              <w:tc>
                <w:tcPr>
                  <w:tcW w:w="640" w:type="pct"/>
                  <w:noWrap w:val="0"/>
                  <w:vAlign w:val="center"/>
                </w:tcPr>
                <w:p w14:paraId="31011F89">
                  <w:pPr>
                    <w:pStyle w:val="111"/>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符合</w:t>
                  </w:r>
                </w:p>
              </w:tc>
            </w:tr>
            <w:tr w14:paraId="6B26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pct"/>
                  <w:noWrap w:val="0"/>
                  <w:vAlign w:val="center"/>
                </w:tcPr>
                <w:p w14:paraId="264AD7BC">
                  <w:pPr>
                    <w:pStyle w:val="111"/>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改善大气环境质量：强化工业污染防治，以西彭、九龙等工业园区为日常监管重点，加大对企业废气污染防治设施安装、运行及废气收集、去除、排放等情况的督查整治力度，加强废气无组织排放监管，针对布局不合理、装备水平低、环保设施差的小型工业企业开展专项排查整治。以工业涂装、包装印刷、家具制造、汽车维修、油品储运销等行业为重点，开展挥发性有机物（VOCs）专项排查，深入推进VOCs综合整治，完成重点监管企业VOCs销号式综合整治。严格落实VOCs含量限值标准，大力推进低（无）VOCs含量原辅料替代，将生产和使用高VOCs含量产品的企业列入强制性清洁生产审核名单。将VOCs纳入大气环境监测指标体系和污染物减排总量控制体系。</w:t>
                  </w:r>
                </w:p>
              </w:tc>
              <w:tc>
                <w:tcPr>
                  <w:tcW w:w="1134" w:type="pct"/>
                  <w:noWrap w:val="0"/>
                  <w:vAlign w:val="center"/>
                </w:tcPr>
                <w:p w14:paraId="3E125A48">
                  <w:pPr>
                    <w:pStyle w:val="111"/>
                    <w:spacing w:line="240" w:lineRule="auto"/>
                    <w:ind w:firstLine="0" w:firstLineChars="0"/>
                    <w:jc w:val="center"/>
                    <w:rPr>
                      <w:rFonts w:hint="eastAsia" w:ascii="仿宋" w:hAnsi="仿宋" w:eastAsia="仿宋" w:cs="仿宋"/>
                      <w:color w:val="auto"/>
                      <w:sz w:val="24"/>
                      <w:szCs w:val="24"/>
                      <w:lang w:eastAsia="zh-CN"/>
                    </w:rPr>
                  </w:pPr>
                  <w:r>
                    <w:rPr>
                      <w:rFonts w:hint="eastAsia" w:eastAsia="仿宋" w:cs="仿宋"/>
                      <w:color w:val="auto"/>
                      <w:sz w:val="24"/>
                      <w:szCs w:val="24"/>
                      <w:lang w:eastAsia="zh-CN"/>
                    </w:rPr>
                    <w:t>本项目涂布、烘干废气采取过滤棉</w:t>
                  </w:r>
                  <w:r>
                    <w:rPr>
                      <w:rFonts w:hint="eastAsia" w:eastAsia="仿宋" w:cs="仿宋"/>
                      <w:color w:val="auto"/>
                      <w:sz w:val="24"/>
                      <w:szCs w:val="24"/>
                      <w:lang w:val="en-US" w:eastAsia="zh-CN"/>
                    </w:rPr>
                    <w:t>+</w:t>
                  </w:r>
                  <w:r>
                    <w:rPr>
                      <w:rFonts w:hint="eastAsia" w:eastAsia="仿宋" w:cs="仿宋"/>
                      <w:color w:val="auto"/>
                      <w:sz w:val="24"/>
                      <w:szCs w:val="24"/>
                      <w:lang w:eastAsia="zh-CN"/>
                    </w:rPr>
                    <w:t>二级活性炭吸附</w:t>
                  </w:r>
                  <w:r>
                    <w:rPr>
                      <w:rFonts w:hint="eastAsia" w:eastAsia="仿宋" w:cs="仿宋"/>
                      <w:color w:val="auto"/>
                      <w:sz w:val="24"/>
                      <w:szCs w:val="24"/>
                      <w:highlight w:val="none"/>
                      <w:lang w:eastAsia="zh-CN"/>
                    </w:rPr>
                    <w:t>措施</w:t>
                  </w:r>
                </w:p>
              </w:tc>
              <w:tc>
                <w:tcPr>
                  <w:tcW w:w="640" w:type="pct"/>
                  <w:noWrap w:val="0"/>
                  <w:vAlign w:val="center"/>
                </w:tcPr>
                <w:p w14:paraId="7BBE902D">
                  <w:pPr>
                    <w:pStyle w:val="111"/>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符合</w:t>
                  </w:r>
                </w:p>
              </w:tc>
            </w:tr>
            <w:tr w14:paraId="7215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pct"/>
                  <w:noWrap w:val="0"/>
                  <w:vAlign w:val="center"/>
                </w:tcPr>
                <w:p w14:paraId="0EB3A33A">
                  <w:pPr>
                    <w:pStyle w:val="111"/>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协同防治土壤和地下水污染：</w:t>
                  </w:r>
                </w:p>
                <w:p w14:paraId="48EE14C1">
                  <w:pPr>
                    <w:pStyle w:val="111"/>
                    <w:numPr>
                      <w:ilvl w:val="0"/>
                      <w:numId w:val="6"/>
                    </w:numPr>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严格建设用地土壤污染风险管控和修复。开展城镇人口密集区危险化学品生产企业搬迁改造、化工污染整治腾退地块专项排查行动，建立高风险地块清单，发现一块、管控一块。健全建设用地再开发利用联合监管体系，完善污染地块开发利用负面清单，分类型、分阶段开展污染地块风险管控和修复，开发一块、治理一块。落实重点监管单位自行监测、隐患排查、有毒有害物质排放报告制度，防止新增土壤污染。</w:t>
                  </w:r>
                </w:p>
                <w:p w14:paraId="64C2F090">
                  <w:pPr>
                    <w:pStyle w:val="111"/>
                    <w:numPr>
                      <w:ilvl w:val="0"/>
                      <w:numId w:val="6"/>
                    </w:numPr>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强化土壤污染风险管控和土壤环境质量监测。健全定期巡查、土壤环境质量评估等工作制度。深入开展环境风险隐患排查整治，健全环保行政执法与刑事司法联动机制，重点打击非法排放、倾倒、填埋含重金属和有毒有害污染物废水、废渣行为，对造成土壤环境损害的责任者严格实行赔偿制度，并依法追究民事、行政、刑事责任。持续完善土壤环境质量监测网络，以蔬菜专业合作社和种植大户等产业基地、集中式饮用水水源地周边和九龙、西彭工业园区及全区涉危涉重排放工业企业等为重点，完善土壤环境质量监测点位设置，建立土壤环境质量动态数据库。</w:t>
                  </w:r>
                </w:p>
                <w:p w14:paraId="41F39B36">
                  <w:pPr>
                    <w:pStyle w:val="111"/>
                    <w:numPr>
                      <w:ilvl w:val="0"/>
                      <w:numId w:val="6"/>
                    </w:numPr>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加强土壤与地下水污染防治。强化地下水监测、监管和污染防治相关技术研究，以加油站、化工企业等为重点，开展防渗情况检查评估，统筹推进地下水安全源头预防和风险管控。推进土壤环境重点监管企业、污水集中处理设施等场所及周边土壤、地下水监测。推进地表水－地下水、土壤－地下水、区域－地块地下水污染协同防治。探索地下水污染防治管理模式和技术路径，保持地下水环境质量总体稳定。</w:t>
                  </w:r>
                </w:p>
                <w:p w14:paraId="08AAB38F">
                  <w:pPr>
                    <w:pStyle w:val="111"/>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4）推进固体废弃物减量化、无害化、资源化处置和利用。开展一般工业固体废物和非正规固体废物堆存场所排查整治，有效防控环境风险。5）防控危险废物污染环境风险。支持大型企业自行利用处置危险废物，支持工业园区配套建设危险废物末端处置设施。推进危险废物综合收集、贮存、转运点建设，完善废矿物油、废铅蓄电池等集中收集贮存设施，实现小微企业、非工业源危险废物收集转运全覆盖。持续开展打击危险废物环境违法犯罪专项行动，严肃查处违规堆存、随意倾倒、非法填埋、非法转移、非法买卖危险废物等违法行为。加强危险废物经营单位和自行利用处置设施的环境监管，确保安全规范运行。探索建立危险废物“一物一码”管理体系，加快危险废物信息化管理系统建设，实现从产生到处置全过程信息追踪。</w:t>
                  </w:r>
                </w:p>
              </w:tc>
              <w:tc>
                <w:tcPr>
                  <w:tcW w:w="1134" w:type="pct"/>
                  <w:noWrap w:val="0"/>
                  <w:vAlign w:val="center"/>
                </w:tcPr>
                <w:p w14:paraId="65A5AB14">
                  <w:pPr>
                    <w:pStyle w:val="111"/>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评价要求企业针对</w:t>
                  </w:r>
                  <w:r>
                    <w:rPr>
                      <w:rFonts w:hint="eastAsia" w:eastAsia="仿宋" w:cs="仿宋"/>
                      <w:color w:val="auto"/>
                      <w:sz w:val="24"/>
                      <w:szCs w:val="24"/>
                      <w:lang w:eastAsia="zh-CN"/>
                    </w:rPr>
                    <w:t>危废贮存点</w:t>
                  </w:r>
                  <w:r>
                    <w:rPr>
                      <w:rFonts w:hint="eastAsia" w:ascii="仿宋" w:hAnsi="仿宋" w:eastAsia="仿宋" w:cs="仿宋"/>
                      <w:color w:val="auto"/>
                      <w:sz w:val="24"/>
                      <w:szCs w:val="24"/>
                    </w:rPr>
                    <w:t>、表面处理区、危化品贮存区域进行重点防渗处理，液态物料等在厂内转运时，容器底部设置防渗漏托盘，收集跑、冒、漏、滴的液体，防止化学品滴落地面造成土壤或地下水污染。危险废物经分类收集后，暂存于危险废物贮存</w:t>
                  </w:r>
                  <w:r>
                    <w:rPr>
                      <w:rFonts w:hint="eastAsia" w:eastAsia="仿宋" w:cs="仿宋"/>
                      <w:color w:val="auto"/>
                      <w:sz w:val="24"/>
                      <w:szCs w:val="24"/>
                      <w:lang w:eastAsia="zh-CN"/>
                    </w:rPr>
                    <w:t>点</w:t>
                  </w:r>
                  <w:r>
                    <w:rPr>
                      <w:rFonts w:hint="eastAsia" w:ascii="仿宋" w:hAnsi="仿宋" w:eastAsia="仿宋" w:cs="仿宋"/>
                      <w:color w:val="auto"/>
                      <w:sz w:val="24"/>
                      <w:szCs w:val="24"/>
                    </w:rPr>
                    <w:t>，定期交有资质单位收集处理，严格执行危险废物联单转移制度</w:t>
                  </w:r>
                </w:p>
              </w:tc>
              <w:tc>
                <w:tcPr>
                  <w:tcW w:w="640" w:type="pct"/>
                  <w:noWrap w:val="0"/>
                  <w:vAlign w:val="center"/>
                </w:tcPr>
                <w:p w14:paraId="78D9290C">
                  <w:pPr>
                    <w:pStyle w:val="111"/>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符合</w:t>
                  </w:r>
                </w:p>
              </w:tc>
            </w:tr>
            <w:tr w14:paraId="16F9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pct"/>
                  <w:noWrap w:val="0"/>
                  <w:vAlign w:val="center"/>
                </w:tcPr>
                <w:p w14:paraId="31B058F7">
                  <w:pPr>
                    <w:pStyle w:val="111"/>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管控噪声环境影响：</w:t>
                  </w:r>
                </w:p>
                <w:p w14:paraId="6C044BF4">
                  <w:pPr>
                    <w:pStyle w:val="111"/>
                    <w:numPr>
                      <w:ilvl w:val="0"/>
                      <w:numId w:val="7"/>
                    </w:numPr>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加强建筑施工噪声监管。制定和落实施工期间建筑施工噪声防治方案，设置噪声屏障，合理安排更新项目施工时序，合理控制施工时间，推进噪声自动检测系统对建筑施工进行实时监测，推广使用低噪声施工工艺、施工机具和其他辅助作业设备。夜间施工严格执行《重庆市夜间作业规定》，加大对夜间施工噪声扰民的处罚力度。</w:t>
                  </w:r>
                </w:p>
                <w:p w14:paraId="443E36B3">
                  <w:pPr>
                    <w:pStyle w:val="111"/>
                    <w:numPr>
                      <w:ilvl w:val="0"/>
                      <w:numId w:val="7"/>
                    </w:numPr>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强化工业企业噪声监管。工业企业合理布局生产设施、改进生产工艺、使用低噪声设备，采取消声、隔声、减振等措施，消除或减轻噪声对周围生活环境的影响，确保厂界噪声达标。新建、扩建、改建的项目严格将防治噪声污染纳入环境影响评价和“三同时”内容。</w:t>
                  </w:r>
                </w:p>
              </w:tc>
              <w:tc>
                <w:tcPr>
                  <w:tcW w:w="1134" w:type="pct"/>
                  <w:noWrap w:val="0"/>
                  <w:vAlign w:val="center"/>
                </w:tcPr>
                <w:p w14:paraId="76C94EA2">
                  <w:pPr>
                    <w:pStyle w:val="111"/>
                    <w:spacing w:line="240" w:lineRule="auto"/>
                    <w:ind w:firstLine="0" w:firstLineChars="0"/>
                    <w:jc w:val="center"/>
                    <w:rPr>
                      <w:rFonts w:hint="eastAsia" w:ascii="仿宋" w:hAnsi="仿宋" w:eastAsia="仿宋" w:cs="仿宋"/>
                      <w:color w:val="auto"/>
                      <w:sz w:val="24"/>
                      <w:szCs w:val="24"/>
                      <w:highlight w:val="yellow"/>
                    </w:rPr>
                  </w:pPr>
                  <w:r>
                    <w:rPr>
                      <w:rFonts w:hint="eastAsia" w:ascii="仿宋" w:hAnsi="仿宋" w:eastAsia="仿宋" w:cs="仿宋"/>
                      <w:color w:val="auto"/>
                      <w:sz w:val="24"/>
                      <w:szCs w:val="24"/>
                      <w:highlight w:val="none"/>
                    </w:rPr>
                    <w:t>项目周边无噪声敏感点，施工期及运营期噪声对外环境影响较小。</w:t>
                  </w:r>
                </w:p>
              </w:tc>
              <w:tc>
                <w:tcPr>
                  <w:tcW w:w="640" w:type="pct"/>
                  <w:noWrap w:val="0"/>
                  <w:vAlign w:val="center"/>
                </w:tcPr>
                <w:p w14:paraId="2533A970">
                  <w:pPr>
                    <w:pStyle w:val="111"/>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符合</w:t>
                  </w:r>
                </w:p>
              </w:tc>
            </w:tr>
            <w:tr w14:paraId="7EDA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pct"/>
                  <w:noWrap w:val="0"/>
                  <w:vAlign w:val="center"/>
                </w:tcPr>
                <w:p w14:paraId="0CFBACEB">
                  <w:pPr>
                    <w:pStyle w:val="111"/>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加强环境风险防控与管理：</w:t>
                  </w:r>
                </w:p>
                <w:p w14:paraId="436946BF">
                  <w:pPr>
                    <w:pStyle w:val="111"/>
                    <w:numPr>
                      <w:ilvl w:val="0"/>
                      <w:numId w:val="8"/>
                    </w:numPr>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加强环境风险评估。落实企业突发环境事件风险评估制度，实现重点企业突发环境事件应急预案备案全覆盖，推进突发环境事件风险分类分级管理，严格监管较大及以上环境风险。</w:t>
                  </w:r>
                </w:p>
                <w:p w14:paraId="2EF80EF8">
                  <w:pPr>
                    <w:pStyle w:val="111"/>
                    <w:numPr>
                      <w:ilvl w:val="0"/>
                      <w:numId w:val="8"/>
                    </w:numPr>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细化风险防范主体责任。全面推进环境风险企业“一源一事一案”及风险信息登记制度，督促企业落实环境应急管理规定、完善环境应急设备、开展应急岗位培训和应急演练，细化企业环境风险防范主体责任，推进环境风险防控应急体系建设。</w:t>
                  </w:r>
                </w:p>
                <w:p w14:paraId="0F79110A">
                  <w:pPr>
                    <w:pStyle w:val="111"/>
                    <w:numPr>
                      <w:ilvl w:val="0"/>
                      <w:numId w:val="8"/>
                    </w:numPr>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完善环境风险管控体系。推进重点企业环境风险防控应急体系建设，健全生态环境、应急、公安、交通、卫生等多部门应急联动机制。建立风险分级分类管控体系，根据企业环境风险等级实施差异化监管，强化工业园区环境风险防范体系建设，切实增强园区环境风险防控和突发环境事件的应对能力。</w:t>
                  </w:r>
                </w:p>
                <w:p w14:paraId="40CB82AB">
                  <w:pPr>
                    <w:pStyle w:val="111"/>
                    <w:numPr>
                      <w:ilvl w:val="0"/>
                      <w:numId w:val="8"/>
                    </w:numPr>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强化应急响应管理。建立政府主导、企业主体、部门联动、专家支持、社会救援的突发环境事件应急处置机制。积极推进企业环境应急专业救援队伍参与全区环境应急抢险救援工作。</w:t>
                  </w:r>
                </w:p>
              </w:tc>
              <w:tc>
                <w:tcPr>
                  <w:tcW w:w="1134" w:type="pct"/>
                  <w:noWrap w:val="0"/>
                  <w:vAlign w:val="center"/>
                </w:tcPr>
                <w:p w14:paraId="32358657">
                  <w:pPr>
                    <w:pStyle w:val="111"/>
                    <w:spacing w:line="240" w:lineRule="auto"/>
                    <w:ind w:firstLine="0" w:firstLineChars="0"/>
                    <w:jc w:val="center"/>
                    <w:rPr>
                      <w:rFonts w:hint="eastAsia" w:ascii="仿宋" w:hAnsi="仿宋" w:eastAsia="仿宋" w:cs="仿宋"/>
                      <w:color w:val="auto"/>
                      <w:sz w:val="24"/>
                      <w:szCs w:val="24"/>
                      <w:highlight w:val="yellow"/>
                    </w:rPr>
                  </w:pPr>
                  <w:r>
                    <w:rPr>
                      <w:rFonts w:hint="eastAsia" w:ascii="仿宋" w:hAnsi="仿宋" w:eastAsia="仿宋" w:cs="仿宋"/>
                      <w:color w:val="auto"/>
                      <w:sz w:val="24"/>
                      <w:szCs w:val="24"/>
                      <w:highlight w:val="none"/>
                    </w:rPr>
                    <w:t>项目无重大风险，</w:t>
                  </w:r>
                  <w:r>
                    <w:rPr>
                      <w:rFonts w:hint="eastAsia" w:ascii="仿宋" w:hAnsi="仿宋" w:eastAsia="仿宋" w:cs="仿宋"/>
                      <w:i/>
                      <w:iCs/>
                      <w:color w:val="auto"/>
                      <w:sz w:val="24"/>
                      <w:szCs w:val="24"/>
                      <w:highlight w:val="none"/>
                    </w:rPr>
                    <w:t>本项目运营期将规范风险物质的储存、使用管理，储备灭火器、消防砂等应急物资，将环境风险降至</w:t>
                  </w:r>
                  <w:r>
                    <w:rPr>
                      <w:rFonts w:hint="eastAsia" w:ascii="仿宋" w:hAnsi="仿宋" w:eastAsia="仿宋" w:cs="仿宋"/>
                      <w:color w:val="auto"/>
                      <w:sz w:val="24"/>
                      <w:szCs w:val="24"/>
                      <w:highlight w:val="none"/>
                    </w:rPr>
                    <w:t>可控范围。</w:t>
                  </w:r>
                </w:p>
              </w:tc>
              <w:tc>
                <w:tcPr>
                  <w:tcW w:w="640" w:type="pct"/>
                  <w:noWrap w:val="0"/>
                  <w:vAlign w:val="center"/>
                </w:tcPr>
                <w:p w14:paraId="6C7013C8">
                  <w:pPr>
                    <w:pStyle w:val="111"/>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符合</w:t>
                  </w:r>
                </w:p>
              </w:tc>
            </w:tr>
          </w:tbl>
          <w:p w14:paraId="6DC19387">
            <w:pPr>
              <w:spacing w:before="120" w:beforeLines="50"/>
              <w:ind w:firstLine="560"/>
              <w:rPr>
                <w:rFonts w:hint="eastAsia" w:eastAsia="仿宋"/>
                <w:color w:val="auto"/>
                <w:sz w:val="28"/>
                <w:lang w:eastAsia="zh-CN"/>
              </w:rPr>
            </w:pPr>
            <w:r>
              <w:rPr>
                <w:color w:val="auto"/>
                <w:sz w:val="26"/>
                <w:szCs w:val="26"/>
              </w:rPr>
              <w:t>由上表分析可知，项目建设符合《重庆市九龙坡区生态环境保护“十四五”规划》（九龙坡府办发〔2022〕1号</w:t>
            </w:r>
            <w:r>
              <w:rPr>
                <w:rFonts w:hint="eastAsia"/>
                <w:color w:val="auto"/>
                <w:sz w:val="26"/>
                <w:szCs w:val="26"/>
                <w:lang w:eastAsia="zh-CN"/>
              </w:rPr>
              <w:t>）。</w:t>
            </w:r>
          </w:p>
          <w:p w14:paraId="6E7086A3">
            <w:pPr>
              <w:pStyle w:val="53"/>
              <w:spacing w:before="120"/>
              <w:rPr>
                <w:color w:val="auto"/>
                <w:sz w:val="28"/>
              </w:rPr>
            </w:pPr>
            <w:r>
              <w:rPr>
                <w:rFonts w:hint="eastAsia"/>
                <w:color w:val="auto"/>
                <w:sz w:val="28"/>
                <w:lang w:val="en-US" w:eastAsia="zh-CN"/>
              </w:rPr>
              <w:t>7</w:t>
            </w:r>
            <w:r>
              <w:rPr>
                <w:color w:val="auto"/>
                <w:sz w:val="28"/>
              </w:rPr>
              <w:t>.</w:t>
            </w:r>
            <w:r>
              <w:rPr>
                <w:rFonts w:hint="eastAsia"/>
                <w:color w:val="auto"/>
                <w:sz w:val="28"/>
              </w:rPr>
              <w:t>与《挥发性有机物（VOCs）污染防治技术政策》的符合性分析</w:t>
            </w:r>
          </w:p>
          <w:p w14:paraId="3D6A9AEF">
            <w:pPr>
              <w:pStyle w:val="75"/>
              <w:rPr>
                <w:color w:val="auto"/>
              </w:rPr>
            </w:pPr>
            <w:r>
              <w:rPr>
                <w:rFonts w:hint="eastAsia"/>
                <w:color w:val="auto"/>
                <w:sz w:val="24"/>
              </w:rPr>
              <w:t>表1-9与《挥发性有机物（VOCs）污染防治技术政策》的符合性分析</w:t>
            </w:r>
          </w:p>
          <w:tbl>
            <w:tblPr>
              <w:tblStyle w:val="32"/>
              <w:tblW w:w="7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458"/>
              <w:gridCol w:w="2313"/>
              <w:gridCol w:w="914"/>
            </w:tblGrid>
            <w:tr w14:paraId="4016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4" w:type="dxa"/>
                  <w:gridSpan w:val="2"/>
                  <w:vAlign w:val="center"/>
                </w:tcPr>
                <w:p w14:paraId="7FB12C0D">
                  <w:pPr>
                    <w:pStyle w:val="48"/>
                    <w:rPr>
                      <w:color w:val="auto"/>
                      <w:szCs w:val="18"/>
                    </w:rPr>
                  </w:pPr>
                  <w:r>
                    <w:rPr>
                      <w:rFonts w:hint="eastAsia"/>
                      <w:color w:val="auto"/>
                      <w:sz w:val="24"/>
                      <w:szCs w:val="18"/>
                    </w:rPr>
                    <w:t>《挥发性有机物（VOCs）污染防治技术政策》相关要求</w:t>
                  </w:r>
                </w:p>
              </w:tc>
              <w:tc>
                <w:tcPr>
                  <w:tcW w:w="2313" w:type="dxa"/>
                  <w:vAlign w:val="center"/>
                </w:tcPr>
                <w:p w14:paraId="6AD6FE48">
                  <w:pPr>
                    <w:pStyle w:val="48"/>
                    <w:rPr>
                      <w:color w:val="auto"/>
                      <w:szCs w:val="18"/>
                    </w:rPr>
                  </w:pPr>
                  <w:r>
                    <w:rPr>
                      <w:rFonts w:hint="eastAsia"/>
                      <w:color w:val="auto"/>
                      <w:sz w:val="24"/>
                      <w:szCs w:val="18"/>
                    </w:rPr>
                    <w:t>项目情况</w:t>
                  </w:r>
                </w:p>
              </w:tc>
              <w:tc>
                <w:tcPr>
                  <w:tcW w:w="914" w:type="dxa"/>
                  <w:vAlign w:val="center"/>
                </w:tcPr>
                <w:p w14:paraId="4756C8B0">
                  <w:pPr>
                    <w:pStyle w:val="48"/>
                    <w:rPr>
                      <w:color w:val="auto"/>
                      <w:szCs w:val="18"/>
                    </w:rPr>
                  </w:pPr>
                  <w:r>
                    <w:rPr>
                      <w:rFonts w:hint="eastAsia"/>
                      <w:color w:val="auto"/>
                      <w:sz w:val="24"/>
                      <w:szCs w:val="18"/>
                    </w:rPr>
                    <w:t>符合性</w:t>
                  </w:r>
                </w:p>
              </w:tc>
            </w:tr>
            <w:tr w14:paraId="6DCB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restart"/>
                  <w:vAlign w:val="center"/>
                </w:tcPr>
                <w:p w14:paraId="0F1E2BD8">
                  <w:pPr>
                    <w:pStyle w:val="48"/>
                    <w:rPr>
                      <w:color w:val="auto"/>
                      <w:szCs w:val="18"/>
                    </w:rPr>
                  </w:pPr>
                  <w:r>
                    <w:rPr>
                      <w:rFonts w:hint="eastAsia"/>
                      <w:color w:val="auto"/>
                      <w:sz w:val="24"/>
                      <w:szCs w:val="18"/>
                    </w:rPr>
                    <w:t>末端治理与综合利用</w:t>
                  </w:r>
                </w:p>
              </w:tc>
              <w:tc>
                <w:tcPr>
                  <w:tcW w:w="3458" w:type="dxa"/>
                  <w:vAlign w:val="center"/>
                </w:tcPr>
                <w:p w14:paraId="261570B0">
                  <w:pPr>
                    <w:pStyle w:val="48"/>
                    <w:jc w:val="left"/>
                    <w:rPr>
                      <w:color w:val="auto"/>
                    </w:rPr>
                  </w:pPr>
                  <w:r>
                    <w:rPr>
                      <w:rFonts w:hint="eastAsia"/>
                      <w:color w:val="auto"/>
                      <w:sz w:val="24"/>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313" w:type="dxa"/>
                  <w:vAlign w:val="center"/>
                </w:tcPr>
                <w:p w14:paraId="06F41A6A">
                  <w:pPr>
                    <w:pStyle w:val="48"/>
                    <w:jc w:val="left"/>
                    <w:rPr>
                      <w:color w:val="auto"/>
                    </w:rPr>
                  </w:pPr>
                  <w:r>
                    <w:rPr>
                      <w:rFonts w:hint="eastAsia"/>
                      <w:color w:val="auto"/>
                      <w:sz w:val="24"/>
                    </w:rPr>
                    <w:t>本项目产生</w:t>
                  </w:r>
                  <w:r>
                    <w:rPr>
                      <w:rFonts w:hint="eastAsia"/>
                      <w:color w:val="auto"/>
                      <w:sz w:val="24"/>
                      <w:highlight w:val="none"/>
                    </w:rPr>
                    <w:t>的</w:t>
                  </w:r>
                  <w:r>
                    <w:rPr>
                      <w:rFonts w:hint="eastAsia"/>
                      <w:color w:val="auto"/>
                      <w:sz w:val="24"/>
                      <w:highlight w:val="none"/>
                      <w:lang w:eastAsia="zh-CN"/>
                    </w:rPr>
                    <w:t>涂布、烘干</w:t>
                  </w:r>
                  <w:r>
                    <w:rPr>
                      <w:rFonts w:hint="eastAsia"/>
                      <w:color w:val="auto"/>
                      <w:sz w:val="24"/>
                      <w:highlight w:val="none"/>
                    </w:rPr>
                    <w:t>废气</w:t>
                  </w:r>
                  <w:r>
                    <w:rPr>
                      <w:rFonts w:hint="eastAsia"/>
                      <w:color w:val="auto"/>
                      <w:sz w:val="24"/>
                      <w:highlight w:val="none"/>
                      <w:lang w:eastAsia="zh-CN"/>
                    </w:rPr>
                    <w:t>经过滤棉</w:t>
                  </w:r>
                  <w:r>
                    <w:rPr>
                      <w:rFonts w:hint="eastAsia"/>
                      <w:color w:val="auto"/>
                      <w:sz w:val="24"/>
                      <w:highlight w:val="none"/>
                      <w:lang w:val="en-US" w:eastAsia="zh-CN"/>
                    </w:rPr>
                    <w:t>+</w:t>
                  </w:r>
                  <w:r>
                    <w:rPr>
                      <w:rFonts w:hint="eastAsia"/>
                      <w:color w:val="auto"/>
                      <w:sz w:val="24"/>
                      <w:highlight w:val="none"/>
                      <w:lang w:eastAsia="zh-CN"/>
                    </w:rPr>
                    <w:t>二级</w:t>
                  </w:r>
                  <w:r>
                    <w:rPr>
                      <w:rFonts w:hint="eastAsia"/>
                      <w:color w:val="auto"/>
                      <w:sz w:val="24"/>
                      <w:highlight w:val="none"/>
                    </w:rPr>
                    <w:t>活性炭处理设</w:t>
                  </w:r>
                  <w:r>
                    <w:rPr>
                      <w:rFonts w:hint="eastAsia"/>
                      <w:color w:val="auto"/>
                      <w:sz w:val="24"/>
                    </w:rPr>
                    <w:t>施处理后达标排放；</w:t>
                  </w:r>
                </w:p>
              </w:tc>
              <w:tc>
                <w:tcPr>
                  <w:tcW w:w="914" w:type="dxa"/>
                  <w:vAlign w:val="center"/>
                </w:tcPr>
                <w:p w14:paraId="28FF98BC">
                  <w:pPr>
                    <w:pStyle w:val="48"/>
                    <w:rPr>
                      <w:color w:val="auto"/>
                      <w:szCs w:val="18"/>
                    </w:rPr>
                  </w:pPr>
                  <w:r>
                    <w:rPr>
                      <w:rFonts w:hint="eastAsia"/>
                      <w:color w:val="auto"/>
                      <w:sz w:val="24"/>
                      <w:szCs w:val="18"/>
                    </w:rPr>
                    <w:t>符合</w:t>
                  </w:r>
                </w:p>
              </w:tc>
            </w:tr>
            <w:tr w14:paraId="7029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1C130F1E">
                  <w:pPr>
                    <w:pStyle w:val="48"/>
                    <w:rPr>
                      <w:color w:val="auto"/>
                      <w:szCs w:val="18"/>
                    </w:rPr>
                  </w:pPr>
                </w:p>
              </w:tc>
              <w:tc>
                <w:tcPr>
                  <w:tcW w:w="3458" w:type="dxa"/>
                  <w:vAlign w:val="center"/>
                </w:tcPr>
                <w:p w14:paraId="635E3DBB">
                  <w:pPr>
                    <w:pStyle w:val="48"/>
                    <w:jc w:val="left"/>
                    <w:rPr>
                      <w:color w:val="auto"/>
                    </w:rPr>
                  </w:pPr>
                  <w:r>
                    <w:rPr>
                      <w:rFonts w:hint="eastAsia"/>
                      <w:color w:val="auto"/>
                      <w:sz w:val="24"/>
                    </w:rPr>
                    <w:t>（二十）对于不能再生的过滤材料、吸附剂及催化剂等净化材料，应按照国家固体废物管理的相关规定处理处置。</w:t>
                  </w:r>
                </w:p>
              </w:tc>
              <w:tc>
                <w:tcPr>
                  <w:tcW w:w="2313" w:type="dxa"/>
                  <w:vAlign w:val="center"/>
                </w:tcPr>
                <w:p w14:paraId="0FFEEAC8">
                  <w:pPr>
                    <w:pStyle w:val="48"/>
                    <w:jc w:val="left"/>
                    <w:rPr>
                      <w:color w:val="auto"/>
                    </w:rPr>
                  </w:pPr>
                  <w:r>
                    <w:rPr>
                      <w:rFonts w:hint="eastAsia"/>
                      <w:color w:val="auto"/>
                      <w:sz w:val="24"/>
                    </w:rPr>
                    <w:t>本项目废活性炭等危废定期交由危险废物资质单位处置</w:t>
                  </w:r>
                </w:p>
              </w:tc>
              <w:tc>
                <w:tcPr>
                  <w:tcW w:w="914" w:type="dxa"/>
                  <w:vAlign w:val="center"/>
                </w:tcPr>
                <w:p w14:paraId="7F5BA4E7">
                  <w:pPr>
                    <w:pStyle w:val="48"/>
                    <w:rPr>
                      <w:color w:val="auto"/>
                      <w:szCs w:val="18"/>
                    </w:rPr>
                  </w:pPr>
                  <w:r>
                    <w:rPr>
                      <w:rFonts w:hint="eastAsia"/>
                      <w:color w:val="auto"/>
                      <w:sz w:val="24"/>
                      <w:szCs w:val="18"/>
                    </w:rPr>
                    <w:t>符合</w:t>
                  </w:r>
                </w:p>
              </w:tc>
            </w:tr>
            <w:tr w14:paraId="77FA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restart"/>
                  <w:vAlign w:val="center"/>
                </w:tcPr>
                <w:p w14:paraId="5C7B8BFE">
                  <w:pPr>
                    <w:pStyle w:val="48"/>
                    <w:rPr>
                      <w:color w:val="auto"/>
                      <w:szCs w:val="18"/>
                    </w:rPr>
                  </w:pPr>
                  <w:r>
                    <w:rPr>
                      <w:rFonts w:hint="eastAsia"/>
                      <w:color w:val="auto"/>
                      <w:sz w:val="24"/>
                      <w:szCs w:val="18"/>
                    </w:rPr>
                    <w:t>运行与监测</w:t>
                  </w:r>
                </w:p>
              </w:tc>
              <w:tc>
                <w:tcPr>
                  <w:tcW w:w="3458" w:type="dxa"/>
                  <w:vAlign w:val="center"/>
                </w:tcPr>
                <w:p w14:paraId="5A000259">
                  <w:pPr>
                    <w:pStyle w:val="48"/>
                    <w:jc w:val="left"/>
                    <w:rPr>
                      <w:color w:val="auto"/>
                    </w:rPr>
                  </w:pPr>
                  <w:r>
                    <w:rPr>
                      <w:rFonts w:hint="eastAsia"/>
                      <w:color w:val="auto"/>
                      <w:sz w:val="24"/>
                    </w:rPr>
                    <w:t>（二十五）鼓励企业自行开展VOCs监测，并及时主动向当地环保行政主管部门报送监测结果。</w:t>
                  </w:r>
                </w:p>
              </w:tc>
              <w:tc>
                <w:tcPr>
                  <w:tcW w:w="2313" w:type="dxa"/>
                  <w:vAlign w:val="center"/>
                </w:tcPr>
                <w:p w14:paraId="07166D08">
                  <w:pPr>
                    <w:pStyle w:val="48"/>
                    <w:jc w:val="left"/>
                    <w:rPr>
                      <w:color w:val="auto"/>
                    </w:rPr>
                  </w:pPr>
                  <w:r>
                    <w:rPr>
                      <w:rFonts w:hint="eastAsia"/>
                      <w:color w:val="auto"/>
                      <w:sz w:val="24"/>
                    </w:rPr>
                    <w:t>拟每年定期开展VOCs监测，并及时向生态环境局报送。</w:t>
                  </w:r>
                </w:p>
              </w:tc>
              <w:tc>
                <w:tcPr>
                  <w:tcW w:w="914" w:type="dxa"/>
                  <w:vAlign w:val="center"/>
                </w:tcPr>
                <w:p w14:paraId="1AE27353">
                  <w:pPr>
                    <w:pStyle w:val="48"/>
                    <w:rPr>
                      <w:color w:val="auto"/>
                      <w:szCs w:val="18"/>
                    </w:rPr>
                  </w:pPr>
                  <w:r>
                    <w:rPr>
                      <w:rFonts w:hint="eastAsia"/>
                      <w:color w:val="auto"/>
                      <w:sz w:val="24"/>
                      <w:szCs w:val="18"/>
                    </w:rPr>
                    <w:t>符合</w:t>
                  </w:r>
                </w:p>
              </w:tc>
            </w:tr>
            <w:tr w14:paraId="0F78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14:paraId="64B3D322">
                  <w:pPr>
                    <w:pStyle w:val="48"/>
                    <w:rPr>
                      <w:color w:val="auto"/>
                      <w:szCs w:val="18"/>
                    </w:rPr>
                  </w:pPr>
                </w:p>
              </w:tc>
              <w:tc>
                <w:tcPr>
                  <w:tcW w:w="3458" w:type="dxa"/>
                  <w:vAlign w:val="center"/>
                </w:tcPr>
                <w:p w14:paraId="4874F479">
                  <w:pPr>
                    <w:pStyle w:val="48"/>
                    <w:jc w:val="left"/>
                    <w:rPr>
                      <w:color w:val="auto"/>
                    </w:rPr>
                  </w:pPr>
                  <w:r>
                    <w:rPr>
                      <w:rFonts w:hint="eastAsia"/>
                      <w:color w:val="auto"/>
                      <w:sz w:val="24"/>
                    </w:rPr>
                    <w:t>（二十六）企业应建立健全VOCs治理设施的运行维护规程和台账等日常管理制度，并根据工艺要求定期对各类设备、电气、自控仪表等进行检修维护，确保设施的稳定运行。</w:t>
                  </w:r>
                </w:p>
              </w:tc>
              <w:tc>
                <w:tcPr>
                  <w:tcW w:w="2313" w:type="dxa"/>
                  <w:vAlign w:val="center"/>
                </w:tcPr>
                <w:p w14:paraId="5E5BF286">
                  <w:pPr>
                    <w:pStyle w:val="48"/>
                    <w:jc w:val="left"/>
                    <w:rPr>
                      <w:color w:val="auto"/>
                    </w:rPr>
                  </w:pPr>
                  <w:r>
                    <w:rPr>
                      <w:rFonts w:hint="eastAsia"/>
                      <w:color w:val="auto"/>
                      <w:sz w:val="24"/>
                    </w:rPr>
                    <w:t>环境管理中要求建设单位建立健全VOCs治理设施的运行维护规程和台账等日常管理制度，并定期检修维护废气处理装置，确保设施的稳定运行</w:t>
                  </w:r>
                </w:p>
              </w:tc>
              <w:tc>
                <w:tcPr>
                  <w:tcW w:w="914" w:type="dxa"/>
                  <w:vAlign w:val="center"/>
                </w:tcPr>
                <w:p w14:paraId="169E4D1A">
                  <w:pPr>
                    <w:pStyle w:val="48"/>
                    <w:rPr>
                      <w:color w:val="auto"/>
                      <w:szCs w:val="18"/>
                    </w:rPr>
                  </w:pPr>
                  <w:r>
                    <w:rPr>
                      <w:rFonts w:hint="eastAsia"/>
                      <w:color w:val="auto"/>
                      <w:sz w:val="24"/>
                      <w:szCs w:val="18"/>
                    </w:rPr>
                    <w:t>符合</w:t>
                  </w:r>
                </w:p>
              </w:tc>
            </w:tr>
          </w:tbl>
          <w:p w14:paraId="0D0BF9E7">
            <w:pPr>
              <w:spacing w:before="120" w:beforeLines="50"/>
              <w:ind w:firstLine="560"/>
              <w:rPr>
                <w:color w:val="auto"/>
                <w:sz w:val="28"/>
              </w:rPr>
            </w:pPr>
            <w:r>
              <w:rPr>
                <w:rFonts w:hint="eastAsia"/>
                <w:color w:val="auto"/>
                <w:sz w:val="28"/>
              </w:rPr>
              <w:t>由表1-9中所列对比结果可见，本项目符合《挥发性有机物（VOCs）污染防治技术政策》的相关要求。</w:t>
            </w:r>
          </w:p>
          <w:p w14:paraId="751926E8">
            <w:pPr>
              <w:pStyle w:val="53"/>
              <w:numPr>
                <w:ilvl w:val="0"/>
                <w:numId w:val="0"/>
              </w:numPr>
              <w:spacing w:before="120"/>
              <w:rPr>
                <w:color w:val="auto"/>
              </w:rPr>
            </w:pPr>
            <w:r>
              <w:rPr>
                <w:rFonts w:hint="eastAsia" w:ascii="仿宋" w:hAnsi="仿宋"/>
                <w:color w:val="auto"/>
                <w:sz w:val="28"/>
                <w:szCs w:val="28"/>
                <w:lang w:val="en-US" w:eastAsia="zh-CN"/>
              </w:rPr>
              <w:t>8.</w:t>
            </w:r>
            <w:r>
              <w:rPr>
                <w:rFonts w:ascii="仿宋" w:hAnsi="仿宋"/>
                <w:color w:val="auto"/>
                <w:sz w:val="28"/>
                <w:szCs w:val="28"/>
              </w:rPr>
              <w:t>与《挥发性有机物无组织排放控制标准》（GB37822-2019）</w:t>
            </w:r>
            <w:r>
              <w:rPr>
                <w:rFonts w:hint="eastAsia" w:ascii="仿宋" w:hAnsi="仿宋"/>
                <w:color w:val="auto"/>
                <w:sz w:val="28"/>
                <w:szCs w:val="28"/>
              </w:rPr>
              <w:t>的</w:t>
            </w:r>
            <w:r>
              <w:rPr>
                <w:rFonts w:ascii="仿宋" w:hAnsi="仿宋"/>
                <w:color w:val="auto"/>
                <w:sz w:val="28"/>
                <w:szCs w:val="28"/>
              </w:rPr>
              <w:t>符合性分析</w:t>
            </w:r>
          </w:p>
          <w:p w14:paraId="581A31F1">
            <w:pPr>
              <w:spacing w:line="240" w:lineRule="auto"/>
              <w:ind w:firstLine="482"/>
              <w:rPr>
                <w:b/>
                <w:bCs/>
                <w:color w:val="auto"/>
                <w:sz w:val="24"/>
              </w:rPr>
            </w:pPr>
            <w:r>
              <w:rPr>
                <w:b/>
                <w:bCs/>
                <w:color w:val="auto"/>
                <w:sz w:val="24"/>
              </w:rPr>
              <w:t>表</w:t>
            </w:r>
            <w:r>
              <w:rPr>
                <w:rFonts w:hint="eastAsia"/>
                <w:b/>
                <w:bCs/>
                <w:color w:val="auto"/>
                <w:sz w:val="24"/>
              </w:rPr>
              <w:t>1-10</w:t>
            </w:r>
            <w:r>
              <w:rPr>
                <w:b/>
                <w:bCs/>
                <w:color w:val="auto"/>
                <w:sz w:val="24"/>
              </w:rPr>
              <w:t>与《挥发性有机物无组织排放控制标准》</w:t>
            </w:r>
            <w:r>
              <w:rPr>
                <w:rFonts w:hint="eastAsia"/>
                <w:b/>
                <w:bCs/>
                <w:color w:val="auto"/>
                <w:sz w:val="24"/>
              </w:rPr>
              <w:t>的</w:t>
            </w:r>
            <w:r>
              <w:rPr>
                <w:b/>
                <w:bCs/>
                <w:color w:val="auto"/>
                <w:sz w:val="24"/>
              </w:rPr>
              <w:t>符合性分析</w:t>
            </w:r>
          </w:p>
          <w:tbl>
            <w:tblPr>
              <w:tblStyle w:val="32"/>
              <w:tblW w:w="7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3032"/>
              <w:gridCol w:w="2625"/>
              <w:gridCol w:w="830"/>
            </w:tblGrid>
            <w:tr w14:paraId="427B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dxa"/>
                  <w:gridSpan w:val="2"/>
                  <w:vAlign w:val="center"/>
                </w:tcPr>
                <w:p w14:paraId="5FF3F59D">
                  <w:pPr>
                    <w:pStyle w:val="49"/>
                    <w:spacing w:line="240" w:lineRule="auto"/>
                    <w:rPr>
                      <w:color w:val="auto"/>
                      <w:sz w:val="24"/>
                    </w:rPr>
                  </w:pPr>
                  <w:r>
                    <w:rPr>
                      <w:color w:val="auto"/>
                      <w:sz w:val="24"/>
                    </w:rPr>
                    <w:t>相关要求</w:t>
                  </w:r>
                </w:p>
              </w:tc>
              <w:tc>
                <w:tcPr>
                  <w:tcW w:w="2625" w:type="dxa"/>
                  <w:vAlign w:val="center"/>
                </w:tcPr>
                <w:p w14:paraId="12D2A141">
                  <w:pPr>
                    <w:pStyle w:val="49"/>
                    <w:spacing w:line="240" w:lineRule="auto"/>
                    <w:rPr>
                      <w:color w:val="auto"/>
                      <w:sz w:val="24"/>
                    </w:rPr>
                  </w:pPr>
                  <w:r>
                    <w:rPr>
                      <w:color w:val="auto"/>
                      <w:sz w:val="24"/>
                    </w:rPr>
                    <w:t>项目情况</w:t>
                  </w:r>
                </w:p>
              </w:tc>
              <w:tc>
                <w:tcPr>
                  <w:tcW w:w="830" w:type="dxa"/>
                  <w:vAlign w:val="center"/>
                </w:tcPr>
                <w:p w14:paraId="0EA65481">
                  <w:pPr>
                    <w:pStyle w:val="49"/>
                    <w:spacing w:line="240" w:lineRule="auto"/>
                    <w:rPr>
                      <w:color w:val="auto"/>
                      <w:sz w:val="24"/>
                    </w:rPr>
                  </w:pPr>
                  <w:r>
                    <w:rPr>
                      <w:color w:val="auto"/>
                      <w:sz w:val="24"/>
                    </w:rPr>
                    <w:t>符合性</w:t>
                  </w:r>
                </w:p>
              </w:tc>
            </w:tr>
            <w:tr w14:paraId="05BE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restart"/>
                  <w:vAlign w:val="center"/>
                </w:tcPr>
                <w:p w14:paraId="4747F034">
                  <w:pPr>
                    <w:pStyle w:val="49"/>
                    <w:spacing w:line="240" w:lineRule="auto"/>
                    <w:rPr>
                      <w:color w:val="auto"/>
                      <w:sz w:val="24"/>
                    </w:rPr>
                  </w:pPr>
                  <w:r>
                    <w:rPr>
                      <w:color w:val="auto"/>
                      <w:sz w:val="24"/>
                    </w:rPr>
                    <w:t>VOCs物料储存无组织要求（基本要求）</w:t>
                  </w:r>
                </w:p>
              </w:tc>
              <w:tc>
                <w:tcPr>
                  <w:tcW w:w="3032" w:type="dxa"/>
                  <w:vAlign w:val="center"/>
                </w:tcPr>
                <w:p w14:paraId="121B2EAD">
                  <w:pPr>
                    <w:pStyle w:val="49"/>
                    <w:spacing w:line="240" w:lineRule="auto"/>
                    <w:rPr>
                      <w:color w:val="auto"/>
                      <w:sz w:val="24"/>
                    </w:rPr>
                  </w:pPr>
                  <w:r>
                    <w:rPr>
                      <w:color w:val="auto"/>
                      <w:sz w:val="24"/>
                    </w:rPr>
                    <w:t>1、VOCs物料应储存于密闭的容器、包装袋、储罐、储库、料仓中</w:t>
                  </w:r>
                </w:p>
              </w:tc>
              <w:tc>
                <w:tcPr>
                  <w:tcW w:w="2625" w:type="dxa"/>
                  <w:vAlign w:val="center"/>
                </w:tcPr>
                <w:p w14:paraId="65520DCD">
                  <w:pPr>
                    <w:pStyle w:val="49"/>
                    <w:spacing w:line="240" w:lineRule="auto"/>
                    <w:rPr>
                      <w:color w:val="auto"/>
                      <w:sz w:val="24"/>
                    </w:rPr>
                  </w:pPr>
                  <w:r>
                    <w:rPr>
                      <w:color w:val="auto"/>
                      <w:sz w:val="24"/>
                    </w:rPr>
                    <w:t>1、项目</w:t>
                  </w:r>
                  <w:r>
                    <w:rPr>
                      <w:rFonts w:hint="eastAsia"/>
                      <w:color w:val="auto"/>
                      <w:sz w:val="24"/>
                    </w:rPr>
                    <w:t>胶水储存于</w:t>
                  </w:r>
                  <w:r>
                    <w:rPr>
                      <w:color w:val="auto"/>
                      <w:sz w:val="24"/>
                    </w:rPr>
                    <w:t>密闭的</w:t>
                  </w:r>
                  <w:r>
                    <w:rPr>
                      <w:rFonts w:hint="eastAsia"/>
                      <w:color w:val="auto"/>
                      <w:sz w:val="24"/>
                    </w:rPr>
                    <w:t>容器</w:t>
                  </w:r>
                  <w:r>
                    <w:rPr>
                      <w:color w:val="auto"/>
                      <w:sz w:val="24"/>
                    </w:rPr>
                    <w:t>中</w:t>
                  </w:r>
                </w:p>
              </w:tc>
              <w:tc>
                <w:tcPr>
                  <w:tcW w:w="830" w:type="dxa"/>
                  <w:vAlign w:val="center"/>
                </w:tcPr>
                <w:p w14:paraId="1B1E7CA2">
                  <w:pPr>
                    <w:pStyle w:val="49"/>
                    <w:spacing w:line="240" w:lineRule="auto"/>
                    <w:rPr>
                      <w:color w:val="auto"/>
                      <w:sz w:val="24"/>
                    </w:rPr>
                  </w:pPr>
                  <w:r>
                    <w:rPr>
                      <w:color w:val="auto"/>
                      <w:sz w:val="24"/>
                    </w:rPr>
                    <w:t>符合</w:t>
                  </w:r>
                </w:p>
              </w:tc>
            </w:tr>
            <w:tr w14:paraId="77D3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vAlign w:val="center"/>
                </w:tcPr>
                <w:p w14:paraId="1C3C6660">
                  <w:pPr>
                    <w:pStyle w:val="49"/>
                    <w:spacing w:line="240" w:lineRule="auto"/>
                    <w:rPr>
                      <w:color w:val="auto"/>
                      <w:sz w:val="24"/>
                    </w:rPr>
                  </w:pPr>
                </w:p>
              </w:tc>
              <w:tc>
                <w:tcPr>
                  <w:tcW w:w="3032" w:type="dxa"/>
                  <w:vAlign w:val="center"/>
                </w:tcPr>
                <w:p w14:paraId="3723C54B">
                  <w:pPr>
                    <w:pStyle w:val="49"/>
                    <w:spacing w:line="240" w:lineRule="auto"/>
                    <w:rPr>
                      <w:color w:val="auto"/>
                      <w:sz w:val="24"/>
                    </w:rPr>
                  </w:pPr>
                  <w:r>
                    <w:rPr>
                      <w:color w:val="auto"/>
                      <w:sz w:val="24"/>
                    </w:rPr>
                    <w:t>2、盛装VOCs物料的容器或包装袋应存放于室内，或存放于设置有雨棚、遮阳和防渗设施的专用场地。盛装VOCs物料的容器或包装袋在非取用状态时应加盖、封口，保持密闭</w:t>
                  </w:r>
                </w:p>
              </w:tc>
              <w:tc>
                <w:tcPr>
                  <w:tcW w:w="2625" w:type="dxa"/>
                  <w:vAlign w:val="center"/>
                </w:tcPr>
                <w:p w14:paraId="6BB27841">
                  <w:pPr>
                    <w:pStyle w:val="49"/>
                    <w:spacing w:line="240" w:lineRule="auto"/>
                    <w:jc w:val="both"/>
                    <w:rPr>
                      <w:color w:val="auto"/>
                      <w:sz w:val="24"/>
                    </w:rPr>
                  </w:pPr>
                  <w:r>
                    <w:rPr>
                      <w:color w:val="auto"/>
                      <w:sz w:val="24"/>
                    </w:rPr>
                    <w:t>2、盛放的容器置于库房，设置托盘，在非取用状态时加盖、封口，保持密闭</w:t>
                  </w:r>
                </w:p>
              </w:tc>
              <w:tc>
                <w:tcPr>
                  <w:tcW w:w="830" w:type="dxa"/>
                  <w:vAlign w:val="center"/>
                </w:tcPr>
                <w:p w14:paraId="1DF88824">
                  <w:pPr>
                    <w:pStyle w:val="49"/>
                    <w:spacing w:line="240" w:lineRule="auto"/>
                    <w:rPr>
                      <w:color w:val="auto"/>
                      <w:sz w:val="24"/>
                    </w:rPr>
                  </w:pPr>
                  <w:r>
                    <w:rPr>
                      <w:color w:val="auto"/>
                      <w:sz w:val="24"/>
                    </w:rPr>
                    <w:t>符合</w:t>
                  </w:r>
                </w:p>
              </w:tc>
            </w:tr>
            <w:tr w14:paraId="628F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restart"/>
                  <w:vAlign w:val="center"/>
                </w:tcPr>
                <w:p w14:paraId="3031908A">
                  <w:pPr>
                    <w:pStyle w:val="49"/>
                    <w:spacing w:line="240" w:lineRule="auto"/>
                    <w:rPr>
                      <w:color w:val="auto"/>
                      <w:sz w:val="24"/>
                    </w:rPr>
                  </w:pPr>
                  <w:r>
                    <w:rPr>
                      <w:color w:val="auto"/>
                      <w:sz w:val="24"/>
                    </w:rPr>
                    <w:t>VOCs物料转移和输送无组织排放要</w:t>
                  </w:r>
                </w:p>
                <w:p w14:paraId="30E5C84D">
                  <w:pPr>
                    <w:pStyle w:val="49"/>
                    <w:spacing w:line="240" w:lineRule="auto"/>
                    <w:rPr>
                      <w:color w:val="auto"/>
                      <w:sz w:val="24"/>
                    </w:rPr>
                  </w:pPr>
                  <w:r>
                    <w:rPr>
                      <w:color w:val="auto"/>
                      <w:sz w:val="24"/>
                    </w:rPr>
                    <w:t>求</w:t>
                  </w:r>
                </w:p>
              </w:tc>
              <w:tc>
                <w:tcPr>
                  <w:tcW w:w="3032" w:type="dxa"/>
                  <w:vAlign w:val="center"/>
                </w:tcPr>
                <w:p w14:paraId="21ABD814">
                  <w:pPr>
                    <w:pStyle w:val="49"/>
                    <w:spacing w:line="240" w:lineRule="auto"/>
                    <w:rPr>
                      <w:color w:val="auto"/>
                      <w:sz w:val="24"/>
                    </w:rPr>
                  </w:pPr>
                  <w:r>
                    <w:rPr>
                      <w:color w:val="auto"/>
                      <w:sz w:val="24"/>
                    </w:rPr>
                    <w:t>1、液态VOCs物料应采用密闭管道输送。采用非管道输送方式转移液态VOCs物料时，应采用密闭容器、罐车</w:t>
                  </w:r>
                </w:p>
              </w:tc>
              <w:tc>
                <w:tcPr>
                  <w:tcW w:w="2625" w:type="dxa"/>
                  <w:vAlign w:val="center"/>
                </w:tcPr>
                <w:p w14:paraId="774224E0">
                  <w:pPr>
                    <w:pStyle w:val="49"/>
                    <w:spacing w:line="240" w:lineRule="auto"/>
                    <w:rPr>
                      <w:color w:val="auto"/>
                      <w:sz w:val="24"/>
                    </w:rPr>
                  </w:pPr>
                  <w:r>
                    <w:rPr>
                      <w:color w:val="auto"/>
                      <w:sz w:val="24"/>
                    </w:rPr>
                    <w:t>1、</w:t>
                  </w:r>
                  <w:r>
                    <w:rPr>
                      <w:rFonts w:hint="eastAsia"/>
                      <w:color w:val="auto"/>
                      <w:sz w:val="24"/>
                      <w:highlight w:val="none"/>
                    </w:rPr>
                    <w:t>胶水</w:t>
                  </w:r>
                  <w:r>
                    <w:rPr>
                      <w:color w:val="auto"/>
                      <w:sz w:val="24"/>
                      <w:highlight w:val="none"/>
                    </w:rPr>
                    <w:t>使用时，</w:t>
                  </w:r>
                  <w:r>
                    <w:rPr>
                      <w:color w:val="auto"/>
                      <w:sz w:val="24"/>
                    </w:rPr>
                    <w:t>人工将密闭桶转运至密闭相应工序使用</w:t>
                  </w:r>
                </w:p>
              </w:tc>
              <w:tc>
                <w:tcPr>
                  <w:tcW w:w="830" w:type="dxa"/>
                  <w:vAlign w:val="center"/>
                </w:tcPr>
                <w:p w14:paraId="3BED56F5">
                  <w:pPr>
                    <w:pStyle w:val="49"/>
                    <w:spacing w:line="240" w:lineRule="auto"/>
                    <w:rPr>
                      <w:color w:val="auto"/>
                      <w:sz w:val="24"/>
                    </w:rPr>
                  </w:pPr>
                  <w:r>
                    <w:rPr>
                      <w:color w:val="auto"/>
                      <w:sz w:val="24"/>
                    </w:rPr>
                    <w:t>符合</w:t>
                  </w:r>
                </w:p>
              </w:tc>
            </w:tr>
            <w:tr w14:paraId="3008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Merge w:val="continue"/>
                  <w:vAlign w:val="center"/>
                </w:tcPr>
                <w:p w14:paraId="506BC1C0">
                  <w:pPr>
                    <w:pStyle w:val="49"/>
                    <w:spacing w:line="240" w:lineRule="auto"/>
                    <w:rPr>
                      <w:color w:val="auto"/>
                      <w:sz w:val="24"/>
                    </w:rPr>
                  </w:pPr>
                </w:p>
              </w:tc>
              <w:tc>
                <w:tcPr>
                  <w:tcW w:w="3032" w:type="dxa"/>
                  <w:vAlign w:val="center"/>
                </w:tcPr>
                <w:p w14:paraId="1CE7E8B7">
                  <w:pPr>
                    <w:pStyle w:val="49"/>
                    <w:spacing w:line="240" w:lineRule="auto"/>
                    <w:rPr>
                      <w:color w:val="auto"/>
                      <w:sz w:val="24"/>
                    </w:rPr>
                  </w:pPr>
                  <w:r>
                    <w:rPr>
                      <w:color w:val="auto"/>
                      <w:sz w:val="24"/>
                    </w:rPr>
                    <w:t>2、粉状、粒状VOCs物料应采用气力输送设备、管状带式输送机、螺旋输送机等密闭输送方式，或者采用密闭的包装袋、容器或罐车进行物料转移</w:t>
                  </w:r>
                </w:p>
              </w:tc>
              <w:tc>
                <w:tcPr>
                  <w:tcW w:w="2625" w:type="dxa"/>
                  <w:vAlign w:val="center"/>
                </w:tcPr>
                <w:p w14:paraId="026377E8">
                  <w:pPr>
                    <w:pStyle w:val="49"/>
                    <w:spacing w:line="240" w:lineRule="auto"/>
                    <w:rPr>
                      <w:color w:val="auto"/>
                      <w:sz w:val="24"/>
                    </w:rPr>
                  </w:pPr>
                  <w:r>
                    <w:rPr>
                      <w:color w:val="auto"/>
                      <w:sz w:val="24"/>
                    </w:rPr>
                    <w:t>2、本项目不涉及粉状</w:t>
                  </w:r>
                  <w:r>
                    <w:rPr>
                      <w:rFonts w:hint="eastAsia"/>
                      <w:color w:val="auto"/>
                      <w:sz w:val="24"/>
                      <w:lang w:eastAsia="zh-CN"/>
                    </w:rPr>
                    <w:t>、</w:t>
                  </w:r>
                  <w:r>
                    <w:rPr>
                      <w:rFonts w:hint="eastAsia"/>
                      <w:color w:val="auto"/>
                      <w:sz w:val="24"/>
                      <w:highlight w:val="none"/>
                    </w:rPr>
                    <w:t>粒状</w:t>
                  </w:r>
                  <w:r>
                    <w:rPr>
                      <w:color w:val="auto"/>
                      <w:sz w:val="24"/>
                    </w:rPr>
                    <w:t>VOCs物料</w:t>
                  </w:r>
                  <w:r>
                    <w:rPr>
                      <w:rFonts w:hint="eastAsia"/>
                      <w:color w:val="auto"/>
                      <w:sz w:val="24"/>
                    </w:rPr>
                    <w:t>，</w:t>
                  </w:r>
                  <w:r>
                    <w:rPr>
                      <w:rFonts w:hint="eastAsia"/>
                      <w:color w:val="auto"/>
                      <w:sz w:val="24"/>
                      <w:highlight w:val="none"/>
                    </w:rPr>
                    <w:t>原</w:t>
                  </w:r>
                  <w:r>
                    <w:rPr>
                      <w:rFonts w:hint="eastAsia"/>
                      <w:color w:val="auto"/>
                      <w:sz w:val="24"/>
                    </w:rPr>
                    <w:t>辅料均采用密闭的包装袋进行物料转移</w:t>
                  </w:r>
                </w:p>
              </w:tc>
              <w:tc>
                <w:tcPr>
                  <w:tcW w:w="830" w:type="dxa"/>
                  <w:vAlign w:val="center"/>
                </w:tcPr>
                <w:p w14:paraId="1CBD2E7D">
                  <w:pPr>
                    <w:pStyle w:val="49"/>
                    <w:spacing w:line="240" w:lineRule="auto"/>
                    <w:rPr>
                      <w:color w:val="auto"/>
                      <w:sz w:val="24"/>
                    </w:rPr>
                  </w:pPr>
                  <w:r>
                    <w:rPr>
                      <w:color w:val="auto"/>
                      <w:sz w:val="24"/>
                    </w:rPr>
                    <w:t>符合</w:t>
                  </w:r>
                </w:p>
              </w:tc>
            </w:tr>
            <w:tr w14:paraId="2040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14:paraId="6CA9F997">
                  <w:pPr>
                    <w:pStyle w:val="49"/>
                    <w:spacing w:line="240" w:lineRule="auto"/>
                    <w:rPr>
                      <w:color w:val="auto"/>
                      <w:sz w:val="24"/>
                    </w:rPr>
                  </w:pPr>
                  <w:r>
                    <w:rPr>
                      <w:color w:val="auto"/>
                      <w:sz w:val="24"/>
                    </w:rPr>
                    <w:t>工艺过程VOCs无组织排放控制要求</w:t>
                  </w:r>
                </w:p>
              </w:tc>
              <w:tc>
                <w:tcPr>
                  <w:tcW w:w="3032" w:type="dxa"/>
                  <w:vAlign w:val="center"/>
                </w:tcPr>
                <w:p w14:paraId="7325E745">
                  <w:pPr>
                    <w:pStyle w:val="49"/>
                    <w:spacing w:line="240" w:lineRule="auto"/>
                    <w:rPr>
                      <w:color w:val="auto"/>
                      <w:sz w:val="24"/>
                    </w:rPr>
                  </w:pPr>
                  <w:r>
                    <w:rPr>
                      <w:color w:val="auto"/>
                      <w:sz w:val="24"/>
                    </w:rPr>
                    <w:t>含VOCs产品的使用过程：VOCs质量占比大于等于10%的含VOCs产品，在使用过程采用密闭设备或在密闭空间内操作，废气应排至VOCs废气收集处理系统；无法密闭的，应采取局部气体收集措施，废气外排至VOCs废气收集处理系统</w:t>
                  </w:r>
                </w:p>
              </w:tc>
              <w:tc>
                <w:tcPr>
                  <w:tcW w:w="2625" w:type="dxa"/>
                  <w:vAlign w:val="center"/>
                </w:tcPr>
                <w:p w14:paraId="3D6F5A05">
                  <w:pPr>
                    <w:pStyle w:val="49"/>
                    <w:spacing w:line="240" w:lineRule="auto"/>
                    <w:rPr>
                      <w:rFonts w:hint="eastAsia" w:eastAsia="仿宋"/>
                      <w:color w:val="auto"/>
                      <w:sz w:val="24"/>
                      <w:lang w:eastAsia="zh-CN"/>
                    </w:rPr>
                  </w:pPr>
                  <w:r>
                    <w:rPr>
                      <w:color w:val="auto"/>
                      <w:sz w:val="24"/>
                    </w:rPr>
                    <w:t>项目</w:t>
                  </w:r>
                  <w:r>
                    <w:rPr>
                      <w:rFonts w:hint="eastAsia"/>
                      <w:color w:val="auto"/>
                      <w:sz w:val="24"/>
                      <w:lang w:eastAsia="zh-CN"/>
                    </w:rPr>
                    <w:t>涂布、烘干</w:t>
                  </w:r>
                  <w:r>
                    <w:rPr>
                      <w:rFonts w:hint="eastAsia"/>
                      <w:color w:val="auto"/>
                      <w:sz w:val="24"/>
                    </w:rPr>
                    <w:t>废气</w:t>
                  </w:r>
                  <w:r>
                    <w:rPr>
                      <w:rFonts w:hint="eastAsia"/>
                      <w:color w:val="auto"/>
                      <w:sz w:val="24"/>
                      <w:lang w:eastAsia="zh-CN"/>
                    </w:rPr>
                    <w:t>经过滤棉</w:t>
                  </w:r>
                  <w:r>
                    <w:rPr>
                      <w:rFonts w:hint="eastAsia"/>
                      <w:color w:val="auto"/>
                      <w:sz w:val="24"/>
                      <w:lang w:val="en-US" w:eastAsia="zh-CN"/>
                    </w:rPr>
                    <w:t>+</w:t>
                  </w:r>
                  <w:r>
                    <w:rPr>
                      <w:rFonts w:hint="eastAsia"/>
                      <w:color w:val="auto"/>
                      <w:sz w:val="24"/>
                      <w:lang w:eastAsia="zh-CN"/>
                    </w:rPr>
                    <w:t>二级</w:t>
                  </w:r>
                  <w:r>
                    <w:rPr>
                      <w:rFonts w:hint="eastAsia"/>
                      <w:color w:val="auto"/>
                      <w:sz w:val="24"/>
                    </w:rPr>
                    <w:t>活性炭</w:t>
                  </w:r>
                  <w:r>
                    <w:rPr>
                      <w:rFonts w:hint="eastAsia"/>
                      <w:color w:val="auto"/>
                      <w:sz w:val="24"/>
                      <w:lang w:eastAsia="zh-CN"/>
                    </w:rPr>
                    <w:t>吸附</w:t>
                  </w:r>
                  <w:r>
                    <w:rPr>
                      <w:color w:val="auto"/>
                      <w:sz w:val="24"/>
                    </w:rPr>
                    <w:t>处理</w:t>
                  </w:r>
                  <w:r>
                    <w:rPr>
                      <w:rFonts w:hint="eastAsia"/>
                      <w:color w:val="auto"/>
                      <w:sz w:val="24"/>
                      <w:lang w:eastAsia="zh-CN"/>
                    </w:rPr>
                    <w:t>后有组织排放</w:t>
                  </w:r>
                </w:p>
              </w:tc>
              <w:tc>
                <w:tcPr>
                  <w:tcW w:w="830" w:type="dxa"/>
                  <w:vAlign w:val="center"/>
                </w:tcPr>
                <w:p w14:paraId="7BD9A3E3">
                  <w:pPr>
                    <w:pStyle w:val="49"/>
                    <w:spacing w:line="240" w:lineRule="auto"/>
                    <w:rPr>
                      <w:color w:val="auto"/>
                      <w:sz w:val="24"/>
                    </w:rPr>
                  </w:pPr>
                  <w:r>
                    <w:rPr>
                      <w:color w:val="auto"/>
                      <w:sz w:val="24"/>
                    </w:rPr>
                    <w:t>符合</w:t>
                  </w:r>
                </w:p>
              </w:tc>
            </w:tr>
            <w:tr w14:paraId="3670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14:paraId="71631637">
                  <w:pPr>
                    <w:pStyle w:val="49"/>
                    <w:spacing w:line="240" w:lineRule="auto"/>
                    <w:rPr>
                      <w:color w:val="auto"/>
                      <w:sz w:val="24"/>
                    </w:rPr>
                  </w:pPr>
                  <w:r>
                    <w:rPr>
                      <w:color w:val="auto"/>
                      <w:sz w:val="24"/>
                    </w:rPr>
                    <w:t>VOCs无组织排放废气收集系统要求</w:t>
                  </w:r>
                </w:p>
              </w:tc>
              <w:tc>
                <w:tcPr>
                  <w:tcW w:w="3032" w:type="dxa"/>
                  <w:vAlign w:val="center"/>
                </w:tcPr>
                <w:p w14:paraId="2E9ABDD2">
                  <w:pPr>
                    <w:pStyle w:val="49"/>
                    <w:spacing w:line="240" w:lineRule="auto"/>
                    <w:rPr>
                      <w:color w:val="auto"/>
                      <w:sz w:val="24"/>
                    </w:rPr>
                  </w:pPr>
                  <w:r>
                    <w:rPr>
                      <w:color w:val="auto"/>
                      <w:sz w:val="24"/>
                    </w:rPr>
                    <w:t>VOCs废气收集处理系统应与生产工艺设备同步运行</w:t>
                  </w:r>
                </w:p>
              </w:tc>
              <w:tc>
                <w:tcPr>
                  <w:tcW w:w="2625" w:type="dxa"/>
                  <w:vAlign w:val="center"/>
                </w:tcPr>
                <w:p w14:paraId="1F6BB6F4">
                  <w:pPr>
                    <w:pStyle w:val="49"/>
                    <w:spacing w:line="240" w:lineRule="auto"/>
                    <w:rPr>
                      <w:color w:val="auto"/>
                      <w:sz w:val="24"/>
                    </w:rPr>
                  </w:pPr>
                  <w:r>
                    <w:rPr>
                      <w:color w:val="auto"/>
                      <w:sz w:val="24"/>
                    </w:rPr>
                    <w:t>项目</w:t>
                  </w:r>
                  <w:r>
                    <w:rPr>
                      <w:rFonts w:hint="eastAsia"/>
                      <w:color w:val="auto"/>
                      <w:sz w:val="24"/>
                      <w:lang w:eastAsia="zh-CN"/>
                    </w:rPr>
                    <w:t>涂布、烘干</w:t>
                  </w:r>
                  <w:r>
                    <w:rPr>
                      <w:color w:val="auto"/>
                      <w:sz w:val="24"/>
                    </w:rPr>
                    <w:t>工序运行时，配套的废气处理系统同步运行</w:t>
                  </w:r>
                </w:p>
              </w:tc>
              <w:tc>
                <w:tcPr>
                  <w:tcW w:w="830" w:type="dxa"/>
                  <w:vAlign w:val="center"/>
                </w:tcPr>
                <w:p w14:paraId="6449C6D3">
                  <w:pPr>
                    <w:pStyle w:val="49"/>
                    <w:spacing w:line="240" w:lineRule="auto"/>
                    <w:rPr>
                      <w:color w:val="auto"/>
                      <w:sz w:val="24"/>
                    </w:rPr>
                  </w:pPr>
                  <w:r>
                    <w:rPr>
                      <w:color w:val="auto"/>
                      <w:sz w:val="24"/>
                    </w:rPr>
                    <w:t>符合</w:t>
                  </w:r>
                </w:p>
              </w:tc>
            </w:tr>
            <w:tr w14:paraId="1373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14:paraId="356967B8">
                  <w:pPr>
                    <w:pStyle w:val="49"/>
                    <w:spacing w:line="240" w:lineRule="auto"/>
                    <w:rPr>
                      <w:color w:val="auto"/>
                      <w:sz w:val="24"/>
                    </w:rPr>
                  </w:pPr>
                  <w:r>
                    <w:rPr>
                      <w:color w:val="auto"/>
                      <w:sz w:val="24"/>
                    </w:rPr>
                    <w:t>企业厂区及周边污染监控要求</w:t>
                  </w:r>
                </w:p>
              </w:tc>
              <w:tc>
                <w:tcPr>
                  <w:tcW w:w="3032" w:type="dxa"/>
                  <w:vAlign w:val="center"/>
                </w:tcPr>
                <w:p w14:paraId="44E83993">
                  <w:pPr>
                    <w:pStyle w:val="49"/>
                    <w:spacing w:line="240" w:lineRule="auto"/>
                    <w:rPr>
                      <w:color w:val="auto"/>
                      <w:sz w:val="24"/>
                    </w:rPr>
                  </w:pPr>
                  <w:r>
                    <w:rPr>
                      <w:color w:val="auto"/>
                      <w:sz w:val="24"/>
                    </w:rPr>
                    <w:t>企业边界及周边VOCs监控要求执行GB16297或相关行业排放标准的规定。地方生态环境主管部门可根据当地环境保护要求，对厂区内VOCs无组织排放状况进行监控</w:t>
                  </w:r>
                </w:p>
              </w:tc>
              <w:tc>
                <w:tcPr>
                  <w:tcW w:w="2625" w:type="dxa"/>
                  <w:vAlign w:val="center"/>
                </w:tcPr>
                <w:p w14:paraId="7D33F26E">
                  <w:pPr>
                    <w:pStyle w:val="49"/>
                    <w:spacing w:line="240" w:lineRule="auto"/>
                    <w:rPr>
                      <w:color w:val="auto"/>
                      <w:sz w:val="24"/>
                    </w:rPr>
                  </w:pPr>
                  <w:r>
                    <w:rPr>
                      <w:color w:val="auto"/>
                      <w:sz w:val="24"/>
                    </w:rPr>
                    <w:t>项</w:t>
                  </w:r>
                  <w:r>
                    <w:rPr>
                      <w:i/>
                      <w:iCs/>
                      <w:color w:val="auto"/>
                      <w:sz w:val="24"/>
                    </w:rPr>
                    <w:t>目按</w:t>
                  </w:r>
                  <w:r>
                    <w:rPr>
                      <w:rFonts w:hint="eastAsia"/>
                      <w:i/>
                      <w:iCs/>
                      <w:color w:val="auto"/>
                      <w:sz w:val="24"/>
                      <w:szCs w:val="40"/>
                      <w:lang w:val="en-US" w:eastAsia="zh-CN"/>
                    </w:rPr>
                    <w:t>《合成树脂工业污染物排放标准》（GB31572-2015，含2024年修改单）</w:t>
                  </w:r>
                  <w:r>
                    <w:rPr>
                      <w:rFonts w:hint="eastAsia"/>
                      <w:color w:val="auto"/>
                      <w:sz w:val="24"/>
                      <w:lang w:eastAsia="zh-CN"/>
                    </w:rPr>
                    <w:t>、</w:t>
                  </w:r>
                  <w:r>
                    <w:rPr>
                      <w:color w:val="auto"/>
                      <w:sz w:val="24"/>
                      <w:highlight w:val="none"/>
                    </w:rPr>
                    <w:t>《挥发性有机物无组织排放控制标准》（GB37822-2019）</w:t>
                  </w:r>
                  <w:r>
                    <w:rPr>
                      <w:color w:val="auto"/>
                      <w:sz w:val="24"/>
                    </w:rPr>
                    <w:t>、《恶臭污染物排放标准》（GB14554-93）要求布设厂界及厂区内VOCs监测点</w:t>
                  </w:r>
                </w:p>
              </w:tc>
              <w:tc>
                <w:tcPr>
                  <w:tcW w:w="830" w:type="dxa"/>
                  <w:vAlign w:val="center"/>
                </w:tcPr>
                <w:p w14:paraId="37F6B65F">
                  <w:pPr>
                    <w:pStyle w:val="49"/>
                    <w:spacing w:line="240" w:lineRule="auto"/>
                    <w:rPr>
                      <w:color w:val="auto"/>
                      <w:sz w:val="24"/>
                    </w:rPr>
                  </w:pPr>
                  <w:r>
                    <w:rPr>
                      <w:color w:val="auto"/>
                      <w:sz w:val="24"/>
                    </w:rPr>
                    <w:t>符合</w:t>
                  </w:r>
                </w:p>
              </w:tc>
            </w:tr>
            <w:tr w14:paraId="0B22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14:paraId="33E5F817">
                  <w:pPr>
                    <w:pStyle w:val="49"/>
                    <w:spacing w:line="240" w:lineRule="auto"/>
                    <w:rPr>
                      <w:color w:val="auto"/>
                      <w:sz w:val="24"/>
                    </w:rPr>
                  </w:pPr>
                  <w:r>
                    <w:rPr>
                      <w:color w:val="auto"/>
                      <w:sz w:val="24"/>
                    </w:rPr>
                    <w:t>污染物监测要求</w:t>
                  </w:r>
                </w:p>
              </w:tc>
              <w:tc>
                <w:tcPr>
                  <w:tcW w:w="3032" w:type="dxa"/>
                  <w:vAlign w:val="center"/>
                </w:tcPr>
                <w:p w14:paraId="14D9439B">
                  <w:pPr>
                    <w:pStyle w:val="49"/>
                    <w:spacing w:line="240" w:lineRule="auto"/>
                    <w:rPr>
                      <w:color w:val="auto"/>
                      <w:sz w:val="24"/>
                    </w:rPr>
                  </w:pPr>
                  <w:r>
                    <w:rPr>
                      <w:color w:val="auto"/>
                      <w:sz w:val="24"/>
                    </w:rPr>
                    <w:t>企业应按照有关法律、《环境监测管理办法》和HJ819等规定，建立企业监测制度，制定监测方案，对污染物排放状况及其对周边环境质量的影响开展自行监测，保存原始监测记录，并公布监测结果</w:t>
                  </w:r>
                </w:p>
              </w:tc>
              <w:tc>
                <w:tcPr>
                  <w:tcW w:w="2625" w:type="dxa"/>
                  <w:vAlign w:val="center"/>
                </w:tcPr>
                <w:p w14:paraId="5DC02A2D">
                  <w:pPr>
                    <w:pStyle w:val="49"/>
                    <w:spacing w:line="240" w:lineRule="auto"/>
                    <w:jc w:val="left"/>
                    <w:rPr>
                      <w:color w:val="auto"/>
                      <w:sz w:val="24"/>
                    </w:rPr>
                  </w:pPr>
                  <w:r>
                    <w:rPr>
                      <w:color w:val="auto"/>
                      <w:sz w:val="24"/>
                    </w:rPr>
                    <w:t>项目运营期将按照</w:t>
                  </w:r>
                  <w:r>
                    <w:rPr>
                      <w:rFonts w:hint="eastAsia"/>
                      <w:color w:val="auto"/>
                      <w:sz w:val="24"/>
                    </w:rPr>
                    <w:t>《排污单位自行监测技术指南总则》、《排污许可证申请与核发技术规范橡胶和塑料制品工业》（HJ1122-2020）、《排污单位自行监测技术指南橡胶和塑料制品》（HJ1207-2021）</w:t>
                  </w:r>
                  <w:r>
                    <w:rPr>
                      <w:color w:val="auto"/>
                      <w:sz w:val="24"/>
                    </w:rPr>
                    <w:t>制定的监测计划，开始自行监测，保存原始监测记录，并公布监测结果</w:t>
                  </w:r>
                </w:p>
              </w:tc>
              <w:tc>
                <w:tcPr>
                  <w:tcW w:w="830" w:type="dxa"/>
                  <w:vAlign w:val="center"/>
                </w:tcPr>
                <w:p w14:paraId="24EA6F9A">
                  <w:pPr>
                    <w:pStyle w:val="49"/>
                    <w:spacing w:line="240" w:lineRule="auto"/>
                    <w:rPr>
                      <w:color w:val="auto"/>
                      <w:sz w:val="24"/>
                    </w:rPr>
                  </w:pPr>
                  <w:r>
                    <w:rPr>
                      <w:color w:val="auto"/>
                      <w:sz w:val="24"/>
                    </w:rPr>
                    <w:t>符合</w:t>
                  </w:r>
                </w:p>
              </w:tc>
            </w:tr>
          </w:tbl>
          <w:p w14:paraId="3AABB83F">
            <w:pPr>
              <w:ind w:firstLine="560"/>
              <w:rPr>
                <w:rFonts w:hint="eastAsia"/>
                <w:color w:val="auto"/>
                <w:sz w:val="28"/>
                <w:szCs w:val="28"/>
              </w:rPr>
            </w:pPr>
            <w:r>
              <w:rPr>
                <w:color w:val="auto"/>
                <w:sz w:val="28"/>
                <w:szCs w:val="28"/>
              </w:rPr>
              <w:t>由表1-</w:t>
            </w:r>
            <w:r>
              <w:rPr>
                <w:rFonts w:hint="eastAsia"/>
                <w:color w:val="auto"/>
                <w:sz w:val="28"/>
                <w:szCs w:val="28"/>
              </w:rPr>
              <w:t>10</w:t>
            </w:r>
            <w:r>
              <w:rPr>
                <w:color w:val="auto"/>
                <w:sz w:val="28"/>
                <w:szCs w:val="28"/>
              </w:rPr>
              <w:t>中所列对比结果可见，本项目符合</w:t>
            </w:r>
            <w:r>
              <w:rPr>
                <w:rFonts w:hint="eastAsia"/>
                <w:color w:val="auto"/>
                <w:sz w:val="28"/>
                <w:szCs w:val="28"/>
              </w:rPr>
              <w:t>《挥发性有机物无组织排放控制标准》（GB37822-2019）</w:t>
            </w:r>
            <w:r>
              <w:rPr>
                <w:color w:val="auto"/>
                <w:sz w:val="28"/>
                <w:szCs w:val="28"/>
              </w:rPr>
              <w:t>的相关要求</w:t>
            </w:r>
            <w:r>
              <w:rPr>
                <w:rFonts w:hint="eastAsia"/>
                <w:color w:val="auto"/>
                <w:sz w:val="28"/>
                <w:szCs w:val="28"/>
              </w:rPr>
              <w:t>。</w:t>
            </w:r>
          </w:p>
          <w:p w14:paraId="1240B0C5">
            <w:pPr>
              <w:pStyle w:val="13"/>
              <w:numPr>
                <w:ilvl w:val="0"/>
                <w:numId w:val="9"/>
              </w:numPr>
              <w:rPr>
                <w:b/>
                <w:bCs/>
                <w:color w:val="auto"/>
                <w:sz w:val="28"/>
                <w:szCs w:val="21"/>
              </w:rPr>
            </w:pPr>
            <w:r>
              <w:rPr>
                <w:b/>
                <w:bCs/>
                <w:color w:val="auto"/>
                <w:sz w:val="28"/>
                <w:szCs w:val="21"/>
              </w:rPr>
              <w:t>与《关于印发《2020年挥发性有机物治理攻坚方案》的通知》符合性分析</w:t>
            </w:r>
          </w:p>
          <w:p w14:paraId="70F277D9">
            <w:pPr>
              <w:pStyle w:val="14"/>
              <w:keepNext w:val="0"/>
              <w:keepLines w:val="0"/>
              <w:pageBreakBefore w:val="0"/>
              <w:widowControl w:val="0"/>
              <w:numPr>
                <w:ilvl w:val="0"/>
                <w:numId w:val="0"/>
              </w:numPr>
              <w:kinsoku/>
              <w:wordWrap/>
              <w:overflowPunct/>
              <w:topLinePunct w:val="0"/>
              <w:autoSpaceDE/>
              <w:autoSpaceDN/>
              <w:bidi w:val="0"/>
              <w:adjustRightInd w:val="0"/>
              <w:snapToGrid w:val="0"/>
              <w:ind w:leftChars="0" w:firstLine="560" w:firstLineChars="200"/>
              <w:textAlignment w:val="auto"/>
              <w:rPr>
                <w:rFonts w:hint="eastAsia"/>
                <w:color w:val="auto"/>
                <w:kern w:val="0"/>
                <w:sz w:val="28"/>
                <w:szCs w:val="28"/>
                <w:lang w:eastAsia="zh-CN" w:bidi="ar"/>
              </w:rPr>
            </w:pPr>
            <w:r>
              <w:rPr>
                <w:rFonts w:hint="eastAsia"/>
                <w:color w:val="auto"/>
                <w:kern w:val="0"/>
                <w:sz w:val="28"/>
                <w:szCs w:val="28"/>
                <w:lang w:bidi="ar"/>
              </w:rPr>
              <w:t>本</w:t>
            </w:r>
            <w:r>
              <w:rPr>
                <w:color w:val="auto"/>
                <w:kern w:val="0"/>
                <w:sz w:val="28"/>
                <w:szCs w:val="28"/>
                <w:lang w:bidi="ar"/>
              </w:rPr>
              <w:t>项目与关于印发《2020年挥发性有机物治理攻坚方案的通知》（环大气</w:t>
            </w:r>
            <w:r>
              <w:rPr>
                <w:rFonts w:hint="eastAsia"/>
                <w:color w:val="auto"/>
                <w:kern w:val="0"/>
                <w:sz w:val="28"/>
                <w:szCs w:val="28"/>
                <w:lang w:eastAsia="zh-CN" w:bidi="ar"/>
              </w:rPr>
              <w:t>〔2020〕33号</w:t>
            </w:r>
            <w:r>
              <w:rPr>
                <w:color w:val="auto"/>
                <w:kern w:val="0"/>
                <w:sz w:val="28"/>
                <w:szCs w:val="28"/>
                <w:lang w:bidi="ar"/>
              </w:rPr>
              <w:t>）中相关要求符合性见下表</w:t>
            </w:r>
            <w:r>
              <w:rPr>
                <w:rFonts w:hint="eastAsia"/>
                <w:color w:val="auto"/>
                <w:kern w:val="0"/>
                <w:sz w:val="28"/>
                <w:szCs w:val="28"/>
                <w:lang w:eastAsia="zh-CN" w:bidi="ar"/>
              </w:rPr>
              <w:t>。</w:t>
            </w:r>
          </w:p>
          <w:p w14:paraId="23FBA9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1"/>
              <w:rPr>
                <w:rFonts w:hint="eastAsia"/>
                <w:b/>
                <w:bCs w:val="0"/>
                <w:color w:val="auto"/>
                <w:sz w:val="24"/>
              </w:rPr>
            </w:pPr>
            <w:r>
              <w:rPr>
                <w:b/>
                <w:bCs w:val="0"/>
                <w:color w:val="auto"/>
                <w:sz w:val="24"/>
              </w:rPr>
              <w:t>表</w:t>
            </w:r>
            <w:r>
              <w:rPr>
                <w:rFonts w:hint="eastAsia"/>
                <w:b/>
                <w:bCs w:val="0"/>
                <w:color w:val="auto"/>
                <w:sz w:val="24"/>
              </w:rPr>
              <w:t>1-</w:t>
            </w:r>
            <w:r>
              <w:rPr>
                <w:rFonts w:hint="eastAsia"/>
                <w:b/>
                <w:bCs w:val="0"/>
                <w:color w:val="auto"/>
                <w:sz w:val="24"/>
                <w:lang w:val="en-US" w:eastAsia="zh-CN"/>
              </w:rPr>
              <w:t>11</w:t>
            </w:r>
            <w:r>
              <w:rPr>
                <w:b/>
                <w:bCs w:val="0"/>
                <w:color w:val="auto"/>
                <w:sz w:val="24"/>
              </w:rPr>
              <w:t>与《2020年挥发性有机物治理攻坚方案的通知》</w:t>
            </w:r>
            <w:r>
              <w:rPr>
                <w:rFonts w:hint="eastAsia"/>
                <w:b/>
                <w:bCs w:val="0"/>
                <w:color w:val="auto"/>
                <w:sz w:val="24"/>
              </w:rPr>
              <w:t>的</w:t>
            </w:r>
            <w:r>
              <w:rPr>
                <w:b/>
                <w:bCs w:val="0"/>
                <w:color w:val="auto"/>
                <w:sz w:val="24"/>
              </w:rPr>
              <w:t>符合性</w:t>
            </w:r>
            <w:r>
              <w:rPr>
                <w:rFonts w:hint="eastAsia"/>
                <w:b/>
                <w:bCs w:val="0"/>
                <w:color w:val="auto"/>
                <w:sz w:val="24"/>
              </w:rPr>
              <w:t>分析</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2"/>
              <w:gridCol w:w="2360"/>
              <w:gridCol w:w="785"/>
            </w:tblGrid>
            <w:tr w14:paraId="0C33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830" w:type="pct"/>
                  <w:noWrap w:val="0"/>
                  <w:vAlign w:val="center"/>
                </w:tcPr>
                <w:p w14:paraId="7DA08C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4"/>
                      <w:szCs w:val="24"/>
                    </w:rPr>
                  </w:pPr>
                  <w:r>
                    <w:rPr>
                      <w:color w:val="auto"/>
                      <w:sz w:val="24"/>
                      <w:szCs w:val="24"/>
                    </w:rPr>
                    <w:t>2020年挥发性有机物治理攻坚方案的通知要求</w:t>
                  </w:r>
                </w:p>
              </w:tc>
              <w:tc>
                <w:tcPr>
                  <w:tcW w:w="1628" w:type="pct"/>
                  <w:noWrap w:val="0"/>
                  <w:vAlign w:val="center"/>
                </w:tcPr>
                <w:p w14:paraId="372918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4"/>
                      <w:szCs w:val="24"/>
                    </w:rPr>
                  </w:pPr>
                  <w:r>
                    <w:rPr>
                      <w:rFonts w:hint="eastAsia"/>
                      <w:color w:val="auto"/>
                      <w:sz w:val="24"/>
                      <w:szCs w:val="24"/>
                      <w:lang w:eastAsia="zh-CN"/>
                    </w:rPr>
                    <w:t>本</w:t>
                  </w:r>
                  <w:r>
                    <w:rPr>
                      <w:color w:val="auto"/>
                      <w:sz w:val="24"/>
                      <w:szCs w:val="24"/>
                    </w:rPr>
                    <w:t>项目情况</w:t>
                  </w:r>
                </w:p>
              </w:tc>
              <w:tc>
                <w:tcPr>
                  <w:tcW w:w="541" w:type="pct"/>
                  <w:noWrap w:val="0"/>
                  <w:vAlign w:val="center"/>
                </w:tcPr>
                <w:p w14:paraId="3A4A3D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4"/>
                      <w:szCs w:val="24"/>
                    </w:rPr>
                  </w:pPr>
                  <w:r>
                    <w:rPr>
                      <w:color w:val="auto"/>
                      <w:sz w:val="24"/>
                      <w:szCs w:val="24"/>
                    </w:rPr>
                    <w:t>符合性</w:t>
                  </w:r>
                </w:p>
              </w:tc>
            </w:tr>
            <w:tr w14:paraId="3FCB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2830" w:type="pct"/>
                  <w:noWrap w:val="0"/>
                  <w:vAlign w:val="center"/>
                </w:tcPr>
                <w:p w14:paraId="3313EBE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color w:val="auto"/>
                      <w:sz w:val="24"/>
                      <w:szCs w:val="24"/>
                    </w:rPr>
                  </w:pPr>
                  <w:r>
                    <w:rPr>
                      <w:color w:val="auto"/>
                      <w:kern w:val="0"/>
                      <w:sz w:val="24"/>
                      <w:szCs w:val="24"/>
                      <w:lang w:bidi="ar"/>
                    </w:rPr>
                    <w:t>大力推进低（无）VOCs含量原辅材料替代。企业应建立原辅材料台账，记录VOCs原辅材料名称、成分、VOCs含量、采购量、使用量、库存量、回收方式、回收量等信息，并保存相关证明材料。</w:t>
                  </w:r>
                </w:p>
              </w:tc>
              <w:tc>
                <w:tcPr>
                  <w:tcW w:w="1628" w:type="pct"/>
                  <w:noWrap w:val="0"/>
                  <w:vAlign w:val="center"/>
                </w:tcPr>
                <w:p w14:paraId="45F4A9E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4"/>
                      <w:szCs w:val="24"/>
                    </w:rPr>
                  </w:pPr>
                  <w:r>
                    <w:rPr>
                      <w:rFonts w:hint="eastAsia"/>
                      <w:color w:val="auto"/>
                      <w:sz w:val="24"/>
                      <w:szCs w:val="24"/>
                    </w:rPr>
                    <w:t>本项目使用的</w:t>
                  </w:r>
                  <w:r>
                    <w:rPr>
                      <w:rFonts w:hint="eastAsia"/>
                      <w:color w:val="auto"/>
                      <w:sz w:val="24"/>
                      <w:szCs w:val="24"/>
                      <w:lang w:val="en-US" w:eastAsia="zh-CN"/>
                    </w:rPr>
                    <w:t>胶水属于</w:t>
                  </w:r>
                  <w:r>
                    <w:rPr>
                      <w:color w:val="auto"/>
                      <w:kern w:val="0"/>
                      <w:sz w:val="24"/>
                      <w:szCs w:val="24"/>
                      <w:lang w:bidi="ar"/>
                    </w:rPr>
                    <w:t>低VOCs含量</w:t>
                  </w:r>
                  <w:r>
                    <w:rPr>
                      <w:rFonts w:hint="eastAsia"/>
                      <w:color w:val="auto"/>
                      <w:kern w:val="0"/>
                      <w:sz w:val="24"/>
                      <w:szCs w:val="24"/>
                      <w:lang w:eastAsia="zh-CN" w:bidi="ar"/>
                    </w:rPr>
                    <w:t>，评价要求企业在使用过程中建立相应台账记录其</w:t>
                  </w:r>
                  <w:r>
                    <w:rPr>
                      <w:color w:val="auto"/>
                      <w:kern w:val="0"/>
                      <w:sz w:val="24"/>
                      <w:szCs w:val="24"/>
                      <w:lang w:bidi="ar"/>
                    </w:rPr>
                    <w:t>使用量、库存量</w:t>
                  </w:r>
                  <w:r>
                    <w:rPr>
                      <w:rFonts w:hint="eastAsia"/>
                      <w:color w:val="auto"/>
                      <w:kern w:val="0"/>
                      <w:sz w:val="24"/>
                      <w:szCs w:val="24"/>
                      <w:lang w:eastAsia="zh-CN" w:bidi="ar"/>
                    </w:rPr>
                    <w:t>等信息，</w:t>
                  </w:r>
                  <w:r>
                    <w:rPr>
                      <w:rFonts w:hint="eastAsia"/>
                      <w:color w:val="auto"/>
                      <w:sz w:val="24"/>
                      <w:szCs w:val="24"/>
                      <w:lang w:val="en-US" w:eastAsia="zh-CN"/>
                    </w:rPr>
                    <w:t>在涂胶和烘烤过程中</w:t>
                  </w:r>
                  <w:r>
                    <w:rPr>
                      <w:rFonts w:hint="eastAsia"/>
                      <w:color w:val="auto"/>
                      <w:sz w:val="24"/>
                      <w:szCs w:val="24"/>
                    </w:rPr>
                    <w:t>产生的有机废气经</w:t>
                  </w:r>
                  <w:r>
                    <w:rPr>
                      <w:rFonts w:hint="eastAsia"/>
                      <w:color w:val="auto"/>
                      <w:sz w:val="24"/>
                      <w:szCs w:val="24"/>
                      <w:lang w:eastAsia="zh-CN"/>
                    </w:rPr>
                    <w:t>过滤棉</w:t>
                  </w:r>
                  <w:r>
                    <w:rPr>
                      <w:rFonts w:hint="eastAsia"/>
                      <w:color w:val="auto"/>
                      <w:sz w:val="24"/>
                      <w:szCs w:val="24"/>
                      <w:lang w:val="en-US" w:eastAsia="zh-CN"/>
                    </w:rPr>
                    <w:t>+二级</w:t>
                  </w:r>
                  <w:r>
                    <w:rPr>
                      <w:rFonts w:hint="eastAsia"/>
                      <w:color w:val="auto"/>
                      <w:kern w:val="0"/>
                      <w:sz w:val="24"/>
                      <w:szCs w:val="24"/>
                    </w:rPr>
                    <w:t>活性炭吸附</w:t>
                  </w:r>
                  <w:r>
                    <w:rPr>
                      <w:rFonts w:hint="eastAsia"/>
                      <w:color w:val="auto"/>
                      <w:sz w:val="24"/>
                      <w:szCs w:val="24"/>
                    </w:rPr>
                    <w:t>处理后能达标排放。</w:t>
                  </w:r>
                </w:p>
              </w:tc>
              <w:tc>
                <w:tcPr>
                  <w:tcW w:w="541" w:type="pct"/>
                  <w:noWrap w:val="0"/>
                  <w:vAlign w:val="center"/>
                </w:tcPr>
                <w:p w14:paraId="520473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4"/>
                      <w:szCs w:val="24"/>
                    </w:rPr>
                  </w:pPr>
                  <w:r>
                    <w:rPr>
                      <w:color w:val="auto"/>
                      <w:sz w:val="24"/>
                      <w:szCs w:val="24"/>
                    </w:rPr>
                    <w:t>符合</w:t>
                  </w:r>
                </w:p>
              </w:tc>
            </w:tr>
            <w:tr w14:paraId="3762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2830" w:type="pct"/>
                  <w:noWrap w:val="0"/>
                  <w:vAlign w:val="center"/>
                </w:tcPr>
                <w:p w14:paraId="6CA50E42">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color w:val="auto"/>
                      <w:sz w:val="24"/>
                      <w:szCs w:val="24"/>
                    </w:rPr>
                  </w:pPr>
                  <w:r>
                    <w:rPr>
                      <w:color w:val="auto"/>
                      <w:kern w:val="0"/>
                      <w:sz w:val="24"/>
                      <w:szCs w:val="24"/>
                      <w:lang w:bidi="ar"/>
                    </w:rPr>
                    <w:t>聚焦治污设施“三率”，提升综合治理效率：组织企业对现有VOCs废气收集率、治理设施同步运行率和去除率开展自查，优先采用密闭设备、在密闭空间中操作或采用全密闭集气罩收集方式。</w:t>
                  </w:r>
                </w:p>
              </w:tc>
              <w:tc>
                <w:tcPr>
                  <w:tcW w:w="1628" w:type="pct"/>
                  <w:noWrap w:val="0"/>
                  <w:vAlign w:val="center"/>
                </w:tcPr>
                <w:p w14:paraId="1ECEED7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color w:val="auto"/>
                      <w:sz w:val="24"/>
                      <w:szCs w:val="24"/>
                    </w:rPr>
                  </w:pPr>
                  <w:r>
                    <w:rPr>
                      <w:rFonts w:hint="eastAsia"/>
                      <w:color w:val="auto"/>
                      <w:kern w:val="0"/>
                      <w:sz w:val="24"/>
                      <w:szCs w:val="24"/>
                    </w:rPr>
                    <w:t>项目产生的有机废气经</w:t>
                  </w:r>
                  <w:r>
                    <w:rPr>
                      <w:rFonts w:hint="eastAsia"/>
                      <w:color w:val="auto"/>
                      <w:kern w:val="0"/>
                      <w:sz w:val="24"/>
                      <w:szCs w:val="24"/>
                      <w:lang w:eastAsia="zh-CN"/>
                    </w:rPr>
                    <w:t>集气罩</w:t>
                  </w:r>
                  <w:r>
                    <w:rPr>
                      <w:rFonts w:hint="eastAsia"/>
                      <w:color w:val="auto"/>
                      <w:kern w:val="0"/>
                      <w:sz w:val="24"/>
                      <w:szCs w:val="24"/>
                    </w:rPr>
                    <w:t>收集后</w:t>
                  </w:r>
                  <w:r>
                    <w:rPr>
                      <w:rFonts w:hint="eastAsia"/>
                      <w:color w:val="auto"/>
                      <w:kern w:val="0"/>
                      <w:sz w:val="24"/>
                      <w:szCs w:val="24"/>
                      <w:lang w:val="en-US" w:eastAsia="zh-CN"/>
                    </w:rPr>
                    <w:t>经</w:t>
                  </w:r>
                  <w:r>
                    <w:rPr>
                      <w:rFonts w:hint="eastAsia"/>
                      <w:color w:val="auto"/>
                      <w:sz w:val="24"/>
                      <w:szCs w:val="24"/>
                      <w:lang w:eastAsia="zh-CN"/>
                    </w:rPr>
                    <w:t>过滤棉</w:t>
                  </w:r>
                  <w:r>
                    <w:rPr>
                      <w:rFonts w:hint="eastAsia"/>
                      <w:color w:val="auto"/>
                      <w:sz w:val="24"/>
                      <w:szCs w:val="24"/>
                      <w:lang w:val="en-US" w:eastAsia="zh-CN"/>
                    </w:rPr>
                    <w:t>+</w:t>
                  </w:r>
                  <w:r>
                    <w:rPr>
                      <w:rFonts w:hint="eastAsia"/>
                      <w:color w:val="auto"/>
                      <w:kern w:val="0"/>
                      <w:sz w:val="24"/>
                      <w:szCs w:val="24"/>
                      <w:lang w:val="en-US" w:eastAsia="zh-CN"/>
                    </w:rPr>
                    <w:t>二级</w:t>
                  </w:r>
                  <w:r>
                    <w:rPr>
                      <w:rFonts w:hint="eastAsia"/>
                      <w:color w:val="auto"/>
                      <w:kern w:val="0"/>
                      <w:sz w:val="24"/>
                      <w:szCs w:val="24"/>
                    </w:rPr>
                    <w:t>活性炭吸附处理，</w:t>
                  </w:r>
                  <w:r>
                    <w:rPr>
                      <w:color w:val="auto"/>
                      <w:kern w:val="0"/>
                      <w:sz w:val="24"/>
                      <w:szCs w:val="24"/>
                    </w:rPr>
                    <w:t>可实现达标排放。</w:t>
                  </w:r>
                </w:p>
              </w:tc>
              <w:tc>
                <w:tcPr>
                  <w:tcW w:w="541" w:type="pct"/>
                  <w:noWrap w:val="0"/>
                  <w:vAlign w:val="center"/>
                </w:tcPr>
                <w:p w14:paraId="0A01837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z w:val="24"/>
                      <w:szCs w:val="24"/>
                    </w:rPr>
                  </w:pPr>
                  <w:r>
                    <w:rPr>
                      <w:color w:val="auto"/>
                      <w:sz w:val="24"/>
                      <w:szCs w:val="24"/>
                    </w:rPr>
                    <w:t>符合</w:t>
                  </w:r>
                </w:p>
              </w:tc>
            </w:tr>
          </w:tbl>
          <w:p w14:paraId="071B8749">
            <w:pPr>
              <w:pStyle w:val="14"/>
              <w:keepNext w:val="0"/>
              <w:keepLines w:val="0"/>
              <w:pageBreakBefore w:val="0"/>
              <w:widowControl w:val="0"/>
              <w:numPr>
                <w:ilvl w:val="0"/>
                <w:numId w:val="0"/>
              </w:numPr>
              <w:kinsoku/>
              <w:wordWrap/>
              <w:overflowPunct/>
              <w:topLinePunct w:val="0"/>
              <w:autoSpaceDE/>
              <w:autoSpaceDN/>
              <w:bidi w:val="0"/>
              <w:adjustRightInd w:val="0"/>
              <w:snapToGrid w:val="0"/>
              <w:ind w:leftChars="0" w:firstLine="560" w:firstLineChars="200"/>
              <w:textAlignment w:val="auto"/>
              <w:rPr>
                <w:rFonts w:hint="eastAsia"/>
                <w:color w:val="auto"/>
                <w:kern w:val="0"/>
                <w:sz w:val="28"/>
                <w:szCs w:val="28"/>
                <w:lang w:eastAsia="zh-CN" w:bidi="ar"/>
              </w:rPr>
            </w:pPr>
            <w:r>
              <w:rPr>
                <w:rFonts w:hint="eastAsia"/>
                <w:color w:val="auto"/>
                <w:kern w:val="0"/>
                <w:sz w:val="28"/>
                <w:szCs w:val="28"/>
                <w:lang w:bidi="ar"/>
              </w:rPr>
              <w:t>综上所述，本项目符合</w:t>
            </w:r>
            <w:r>
              <w:rPr>
                <w:color w:val="auto"/>
                <w:kern w:val="0"/>
                <w:sz w:val="28"/>
                <w:szCs w:val="28"/>
                <w:lang w:bidi="ar"/>
              </w:rPr>
              <w:t>《2020年挥发性有机物治理攻坚方案的通知》（环大气</w:t>
            </w:r>
            <w:r>
              <w:rPr>
                <w:rFonts w:hint="eastAsia"/>
                <w:color w:val="auto"/>
                <w:kern w:val="0"/>
                <w:sz w:val="28"/>
                <w:szCs w:val="28"/>
                <w:lang w:eastAsia="zh-CN" w:bidi="ar"/>
              </w:rPr>
              <w:t>〔2020〕33号</w:t>
            </w:r>
            <w:r>
              <w:rPr>
                <w:color w:val="auto"/>
                <w:kern w:val="0"/>
                <w:sz w:val="28"/>
                <w:szCs w:val="28"/>
                <w:lang w:bidi="ar"/>
              </w:rPr>
              <w:t>）中</w:t>
            </w:r>
            <w:r>
              <w:rPr>
                <w:rFonts w:hint="eastAsia"/>
                <w:color w:val="auto"/>
                <w:kern w:val="0"/>
                <w:sz w:val="28"/>
                <w:szCs w:val="28"/>
                <w:lang w:bidi="ar"/>
              </w:rPr>
              <w:t>的</w:t>
            </w:r>
            <w:r>
              <w:rPr>
                <w:color w:val="auto"/>
                <w:kern w:val="0"/>
                <w:sz w:val="28"/>
                <w:szCs w:val="28"/>
                <w:lang w:bidi="ar"/>
              </w:rPr>
              <w:t>相关要求</w:t>
            </w:r>
            <w:r>
              <w:rPr>
                <w:rFonts w:hint="eastAsia"/>
                <w:color w:val="auto"/>
                <w:kern w:val="0"/>
                <w:sz w:val="28"/>
                <w:szCs w:val="28"/>
                <w:lang w:bidi="ar"/>
              </w:rPr>
              <w:t>。</w:t>
            </w:r>
          </w:p>
        </w:tc>
      </w:tr>
    </w:tbl>
    <w:p w14:paraId="0BA704EB">
      <w:pPr>
        <w:ind w:firstLine="560"/>
        <w:outlineLvl w:val="0"/>
        <w:rPr>
          <w:color w:val="auto"/>
          <w:sz w:val="28"/>
        </w:rPr>
        <w:sectPr>
          <w:pgSz w:w="11906" w:h="16838"/>
          <w:pgMar w:top="1701" w:right="1531" w:bottom="1701" w:left="1531" w:header="851" w:footer="1077" w:gutter="0"/>
          <w:cols w:space="720" w:num="1"/>
          <w:docGrid w:linePitch="312" w:charSpace="0"/>
        </w:sectPr>
      </w:pPr>
    </w:p>
    <w:p w14:paraId="4E92F9FB">
      <w:pPr>
        <w:pStyle w:val="28"/>
        <w:numPr>
          <w:ilvl w:val="0"/>
          <w:numId w:val="10"/>
        </w:numPr>
        <w:spacing w:before="0" w:line="240" w:lineRule="auto"/>
        <w:ind w:firstLine="0" w:firstLineChars="0"/>
        <w:rPr>
          <w:rFonts w:eastAsia="仿宋" w:cs="仿宋"/>
          <w:color w:val="auto"/>
        </w:rPr>
      </w:pPr>
      <w:r>
        <w:rPr>
          <w:rFonts w:hint="eastAsia" w:eastAsia="仿宋" w:cs="仿宋"/>
          <w:snapToGrid w:val="0"/>
          <w:color w:val="auto"/>
        </w:rPr>
        <w:t>建设项目工程分析</w:t>
      </w:r>
    </w:p>
    <w:tbl>
      <w:tblPr>
        <w:tblStyle w:val="3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0071"/>
      </w:tblGrid>
      <w:tr w14:paraId="36EF4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Align w:val="center"/>
          </w:tcPr>
          <w:p w14:paraId="6810D345">
            <w:pPr>
              <w:pStyle w:val="49"/>
              <w:rPr>
                <w:color w:val="auto"/>
              </w:rPr>
            </w:pPr>
            <w:r>
              <w:rPr>
                <w:rFonts w:hint="eastAsia"/>
                <w:color w:val="auto"/>
                <w:sz w:val="28"/>
              </w:rPr>
              <w:t>建设内容</w:t>
            </w:r>
          </w:p>
        </w:tc>
        <w:tc>
          <w:tcPr>
            <w:tcW w:w="8208" w:type="dxa"/>
          </w:tcPr>
          <w:p w14:paraId="50E721F1">
            <w:pPr>
              <w:pStyle w:val="53"/>
              <w:spacing w:before="120"/>
              <w:rPr>
                <w:color w:val="auto"/>
                <w:sz w:val="28"/>
              </w:rPr>
            </w:pPr>
            <w:bookmarkStart w:id="1" w:name="_Toc34494946"/>
            <w:bookmarkStart w:id="2" w:name="_Toc34490616"/>
            <w:bookmarkStart w:id="3" w:name="_Toc34493753"/>
            <w:bookmarkStart w:id="4" w:name="_Toc34491701"/>
            <w:r>
              <w:rPr>
                <w:rFonts w:hint="eastAsia"/>
                <w:color w:val="auto"/>
                <w:sz w:val="28"/>
                <w:lang w:val="en-US"/>
              </w:rPr>
              <w:t>2.</w:t>
            </w:r>
            <w:r>
              <w:rPr>
                <w:color w:val="auto"/>
                <w:sz w:val="28"/>
              </w:rPr>
              <w:t>1</w:t>
            </w:r>
            <w:r>
              <w:rPr>
                <w:rFonts w:hint="eastAsia"/>
                <w:color w:val="auto"/>
                <w:sz w:val="28"/>
              </w:rPr>
              <w:t>项目由来</w:t>
            </w:r>
          </w:p>
          <w:p w14:paraId="0A69E4E2">
            <w:pPr>
              <w:ind w:firstLine="560"/>
              <w:jc w:val="left"/>
              <w:rPr>
                <w:color w:val="auto"/>
                <w:sz w:val="28"/>
              </w:rPr>
            </w:pPr>
            <w:r>
              <w:rPr>
                <w:rFonts w:hint="eastAsia"/>
                <w:color w:val="auto"/>
                <w:sz w:val="28"/>
              </w:rPr>
              <w:t>重庆骄景科技有限公司（统一</w:t>
            </w:r>
            <w:r>
              <w:rPr>
                <w:rFonts w:hint="eastAsia"/>
                <w:color w:val="auto"/>
                <w:sz w:val="28"/>
                <w:lang w:eastAsia="zh-CN"/>
              </w:rPr>
              <w:t>社会</w:t>
            </w:r>
            <w:r>
              <w:rPr>
                <w:rFonts w:hint="eastAsia"/>
                <w:color w:val="auto"/>
                <w:sz w:val="28"/>
              </w:rPr>
              <w:t>信用代码：91500107MA5UBHBF2B），位于重庆市九龙坡区西彭镇森迪大道139号3号楼2层和3层，项目租赁面积</w:t>
            </w:r>
            <w:r>
              <w:rPr>
                <w:rFonts w:hint="eastAsia"/>
                <w:color w:val="auto"/>
                <w:sz w:val="28"/>
                <w:highlight w:val="none"/>
              </w:rPr>
              <w:t>约</w:t>
            </w:r>
            <w:r>
              <w:rPr>
                <w:rFonts w:hint="eastAsia"/>
                <w:color w:val="auto"/>
                <w:sz w:val="28"/>
                <w:highlight w:val="none"/>
                <w:lang w:val="en-US" w:eastAsia="zh-CN"/>
              </w:rPr>
              <w:t>49</w:t>
            </w:r>
            <w:r>
              <w:rPr>
                <w:rFonts w:hint="eastAsia"/>
                <w:color w:val="auto"/>
                <w:sz w:val="28"/>
                <w:highlight w:val="none"/>
              </w:rPr>
              <w:t>00m</w:t>
            </w:r>
            <w:r>
              <w:rPr>
                <w:rFonts w:hint="eastAsia"/>
                <w:color w:val="auto"/>
                <w:sz w:val="28"/>
                <w:highlight w:val="none"/>
                <w:vertAlign w:val="superscript"/>
              </w:rPr>
              <w:t>2</w:t>
            </w:r>
            <w:r>
              <w:rPr>
                <w:rFonts w:hint="eastAsia"/>
                <w:color w:val="auto"/>
                <w:sz w:val="28"/>
                <w:highlight w:val="none"/>
              </w:rPr>
              <w:t>，总投资</w:t>
            </w:r>
            <w:r>
              <w:rPr>
                <w:rFonts w:hint="eastAsia"/>
                <w:color w:val="auto"/>
                <w:sz w:val="28"/>
                <w:szCs w:val="28"/>
                <w:highlight w:val="none"/>
                <w:lang w:val="en-US" w:eastAsia="zh-CN"/>
              </w:rPr>
              <w:t>200</w:t>
            </w:r>
            <w:r>
              <w:rPr>
                <w:rFonts w:hint="eastAsia"/>
                <w:color w:val="auto"/>
                <w:sz w:val="28"/>
                <w:highlight w:val="none"/>
              </w:rPr>
              <w:t>万元，购置</w:t>
            </w:r>
            <w:r>
              <w:rPr>
                <w:rFonts w:hint="eastAsia"/>
                <w:color w:val="auto"/>
                <w:sz w:val="28"/>
                <w:highlight w:val="none"/>
                <w:lang w:eastAsia="zh-CN"/>
              </w:rPr>
              <w:t>冲床</w:t>
            </w:r>
            <w:r>
              <w:rPr>
                <w:rFonts w:hint="eastAsia"/>
                <w:color w:val="auto"/>
                <w:sz w:val="28"/>
                <w:highlight w:val="none"/>
              </w:rPr>
              <w:t>、</w:t>
            </w:r>
            <w:r>
              <w:rPr>
                <w:rFonts w:hint="eastAsia"/>
                <w:color w:val="auto"/>
                <w:sz w:val="28"/>
                <w:highlight w:val="none"/>
                <w:lang w:eastAsia="zh-CN"/>
              </w:rPr>
              <w:t>涂布机</w:t>
            </w:r>
            <w:r>
              <w:rPr>
                <w:rFonts w:hint="eastAsia"/>
                <w:color w:val="auto"/>
                <w:sz w:val="28"/>
                <w:highlight w:val="none"/>
              </w:rPr>
              <w:t>、</w:t>
            </w:r>
            <w:r>
              <w:rPr>
                <w:rFonts w:hint="eastAsia"/>
                <w:color w:val="auto"/>
                <w:sz w:val="28"/>
                <w:highlight w:val="none"/>
                <w:lang w:eastAsia="zh-CN"/>
              </w:rPr>
              <w:t>贴合</w:t>
            </w:r>
            <w:r>
              <w:rPr>
                <w:rFonts w:hint="eastAsia"/>
                <w:color w:val="auto"/>
                <w:sz w:val="28"/>
                <w:highlight w:val="none"/>
              </w:rPr>
              <w:t>机、</w:t>
            </w:r>
            <w:r>
              <w:rPr>
                <w:rFonts w:hint="eastAsia"/>
                <w:color w:val="auto"/>
                <w:sz w:val="28"/>
                <w:highlight w:val="none"/>
                <w:lang w:eastAsia="zh-CN"/>
              </w:rPr>
              <w:t>下料机、分条机</w:t>
            </w:r>
            <w:r>
              <w:rPr>
                <w:rFonts w:hint="eastAsia"/>
                <w:color w:val="auto"/>
                <w:sz w:val="28"/>
                <w:highlight w:val="none"/>
              </w:rPr>
              <w:t>等</w:t>
            </w:r>
            <w:r>
              <w:rPr>
                <w:rFonts w:hint="eastAsia"/>
                <w:color w:val="auto"/>
                <w:sz w:val="28"/>
                <w:highlight w:val="none"/>
                <w:lang w:eastAsia="zh-CN"/>
              </w:rPr>
              <w:t>设备</w:t>
            </w:r>
            <w:r>
              <w:rPr>
                <w:rFonts w:hint="eastAsia"/>
                <w:color w:val="auto"/>
                <w:sz w:val="28"/>
                <w:highlight w:val="none"/>
              </w:rPr>
              <w:t>，主要从事</w:t>
            </w:r>
            <w:r>
              <w:rPr>
                <w:rFonts w:hint="eastAsia"/>
                <w:color w:val="auto"/>
                <w:sz w:val="28"/>
                <w:highlight w:val="none"/>
                <w:lang w:eastAsia="zh-CN"/>
              </w:rPr>
              <w:t>隔音、隔热棉加工，年产量</w:t>
            </w:r>
            <w:r>
              <w:rPr>
                <w:rFonts w:hint="eastAsia"/>
                <w:color w:val="auto"/>
                <w:sz w:val="28"/>
                <w:highlight w:val="none"/>
                <w:lang w:val="en-US" w:eastAsia="zh-CN"/>
              </w:rPr>
              <w:t>100万m</w:t>
            </w:r>
            <w:r>
              <w:rPr>
                <w:rFonts w:hint="eastAsia"/>
                <w:color w:val="auto"/>
                <w:sz w:val="28"/>
                <w:highlight w:val="none"/>
                <w:vertAlign w:val="superscript"/>
                <w:lang w:val="en-US" w:eastAsia="zh-CN"/>
              </w:rPr>
              <w:t>2</w:t>
            </w:r>
            <w:r>
              <w:rPr>
                <w:rFonts w:hint="eastAsia"/>
                <w:color w:val="auto"/>
                <w:sz w:val="28"/>
                <w:highlight w:val="none"/>
              </w:rPr>
              <w:t>。</w:t>
            </w:r>
            <w:r>
              <w:rPr>
                <w:rFonts w:hint="eastAsia"/>
                <w:color w:val="auto"/>
                <w:sz w:val="28"/>
              </w:rPr>
              <w:t>本项目已取得《重庆市企业投资项目备案证》，备案项目编码为：</w:t>
            </w:r>
            <w:r>
              <w:rPr>
                <w:rFonts w:hint="eastAsia"/>
                <w:color w:val="auto"/>
                <w:sz w:val="28"/>
                <w:lang w:val="en-US" w:eastAsia="zh-CN"/>
              </w:rPr>
              <w:t>2</w:t>
            </w:r>
            <w:r>
              <w:rPr>
                <w:rFonts w:hint="eastAsia"/>
                <w:color w:val="auto"/>
                <w:sz w:val="28"/>
                <w:highlight w:val="none"/>
              </w:rPr>
              <w:t>604-500107-04-01-624099</w:t>
            </w:r>
            <w:r>
              <w:rPr>
                <w:color w:val="auto"/>
                <w:sz w:val="28"/>
                <w:highlight w:val="none"/>
              </w:rPr>
              <w:t>。</w:t>
            </w:r>
          </w:p>
          <w:p w14:paraId="1EE52F7E">
            <w:pPr>
              <w:pStyle w:val="49"/>
              <w:spacing w:line="360" w:lineRule="auto"/>
              <w:ind w:firstLine="560" w:firstLineChars="200"/>
              <w:jc w:val="left"/>
              <w:rPr>
                <w:rFonts w:hint="eastAsia"/>
                <w:color w:val="auto"/>
                <w:sz w:val="28"/>
              </w:rPr>
            </w:pPr>
            <w:r>
              <w:rPr>
                <w:rFonts w:hint="eastAsia"/>
                <w:color w:val="auto"/>
                <w:sz w:val="28"/>
              </w:rPr>
              <w:t>根据《中华人民共和国环境保护法》《中华人民共和国环境影响评价法》《建设项目环境保护管理条例》，本项目应开展环境影响评价。对照《建设项目环境影响评价分类管理名录》（2021年版），本项目属于“二十六</w:t>
            </w:r>
            <w:r>
              <w:rPr>
                <w:rFonts w:hint="eastAsia"/>
                <w:color w:val="auto"/>
                <w:sz w:val="28"/>
                <w:lang w:eastAsia="zh-CN"/>
              </w:rPr>
              <w:t>、</w:t>
            </w:r>
            <w:r>
              <w:rPr>
                <w:rFonts w:hint="eastAsia"/>
                <w:color w:val="auto"/>
                <w:sz w:val="28"/>
              </w:rPr>
              <w:t>橡胶和塑料制品业29</w:t>
            </w:r>
            <w:r>
              <w:rPr>
                <w:rFonts w:hint="eastAsia"/>
                <w:color w:val="auto"/>
                <w:sz w:val="28"/>
                <w:lang w:val="en-US" w:eastAsia="zh-CN"/>
              </w:rPr>
              <w:t>-53塑料制品业292-其他（年用非溶剂型低VOCs含量涂料10吨以下的除外），“</w:t>
            </w:r>
            <w:r>
              <w:rPr>
                <w:rFonts w:hint="eastAsia"/>
                <w:i/>
                <w:iCs/>
                <w:color w:val="auto"/>
                <w:sz w:val="28"/>
                <w:lang w:val="en-US" w:eastAsia="zh-CN"/>
              </w:rPr>
              <w:t>三十三、汽车制造业36”中的“汽车零部件及配件制造367”中的“其他（年用非溶剂型低VOCs含量涂料10吨以下的除外）”，应编制环境影响报告表。</w:t>
            </w:r>
            <w:r>
              <w:rPr>
                <w:rFonts w:hint="eastAsia"/>
                <w:color w:val="auto"/>
                <w:sz w:val="28"/>
              </w:rPr>
              <w:t>因此本项目应编制环境影响报告表。受重庆骄景科技有限公司的委托，我公司承担该项目的环境影响评价工作。</w:t>
            </w:r>
          </w:p>
          <w:p w14:paraId="57D3C42A">
            <w:pPr>
              <w:pStyle w:val="49"/>
              <w:spacing w:line="360" w:lineRule="auto"/>
              <w:ind w:firstLine="560" w:firstLineChars="200"/>
              <w:jc w:val="left"/>
              <w:rPr>
                <w:color w:val="auto"/>
                <w:sz w:val="28"/>
              </w:rPr>
            </w:pPr>
            <w:r>
              <w:rPr>
                <w:rFonts w:hint="eastAsia"/>
                <w:color w:val="auto"/>
                <w:sz w:val="28"/>
              </w:rPr>
              <w:t>接受委托后我公司立即组织技术人员，根据项目特点，现场调查，收集资料，在此基础上，编制完成《</w:t>
            </w:r>
            <w:r>
              <w:rPr>
                <w:rFonts w:hint="eastAsia"/>
                <w:color w:val="auto"/>
                <w:sz w:val="28"/>
                <w:szCs w:val="28"/>
                <w:highlight w:val="none"/>
              </w:rPr>
              <w:t>重庆骄景科技有限公司隔音、隔热棉加工项目</w:t>
            </w:r>
            <w:r>
              <w:rPr>
                <w:rFonts w:hint="eastAsia"/>
                <w:color w:val="auto"/>
                <w:sz w:val="28"/>
              </w:rPr>
              <w:t>环境影响报告表》。</w:t>
            </w:r>
          </w:p>
          <w:p w14:paraId="6F72AC2F">
            <w:pPr>
              <w:pStyle w:val="53"/>
              <w:spacing w:before="0" w:beforeLines="0"/>
              <w:rPr>
                <w:color w:val="auto"/>
                <w:sz w:val="28"/>
              </w:rPr>
            </w:pPr>
            <w:r>
              <w:rPr>
                <w:color w:val="auto"/>
                <w:sz w:val="28"/>
              </w:rPr>
              <w:t>2</w:t>
            </w:r>
            <w:r>
              <w:rPr>
                <w:rFonts w:hint="eastAsia"/>
                <w:color w:val="auto"/>
                <w:sz w:val="28"/>
              </w:rPr>
              <w:t>.</w:t>
            </w:r>
            <w:r>
              <w:rPr>
                <w:rFonts w:hint="eastAsia"/>
                <w:color w:val="auto"/>
                <w:sz w:val="28"/>
                <w:lang w:val="en-US"/>
              </w:rPr>
              <w:t>2建设内容</w:t>
            </w:r>
          </w:p>
          <w:p w14:paraId="5F86BCAF">
            <w:pPr>
              <w:ind w:firstLine="0" w:firstLineChars="0"/>
              <w:rPr>
                <w:b/>
                <w:bCs/>
                <w:color w:val="auto"/>
                <w:sz w:val="28"/>
              </w:rPr>
            </w:pPr>
            <w:r>
              <w:rPr>
                <w:rFonts w:hint="eastAsia"/>
                <w:b/>
                <w:bCs/>
                <w:color w:val="auto"/>
                <w:sz w:val="28"/>
              </w:rPr>
              <w:t>2.2.1项目概况</w:t>
            </w:r>
          </w:p>
          <w:p w14:paraId="70B0466E">
            <w:pPr>
              <w:ind w:firstLine="560"/>
              <w:rPr>
                <w:color w:val="auto"/>
                <w:sz w:val="28"/>
                <w:lang w:val="zh-CN"/>
              </w:rPr>
            </w:pPr>
            <w:r>
              <w:rPr>
                <w:rFonts w:hint="eastAsia"/>
                <w:color w:val="auto"/>
                <w:sz w:val="28"/>
                <w:lang w:val="zh-CN"/>
              </w:rPr>
              <w:t>项目名称：</w:t>
            </w:r>
            <w:r>
              <w:rPr>
                <w:rFonts w:hint="eastAsia"/>
                <w:color w:val="auto"/>
                <w:sz w:val="28"/>
                <w:szCs w:val="28"/>
                <w:highlight w:val="none"/>
              </w:rPr>
              <w:t>重庆骄景科技有限公司隔音、隔热棉加工项目</w:t>
            </w:r>
            <w:r>
              <w:rPr>
                <w:rFonts w:hint="eastAsia"/>
                <w:color w:val="auto"/>
                <w:sz w:val="28"/>
                <w:lang w:val="zh-CN"/>
              </w:rPr>
              <w:t>；</w:t>
            </w:r>
          </w:p>
          <w:p w14:paraId="27CDC25A">
            <w:pPr>
              <w:ind w:firstLine="560"/>
              <w:rPr>
                <w:color w:val="auto"/>
                <w:sz w:val="28"/>
                <w:lang w:val="zh-CN"/>
              </w:rPr>
            </w:pPr>
            <w:r>
              <w:rPr>
                <w:rFonts w:hint="eastAsia"/>
                <w:color w:val="auto"/>
                <w:sz w:val="28"/>
                <w:lang w:val="zh-CN"/>
              </w:rPr>
              <w:t>建设单位：</w:t>
            </w:r>
            <w:r>
              <w:rPr>
                <w:rFonts w:hint="eastAsia"/>
                <w:color w:val="auto"/>
                <w:sz w:val="28"/>
              </w:rPr>
              <w:t>重庆骄景科技有限公司</w:t>
            </w:r>
            <w:r>
              <w:rPr>
                <w:rFonts w:hint="eastAsia"/>
                <w:color w:val="auto"/>
                <w:sz w:val="28"/>
                <w:lang w:val="zh-CN"/>
              </w:rPr>
              <w:t>；</w:t>
            </w:r>
          </w:p>
          <w:p w14:paraId="645C9D01">
            <w:pPr>
              <w:ind w:firstLine="560"/>
              <w:rPr>
                <w:color w:val="auto"/>
                <w:sz w:val="28"/>
                <w:lang w:val="zh-CN"/>
              </w:rPr>
            </w:pPr>
            <w:r>
              <w:rPr>
                <w:rFonts w:hint="eastAsia"/>
                <w:color w:val="auto"/>
                <w:sz w:val="28"/>
                <w:lang w:val="zh-CN"/>
              </w:rPr>
              <w:t>建设性质：新建；</w:t>
            </w:r>
          </w:p>
          <w:p w14:paraId="45CD6D55">
            <w:pPr>
              <w:ind w:firstLine="560"/>
              <w:rPr>
                <w:color w:val="auto"/>
                <w:sz w:val="28"/>
              </w:rPr>
            </w:pPr>
            <w:r>
              <w:rPr>
                <w:rFonts w:hint="eastAsia"/>
                <w:color w:val="auto"/>
                <w:sz w:val="28"/>
              </w:rPr>
              <w:t>项目地点：重庆市九龙坡区西彭镇森迪大道139号3号楼2层和3层；</w:t>
            </w:r>
          </w:p>
          <w:p w14:paraId="16353AC1">
            <w:pPr>
              <w:ind w:firstLine="560"/>
              <w:jc w:val="left"/>
              <w:rPr>
                <w:color w:val="auto"/>
                <w:sz w:val="28"/>
                <w:lang w:val="zh-CN"/>
              </w:rPr>
            </w:pPr>
            <w:r>
              <w:rPr>
                <w:rFonts w:hint="eastAsia"/>
                <w:color w:val="auto"/>
                <w:sz w:val="28"/>
                <w:lang w:val="zh-CN"/>
              </w:rPr>
              <w:t>行业类别：C2929塑料零件及其他塑料制品制造、</w:t>
            </w:r>
            <w:r>
              <w:rPr>
                <w:rFonts w:hint="eastAsia"/>
                <w:color w:val="auto"/>
                <w:sz w:val="28"/>
                <w:lang w:val="zh-CN" w:eastAsia="zh-CN"/>
              </w:rPr>
              <w:t>C3670汽车零部件及配件制造</w:t>
            </w:r>
            <w:r>
              <w:rPr>
                <w:rFonts w:hint="eastAsia"/>
                <w:color w:val="auto"/>
                <w:sz w:val="28"/>
                <w:lang w:val="zh-CN"/>
              </w:rPr>
              <w:t>。</w:t>
            </w:r>
          </w:p>
          <w:p w14:paraId="124FF771">
            <w:pPr>
              <w:ind w:firstLine="560"/>
              <w:rPr>
                <w:color w:val="auto"/>
                <w:sz w:val="28"/>
              </w:rPr>
            </w:pPr>
            <w:r>
              <w:rPr>
                <w:rFonts w:hint="eastAsia"/>
                <w:color w:val="auto"/>
                <w:sz w:val="28"/>
              </w:rPr>
              <w:t>生产规模：</w:t>
            </w:r>
            <w:r>
              <w:rPr>
                <w:rFonts w:hint="eastAsia"/>
                <w:color w:val="auto"/>
                <w:sz w:val="28"/>
                <w:highlight w:val="none"/>
              </w:rPr>
              <w:t>年产</w:t>
            </w:r>
            <w:r>
              <w:rPr>
                <w:rFonts w:hint="eastAsia"/>
                <w:color w:val="auto"/>
                <w:sz w:val="28"/>
                <w:highlight w:val="none"/>
                <w:lang w:eastAsia="zh-CN"/>
              </w:rPr>
              <w:t>隔音、隔热棉</w:t>
            </w:r>
            <w:r>
              <w:rPr>
                <w:rFonts w:hint="eastAsia"/>
                <w:color w:val="auto"/>
                <w:sz w:val="28"/>
                <w:highlight w:val="none"/>
                <w:lang w:val="en-US" w:eastAsia="zh-CN"/>
              </w:rPr>
              <w:t>100万m</w:t>
            </w:r>
            <w:r>
              <w:rPr>
                <w:rFonts w:hint="eastAsia"/>
                <w:color w:val="auto"/>
                <w:sz w:val="28"/>
                <w:highlight w:val="none"/>
                <w:vertAlign w:val="superscript"/>
                <w:lang w:val="en-US" w:eastAsia="zh-CN"/>
              </w:rPr>
              <w:t>2</w:t>
            </w:r>
            <w:r>
              <w:rPr>
                <w:rFonts w:hint="eastAsia"/>
                <w:color w:val="auto"/>
                <w:sz w:val="28"/>
              </w:rPr>
              <w:t>。</w:t>
            </w:r>
          </w:p>
          <w:p w14:paraId="4AE2DAEF">
            <w:pPr>
              <w:ind w:firstLine="560"/>
              <w:rPr>
                <w:rFonts w:hint="eastAsia" w:eastAsia="仿宋"/>
                <w:color w:val="auto"/>
                <w:sz w:val="28"/>
                <w:lang w:val="en-US" w:eastAsia="zh-CN"/>
              </w:rPr>
            </w:pPr>
            <w:r>
              <w:rPr>
                <w:rFonts w:hint="eastAsia"/>
                <w:color w:val="auto"/>
                <w:sz w:val="28"/>
              </w:rPr>
              <w:t>项目投资：</w:t>
            </w:r>
            <w:r>
              <w:rPr>
                <w:rFonts w:hint="eastAsia"/>
                <w:i/>
                <w:iCs/>
                <w:color w:val="auto"/>
                <w:sz w:val="28"/>
              </w:rPr>
              <w:t>总</w:t>
            </w:r>
            <w:r>
              <w:rPr>
                <w:rFonts w:hint="eastAsia"/>
                <w:i/>
                <w:iCs/>
                <w:color w:val="auto"/>
                <w:sz w:val="28"/>
                <w:highlight w:val="none"/>
              </w:rPr>
              <w:t>投资</w:t>
            </w:r>
            <w:r>
              <w:rPr>
                <w:rFonts w:hint="eastAsia"/>
                <w:i/>
                <w:iCs/>
                <w:color w:val="auto"/>
                <w:sz w:val="28"/>
                <w:szCs w:val="28"/>
                <w:highlight w:val="none"/>
                <w:lang w:val="en-US" w:eastAsia="zh-CN"/>
              </w:rPr>
              <w:t>200万</w:t>
            </w:r>
            <w:r>
              <w:rPr>
                <w:rFonts w:hint="eastAsia"/>
                <w:i/>
                <w:iCs/>
                <w:color w:val="auto"/>
                <w:sz w:val="28"/>
                <w:highlight w:val="none"/>
              </w:rPr>
              <w:t>元</w:t>
            </w:r>
            <w:r>
              <w:rPr>
                <w:rFonts w:hint="eastAsia"/>
                <w:i/>
                <w:iCs/>
                <w:color w:val="auto"/>
                <w:sz w:val="28"/>
              </w:rPr>
              <w:t>，</w:t>
            </w:r>
            <w:r>
              <w:rPr>
                <w:rFonts w:hint="eastAsia"/>
                <w:color w:val="auto"/>
                <w:sz w:val="28"/>
              </w:rPr>
              <w:t>环保投</w:t>
            </w:r>
            <w:r>
              <w:rPr>
                <w:rFonts w:hint="eastAsia"/>
                <w:color w:val="auto"/>
                <w:sz w:val="28"/>
                <w:highlight w:val="none"/>
              </w:rPr>
              <w:t>资</w:t>
            </w:r>
            <w:r>
              <w:rPr>
                <w:rFonts w:hint="eastAsia"/>
                <w:color w:val="auto"/>
                <w:sz w:val="28"/>
                <w:highlight w:val="none"/>
                <w:lang w:val="en-US" w:eastAsia="zh-CN"/>
              </w:rPr>
              <w:t>20</w:t>
            </w:r>
            <w:r>
              <w:rPr>
                <w:rFonts w:hint="eastAsia"/>
                <w:color w:val="auto"/>
                <w:sz w:val="28"/>
                <w:highlight w:val="none"/>
              </w:rPr>
              <w:t>万元</w:t>
            </w:r>
            <w:r>
              <w:rPr>
                <w:rFonts w:hint="eastAsia"/>
                <w:color w:val="auto"/>
                <w:sz w:val="28"/>
              </w:rPr>
              <w:t>，占比</w:t>
            </w:r>
            <w:r>
              <w:rPr>
                <w:rFonts w:hint="eastAsia"/>
                <w:color w:val="auto"/>
                <w:sz w:val="28"/>
                <w:lang w:val="en-US" w:eastAsia="zh-CN"/>
              </w:rPr>
              <w:t>10</w:t>
            </w:r>
            <w:r>
              <w:rPr>
                <w:rFonts w:hint="eastAsia"/>
                <w:color w:val="auto"/>
                <w:sz w:val="28"/>
              </w:rPr>
              <w:t>%</w:t>
            </w:r>
            <w:r>
              <w:rPr>
                <w:rFonts w:hint="eastAsia"/>
                <w:color w:val="auto"/>
                <w:sz w:val="28"/>
                <w:lang w:val="en-US" w:eastAsia="zh-CN"/>
              </w:rPr>
              <w:t>;</w:t>
            </w:r>
          </w:p>
          <w:p w14:paraId="57EA155E">
            <w:pPr>
              <w:ind w:firstLine="560"/>
              <w:rPr>
                <w:color w:val="auto"/>
                <w:sz w:val="28"/>
                <w:highlight w:val="yellow"/>
              </w:rPr>
            </w:pPr>
            <w:r>
              <w:rPr>
                <w:rFonts w:hint="eastAsia"/>
                <w:color w:val="auto"/>
                <w:sz w:val="28"/>
              </w:rPr>
              <w:t>生产制度：</w:t>
            </w:r>
            <w:r>
              <w:rPr>
                <w:rFonts w:hint="eastAsia"/>
                <w:color w:val="auto"/>
                <w:sz w:val="28"/>
                <w:lang w:val="en-US" w:eastAsia="zh-CN"/>
              </w:rPr>
              <w:t>8</w:t>
            </w:r>
            <w:r>
              <w:rPr>
                <w:rFonts w:hint="eastAsia"/>
                <w:color w:val="auto"/>
                <w:sz w:val="28"/>
                <w:highlight w:val="none"/>
              </w:rPr>
              <w:t>h/班，</w:t>
            </w:r>
            <w:r>
              <w:rPr>
                <w:rFonts w:hint="eastAsia"/>
                <w:color w:val="auto"/>
                <w:sz w:val="28"/>
                <w:highlight w:val="none"/>
                <w:lang w:val="en-US" w:eastAsia="zh-CN"/>
              </w:rPr>
              <w:t>1</w:t>
            </w:r>
            <w:r>
              <w:rPr>
                <w:rFonts w:hint="eastAsia"/>
                <w:color w:val="auto"/>
                <w:sz w:val="28"/>
                <w:highlight w:val="none"/>
              </w:rPr>
              <w:t>班/d，300d/a；</w:t>
            </w:r>
          </w:p>
          <w:p w14:paraId="38421669">
            <w:pPr>
              <w:ind w:firstLine="560"/>
              <w:rPr>
                <w:color w:val="auto"/>
                <w:sz w:val="28"/>
              </w:rPr>
            </w:pPr>
            <w:r>
              <w:rPr>
                <w:rFonts w:hint="eastAsia"/>
                <w:color w:val="auto"/>
                <w:sz w:val="28"/>
              </w:rPr>
              <w:t>劳动定员：厂区员工</w:t>
            </w:r>
            <w:r>
              <w:rPr>
                <w:rFonts w:hint="eastAsia"/>
                <w:color w:val="auto"/>
                <w:sz w:val="28"/>
                <w:lang w:val="en-US" w:eastAsia="zh-CN"/>
              </w:rPr>
              <w:t>25</w:t>
            </w:r>
            <w:r>
              <w:rPr>
                <w:rFonts w:hint="eastAsia"/>
                <w:color w:val="auto"/>
                <w:sz w:val="28"/>
              </w:rPr>
              <w:t>人，</w:t>
            </w:r>
            <w:r>
              <w:rPr>
                <w:rFonts w:hint="eastAsia"/>
                <w:color w:val="auto"/>
                <w:sz w:val="28"/>
                <w:highlight w:val="none"/>
              </w:rPr>
              <w:t>厂区不设食堂</w:t>
            </w:r>
            <w:r>
              <w:rPr>
                <w:rFonts w:hint="eastAsia"/>
                <w:color w:val="auto"/>
                <w:sz w:val="28"/>
                <w:highlight w:val="none"/>
                <w:lang w:eastAsia="zh-CN"/>
              </w:rPr>
              <w:t>、住宿</w:t>
            </w:r>
            <w:r>
              <w:rPr>
                <w:rFonts w:hint="eastAsia"/>
                <w:color w:val="auto"/>
                <w:sz w:val="28"/>
              </w:rPr>
              <w:t>。</w:t>
            </w:r>
          </w:p>
          <w:p w14:paraId="5DB9271B">
            <w:pPr>
              <w:pStyle w:val="53"/>
              <w:spacing w:before="0" w:beforeLines="0"/>
              <w:rPr>
                <w:color w:val="auto"/>
                <w:sz w:val="28"/>
              </w:rPr>
            </w:pPr>
            <w:r>
              <w:rPr>
                <w:rFonts w:hint="eastAsia"/>
                <w:color w:val="auto"/>
                <w:sz w:val="28"/>
                <w:lang w:val="en-US"/>
              </w:rPr>
              <w:t>2.2.2</w:t>
            </w:r>
            <w:r>
              <w:rPr>
                <w:rFonts w:hint="eastAsia"/>
                <w:color w:val="auto"/>
                <w:sz w:val="28"/>
              </w:rPr>
              <w:t>项目组成及建设内容</w:t>
            </w:r>
          </w:p>
          <w:p w14:paraId="2C24D70F">
            <w:pPr>
              <w:ind w:firstLine="560"/>
              <w:rPr>
                <w:color w:val="auto"/>
                <w:sz w:val="28"/>
              </w:rPr>
            </w:pPr>
            <w:r>
              <w:rPr>
                <w:rFonts w:hint="eastAsia"/>
                <w:color w:val="auto"/>
                <w:sz w:val="28"/>
                <w:lang w:val="zh-CN"/>
              </w:rPr>
              <w:t>本项目位于</w:t>
            </w:r>
            <w:r>
              <w:rPr>
                <w:rFonts w:hint="eastAsia"/>
                <w:color w:val="auto"/>
                <w:sz w:val="28"/>
              </w:rPr>
              <w:t>重庆市九龙坡区西彭镇森迪大道139号3号楼2层和3层，租用厂房进行建设，主要产品</w:t>
            </w:r>
            <w:r>
              <w:rPr>
                <w:rFonts w:hint="eastAsia"/>
                <w:color w:val="auto"/>
                <w:sz w:val="28"/>
                <w:highlight w:val="none"/>
              </w:rPr>
              <w:t>为</w:t>
            </w:r>
            <w:r>
              <w:rPr>
                <w:rFonts w:hint="eastAsia"/>
                <w:color w:val="auto"/>
                <w:sz w:val="28"/>
                <w:highlight w:val="none"/>
                <w:lang w:eastAsia="zh-CN"/>
              </w:rPr>
              <w:t>隔音、隔热棉</w:t>
            </w:r>
            <w:r>
              <w:rPr>
                <w:rFonts w:hint="eastAsia"/>
                <w:color w:val="auto"/>
                <w:sz w:val="28"/>
              </w:rPr>
              <w:t>，本项目总建筑面积为</w:t>
            </w:r>
            <w:r>
              <w:rPr>
                <w:rFonts w:hint="eastAsia"/>
                <w:color w:val="auto"/>
                <w:sz w:val="28"/>
                <w:highlight w:val="none"/>
                <w:lang w:val="en-US" w:eastAsia="zh-CN"/>
              </w:rPr>
              <w:t>4900</w:t>
            </w:r>
            <w:r>
              <w:rPr>
                <w:rFonts w:hint="eastAsia"/>
                <w:color w:val="auto"/>
                <w:sz w:val="28"/>
                <w:highlight w:val="none"/>
              </w:rPr>
              <w:t>m</w:t>
            </w:r>
            <w:r>
              <w:rPr>
                <w:rFonts w:hint="eastAsia"/>
                <w:color w:val="auto"/>
                <w:sz w:val="28"/>
                <w:highlight w:val="none"/>
                <w:vertAlign w:val="superscript"/>
              </w:rPr>
              <w:t>2</w:t>
            </w:r>
            <w:r>
              <w:rPr>
                <w:rFonts w:hint="eastAsia"/>
                <w:color w:val="auto"/>
                <w:sz w:val="28"/>
                <w:highlight w:val="none"/>
              </w:rPr>
              <w:t>，</w:t>
            </w:r>
            <w:r>
              <w:rPr>
                <w:rFonts w:hint="eastAsia"/>
                <w:color w:val="auto"/>
                <w:sz w:val="28"/>
              </w:rPr>
              <w:t>建成后本项目</w:t>
            </w:r>
            <w:r>
              <w:rPr>
                <w:rFonts w:hint="eastAsia"/>
                <w:color w:val="auto"/>
                <w:sz w:val="28"/>
                <w:highlight w:val="none"/>
              </w:rPr>
              <w:t>生产</w:t>
            </w:r>
            <w:r>
              <w:rPr>
                <w:rFonts w:hint="eastAsia"/>
                <w:color w:val="auto"/>
                <w:sz w:val="28"/>
                <w:highlight w:val="none"/>
                <w:lang w:eastAsia="zh-CN"/>
              </w:rPr>
              <w:t>隔音、隔热棉</w:t>
            </w:r>
            <w:r>
              <w:rPr>
                <w:rFonts w:hint="eastAsia"/>
                <w:color w:val="auto"/>
                <w:sz w:val="28"/>
                <w:highlight w:val="none"/>
              </w:rPr>
              <w:t>共</w:t>
            </w:r>
            <w:r>
              <w:rPr>
                <w:rFonts w:hint="eastAsia"/>
                <w:color w:val="auto"/>
                <w:sz w:val="28"/>
                <w:highlight w:val="none"/>
                <w:lang w:val="en-US" w:eastAsia="zh-CN"/>
              </w:rPr>
              <w:t>100万m</w:t>
            </w:r>
            <w:r>
              <w:rPr>
                <w:rFonts w:hint="eastAsia"/>
                <w:color w:val="auto"/>
                <w:sz w:val="28"/>
                <w:highlight w:val="none"/>
                <w:vertAlign w:val="superscript"/>
                <w:lang w:val="en-US" w:eastAsia="zh-CN"/>
              </w:rPr>
              <w:t>2</w:t>
            </w:r>
            <w:r>
              <w:rPr>
                <w:rFonts w:hint="eastAsia"/>
                <w:color w:val="auto"/>
                <w:sz w:val="28"/>
              </w:rPr>
              <w:t>。</w:t>
            </w:r>
          </w:p>
          <w:p w14:paraId="597ECCAA">
            <w:pPr>
              <w:ind w:firstLine="560"/>
              <w:rPr>
                <w:color w:val="auto"/>
                <w:sz w:val="28"/>
              </w:rPr>
            </w:pPr>
            <w:r>
              <w:rPr>
                <w:rFonts w:hint="eastAsia"/>
                <w:color w:val="auto"/>
                <w:sz w:val="28"/>
              </w:rPr>
              <w:t>本项目建设内容主要包括项目组成分为主体工程、辅助工程、储运工程、公用工程和环保工程。项目组成见表2-1。</w:t>
            </w:r>
          </w:p>
          <w:p w14:paraId="7A6CB052">
            <w:pPr>
              <w:pStyle w:val="75"/>
              <w:rPr>
                <w:color w:val="auto"/>
              </w:rPr>
            </w:pPr>
            <w:r>
              <w:rPr>
                <w:rFonts w:hint="eastAsia"/>
                <w:color w:val="auto"/>
                <w:sz w:val="24"/>
              </w:rPr>
              <w:t>表</w:t>
            </w:r>
            <w:r>
              <w:rPr>
                <w:color w:val="auto"/>
                <w:sz w:val="24"/>
              </w:rPr>
              <w:t>2-1</w:t>
            </w:r>
            <w:r>
              <w:rPr>
                <w:rFonts w:hint="eastAsia"/>
                <w:color w:val="auto"/>
                <w:sz w:val="24"/>
              </w:rPr>
              <w:t>项目组成表</w:t>
            </w:r>
          </w:p>
          <w:tbl>
            <w:tblPr>
              <w:tblStyle w:val="3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855"/>
              <w:gridCol w:w="5156"/>
              <w:gridCol w:w="1408"/>
            </w:tblGrid>
            <w:tr w14:paraId="347C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2" w:type="pct"/>
                  <w:gridSpan w:val="2"/>
                  <w:vAlign w:val="center"/>
                </w:tcPr>
                <w:p w14:paraId="028D5205">
                  <w:pPr>
                    <w:pStyle w:val="48"/>
                    <w:rPr>
                      <w:color w:val="auto"/>
                      <w:szCs w:val="18"/>
                    </w:rPr>
                  </w:pPr>
                  <w:r>
                    <w:rPr>
                      <w:rFonts w:hint="eastAsia"/>
                      <w:color w:val="auto"/>
                      <w:sz w:val="24"/>
                      <w:szCs w:val="18"/>
                    </w:rPr>
                    <w:t>项目组成</w:t>
                  </w:r>
                </w:p>
              </w:tc>
              <w:tc>
                <w:tcPr>
                  <w:tcW w:w="2621" w:type="pct"/>
                  <w:vAlign w:val="center"/>
                </w:tcPr>
                <w:p w14:paraId="1C06E94D">
                  <w:pPr>
                    <w:pStyle w:val="48"/>
                    <w:rPr>
                      <w:color w:val="auto"/>
                      <w:szCs w:val="18"/>
                    </w:rPr>
                  </w:pPr>
                  <w:r>
                    <w:rPr>
                      <w:rFonts w:hint="eastAsia"/>
                      <w:color w:val="auto"/>
                      <w:sz w:val="24"/>
                      <w:szCs w:val="18"/>
                    </w:rPr>
                    <w:t>主要建设内容及规模</w:t>
                  </w:r>
                </w:p>
              </w:tc>
              <w:tc>
                <w:tcPr>
                  <w:tcW w:w="715" w:type="pct"/>
                  <w:vAlign w:val="center"/>
                </w:tcPr>
                <w:p w14:paraId="5BCD41FF">
                  <w:pPr>
                    <w:pStyle w:val="48"/>
                    <w:rPr>
                      <w:color w:val="auto"/>
                      <w:szCs w:val="18"/>
                    </w:rPr>
                  </w:pPr>
                  <w:r>
                    <w:rPr>
                      <w:rFonts w:hint="eastAsia"/>
                      <w:color w:val="auto"/>
                      <w:sz w:val="24"/>
                      <w:szCs w:val="18"/>
                    </w:rPr>
                    <w:t>备注</w:t>
                  </w:r>
                </w:p>
              </w:tc>
            </w:tr>
            <w:tr w14:paraId="1484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restart"/>
                  <w:vAlign w:val="center"/>
                </w:tcPr>
                <w:p w14:paraId="6D3A2B75">
                  <w:pPr>
                    <w:pStyle w:val="48"/>
                    <w:rPr>
                      <w:color w:val="auto"/>
                      <w:sz w:val="24"/>
                      <w:szCs w:val="18"/>
                    </w:rPr>
                  </w:pPr>
                  <w:r>
                    <w:rPr>
                      <w:rFonts w:hint="eastAsia"/>
                      <w:color w:val="auto"/>
                      <w:sz w:val="24"/>
                      <w:szCs w:val="18"/>
                    </w:rPr>
                    <w:t>主体工程</w:t>
                  </w:r>
                </w:p>
              </w:tc>
              <w:tc>
                <w:tcPr>
                  <w:tcW w:w="943" w:type="pct"/>
                  <w:vAlign w:val="center"/>
                </w:tcPr>
                <w:p w14:paraId="34666FFD">
                  <w:pPr>
                    <w:pStyle w:val="48"/>
                    <w:rPr>
                      <w:color w:val="auto"/>
                      <w:sz w:val="24"/>
                      <w:szCs w:val="18"/>
                    </w:rPr>
                  </w:pPr>
                  <w:r>
                    <w:rPr>
                      <w:rFonts w:hint="eastAsia"/>
                      <w:color w:val="auto"/>
                      <w:sz w:val="24"/>
                      <w:szCs w:val="18"/>
                    </w:rPr>
                    <w:t>生产车间</w:t>
                  </w:r>
                </w:p>
              </w:tc>
              <w:tc>
                <w:tcPr>
                  <w:tcW w:w="2621" w:type="pct"/>
                  <w:vAlign w:val="center"/>
                </w:tcPr>
                <w:p w14:paraId="085952BA">
                  <w:pPr>
                    <w:pStyle w:val="48"/>
                    <w:jc w:val="left"/>
                    <w:rPr>
                      <w:color w:val="auto"/>
                      <w:sz w:val="24"/>
                      <w:szCs w:val="18"/>
                    </w:rPr>
                  </w:pPr>
                  <w:r>
                    <w:rPr>
                      <w:rFonts w:hint="eastAsia"/>
                      <w:color w:val="auto"/>
                      <w:sz w:val="24"/>
                      <w:szCs w:val="18"/>
                    </w:rPr>
                    <w:t>总建筑面积约</w:t>
                  </w:r>
                  <w:r>
                    <w:rPr>
                      <w:rFonts w:hint="eastAsia"/>
                      <w:color w:val="auto"/>
                      <w:sz w:val="24"/>
                      <w:szCs w:val="18"/>
                      <w:highlight w:val="none"/>
                    </w:rPr>
                    <w:t>为</w:t>
                  </w:r>
                  <w:r>
                    <w:rPr>
                      <w:rFonts w:hint="eastAsia"/>
                      <w:color w:val="auto"/>
                      <w:sz w:val="24"/>
                      <w:szCs w:val="18"/>
                      <w:highlight w:val="none"/>
                      <w:lang w:val="en-US" w:eastAsia="zh-CN"/>
                    </w:rPr>
                    <w:t>4900</w:t>
                  </w:r>
                  <w:r>
                    <w:rPr>
                      <w:rFonts w:hint="eastAsia"/>
                      <w:color w:val="auto"/>
                      <w:sz w:val="24"/>
                      <w:szCs w:val="18"/>
                      <w:highlight w:val="none"/>
                    </w:rPr>
                    <w:t>m</w:t>
                  </w:r>
                  <w:r>
                    <w:rPr>
                      <w:rFonts w:hint="eastAsia"/>
                      <w:color w:val="auto"/>
                      <w:sz w:val="24"/>
                      <w:szCs w:val="18"/>
                      <w:highlight w:val="none"/>
                      <w:vertAlign w:val="superscript"/>
                    </w:rPr>
                    <w:t>2</w:t>
                  </w:r>
                  <w:r>
                    <w:rPr>
                      <w:rFonts w:hint="eastAsia"/>
                      <w:color w:val="auto"/>
                      <w:sz w:val="24"/>
                      <w:szCs w:val="18"/>
                    </w:rPr>
                    <w:t>（2</w:t>
                  </w:r>
                  <w:r>
                    <w:rPr>
                      <w:rFonts w:hint="eastAsia"/>
                      <w:color w:val="auto"/>
                      <w:sz w:val="24"/>
                      <w:szCs w:val="18"/>
                      <w:lang w:val="en-US" w:eastAsia="zh-CN"/>
                    </w:rPr>
                    <w:t>F、3F</w:t>
                  </w:r>
                  <w:r>
                    <w:rPr>
                      <w:rFonts w:hint="eastAsia"/>
                      <w:color w:val="auto"/>
                      <w:sz w:val="24"/>
                      <w:szCs w:val="18"/>
                    </w:rPr>
                    <w:t>），</w:t>
                  </w:r>
                  <w:r>
                    <w:rPr>
                      <w:rFonts w:hint="eastAsia"/>
                      <w:color w:val="auto"/>
                      <w:sz w:val="24"/>
                      <w:szCs w:val="18"/>
                      <w:lang w:eastAsia="zh-CN"/>
                    </w:rPr>
                    <w:t>厂房高度为</w:t>
                  </w:r>
                  <w:r>
                    <w:rPr>
                      <w:rFonts w:hint="eastAsia"/>
                      <w:color w:val="auto"/>
                      <w:sz w:val="24"/>
                      <w:szCs w:val="18"/>
                      <w:lang w:val="en-US" w:eastAsia="zh-CN"/>
                    </w:rPr>
                    <w:t>14</w:t>
                  </w:r>
                  <w:r>
                    <w:rPr>
                      <w:rFonts w:hint="eastAsia"/>
                      <w:color w:val="auto"/>
                      <w:sz w:val="24"/>
                      <w:szCs w:val="18"/>
                    </w:rPr>
                    <w:t>m，</w:t>
                  </w:r>
                  <w:r>
                    <w:rPr>
                      <w:rFonts w:hint="eastAsia"/>
                      <w:color w:val="auto"/>
                      <w:sz w:val="24"/>
                      <w:szCs w:val="18"/>
                      <w:lang w:eastAsia="zh-CN"/>
                    </w:rPr>
                    <w:t>二</w:t>
                  </w:r>
                  <w:r>
                    <w:rPr>
                      <w:rFonts w:hint="eastAsia"/>
                      <w:color w:val="auto"/>
                      <w:sz w:val="24"/>
                      <w:szCs w:val="18"/>
                    </w:rPr>
                    <w:t>层建筑面积为</w:t>
                  </w:r>
                  <w:r>
                    <w:rPr>
                      <w:rFonts w:hint="eastAsia"/>
                      <w:color w:val="auto"/>
                      <w:sz w:val="24"/>
                      <w:szCs w:val="18"/>
                      <w:lang w:val="en-US" w:eastAsia="zh-CN"/>
                    </w:rPr>
                    <w:t>245</w:t>
                  </w:r>
                  <w:r>
                    <w:rPr>
                      <w:rFonts w:hint="eastAsia"/>
                      <w:color w:val="auto"/>
                      <w:sz w:val="24"/>
                      <w:szCs w:val="18"/>
                    </w:rPr>
                    <w:t>0m</w:t>
                  </w:r>
                  <w:r>
                    <w:rPr>
                      <w:rFonts w:hint="eastAsia"/>
                      <w:color w:val="auto"/>
                      <w:sz w:val="24"/>
                      <w:szCs w:val="18"/>
                      <w:vertAlign w:val="superscript"/>
                    </w:rPr>
                    <w:t>2</w:t>
                  </w:r>
                  <w:r>
                    <w:rPr>
                      <w:rFonts w:hint="eastAsia"/>
                      <w:color w:val="auto"/>
                      <w:sz w:val="24"/>
                      <w:szCs w:val="18"/>
                    </w:rPr>
                    <w:t>，</w:t>
                  </w:r>
                  <w:r>
                    <w:rPr>
                      <w:rFonts w:hint="eastAsia"/>
                      <w:color w:val="auto"/>
                      <w:sz w:val="24"/>
                      <w:szCs w:val="18"/>
                      <w:lang w:val="en-US" w:eastAsia="zh-CN"/>
                    </w:rPr>
                    <w:t>2F</w:t>
                  </w:r>
                  <w:r>
                    <w:rPr>
                      <w:rFonts w:hint="eastAsia"/>
                      <w:color w:val="auto"/>
                      <w:sz w:val="24"/>
                      <w:szCs w:val="18"/>
                    </w:rPr>
                    <w:t>车间内主要分为</w:t>
                  </w:r>
                  <w:r>
                    <w:rPr>
                      <w:rFonts w:hint="eastAsia"/>
                      <w:color w:val="auto"/>
                      <w:sz w:val="24"/>
                      <w:szCs w:val="18"/>
                      <w:lang w:eastAsia="zh-CN"/>
                    </w:rPr>
                    <w:t>打包区、裁切</w:t>
                  </w:r>
                  <w:r>
                    <w:rPr>
                      <w:rFonts w:hint="eastAsia"/>
                      <w:color w:val="auto"/>
                      <w:sz w:val="24"/>
                      <w:szCs w:val="18"/>
                    </w:rPr>
                    <w:t>区、</w:t>
                  </w:r>
                  <w:r>
                    <w:rPr>
                      <w:rFonts w:hint="eastAsia"/>
                      <w:color w:val="auto"/>
                      <w:sz w:val="24"/>
                      <w:szCs w:val="18"/>
                      <w:lang w:eastAsia="zh-CN"/>
                    </w:rPr>
                    <w:t>冲压</w:t>
                  </w:r>
                  <w:r>
                    <w:rPr>
                      <w:rFonts w:hint="eastAsia"/>
                      <w:color w:val="auto"/>
                      <w:sz w:val="24"/>
                      <w:szCs w:val="18"/>
                    </w:rPr>
                    <w:t>区</w:t>
                  </w:r>
                  <w:r>
                    <w:rPr>
                      <w:rFonts w:hint="eastAsia"/>
                      <w:color w:val="auto"/>
                      <w:sz w:val="24"/>
                      <w:szCs w:val="18"/>
                      <w:lang w:eastAsia="zh-CN"/>
                    </w:rPr>
                    <w:t>、</w:t>
                  </w:r>
                  <w:r>
                    <w:rPr>
                      <w:rFonts w:hint="eastAsia"/>
                      <w:color w:val="auto"/>
                      <w:sz w:val="24"/>
                      <w:szCs w:val="18"/>
                    </w:rPr>
                    <w:t>成品区</w:t>
                  </w:r>
                  <w:r>
                    <w:rPr>
                      <w:rFonts w:hint="eastAsia"/>
                      <w:color w:val="auto"/>
                      <w:sz w:val="24"/>
                      <w:szCs w:val="18"/>
                      <w:lang w:eastAsia="zh-CN"/>
                    </w:rPr>
                    <w:t>、周转区、</w:t>
                  </w:r>
                  <w:r>
                    <w:rPr>
                      <w:rFonts w:hint="eastAsia"/>
                      <w:color w:val="auto"/>
                      <w:sz w:val="24"/>
                      <w:lang w:eastAsia="zh-CN"/>
                    </w:rPr>
                    <w:t>原</w:t>
                  </w:r>
                  <w:r>
                    <w:rPr>
                      <w:rFonts w:hint="eastAsia"/>
                      <w:color w:val="auto"/>
                      <w:sz w:val="24"/>
                      <w:szCs w:val="18"/>
                      <w:lang w:eastAsia="zh-CN"/>
                    </w:rPr>
                    <w:t>材料区、</w:t>
                  </w:r>
                  <w:r>
                    <w:rPr>
                      <w:rFonts w:hint="eastAsia"/>
                      <w:color w:val="auto"/>
                      <w:sz w:val="24"/>
                      <w:lang w:eastAsia="zh-CN"/>
                    </w:rPr>
                    <w:t>不合格品区</w:t>
                  </w:r>
                  <w:r>
                    <w:rPr>
                      <w:rFonts w:hint="eastAsia"/>
                      <w:color w:val="auto"/>
                      <w:sz w:val="24"/>
                      <w:szCs w:val="18"/>
                    </w:rPr>
                    <w:t>；</w:t>
                  </w:r>
                  <w:r>
                    <w:rPr>
                      <w:rFonts w:hint="eastAsia"/>
                      <w:color w:val="auto"/>
                      <w:sz w:val="24"/>
                      <w:szCs w:val="18"/>
                      <w:lang w:val="en-US" w:eastAsia="zh-CN"/>
                    </w:rPr>
                    <w:t>3F</w:t>
                  </w:r>
                  <w:r>
                    <w:rPr>
                      <w:rFonts w:hint="eastAsia"/>
                      <w:color w:val="auto"/>
                      <w:sz w:val="24"/>
                      <w:szCs w:val="18"/>
                    </w:rPr>
                    <w:t>主要布置</w:t>
                  </w:r>
                  <w:r>
                    <w:rPr>
                      <w:rFonts w:hint="eastAsia"/>
                      <w:color w:val="auto"/>
                      <w:sz w:val="24"/>
                      <w:szCs w:val="18"/>
                      <w:lang w:eastAsia="zh-CN"/>
                    </w:rPr>
                    <w:t>成品</w:t>
                  </w:r>
                  <w:r>
                    <w:rPr>
                      <w:rFonts w:hint="eastAsia"/>
                      <w:color w:val="auto"/>
                      <w:sz w:val="24"/>
                      <w:szCs w:val="18"/>
                    </w:rPr>
                    <w:t>区、</w:t>
                  </w:r>
                  <w:r>
                    <w:rPr>
                      <w:rFonts w:hint="eastAsia"/>
                      <w:color w:val="auto"/>
                      <w:sz w:val="24"/>
                      <w:szCs w:val="18"/>
                      <w:lang w:eastAsia="zh-CN"/>
                    </w:rPr>
                    <w:t>原材料</w:t>
                  </w:r>
                  <w:r>
                    <w:rPr>
                      <w:rFonts w:hint="eastAsia"/>
                      <w:color w:val="auto"/>
                      <w:sz w:val="24"/>
                      <w:szCs w:val="18"/>
                    </w:rPr>
                    <w:t>区、</w:t>
                  </w:r>
                  <w:r>
                    <w:rPr>
                      <w:rFonts w:hint="eastAsia"/>
                      <w:color w:val="auto"/>
                      <w:sz w:val="24"/>
                      <w:szCs w:val="18"/>
                      <w:lang w:eastAsia="zh-CN"/>
                    </w:rPr>
                    <w:t>涂胶</w:t>
                  </w:r>
                  <w:r>
                    <w:rPr>
                      <w:rFonts w:hint="eastAsia"/>
                      <w:color w:val="auto"/>
                      <w:sz w:val="24"/>
                      <w:szCs w:val="18"/>
                    </w:rPr>
                    <w:t>区</w:t>
                  </w:r>
                  <w:r>
                    <w:rPr>
                      <w:rFonts w:hint="eastAsia"/>
                      <w:color w:val="auto"/>
                      <w:sz w:val="24"/>
                      <w:szCs w:val="18"/>
                      <w:lang w:eastAsia="zh-CN"/>
                    </w:rPr>
                    <w:t>、周转区</w:t>
                  </w:r>
                  <w:r>
                    <w:rPr>
                      <w:rFonts w:hint="eastAsia"/>
                      <w:color w:val="auto"/>
                      <w:sz w:val="24"/>
                      <w:szCs w:val="18"/>
                    </w:rPr>
                    <w:t>，</w:t>
                  </w:r>
                  <w:r>
                    <w:rPr>
                      <w:rFonts w:hint="eastAsia"/>
                      <w:color w:val="auto"/>
                      <w:sz w:val="24"/>
                      <w:szCs w:val="18"/>
                      <w:lang w:eastAsia="zh-CN"/>
                    </w:rPr>
                    <w:t>贴合区、</w:t>
                  </w:r>
                  <w:r>
                    <w:rPr>
                      <w:rFonts w:hint="eastAsia"/>
                      <w:color w:val="auto"/>
                      <w:sz w:val="24"/>
                      <w:szCs w:val="18"/>
                    </w:rPr>
                    <w:t>面</w:t>
                  </w:r>
                  <w:r>
                    <w:rPr>
                      <w:rFonts w:hint="eastAsia"/>
                      <w:color w:val="auto"/>
                      <w:sz w:val="24"/>
                      <w:szCs w:val="18"/>
                      <w:highlight w:val="none"/>
                    </w:rPr>
                    <w:t>积约为2</w:t>
                  </w:r>
                  <w:r>
                    <w:rPr>
                      <w:rFonts w:hint="eastAsia"/>
                      <w:color w:val="auto"/>
                      <w:sz w:val="24"/>
                      <w:szCs w:val="18"/>
                      <w:highlight w:val="none"/>
                      <w:lang w:val="en-US" w:eastAsia="zh-CN"/>
                    </w:rPr>
                    <w:t>45</w:t>
                  </w:r>
                  <w:r>
                    <w:rPr>
                      <w:rFonts w:hint="eastAsia"/>
                      <w:color w:val="auto"/>
                      <w:sz w:val="24"/>
                      <w:szCs w:val="18"/>
                      <w:highlight w:val="none"/>
                    </w:rPr>
                    <w:t>0m</w:t>
                  </w:r>
                  <w:r>
                    <w:rPr>
                      <w:rFonts w:hint="eastAsia"/>
                      <w:color w:val="auto"/>
                      <w:sz w:val="24"/>
                      <w:szCs w:val="18"/>
                      <w:highlight w:val="none"/>
                      <w:vertAlign w:val="superscript"/>
                    </w:rPr>
                    <w:t>2</w:t>
                  </w:r>
                  <w:r>
                    <w:rPr>
                      <w:rFonts w:hint="eastAsia"/>
                      <w:color w:val="auto"/>
                      <w:sz w:val="24"/>
                      <w:szCs w:val="18"/>
                      <w:highlight w:val="none"/>
                    </w:rPr>
                    <w:t>。</w:t>
                  </w:r>
                </w:p>
              </w:tc>
              <w:tc>
                <w:tcPr>
                  <w:tcW w:w="715" w:type="pct"/>
                  <w:vAlign w:val="center"/>
                </w:tcPr>
                <w:p w14:paraId="2A16DE7C">
                  <w:pPr>
                    <w:pStyle w:val="48"/>
                    <w:rPr>
                      <w:color w:val="auto"/>
                      <w:sz w:val="24"/>
                      <w:szCs w:val="18"/>
                    </w:rPr>
                  </w:pPr>
                  <w:r>
                    <w:rPr>
                      <w:rFonts w:hint="eastAsia"/>
                      <w:color w:val="auto"/>
                      <w:sz w:val="24"/>
                      <w:szCs w:val="18"/>
                    </w:rPr>
                    <w:t>厂房租赁，设备新建</w:t>
                  </w:r>
                </w:p>
              </w:tc>
            </w:tr>
            <w:tr w14:paraId="66AA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0B04D6A8">
                  <w:pPr>
                    <w:pStyle w:val="48"/>
                    <w:rPr>
                      <w:color w:val="auto"/>
                      <w:sz w:val="24"/>
                      <w:szCs w:val="18"/>
                    </w:rPr>
                  </w:pPr>
                </w:p>
              </w:tc>
              <w:tc>
                <w:tcPr>
                  <w:tcW w:w="4280" w:type="pct"/>
                  <w:gridSpan w:val="3"/>
                  <w:vAlign w:val="center"/>
                </w:tcPr>
                <w:p w14:paraId="4D634BB1">
                  <w:pPr>
                    <w:pStyle w:val="48"/>
                    <w:jc w:val="both"/>
                    <w:rPr>
                      <w:color w:val="auto"/>
                      <w:sz w:val="24"/>
                      <w:szCs w:val="18"/>
                    </w:rPr>
                  </w:pPr>
                  <w:r>
                    <w:rPr>
                      <w:rFonts w:hint="eastAsia"/>
                      <w:color w:val="auto"/>
                      <w:sz w:val="24"/>
                      <w:szCs w:val="18"/>
                      <w:lang w:val="en-US" w:eastAsia="zh-CN"/>
                    </w:rPr>
                    <w:t>2</w:t>
                  </w:r>
                  <w:r>
                    <w:rPr>
                      <w:rFonts w:hint="eastAsia"/>
                      <w:color w:val="auto"/>
                      <w:sz w:val="24"/>
                      <w:szCs w:val="18"/>
                    </w:rPr>
                    <w:t>F生产车间</w:t>
                  </w:r>
                </w:p>
              </w:tc>
            </w:tr>
            <w:tr w14:paraId="7CCB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671E5860">
                  <w:pPr>
                    <w:pStyle w:val="48"/>
                    <w:rPr>
                      <w:color w:val="auto"/>
                      <w:sz w:val="24"/>
                      <w:szCs w:val="18"/>
                    </w:rPr>
                  </w:pPr>
                </w:p>
              </w:tc>
              <w:tc>
                <w:tcPr>
                  <w:tcW w:w="943" w:type="pct"/>
                  <w:vAlign w:val="center"/>
                </w:tcPr>
                <w:p w14:paraId="666FB4BB">
                  <w:pPr>
                    <w:pStyle w:val="48"/>
                    <w:rPr>
                      <w:rFonts w:hint="eastAsia"/>
                      <w:color w:val="auto"/>
                      <w:sz w:val="24"/>
                      <w:szCs w:val="18"/>
                      <w:lang w:eastAsia="zh-CN"/>
                    </w:rPr>
                  </w:pPr>
                  <w:r>
                    <w:rPr>
                      <w:rFonts w:hint="eastAsia"/>
                      <w:color w:val="auto"/>
                      <w:sz w:val="24"/>
                      <w:szCs w:val="18"/>
                      <w:lang w:eastAsia="zh-CN"/>
                    </w:rPr>
                    <w:t>打包区</w:t>
                  </w:r>
                </w:p>
              </w:tc>
              <w:tc>
                <w:tcPr>
                  <w:tcW w:w="2621" w:type="pct"/>
                  <w:vAlign w:val="center"/>
                </w:tcPr>
                <w:p w14:paraId="6A3F4A2E">
                  <w:pPr>
                    <w:pStyle w:val="48"/>
                    <w:jc w:val="left"/>
                    <w:rPr>
                      <w:rFonts w:hint="eastAsia"/>
                      <w:color w:val="auto"/>
                      <w:sz w:val="24"/>
                      <w:szCs w:val="18"/>
                    </w:rPr>
                  </w:pPr>
                  <w:r>
                    <w:rPr>
                      <w:rFonts w:hint="eastAsia"/>
                      <w:color w:val="auto"/>
                      <w:sz w:val="24"/>
                      <w:szCs w:val="18"/>
                    </w:rPr>
                    <w:t>位于生产车间</w:t>
                  </w:r>
                  <w:r>
                    <w:rPr>
                      <w:rFonts w:hint="eastAsia"/>
                      <w:color w:val="auto"/>
                      <w:sz w:val="24"/>
                      <w:szCs w:val="18"/>
                      <w:lang w:eastAsia="zh-CN"/>
                    </w:rPr>
                    <w:t>西北</w:t>
                  </w:r>
                  <w:r>
                    <w:rPr>
                      <w:rFonts w:hint="eastAsia"/>
                      <w:color w:val="auto"/>
                      <w:sz w:val="24"/>
                      <w:szCs w:val="18"/>
                    </w:rPr>
                    <w:t>侧，约</w:t>
                  </w:r>
                  <w:r>
                    <w:rPr>
                      <w:rFonts w:hint="eastAsia"/>
                      <w:color w:val="auto"/>
                      <w:sz w:val="24"/>
                      <w:szCs w:val="18"/>
                      <w:lang w:val="en-US" w:eastAsia="zh-CN"/>
                    </w:rPr>
                    <w:t>6</w:t>
                  </w:r>
                  <w:r>
                    <w:rPr>
                      <w:rFonts w:hint="eastAsia"/>
                      <w:color w:val="auto"/>
                      <w:sz w:val="24"/>
                      <w:szCs w:val="18"/>
                    </w:rPr>
                    <w:t>0m</w:t>
                  </w:r>
                  <w:r>
                    <w:rPr>
                      <w:rFonts w:hint="eastAsia"/>
                      <w:color w:val="auto"/>
                      <w:sz w:val="24"/>
                      <w:szCs w:val="18"/>
                      <w:vertAlign w:val="superscript"/>
                    </w:rPr>
                    <w:t>2</w:t>
                  </w:r>
                </w:p>
              </w:tc>
              <w:tc>
                <w:tcPr>
                  <w:tcW w:w="715" w:type="pct"/>
                  <w:vAlign w:val="center"/>
                </w:tcPr>
                <w:p w14:paraId="37962509">
                  <w:pPr>
                    <w:pStyle w:val="48"/>
                    <w:rPr>
                      <w:rFonts w:hint="eastAsia"/>
                      <w:color w:val="auto"/>
                      <w:sz w:val="24"/>
                      <w:szCs w:val="18"/>
                    </w:rPr>
                  </w:pPr>
                  <w:r>
                    <w:rPr>
                      <w:rFonts w:hint="eastAsia"/>
                      <w:color w:val="auto"/>
                      <w:sz w:val="24"/>
                      <w:szCs w:val="18"/>
                    </w:rPr>
                    <w:t>新建</w:t>
                  </w:r>
                </w:p>
              </w:tc>
            </w:tr>
            <w:tr w14:paraId="62A2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74B88D1C">
                  <w:pPr>
                    <w:pStyle w:val="48"/>
                    <w:rPr>
                      <w:color w:val="auto"/>
                      <w:sz w:val="24"/>
                      <w:szCs w:val="18"/>
                    </w:rPr>
                  </w:pPr>
                </w:p>
              </w:tc>
              <w:tc>
                <w:tcPr>
                  <w:tcW w:w="943" w:type="pct"/>
                  <w:vAlign w:val="center"/>
                </w:tcPr>
                <w:p w14:paraId="5384E7B5">
                  <w:pPr>
                    <w:pStyle w:val="48"/>
                    <w:rPr>
                      <w:color w:val="auto"/>
                      <w:sz w:val="24"/>
                      <w:szCs w:val="18"/>
                    </w:rPr>
                  </w:pPr>
                  <w:r>
                    <w:rPr>
                      <w:rFonts w:hint="eastAsia"/>
                      <w:color w:val="auto"/>
                      <w:sz w:val="24"/>
                      <w:szCs w:val="18"/>
                      <w:lang w:eastAsia="zh-CN"/>
                    </w:rPr>
                    <w:t>裁切</w:t>
                  </w:r>
                  <w:r>
                    <w:rPr>
                      <w:rFonts w:hint="eastAsia"/>
                      <w:color w:val="auto"/>
                      <w:sz w:val="24"/>
                      <w:szCs w:val="18"/>
                    </w:rPr>
                    <w:t>区</w:t>
                  </w:r>
                </w:p>
              </w:tc>
              <w:tc>
                <w:tcPr>
                  <w:tcW w:w="2621" w:type="pct"/>
                  <w:vAlign w:val="center"/>
                </w:tcPr>
                <w:p w14:paraId="373CB465">
                  <w:pPr>
                    <w:pStyle w:val="48"/>
                    <w:jc w:val="left"/>
                    <w:rPr>
                      <w:color w:val="auto"/>
                      <w:sz w:val="24"/>
                      <w:szCs w:val="18"/>
                    </w:rPr>
                  </w:pPr>
                  <w:r>
                    <w:rPr>
                      <w:rFonts w:hint="eastAsia"/>
                      <w:color w:val="auto"/>
                      <w:sz w:val="24"/>
                      <w:szCs w:val="18"/>
                    </w:rPr>
                    <w:t>位于生产车间</w:t>
                  </w:r>
                  <w:r>
                    <w:rPr>
                      <w:rFonts w:hint="eastAsia"/>
                      <w:color w:val="auto"/>
                      <w:sz w:val="24"/>
                      <w:szCs w:val="18"/>
                      <w:lang w:eastAsia="zh-CN"/>
                    </w:rPr>
                    <w:t>西北</w:t>
                  </w:r>
                  <w:r>
                    <w:rPr>
                      <w:rFonts w:hint="eastAsia"/>
                      <w:color w:val="auto"/>
                      <w:sz w:val="24"/>
                      <w:szCs w:val="18"/>
                    </w:rPr>
                    <w:t>侧，约</w:t>
                  </w:r>
                  <w:r>
                    <w:rPr>
                      <w:rFonts w:hint="eastAsia"/>
                      <w:color w:val="auto"/>
                      <w:sz w:val="24"/>
                      <w:szCs w:val="18"/>
                      <w:lang w:val="en-US" w:eastAsia="zh-CN"/>
                    </w:rPr>
                    <w:t>1</w:t>
                  </w:r>
                  <w:r>
                    <w:rPr>
                      <w:rFonts w:hint="eastAsia"/>
                      <w:color w:val="auto"/>
                      <w:sz w:val="24"/>
                      <w:szCs w:val="18"/>
                    </w:rPr>
                    <w:t>00m</w:t>
                  </w:r>
                  <w:r>
                    <w:rPr>
                      <w:rFonts w:hint="eastAsia"/>
                      <w:color w:val="auto"/>
                      <w:sz w:val="24"/>
                      <w:szCs w:val="18"/>
                      <w:vertAlign w:val="superscript"/>
                    </w:rPr>
                    <w:t>2</w:t>
                  </w:r>
                </w:p>
              </w:tc>
              <w:tc>
                <w:tcPr>
                  <w:tcW w:w="715" w:type="pct"/>
                  <w:vAlign w:val="center"/>
                </w:tcPr>
                <w:p w14:paraId="23BC9E9D">
                  <w:pPr>
                    <w:pStyle w:val="48"/>
                    <w:rPr>
                      <w:color w:val="auto"/>
                      <w:sz w:val="24"/>
                      <w:szCs w:val="18"/>
                    </w:rPr>
                  </w:pPr>
                  <w:r>
                    <w:rPr>
                      <w:rFonts w:hint="eastAsia"/>
                      <w:color w:val="auto"/>
                      <w:sz w:val="24"/>
                      <w:szCs w:val="18"/>
                    </w:rPr>
                    <w:t>新建</w:t>
                  </w:r>
                </w:p>
              </w:tc>
            </w:tr>
            <w:tr w14:paraId="11B8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7C1E88D1">
                  <w:pPr>
                    <w:pStyle w:val="48"/>
                    <w:rPr>
                      <w:color w:val="auto"/>
                      <w:sz w:val="24"/>
                      <w:szCs w:val="18"/>
                    </w:rPr>
                  </w:pPr>
                </w:p>
              </w:tc>
              <w:tc>
                <w:tcPr>
                  <w:tcW w:w="943" w:type="pct"/>
                  <w:shd w:val="clear" w:color="auto" w:fill="auto"/>
                  <w:vAlign w:val="center"/>
                </w:tcPr>
                <w:p w14:paraId="2F93E366">
                  <w:pPr>
                    <w:spacing w:line="240" w:lineRule="auto"/>
                    <w:ind w:firstLine="0" w:firstLineChars="0"/>
                    <w:jc w:val="center"/>
                    <w:rPr>
                      <w:color w:val="auto"/>
                      <w:sz w:val="24"/>
                    </w:rPr>
                  </w:pPr>
                  <w:r>
                    <w:rPr>
                      <w:rFonts w:hint="eastAsia"/>
                      <w:color w:val="auto"/>
                      <w:sz w:val="24"/>
                      <w:lang w:eastAsia="zh-CN"/>
                    </w:rPr>
                    <w:t>冲压</w:t>
                  </w:r>
                  <w:r>
                    <w:rPr>
                      <w:rFonts w:hint="eastAsia"/>
                      <w:color w:val="auto"/>
                      <w:sz w:val="24"/>
                    </w:rPr>
                    <w:t>区</w:t>
                  </w:r>
                </w:p>
              </w:tc>
              <w:tc>
                <w:tcPr>
                  <w:tcW w:w="2621" w:type="pct"/>
                  <w:shd w:val="clear" w:color="auto" w:fill="auto"/>
                  <w:vAlign w:val="center"/>
                </w:tcPr>
                <w:p w14:paraId="6CE981B5">
                  <w:pPr>
                    <w:spacing w:line="240" w:lineRule="auto"/>
                    <w:ind w:firstLine="0" w:firstLineChars="0"/>
                    <w:rPr>
                      <w:color w:val="auto"/>
                      <w:sz w:val="24"/>
                      <w:highlight w:val="yellow"/>
                    </w:rPr>
                  </w:pPr>
                  <w:r>
                    <w:rPr>
                      <w:rFonts w:hint="eastAsia"/>
                      <w:color w:val="auto"/>
                      <w:sz w:val="24"/>
                    </w:rPr>
                    <w:t>位于生产车间</w:t>
                  </w:r>
                  <w:r>
                    <w:rPr>
                      <w:rFonts w:hint="eastAsia"/>
                      <w:color w:val="auto"/>
                      <w:sz w:val="24"/>
                      <w:lang w:eastAsia="zh-CN"/>
                    </w:rPr>
                    <w:t>东北</w:t>
                  </w:r>
                  <w:r>
                    <w:rPr>
                      <w:rFonts w:hint="eastAsia"/>
                      <w:color w:val="auto"/>
                      <w:sz w:val="24"/>
                    </w:rPr>
                    <w:t>侧，面积约</w:t>
                  </w:r>
                  <w:r>
                    <w:rPr>
                      <w:rFonts w:hint="eastAsia"/>
                      <w:color w:val="auto"/>
                      <w:sz w:val="24"/>
                      <w:lang w:val="en-US" w:eastAsia="zh-CN"/>
                    </w:rPr>
                    <w:t>130</w:t>
                  </w:r>
                  <w:r>
                    <w:rPr>
                      <w:rFonts w:hint="eastAsia"/>
                      <w:color w:val="auto"/>
                      <w:sz w:val="24"/>
                    </w:rPr>
                    <w:t>m</w:t>
                  </w:r>
                  <w:r>
                    <w:rPr>
                      <w:color w:val="auto"/>
                      <w:sz w:val="24"/>
                      <w:vertAlign w:val="superscript"/>
                    </w:rPr>
                    <w:t>2</w:t>
                  </w:r>
                  <w:r>
                    <w:rPr>
                      <w:rFonts w:hint="eastAsia"/>
                      <w:color w:val="auto"/>
                      <w:sz w:val="24"/>
                    </w:rPr>
                    <w:t>，设置有</w:t>
                  </w:r>
                  <w:r>
                    <w:rPr>
                      <w:rFonts w:hint="eastAsia"/>
                      <w:color w:val="auto"/>
                      <w:sz w:val="24"/>
                      <w:lang w:eastAsia="zh-CN"/>
                    </w:rPr>
                    <w:t>冲床</w:t>
                  </w:r>
                  <w:r>
                    <w:rPr>
                      <w:rFonts w:hint="eastAsia"/>
                      <w:color w:val="auto"/>
                      <w:sz w:val="24"/>
                      <w:highlight w:val="none"/>
                    </w:rPr>
                    <w:t>4台</w:t>
                  </w:r>
                </w:p>
              </w:tc>
              <w:tc>
                <w:tcPr>
                  <w:tcW w:w="715" w:type="pct"/>
                  <w:vAlign w:val="center"/>
                </w:tcPr>
                <w:p w14:paraId="26DC8724">
                  <w:pPr>
                    <w:pStyle w:val="48"/>
                    <w:rPr>
                      <w:color w:val="auto"/>
                      <w:sz w:val="24"/>
                      <w:szCs w:val="18"/>
                    </w:rPr>
                  </w:pPr>
                  <w:r>
                    <w:rPr>
                      <w:rFonts w:hint="eastAsia"/>
                      <w:color w:val="auto"/>
                      <w:sz w:val="24"/>
                      <w:szCs w:val="18"/>
                    </w:rPr>
                    <w:t>新建</w:t>
                  </w:r>
                </w:p>
              </w:tc>
            </w:tr>
            <w:tr w14:paraId="3131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540F0A23">
                  <w:pPr>
                    <w:pStyle w:val="48"/>
                    <w:rPr>
                      <w:color w:val="auto"/>
                      <w:sz w:val="24"/>
                      <w:szCs w:val="18"/>
                    </w:rPr>
                  </w:pPr>
                </w:p>
              </w:tc>
              <w:tc>
                <w:tcPr>
                  <w:tcW w:w="943" w:type="pct"/>
                  <w:shd w:val="clear" w:color="auto" w:fill="auto"/>
                  <w:vAlign w:val="center"/>
                </w:tcPr>
                <w:p w14:paraId="68F6448F">
                  <w:pPr>
                    <w:spacing w:line="240" w:lineRule="auto"/>
                    <w:ind w:firstLine="0" w:firstLineChars="0"/>
                    <w:jc w:val="center"/>
                    <w:rPr>
                      <w:color w:val="auto"/>
                      <w:sz w:val="24"/>
                    </w:rPr>
                  </w:pPr>
                  <w:r>
                    <w:rPr>
                      <w:rFonts w:hint="eastAsia"/>
                      <w:color w:val="auto"/>
                      <w:sz w:val="24"/>
                      <w:lang w:eastAsia="zh-CN"/>
                    </w:rPr>
                    <w:t>成品周转</w:t>
                  </w:r>
                  <w:r>
                    <w:rPr>
                      <w:rFonts w:hint="eastAsia"/>
                      <w:color w:val="auto"/>
                      <w:sz w:val="24"/>
                    </w:rPr>
                    <w:t>区</w:t>
                  </w:r>
                </w:p>
              </w:tc>
              <w:tc>
                <w:tcPr>
                  <w:tcW w:w="2621" w:type="pct"/>
                  <w:shd w:val="clear" w:color="auto" w:fill="auto"/>
                  <w:vAlign w:val="center"/>
                </w:tcPr>
                <w:p w14:paraId="434EA331">
                  <w:pPr>
                    <w:spacing w:line="240" w:lineRule="auto"/>
                    <w:ind w:firstLine="0" w:firstLineChars="0"/>
                    <w:rPr>
                      <w:color w:val="auto"/>
                      <w:sz w:val="24"/>
                    </w:rPr>
                  </w:pPr>
                  <w:r>
                    <w:rPr>
                      <w:rFonts w:hint="eastAsia"/>
                      <w:color w:val="auto"/>
                      <w:sz w:val="24"/>
                    </w:rPr>
                    <w:t>位于生产车间西侧，</w:t>
                  </w:r>
                  <w:r>
                    <w:rPr>
                      <w:rFonts w:hint="eastAsia"/>
                      <w:color w:val="auto"/>
                      <w:sz w:val="24"/>
                      <w:lang w:eastAsia="zh-CN"/>
                    </w:rPr>
                    <w:t>面积</w:t>
                  </w:r>
                  <w:r>
                    <w:rPr>
                      <w:rFonts w:hint="eastAsia"/>
                      <w:color w:val="auto"/>
                      <w:sz w:val="24"/>
                    </w:rPr>
                    <w:t>约</w:t>
                  </w:r>
                  <w:r>
                    <w:rPr>
                      <w:rFonts w:hint="eastAsia"/>
                      <w:color w:val="auto"/>
                      <w:sz w:val="24"/>
                      <w:lang w:val="en-US" w:eastAsia="zh-CN"/>
                    </w:rPr>
                    <w:t>35</w:t>
                  </w:r>
                  <w:r>
                    <w:rPr>
                      <w:rFonts w:hint="eastAsia"/>
                      <w:color w:val="auto"/>
                      <w:sz w:val="24"/>
                    </w:rPr>
                    <w:t>m</w:t>
                  </w:r>
                  <w:r>
                    <w:rPr>
                      <w:color w:val="auto"/>
                      <w:sz w:val="24"/>
                      <w:vertAlign w:val="superscript"/>
                    </w:rPr>
                    <w:t>2</w:t>
                  </w:r>
                  <w:r>
                    <w:rPr>
                      <w:rFonts w:hint="eastAsia"/>
                      <w:color w:val="auto"/>
                      <w:sz w:val="24"/>
                    </w:rPr>
                    <w:t>。</w:t>
                  </w:r>
                </w:p>
              </w:tc>
              <w:tc>
                <w:tcPr>
                  <w:tcW w:w="715" w:type="pct"/>
                  <w:vAlign w:val="center"/>
                </w:tcPr>
                <w:p w14:paraId="3A1B0F09">
                  <w:pPr>
                    <w:pStyle w:val="48"/>
                    <w:rPr>
                      <w:color w:val="auto"/>
                      <w:sz w:val="24"/>
                      <w:szCs w:val="18"/>
                    </w:rPr>
                  </w:pPr>
                  <w:r>
                    <w:rPr>
                      <w:rFonts w:hint="eastAsia"/>
                      <w:color w:val="auto"/>
                      <w:sz w:val="24"/>
                      <w:szCs w:val="18"/>
                    </w:rPr>
                    <w:t>新建</w:t>
                  </w:r>
                </w:p>
              </w:tc>
            </w:tr>
            <w:tr w14:paraId="7D6B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0A4AC377">
                  <w:pPr>
                    <w:pStyle w:val="48"/>
                    <w:rPr>
                      <w:color w:val="auto"/>
                      <w:sz w:val="24"/>
                      <w:szCs w:val="18"/>
                    </w:rPr>
                  </w:pPr>
                </w:p>
              </w:tc>
              <w:tc>
                <w:tcPr>
                  <w:tcW w:w="943" w:type="pct"/>
                  <w:shd w:val="clear" w:color="auto" w:fill="auto"/>
                  <w:vAlign w:val="center"/>
                </w:tcPr>
                <w:p w14:paraId="2979B284">
                  <w:pPr>
                    <w:spacing w:line="240" w:lineRule="auto"/>
                    <w:ind w:firstLine="0" w:firstLineChars="0"/>
                    <w:jc w:val="center"/>
                    <w:rPr>
                      <w:rFonts w:hint="eastAsia" w:eastAsia="仿宋"/>
                      <w:i/>
                      <w:iCs/>
                      <w:color w:val="auto"/>
                      <w:sz w:val="24"/>
                      <w:lang w:eastAsia="zh-CN"/>
                    </w:rPr>
                  </w:pPr>
                  <w:r>
                    <w:rPr>
                      <w:rFonts w:hint="default" w:ascii="Times New Roman" w:hAnsi="Times New Roman" w:cs="Times New Roman"/>
                      <w:i/>
                      <w:iCs/>
                      <w:color w:val="auto"/>
                      <w:sz w:val="24"/>
                      <w:lang w:eastAsia="zh-CN"/>
                    </w:rPr>
                    <w:t>成品防潮、变色存放</w:t>
                  </w:r>
                  <w:r>
                    <w:rPr>
                      <w:rFonts w:hint="eastAsia" w:ascii="Times New Roman" w:hAnsi="Times New Roman" w:cs="Times New Roman"/>
                      <w:i/>
                      <w:iCs/>
                      <w:color w:val="auto"/>
                      <w:sz w:val="24"/>
                      <w:lang w:eastAsia="zh-CN"/>
                    </w:rPr>
                    <w:t>房</w:t>
                  </w:r>
                </w:p>
              </w:tc>
              <w:tc>
                <w:tcPr>
                  <w:tcW w:w="2621" w:type="pct"/>
                  <w:shd w:val="clear" w:color="auto" w:fill="auto"/>
                  <w:vAlign w:val="center"/>
                </w:tcPr>
                <w:p w14:paraId="7246F5F1">
                  <w:pPr>
                    <w:spacing w:line="240" w:lineRule="auto"/>
                    <w:ind w:firstLine="0" w:firstLineChars="0"/>
                    <w:rPr>
                      <w:i/>
                      <w:iCs/>
                      <w:color w:val="auto"/>
                      <w:sz w:val="24"/>
                    </w:rPr>
                  </w:pPr>
                  <w:r>
                    <w:rPr>
                      <w:rFonts w:hint="eastAsia"/>
                      <w:i/>
                      <w:iCs/>
                      <w:color w:val="auto"/>
                      <w:sz w:val="24"/>
                    </w:rPr>
                    <w:t>位于生产车间西侧，</w:t>
                  </w:r>
                  <w:r>
                    <w:rPr>
                      <w:rFonts w:hint="eastAsia"/>
                      <w:i/>
                      <w:iCs/>
                      <w:color w:val="auto"/>
                      <w:sz w:val="24"/>
                      <w:lang w:eastAsia="zh-CN"/>
                    </w:rPr>
                    <w:t>面积</w:t>
                  </w:r>
                  <w:r>
                    <w:rPr>
                      <w:rFonts w:hint="eastAsia"/>
                      <w:i/>
                      <w:iCs/>
                      <w:color w:val="auto"/>
                      <w:sz w:val="24"/>
                    </w:rPr>
                    <w:t>约</w:t>
                  </w:r>
                  <w:r>
                    <w:rPr>
                      <w:rFonts w:hint="eastAsia"/>
                      <w:i/>
                      <w:iCs/>
                      <w:color w:val="auto"/>
                      <w:sz w:val="24"/>
                      <w:lang w:val="en-US" w:eastAsia="zh-CN"/>
                    </w:rPr>
                    <w:t>55</w:t>
                  </w:r>
                  <w:r>
                    <w:rPr>
                      <w:rFonts w:hint="eastAsia"/>
                      <w:i/>
                      <w:iCs/>
                      <w:color w:val="auto"/>
                      <w:sz w:val="24"/>
                    </w:rPr>
                    <w:t>m</w:t>
                  </w:r>
                  <w:r>
                    <w:rPr>
                      <w:i/>
                      <w:iCs/>
                      <w:color w:val="auto"/>
                      <w:sz w:val="24"/>
                      <w:vertAlign w:val="superscript"/>
                    </w:rPr>
                    <w:t>2</w:t>
                  </w:r>
                </w:p>
              </w:tc>
              <w:tc>
                <w:tcPr>
                  <w:tcW w:w="715" w:type="pct"/>
                  <w:vAlign w:val="center"/>
                </w:tcPr>
                <w:p w14:paraId="0D4278C9">
                  <w:pPr>
                    <w:pStyle w:val="48"/>
                    <w:rPr>
                      <w:color w:val="auto"/>
                      <w:sz w:val="24"/>
                      <w:szCs w:val="18"/>
                    </w:rPr>
                  </w:pPr>
                  <w:r>
                    <w:rPr>
                      <w:rFonts w:hint="eastAsia"/>
                      <w:color w:val="auto"/>
                      <w:sz w:val="24"/>
                      <w:szCs w:val="18"/>
                    </w:rPr>
                    <w:t>新建</w:t>
                  </w:r>
                </w:p>
              </w:tc>
            </w:tr>
            <w:tr w14:paraId="30E6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229A6905">
                  <w:pPr>
                    <w:pStyle w:val="48"/>
                    <w:rPr>
                      <w:color w:val="auto"/>
                      <w:sz w:val="24"/>
                      <w:szCs w:val="18"/>
                    </w:rPr>
                  </w:pPr>
                </w:p>
              </w:tc>
              <w:tc>
                <w:tcPr>
                  <w:tcW w:w="943" w:type="pct"/>
                  <w:shd w:val="clear" w:color="auto" w:fill="auto"/>
                  <w:vAlign w:val="center"/>
                </w:tcPr>
                <w:p w14:paraId="6AF4B919">
                  <w:pPr>
                    <w:spacing w:line="240" w:lineRule="auto"/>
                    <w:ind w:firstLine="0" w:firstLineChars="0"/>
                    <w:jc w:val="center"/>
                    <w:rPr>
                      <w:rFonts w:hint="eastAsia"/>
                      <w:color w:val="auto"/>
                      <w:sz w:val="24"/>
                      <w:lang w:eastAsia="zh-CN"/>
                    </w:rPr>
                  </w:pPr>
                  <w:r>
                    <w:rPr>
                      <w:rFonts w:hint="eastAsia"/>
                      <w:color w:val="auto"/>
                      <w:sz w:val="24"/>
                      <w:lang w:eastAsia="zh-CN"/>
                    </w:rPr>
                    <w:t>不合格品区</w:t>
                  </w:r>
                </w:p>
              </w:tc>
              <w:tc>
                <w:tcPr>
                  <w:tcW w:w="2621" w:type="pct"/>
                  <w:shd w:val="clear" w:color="auto" w:fill="auto"/>
                  <w:vAlign w:val="center"/>
                </w:tcPr>
                <w:p w14:paraId="103D936C">
                  <w:pPr>
                    <w:spacing w:line="240" w:lineRule="auto"/>
                    <w:ind w:firstLine="0" w:firstLineChars="0"/>
                    <w:rPr>
                      <w:rFonts w:hint="eastAsia"/>
                      <w:color w:val="auto"/>
                      <w:sz w:val="24"/>
                    </w:rPr>
                  </w:pPr>
                  <w:r>
                    <w:rPr>
                      <w:rFonts w:hint="eastAsia"/>
                      <w:color w:val="auto"/>
                      <w:sz w:val="24"/>
                    </w:rPr>
                    <w:t>位于生产车间西</w:t>
                  </w:r>
                  <w:r>
                    <w:rPr>
                      <w:rFonts w:hint="eastAsia"/>
                      <w:color w:val="auto"/>
                      <w:sz w:val="24"/>
                      <w:lang w:eastAsia="zh-CN"/>
                    </w:rPr>
                    <w:t>南</w:t>
                  </w:r>
                  <w:r>
                    <w:rPr>
                      <w:rFonts w:hint="eastAsia"/>
                      <w:color w:val="auto"/>
                      <w:sz w:val="24"/>
                    </w:rPr>
                    <w:t>侧，</w:t>
                  </w:r>
                  <w:r>
                    <w:rPr>
                      <w:rFonts w:hint="eastAsia"/>
                      <w:color w:val="auto"/>
                      <w:sz w:val="24"/>
                      <w:lang w:eastAsia="zh-CN"/>
                    </w:rPr>
                    <w:t>面积</w:t>
                  </w:r>
                  <w:r>
                    <w:rPr>
                      <w:rFonts w:hint="eastAsia"/>
                      <w:color w:val="auto"/>
                      <w:sz w:val="24"/>
                    </w:rPr>
                    <w:t>约</w:t>
                  </w:r>
                  <w:r>
                    <w:rPr>
                      <w:rFonts w:hint="eastAsia"/>
                      <w:color w:val="auto"/>
                      <w:sz w:val="24"/>
                      <w:lang w:val="en-US" w:eastAsia="zh-CN"/>
                    </w:rPr>
                    <w:t>50</w:t>
                  </w:r>
                  <w:r>
                    <w:rPr>
                      <w:rFonts w:hint="eastAsia"/>
                      <w:color w:val="auto"/>
                      <w:sz w:val="24"/>
                    </w:rPr>
                    <w:t>m</w:t>
                  </w:r>
                  <w:r>
                    <w:rPr>
                      <w:color w:val="auto"/>
                      <w:sz w:val="24"/>
                      <w:vertAlign w:val="superscript"/>
                    </w:rPr>
                    <w:t>2</w:t>
                  </w:r>
                </w:p>
              </w:tc>
              <w:tc>
                <w:tcPr>
                  <w:tcW w:w="715" w:type="pct"/>
                  <w:vAlign w:val="center"/>
                </w:tcPr>
                <w:p w14:paraId="74CE38A9">
                  <w:pPr>
                    <w:pStyle w:val="48"/>
                    <w:rPr>
                      <w:rFonts w:hint="eastAsia"/>
                      <w:color w:val="auto"/>
                      <w:sz w:val="24"/>
                      <w:szCs w:val="18"/>
                    </w:rPr>
                  </w:pPr>
                  <w:r>
                    <w:rPr>
                      <w:rFonts w:hint="eastAsia"/>
                      <w:color w:val="auto"/>
                      <w:sz w:val="24"/>
                      <w:szCs w:val="18"/>
                    </w:rPr>
                    <w:t>新建</w:t>
                  </w:r>
                </w:p>
              </w:tc>
            </w:tr>
            <w:tr w14:paraId="4056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32DFFF25">
                  <w:pPr>
                    <w:pStyle w:val="48"/>
                    <w:rPr>
                      <w:color w:val="auto"/>
                      <w:sz w:val="24"/>
                      <w:szCs w:val="18"/>
                    </w:rPr>
                  </w:pPr>
                </w:p>
              </w:tc>
              <w:tc>
                <w:tcPr>
                  <w:tcW w:w="943" w:type="pct"/>
                  <w:shd w:val="clear" w:color="auto" w:fill="auto"/>
                  <w:vAlign w:val="center"/>
                </w:tcPr>
                <w:p w14:paraId="009C8AC6">
                  <w:pPr>
                    <w:spacing w:line="240" w:lineRule="auto"/>
                    <w:ind w:firstLine="0" w:firstLineChars="0"/>
                    <w:jc w:val="center"/>
                    <w:rPr>
                      <w:rFonts w:hint="eastAsia"/>
                      <w:color w:val="auto"/>
                      <w:sz w:val="24"/>
                      <w:lang w:eastAsia="zh-CN"/>
                    </w:rPr>
                  </w:pPr>
                  <w:r>
                    <w:rPr>
                      <w:rFonts w:hint="eastAsia"/>
                      <w:color w:val="auto"/>
                      <w:sz w:val="24"/>
                      <w:lang w:eastAsia="zh-CN"/>
                    </w:rPr>
                    <w:t>下料区</w:t>
                  </w:r>
                </w:p>
              </w:tc>
              <w:tc>
                <w:tcPr>
                  <w:tcW w:w="2621" w:type="pct"/>
                  <w:shd w:val="clear" w:color="auto" w:fill="auto"/>
                  <w:vAlign w:val="center"/>
                </w:tcPr>
                <w:p w14:paraId="0DF2D6FB">
                  <w:pPr>
                    <w:spacing w:line="240" w:lineRule="auto"/>
                    <w:ind w:firstLine="0" w:firstLineChars="0"/>
                    <w:rPr>
                      <w:rFonts w:hint="eastAsia"/>
                      <w:color w:val="auto"/>
                      <w:sz w:val="24"/>
                    </w:rPr>
                  </w:pPr>
                  <w:r>
                    <w:rPr>
                      <w:rFonts w:hint="eastAsia"/>
                      <w:color w:val="auto"/>
                      <w:sz w:val="24"/>
                    </w:rPr>
                    <w:t>位于生产车间西侧，</w:t>
                  </w:r>
                  <w:r>
                    <w:rPr>
                      <w:rFonts w:hint="eastAsia"/>
                      <w:color w:val="auto"/>
                      <w:sz w:val="24"/>
                      <w:lang w:eastAsia="zh-CN"/>
                    </w:rPr>
                    <w:t>面积</w:t>
                  </w:r>
                  <w:r>
                    <w:rPr>
                      <w:rFonts w:hint="eastAsia"/>
                      <w:color w:val="auto"/>
                      <w:sz w:val="24"/>
                    </w:rPr>
                    <w:t>约</w:t>
                  </w:r>
                  <w:r>
                    <w:rPr>
                      <w:rFonts w:hint="eastAsia"/>
                      <w:color w:val="auto"/>
                      <w:sz w:val="24"/>
                      <w:lang w:val="en-US" w:eastAsia="zh-CN"/>
                    </w:rPr>
                    <w:t>100</w:t>
                  </w:r>
                  <w:r>
                    <w:rPr>
                      <w:rFonts w:hint="eastAsia"/>
                      <w:color w:val="auto"/>
                      <w:sz w:val="24"/>
                    </w:rPr>
                    <w:t>m</w:t>
                  </w:r>
                  <w:r>
                    <w:rPr>
                      <w:color w:val="auto"/>
                      <w:sz w:val="24"/>
                      <w:vertAlign w:val="superscript"/>
                    </w:rPr>
                    <w:t>2</w:t>
                  </w:r>
                </w:p>
              </w:tc>
              <w:tc>
                <w:tcPr>
                  <w:tcW w:w="715" w:type="pct"/>
                  <w:vAlign w:val="center"/>
                </w:tcPr>
                <w:p w14:paraId="2162FFDE">
                  <w:pPr>
                    <w:pStyle w:val="48"/>
                    <w:rPr>
                      <w:rFonts w:hint="eastAsia"/>
                      <w:color w:val="auto"/>
                      <w:sz w:val="24"/>
                      <w:szCs w:val="18"/>
                    </w:rPr>
                  </w:pPr>
                  <w:r>
                    <w:rPr>
                      <w:rFonts w:hint="eastAsia"/>
                      <w:color w:val="auto"/>
                      <w:sz w:val="24"/>
                      <w:szCs w:val="18"/>
                    </w:rPr>
                    <w:t>新建</w:t>
                  </w:r>
                </w:p>
              </w:tc>
            </w:tr>
            <w:tr w14:paraId="3B13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15D0C749">
                  <w:pPr>
                    <w:pStyle w:val="48"/>
                    <w:jc w:val="both"/>
                    <w:rPr>
                      <w:color w:val="auto"/>
                      <w:sz w:val="24"/>
                      <w:szCs w:val="18"/>
                    </w:rPr>
                  </w:pPr>
                </w:p>
              </w:tc>
              <w:tc>
                <w:tcPr>
                  <w:tcW w:w="4280" w:type="pct"/>
                  <w:gridSpan w:val="3"/>
                  <w:vAlign w:val="center"/>
                </w:tcPr>
                <w:p w14:paraId="568D3E7A">
                  <w:pPr>
                    <w:pStyle w:val="48"/>
                    <w:jc w:val="both"/>
                    <w:rPr>
                      <w:color w:val="auto"/>
                      <w:sz w:val="24"/>
                    </w:rPr>
                  </w:pPr>
                  <w:r>
                    <w:rPr>
                      <w:rFonts w:hint="eastAsia"/>
                      <w:color w:val="auto"/>
                      <w:sz w:val="24"/>
                      <w:lang w:val="en-US" w:eastAsia="zh-CN"/>
                    </w:rPr>
                    <w:t>3</w:t>
                  </w:r>
                  <w:r>
                    <w:rPr>
                      <w:rFonts w:hint="eastAsia"/>
                      <w:color w:val="auto"/>
                      <w:sz w:val="24"/>
                    </w:rPr>
                    <w:t>F生产车间</w:t>
                  </w:r>
                </w:p>
              </w:tc>
            </w:tr>
            <w:tr w14:paraId="6AD7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43490E9E">
                  <w:pPr>
                    <w:pStyle w:val="48"/>
                    <w:rPr>
                      <w:color w:val="auto"/>
                      <w:sz w:val="24"/>
                      <w:szCs w:val="18"/>
                    </w:rPr>
                  </w:pPr>
                </w:p>
              </w:tc>
              <w:tc>
                <w:tcPr>
                  <w:tcW w:w="943" w:type="pct"/>
                  <w:shd w:val="clear" w:color="auto" w:fill="auto"/>
                  <w:vAlign w:val="center"/>
                </w:tcPr>
                <w:p w14:paraId="0F350404">
                  <w:pPr>
                    <w:spacing w:line="240" w:lineRule="auto"/>
                    <w:ind w:firstLine="0" w:firstLineChars="0"/>
                    <w:jc w:val="center"/>
                    <w:rPr>
                      <w:rFonts w:hint="eastAsia"/>
                      <w:color w:val="auto"/>
                      <w:sz w:val="24"/>
                      <w:lang w:eastAsia="zh-CN"/>
                    </w:rPr>
                  </w:pPr>
                  <w:r>
                    <w:rPr>
                      <w:rFonts w:hint="eastAsia"/>
                      <w:color w:val="auto"/>
                      <w:sz w:val="24"/>
                      <w:lang w:eastAsia="zh-CN"/>
                    </w:rPr>
                    <w:t>涂胶烘干区</w:t>
                  </w:r>
                </w:p>
              </w:tc>
              <w:tc>
                <w:tcPr>
                  <w:tcW w:w="2621" w:type="pct"/>
                  <w:shd w:val="clear" w:color="auto" w:fill="auto"/>
                  <w:vAlign w:val="center"/>
                </w:tcPr>
                <w:p w14:paraId="5716F6F9">
                  <w:pPr>
                    <w:spacing w:line="240" w:lineRule="auto"/>
                    <w:ind w:firstLine="0" w:firstLineChars="0"/>
                    <w:rPr>
                      <w:rFonts w:hint="eastAsia"/>
                      <w:color w:val="auto"/>
                      <w:sz w:val="24"/>
                    </w:rPr>
                  </w:pPr>
                  <w:r>
                    <w:rPr>
                      <w:rFonts w:hint="eastAsia"/>
                      <w:color w:val="auto"/>
                      <w:sz w:val="24"/>
                      <w:lang w:eastAsia="zh-CN"/>
                    </w:rPr>
                    <w:t>位于生产车间东北侧，面积</w:t>
                  </w:r>
                  <w:r>
                    <w:rPr>
                      <w:rFonts w:hint="eastAsia"/>
                      <w:color w:val="auto"/>
                      <w:sz w:val="24"/>
                    </w:rPr>
                    <w:t>约</w:t>
                  </w:r>
                  <w:r>
                    <w:rPr>
                      <w:rFonts w:hint="eastAsia"/>
                      <w:color w:val="auto"/>
                      <w:sz w:val="24"/>
                      <w:lang w:val="en-US" w:eastAsia="zh-CN"/>
                    </w:rPr>
                    <w:t>300</w:t>
                  </w:r>
                  <w:r>
                    <w:rPr>
                      <w:rFonts w:hint="eastAsia"/>
                      <w:color w:val="auto"/>
                      <w:sz w:val="24"/>
                    </w:rPr>
                    <w:t>m</w:t>
                  </w:r>
                  <w:r>
                    <w:rPr>
                      <w:color w:val="auto"/>
                      <w:sz w:val="24"/>
                      <w:vertAlign w:val="superscript"/>
                    </w:rPr>
                    <w:t>2</w:t>
                  </w:r>
                  <w:r>
                    <w:rPr>
                      <w:rFonts w:hint="eastAsia"/>
                      <w:color w:val="auto"/>
                      <w:sz w:val="24"/>
                    </w:rPr>
                    <w:t>。</w:t>
                  </w:r>
                </w:p>
              </w:tc>
              <w:tc>
                <w:tcPr>
                  <w:tcW w:w="715" w:type="pct"/>
                  <w:vAlign w:val="center"/>
                </w:tcPr>
                <w:p w14:paraId="42330FCB">
                  <w:pPr>
                    <w:pStyle w:val="48"/>
                    <w:rPr>
                      <w:rFonts w:hint="eastAsia"/>
                      <w:color w:val="auto"/>
                      <w:sz w:val="24"/>
                      <w:szCs w:val="18"/>
                    </w:rPr>
                  </w:pPr>
                  <w:r>
                    <w:rPr>
                      <w:rFonts w:hint="eastAsia"/>
                      <w:color w:val="auto"/>
                      <w:sz w:val="24"/>
                      <w:szCs w:val="18"/>
                    </w:rPr>
                    <w:t>新建</w:t>
                  </w:r>
                </w:p>
              </w:tc>
            </w:tr>
            <w:tr w14:paraId="1B9C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75168AE9">
                  <w:pPr>
                    <w:pStyle w:val="48"/>
                    <w:rPr>
                      <w:color w:val="auto"/>
                      <w:sz w:val="24"/>
                      <w:szCs w:val="18"/>
                    </w:rPr>
                  </w:pPr>
                </w:p>
              </w:tc>
              <w:tc>
                <w:tcPr>
                  <w:tcW w:w="943" w:type="pct"/>
                  <w:shd w:val="clear" w:color="auto" w:fill="auto"/>
                  <w:vAlign w:val="center"/>
                </w:tcPr>
                <w:p w14:paraId="60ED7CAF">
                  <w:pPr>
                    <w:spacing w:line="240" w:lineRule="auto"/>
                    <w:ind w:firstLine="0" w:firstLineChars="0"/>
                    <w:jc w:val="center"/>
                    <w:rPr>
                      <w:rFonts w:hint="eastAsia"/>
                      <w:color w:val="auto"/>
                      <w:sz w:val="24"/>
                      <w:lang w:eastAsia="zh-CN"/>
                    </w:rPr>
                  </w:pPr>
                  <w:r>
                    <w:rPr>
                      <w:rFonts w:hint="eastAsia"/>
                      <w:color w:val="auto"/>
                      <w:sz w:val="24"/>
                      <w:lang w:eastAsia="zh-CN"/>
                    </w:rPr>
                    <w:t>周转区</w:t>
                  </w:r>
                </w:p>
              </w:tc>
              <w:tc>
                <w:tcPr>
                  <w:tcW w:w="2621" w:type="pct"/>
                  <w:shd w:val="clear" w:color="auto" w:fill="auto"/>
                  <w:vAlign w:val="center"/>
                </w:tcPr>
                <w:p w14:paraId="297FA382">
                  <w:pPr>
                    <w:spacing w:line="240" w:lineRule="auto"/>
                    <w:ind w:firstLine="0" w:firstLineChars="0"/>
                    <w:rPr>
                      <w:rFonts w:hint="eastAsia"/>
                      <w:color w:val="auto"/>
                      <w:sz w:val="24"/>
                    </w:rPr>
                  </w:pPr>
                  <w:r>
                    <w:rPr>
                      <w:rFonts w:hint="eastAsia"/>
                      <w:color w:val="auto"/>
                      <w:sz w:val="24"/>
                      <w:lang w:eastAsia="zh-CN"/>
                    </w:rPr>
                    <w:t>位于生产车间中部，面积</w:t>
                  </w:r>
                  <w:r>
                    <w:rPr>
                      <w:rFonts w:hint="eastAsia"/>
                      <w:color w:val="auto"/>
                      <w:sz w:val="24"/>
                    </w:rPr>
                    <w:t>约</w:t>
                  </w:r>
                  <w:r>
                    <w:rPr>
                      <w:rFonts w:hint="eastAsia"/>
                      <w:color w:val="auto"/>
                      <w:sz w:val="24"/>
                      <w:lang w:val="en-US" w:eastAsia="zh-CN"/>
                    </w:rPr>
                    <w:t>90</w:t>
                  </w:r>
                  <w:r>
                    <w:rPr>
                      <w:rFonts w:hint="eastAsia"/>
                      <w:color w:val="auto"/>
                      <w:sz w:val="24"/>
                    </w:rPr>
                    <w:t>m</w:t>
                  </w:r>
                  <w:r>
                    <w:rPr>
                      <w:color w:val="auto"/>
                      <w:sz w:val="24"/>
                      <w:vertAlign w:val="superscript"/>
                    </w:rPr>
                    <w:t>2</w:t>
                  </w:r>
                </w:p>
              </w:tc>
              <w:tc>
                <w:tcPr>
                  <w:tcW w:w="715" w:type="pct"/>
                  <w:vAlign w:val="center"/>
                </w:tcPr>
                <w:p w14:paraId="1F4F206E">
                  <w:pPr>
                    <w:pStyle w:val="48"/>
                    <w:rPr>
                      <w:rFonts w:hint="eastAsia"/>
                      <w:color w:val="auto"/>
                      <w:sz w:val="24"/>
                      <w:szCs w:val="18"/>
                    </w:rPr>
                  </w:pPr>
                  <w:r>
                    <w:rPr>
                      <w:rFonts w:hint="eastAsia"/>
                      <w:color w:val="auto"/>
                      <w:sz w:val="24"/>
                      <w:szCs w:val="18"/>
                    </w:rPr>
                    <w:t>新建</w:t>
                  </w:r>
                </w:p>
              </w:tc>
            </w:tr>
            <w:tr w14:paraId="78F4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2DBBDA74">
                  <w:pPr>
                    <w:pStyle w:val="48"/>
                    <w:rPr>
                      <w:color w:val="auto"/>
                      <w:sz w:val="24"/>
                      <w:szCs w:val="18"/>
                    </w:rPr>
                  </w:pPr>
                </w:p>
              </w:tc>
              <w:tc>
                <w:tcPr>
                  <w:tcW w:w="943" w:type="pct"/>
                  <w:shd w:val="clear" w:color="auto" w:fill="auto"/>
                  <w:vAlign w:val="center"/>
                </w:tcPr>
                <w:p w14:paraId="1D5FD28E">
                  <w:pPr>
                    <w:spacing w:line="240" w:lineRule="auto"/>
                    <w:ind w:firstLine="0" w:firstLineChars="0"/>
                    <w:jc w:val="center"/>
                    <w:rPr>
                      <w:rFonts w:hint="eastAsia" w:ascii="仿宋" w:hAnsi="仿宋" w:eastAsia="仿宋" w:cs="Times New Roman"/>
                      <w:color w:val="auto"/>
                      <w:kern w:val="2"/>
                      <w:sz w:val="24"/>
                      <w:szCs w:val="24"/>
                      <w:lang w:val="en-US" w:eastAsia="zh-CN" w:bidi="ar-SA"/>
                    </w:rPr>
                  </w:pPr>
                  <w:r>
                    <w:rPr>
                      <w:rFonts w:hint="eastAsia"/>
                      <w:color w:val="auto"/>
                      <w:sz w:val="24"/>
                      <w:lang w:eastAsia="zh-CN"/>
                    </w:rPr>
                    <w:t>不合格品区</w:t>
                  </w:r>
                </w:p>
              </w:tc>
              <w:tc>
                <w:tcPr>
                  <w:tcW w:w="2621" w:type="pct"/>
                  <w:shd w:val="clear" w:color="auto" w:fill="auto"/>
                  <w:vAlign w:val="center"/>
                </w:tcPr>
                <w:p w14:paraId="7B4E9778">
                  <w:pPr>
                    <w:spacing w:line="240" w:lineRule="auto"/>
                    <w:ind w:firstLine="0" w:firstLineChars="0"/>
                    <w:rPr>
                      <w:rFonts w:hint="eastAsia" w:ascii="仿宋" w:hAnsi="仿宋" w:eastAsia="仿宋" w:cs="Times New Roman"/>
                      <w:color w:val="auto"/>
                      <w:kern w:val="2"/>
                      <w:sz w:val="24"/>
                      <w:szCs w:val="24"/>
                      <w:lang w:val="en-US" w:eastAsia="zh-CN" w:bidi="ar-SA"/>
                    </w:rPr>
                  </w:pPr>
                  <w:r>
                    <w:rPr>
                      <w:rFonts w:hint="eastAsia"/>
                      <w:color w:val="auto"/>
                      <w:sz w:val="24"/>
                    </w:rPr>
                    <w:t>位于生产车间</w:t>
                  </w:r>
                  <w:r>
                    <w:rPr>
                      <w:rFonts w:hint="eastAsia"/>
                      <w:color w:val="auto"/>
                      <w:sz w:val="24"/>
                      <w:lang w:eastAsia="zh-CN"/>
                    </w:rPr>
                    <w:t>东南</w:t>
                  </w:r>
                  <w:r>
                    <w:rPr>
                      <w:rFonts w:hint="eastAsia"/>
                      <w:color w:val="auto"/>
                      <w:sz w:val="24"/>
                    </w:rPr>
                    <w:t>侧，</w:t>
                  </w:r>
                  <w:r>
                    <w:rPr>
                      <w:rFonts w:hint="eastAsia"/>
                      <w:color w:val="auto"/>
                      <w:sz w:val="24"/>
                      <w:lang w:eastAsia="zh-CN"/>
                    </w:rPr>
                    <w:t>面积</w:t>
                  </w:r>
                  <w:r>
                    <w:rPr>
                      <w:rFonts w:hint="eastAsia"/>
                      <w:color w:val="auto"/>
                      <w:sz w:val="24"/>
                    </w:rPr>
                    <w:t>约</w:t>
                  </w:r>
                  <w:r>
                    <w:rPr>
                      <w:rFonts w:hint="eastAsia"/>
                      <w:color w:val="auto"/>
                      <w:sz w:val="24"/>
                      <w:lang w:val="en-US" w:eastAsia="zh-CN"/>
                    </w:rPr>
                    <w:t>50</w:t>
                  </w:r>
                  <w:r>
                    <w:rPr>
                      <w:rFonts w:hint="eastAsia"/>
                      <w:color w:val="auto"/>
                      <w:sz w:val="24"/>
                    </w:rPr>
                    <w:t>m</w:t>
                  </w:r>
                  <w:r>
                    <w:rPr>
                      <w:color w:val="auto"/>
                      <w:sz w:val="24"/>
                      <w:vertAlign w:val="superscript"/>
                    </w:rPr>
                    <w:t>2</w:t>
                  </w:r>
                </w:p>
              </w:tc>
              <w:tc>
                <w:tcPr>
                  <w:tcW w:w="715" w:type="pct"/>
                  <w:vAlign w:val="center"/>
                </w:tcPr>
                <w:p w14:paraId="113067C0">
                  <w:pPr>
                    <w:pStyle w:val="48"/>
                    <w:rPr>
                      <w:rFonts w:hint="eastAsia"/>
                      <w:color w:val="auto"/>
                      <w:sz w:val="24"/>
                      <w:szCs w:val="18"/>
                    </w:rPr>
                  </w:pPr>
                  <w:r>
                    <w:rPr>
                      <w:rFonts w:hint="eastAsia"/>
                      <w:color w:val="auto"/>
                      <w:sz w:val="24"/>
                      <w:szCs w:val="18"/>
                    </w:rPr>
                    <w:t>新建</w:t>
                  </w:r>
                </w:p>
              </w:tc>
            </w:tr>
            <w:tr w14:paraId="1D28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47E02D9C">
                  <w:pPr>
                    <w:pStyle w:val="48"/>
                    <w:rPr>
                      <w:color w:val="auto"/>
                      <w:sz w:val="24"/>
                      <w:szCs w:val="18"/>
                    </w:rPr>
                  </w:pPr>
                </w:p>
              </w:tc>
              <w:tc>
                <w:tcPr>
                  <w:tcW w:w="943" w:type="pct"/>
                  <w:shd w:val="clear" w:color="auto" w:fill="auto"/>
                  <w:vAlign w:val="center"/>
                </w:tcPr>
                <w:p w14:paraId="3151AC7C">
                  <w:pPr>
                    <w:spacing w:line="240" w:lineRule="auto"/>
                    <w:ind w:firstLine="0" w:firstLineChars="0"/>
                    <w:jc w:val="center"/>
                    <w:rPr>
                      <w:rFonts w:hint="eastAsia"/>
                      <w:color w:val="auto"/>
                      <w:sz w:val="24"/>
                      <w:lang w:eastAsia="zh-CN"/>
                    </w:rPr>
                  </w:pPr>
                  <w:r>
                    <w:rPr>
                      <w:rFonts w:hint="eastAsia"/>
                      <w:color w:val="auto"/>
                      <w:sz w:val="24"/>
                      <w:lang w:eastAsia="zh-CN"/>
                    </w:rPr>
                    <w:t>贴合区</w:t>
                  </w:r>
                </w:p>
              </w:tc>
              <w:tc>
                <w:tcPr>
                  <w:tcW w:w="2621" w:type="pct"/>
                  <w:shd w:val="clear" w:color="auto" w:fill="auto"/>
                  <w:vAlign w:val="center"/>
                </w:tcPr>
                <w:p w14:paraId="5FBE9F94">
                  <w:pPr>
                    <w:spacing w:line="240" w:lineRule="auto"/>
                    <w:ind w:firstLine="0" w:firstLineChars="0"/>
                    <w:rPr>
                      <w:rFonts w:hint="eastAsia"/>
                      <w:color w:val="auto"/>
                      <w:sz w:val="24"/>
                    </w:rPr>
                  </w:pPr>
                  <w:r>
                    <w:rPr>
                      <w:rFonts w:hint="eastAsia"/>
                      <w:color w:val="auto"/>
                      <w:sz w:val="24"/>
                    </w:rPr>
                    <w:t>位于生产车间</w:t>
                  </w:r>
                  <w:r>
                    <w:rPr>
                      <w:rFonts w:hint="eastAsia"/>
                      <w:color w:val="auto"/>
                      <w:sz w:val="24"/>
                      <w:lang w:eastAsia="zh-CN"/>
                    </w:rPr>
                    <w:t>东</w:t>
                  </w:r>
                  <w:r>
                    <w:rPr>
                      <w:rFonts w:hint="eastAsia"/>
                      <w:color w:val="auto"/>
                      <w:sz w:val="24"/>
                    </w:rPr>
                    <w:t>侧，</w:t>
                  </w:r>
                  <w:r>
                    <w:rPr>
                      <w:rFonts w:hint="eastAsia"/>
                      <w:color w:val="auto"/>
                      <w:sz w:val="24"/>
                      <w:lang w:eastAsia="zh-CN"/>
                    </w:rPr>
                    <w:t>面积</w:t>
                  </w:r>
                  <w:r>
                    <w:rPr>
                      <w:rFonts w:hint="eastAsia"/>
                      <w:color w:val="auto"/>
                      <w:sz w:val="24"/>
                    </w:rPr>
                    <w:t>约</w:t>
                  </w:r>
                  <w:r>
                    <w:rPr>
                      <w:rFonts w:hint="eastAsia"/>
                      <w:color w:val="auto"/>
                      <w:sz w:val="24"/>
                      <w:lang w:val="en-US" w:eastAsia="zh-CN"/>
                    </w:rPr>
                    <w:t>120</w:t>
                  </w:r>
                  <w:r>
                    <w:rPr>
                      <w:rFonts w:hint="eastAsia"/>
                      <w:color w:val="auto"/>
                      <w:sz w:val="24"/>
                    </w:rPr>
                    <w:t>m</w:t>
                  </w:r>
                  <w:r>
                    <w:rPr>
                      <w:color w:val="auto"/>
                      <w:sz w:val="24"/>
                      <w:vertAlign w:val="superscript"/>
                    </w:rPr>
                    <w:t>2</w:t>
                  </w:r>
                </w:p>
              </w:tc>
              <w:tc>
                <w:tcPr>
                  <w:tcW w:w="715" w:type="pct"/>
                  <w:vAlign w:val="center"/>
                </w:tcPr>
                <w:p w14:paraId="70846686">
                  <w:pPr>
                    <w:pStyle w:val="48"/>
                    <w:rPr>
                      <w:rFonts w:hint="eastAsia"/>
                      <w:color w:val="auto"/>
                      <w:sz w:val="24"/>
                      <w:szCs w:val="18"/>
                    </w:rPr>
                  </w:pPr>
                  <w:r>
                    <w:rPr>
                      <w:rFonts w:hint="eastAsia"/>
                      <w:color w:val="auto"/>
                      <w:sz w:val="24"/>
                      <w:szCs w:val="18"/>
                    </w:rPr>
                    <w:t>新建</w:t>
                  </w:r>
                </w:p>
              </w:tc>
            </w:tr>
            <w:tr w14:paraId="23FD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Align w:val="center"/>
                </w:tcPr>
                <w:p w14:paraId="543613B7">
                  <w:pPr>
                    <w:pStyle w:val="48"/>
                    <w:rPr>
                      <w:rFonts w:hint="eastAsia" w:eastAsia="仿宋"/>
                      <w:color w:val="auto"/>
                      <w:sz w:val="24"/>
                      <w:szCs w:val="18"/>
                      <w:lang w:eastAsia="zh-CN"/>
                    </w:rPr>
                  </w:pPr>
                  <w:r>
                    <w:rPr>
                      <w:rFonts w:hint="eastAsia"/>
                      <w:color w:val="auto"/>
                      <w:sz w:val="24"/>
                      <w:szCs w:val="18"/>
                      <w:lang w:eastAsia="zh-CN"/>
                    </w:rPr>
                    <w:t>辅助工程</w:t>
                  </w:r>
                </w:p>
              </w:tc>
              <w:tc>
                <w:tcPr>
                  <w:tcW w:w="943" w:type="pct"/>
                  <w:shd w:val="clear" w:color="auto" w:fill="auto"/>
                  <w:vAlign w:val="center"/>
                </w:tcPr>
                <w:p w14:paraId="7CD43792">
                  <w:pPr>
                    <w:spacing w:line="240" w:lineRule="auto"/>
                    <w:ind w:firstLine="0" w:firstLineChars="0"/>
                    <w:jc w:val="center"/>
                    <w:rPr>
                      <w:rFonts w:hint="eastAsia"/>
                      <w:i/>
                      <w:iCs/>
                      <w:color w:val="auto"/>
                      <w:sz w:val="24"/>
                      <w:lang w:eastAsia="zh-CN"/>
                    </w:rPr>
                  </w:pPr>
                  <w:r>
                    <w:rPr>
                      <w:rFonts w:hint="eastAsia"/>
                      <w:i/>
                      <w:iCs/>
                      <w:color w:val="auto"/>
                      <w:sz w:val="24"/>
                      <w:lang w:eastAsia="zh-CN"/>
                    </w:rPr>
                    <w:t>办公区</w:t>
                  </w:r>
                </w:p>
              </w:tc>
              <w:tc>
                <w:tcPr>
                  <w:tcW w:w="2621" w:type="pct"/>
                  <w:shd w:val="clear" w:color="auto" w:fill="auto"/>
                  <w:vAlign w:val="center"/>
                </w:tcPr>
                <w:p w14:paraId="115F2556">
                  <w:pPr>
                    <w:spacing w:line="240" w:lineRule="auto"/>
                    <w:ind w:firstLine="0" w:firstLineChars="0"/>
                    <w:rPr>
                      <w:rFonts w:hint="default"/>
                      <w:i/>
                      <w:iCs/>
                      <w:color w:val="auto"/>
                      <w:sz w:val="24"/>
                      <w:lang w:val="en-US" w:eastAsia="zh-CN"/>
                    </w:rPr>
                  </w:pPr>
                  <w:r>
                    <w:rPr>
                      <w:rFonts w:hint="eastAsia"/>
                      <w:i/>
                      <w:iCs/>
                      <w:color w:val="auto"/>
                      <w:sz w:val="24"/>
                      <w:lang w:eastAsia="zh-CN"/>
                    </w:rPr>
                    <w:t>位于</w:t>
                  </w:r>
                  <w:r>
                    <w:rPr>
                      <w:rFonts w:hint="eastAsia"/>
                      <w:i/>
                      <w:iCs/>
                      <w:color w:val="auto"/>
                      <w:sz w:val="24"/>
                      <w:lang w:val="en-US" w:eastAsia="zh-CN"/>
                    </w:rPr>
                    <w:t>2F生产厂房东侧，面积约80m</w:t>
                  </w:r>
                  <w:r>
                    <w:rPr>
                      <w:rFonts w:hint="eastAsia"/>
                      <w:i/>
                      <w:iCs/>
                      <w:color w:val="auto"/>
                      <w:sz w:val="24"/>
                      <w:vertAlign w:val="superscript"/>
                      <w:lang w:val="en-US" w:eastAsia="zh-CN"/>
                    </w:rPr>
                    <w:t>2</w:t>
                  </w:r>
                </w:p>
              </w:tc>
              <w:tc>
                <w:tcPr>
                  <w:tcW w:w="715" w:type="pct"/>
                  <w:vAlign w:val="center"/>
                </w:tcPr>
                <w:p w14:paraId="6A623F99">
                  <w:pPr>
                    <w:pStyle w:val="48"/>
                    <w:rPr>
                      <w:rFonts w:hint="eastAsia"/>
                      <w:color w:val="auto"/>
                      <w:sz w:val="24"/>
                      <w:szCs w:val="18"/>
                    </w:rPr>
                  </w:pPr>
                  <w:r>
                    <w:rPr>
                      <w:rFonts w:hint="eastAsia"/>
                      <w:color w:val="auto"/>
                      <w:sz w:val="24"/>
                      <w:szCs w:val="18"/>
                    </w:rPr>
                    <w:t>新建</w:t>
                  </w:r>
                </w:p>
              </w:tc>
            </w:tr>
            <w:tr w14:paraId="13D6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restart"/>
                  <w:vAlign w:val="center"/>
                </w:tcPr>
                <w:p w14:paraId="4DB2DF0E">
                  <w:pPr>
                    <w:pStyle w:val="48"/>
                    <w:rPr>
                      <w:color w:val="auto"/>
                      <w:szCs w:val="18"/>
                    </w:rPr>
                  </w:pPr>
                  <w:r>
                    <w:rPr>
                      <w:rFonts w:hint="eastAsia"/>
                      <w:color w:val="auto"/>
                      <w:sz w:val="24"/>
                      <w:szCs w:val="18"/>
                    </w:rPr>
                    <w:t>储运工程</w:t>
                  </w:r>
                </w:p>
              </w:tc>
              <w:tc>
                <w:tcPr>
                  <w:tcW w:w="943" w:type="pct"/>
                  <w:vAlign w:val="center"/>
                </w:tcPr>
                <w:p w14:paraId="005C123B">
                  <w:pPr>
                    <w:pStyle w:val="48"/>
                    <w:rPr>
                      <w:rFonts w:hint="eastAsia" w:eastAsia="仿宋"/>
                      <w:color w:val="auto"/>
                      <w:szCs w:val="18"/>
                      <w:highlight w:val="yellow"/>
                      <w:lang w:eastAsia="zh-CN"/>
                    </w:rPr>
                  </w:pPr>
                  <w:r>
                    <w:rPr>
                      <w:rFonts w:hint="eastAsia"/>
                      <w:color w:val="auto"/>
                      <w:sz w:val="24"/>
                      <w:szCs w:val="18"/>
                    </w:rPr>
                    <w:t>成品</w:t>
                  </w:r>
                  <w:r>
                    <w:rPr>
                      <w:rFonts w:hint="eastAsia"/>
                      <w:color w:val="auto"/>
                      <w:sz w:val="24"/>
                      <w:szCs w:val="18"/>
                      <w:lang w:eastAsia="zh-CN"/>
                    </w:rPr>
                    <w:t>区</w:t>
                  </w:r>
                </w:p>
              </w:tc>
              <w:tc>
                <w:tcPr>
                  <w:tcW w:w="2621" w:type="pct"/>
                  <w:vAlign w:val="center"/>
                </w:tcPr>
                <w:p w14:paraId="277E0CC4">
                  <w:pPr>
                    <w:pStyle w:val="48"/>
                    <w:jc w:val="left"/>
                    <w:rPr>
                      <w:color w:val="auto"/>
                      <w:szCs w:val="18"/>
                    </w:rPr>
                  </w:pPr>
                  <w:r>
                    <w:rPr>
                      <w:rFonts w:hint="eastAsia"/>
                      <w:color w:val="auto"/>
                      <w:sz w:val="24"/>
                      <w:szCs w:val="18"/>
                    </w:rPr>
                    <w:t>位于</w:t>
                  </w:r>
                  <w:r>
                    <w:rPr>
                      <w:rFonts w:hint="eastAsia"/>
                      <w:color w:val="auto"/>
                      <w:sz w:val="24"/>
                      <w:szCs w:val="18"/>
                      <w:lang w:val="en-US" w:eastAsia="zh-CN"/>
                    </w:rPr>
                    <w:t>2</w:t>
                  </w:r>
                  <w:r>
                    <w:rPr>
                      <w:rFonts w:hint="eastAsia"/>
                      <w:color w:val="auto"/>
                      <w:sz w:val="24"/>
                      <w:szCs w:val="18"/>
                    </w:rPr>
                    <w:t>F</w:t>
                  </w:r>
                  <w:r>
                    <w:rPr>
                      <w:rFonts w:hint="eastAsia"/>
                      <w:color w:val="auto"/>
                      <w:sz w:val="24"/>
                      <w:szCs w:val="18"/>
                      <w:lang w:eastAsia="zh-CN"/>
                    </w:rPr>
                    <w:t>、</w:t>
                  </w:r>
                  <w:r>
                    <w:rPr>
                      <w:rFonts w:hint="eastAsia"/>
                      <w:color w:val="auto"/>
                      <w:sz w:val="24"/>
                      <w:szCs w:val="18"/>
                      <w:lang w:val="en-US" w:eastAsia="zh-CN"/>
                    </w:rPr>
                    <w:t>3F</w:t>
                  </w:r>
                  <w:r>
                    <w:rPr>
                      <w:rFonts w:hint="eastAsia"/>
                      <w:color w:val="auto"/>
                      <w:sz w:val="24"/>
                      <w:szCs w:val="18"/>
                    </w:rPr>
                    <w:t>生产车间</w:t>
                  </w:r>
                  <w:r>
                    <w:rPr>
                      <w:rFonts w:hint="eastAsia"/>
                      <w:color w:val="auto"/>
                      <w:sz w:val="24"/>
                      <w:szCs w:val="18"/>
                      <w:lang w:eastAsia="zh-CN"/>
                    </w:rPr>
                    <w:t>西</w:t>
                  </w:r>
                  <w:r>
                    <w:rPr>
                      <w:rFonts w:hint="eastAsia"/>
                      <w:color w:val="auto"/>
                      <w:sz w:val="24"/>
                      <w:szCs w:val="18"/>
                    </w:rPr>
                    <w:t>侧</w:t>
                  </w:r>
                  <w:r>
                    <w:rPr>
                      <w:rFonts w:hint="eastAsia"/>
                      <w:color w:val="auto"/>
                      <w:sz w:val="24"/>
                    </w:rPr>
                    <w:t>和南侧</w:t>
                  </w:r>
                  <w:r>
                    <w:rPr>
                      <w:rFonts w:hint="eastAsia"/>
                      <w:color w:val="auto"/>
                      <w:sz w:val="24"/>
                      <w:szCs w:val="18"/>
                    </w:rPr>
                    <w:t>，面积分别约为</w:t>
                  </w:r>
                  <w:r>
                    <w:rPr>
                      <w:rFonts w:hint="eastAsia"/>
                      <w:color w:val="auto"/>
                      <w:sz w:val="24"/>
                      <w:szCs w:val="18"/>
                      <w:lang w:val="en-US" w:eastAsia="zh-CN"/>
                    </w:rPr>
                    <w:t>25</w:t>
                  </w:r>
                  <w:r>
                    <w:rPr>
                      <w:rFonts w:hint="eastAsia"/>
                      <w:color w:val="auto"/>
                      <w:sz w:val="24"/>
                      <w:szCs w:val="18"/>
                    </w:rPr>
                    <w:t>㎡</w:t>
                  </w:r>
                  <w:r>
                    <w:rPr>
                      <w:rFonts w:hint="eastAsia"/>
                      <w:color w:val="auto"/>
                      <w:sz w:val="24"/>
                      <w:szCs w:val="18"/>
                      <w:lang w:val="en-US" w:eastAsia="zh-CN"/>
                    </w:rPr>
                    <w:t>、18</w:t>
                  </w:r>
                  <w:r>
                    <w:rPr>
                      <w:rFonts w:hint="eastAsia"/>
                      <w:color w:val="auto"/>
                      <w:sz w:val="24"/>
                      <w:szCs w:val="18"/>
                    </w:rPr>
                    <w:t>0㎡，主要用于暂存成品件等。</w:t>
                  </w:r>
                </w:p>
              </w:tc>
              <w:tc>
                <w:tcPr>
                  <w:tcW w:w="715" w:type="pct"/>
                  <w:vAlign w:val="center"/>
                </w:tcPr>
                <w:p w14:paraId="4795F91A">
                  <w:pPr>
                    <w:pStyle w:val="48"/>
                    <w:rPr>
                      <w:color w:val="auto"/>
                      <w:szCs w:val="18"/>
                    </w:rPr>
                  </w:pPr>
                  <w:r>
                    <w:rPr>
                      <w:rFonts w:hint="eastAsia"/>
                      <w:color w:val="auto"/>
                      <w:sz w:val="24"/>
                      <w:szCs w:val="18"/>
                    </w:rPr>
                    <w:t>新建</w:t>
                  </w:r>
                </w:p>
              </w:tc>
            </w:tr>
            <w:tr w14:paraId="0AA9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6975290F">
                  <w:pPr>
                    <w:pStyle w:val="48"/>
                    <w:rPr>
                      <w:color w:val="auto"/>
                      <w:szCs w:val="18"/>
                    </w:rPr>
                  </w:pPr>
                </w:p>
              </w:tc>
              <w:tc>
                <w:tcPr>
                  <w:tcW w:w="943" w:type="pct"/>
                  <w:vAlign w:val="center"/>
                </w:tcPr>
                <w:p w14:paraId="69F66921">
                  <w:pPr>
                    <w:pStyle w:val="48"/>
                    <w:rPr>
                      <w:rFonts w:hint="eastAsia" w:eastAsia="仿宋"/>
                      <w:color w:val="auto"/>
                      <w:szCs w:val="18"/>
                      <w:highlight w:val="yellow"/>
                      <w:lang w:eastAsia="zh-CN"/>
                    </w:rPr>
                  </w:pPr>
                  <w:r>
                    <w:rPr>
                      <w:rFonts w:hint="eastAsia"/>
                      <w:color w:val="auto"/>
                      <w:sz w:val="24"/>
                      <w:szCs w:val="18"/>
                    </w:rPr>
                    <w:t>原</w:t>
                  </w:r>
                  <w:r>
                    <w:rPr>
                      <w:rFonts w:hint="eastAsia"/>
                      <w:color w:val="auto"/>
                      <w:sz w:val="24"/>
                      <w:szCs w:val="18"/>
                      <w:lang w:eastAsia="zh-CN"/>
                    </w:rPr>
                    <w:t>材</w:t>
                  </w:r>
                  <w:r>
                    <w:rPr>
                      <w:rFonts w:hint="eastAsia"/>
                      <w:color w:val="auto"/>
                      <w:sz w:val="24"/>
                      <w:szCs w:val="18"/>
                    </w:rPr>
                    <w:t>料</w:t>
                  </w:r>
                  <w:r>
                    <w:rPr>
                      <w:rFonts w:hint="eastAsia"/>
                      <w:color w:val="auto"/>
                      <w:sz w:val="24"/>
                      <w:szCs w:val="18"/>
                      <w:lang w:eastAsia="zh-CN"/>
                    </w:rPr>
                    <w:t>区</w:t>
                  </w:r>
                </w:p>
              </w:tc>
              <w:tc>
                <w:tcPr>
                  <w:tcW w:w="2621" w:type="pct"/>
                  <w:vAlign w:val="center"/>
                </w:tcPr>
                <w:p w14:paraId="1BBF525A">
                  <w:pPr>
                    <w:pStyle w:val="48"/>
                    <w:jc w:val="left"/>
                    <w:rPr>
                      <w:rFonts w:hint="eastAsia" w:eastAsia="仿宋"/>
                      <w:color w:val="auto"/>
                      <w:szCs w:val="18"/>
                      <w:lang w:eastAsia="zh-CN"/>
                    </w:rPr>
                  </w:pPr>
                  <w:r>
                    <w:rPr>
                      <w:rFonts w:hint="eastAsia"/>
                      <w:color w:val="auto"/>
                      <w:sz w:val="24"/>
                      <w:szCs w:val="18"/>
                    </w:rPr>
                    <w:t>位于</w:t>
                  </w:r>
                  <w:r>
                    <w:rPr>
                      <w:rFonts w:hint="eastAsia"/>
                      <w:color w:val="auto"/>
                      <w:sz w:val="24"/>
                      <w:szCs w:val="18"/>
                      <w:lang w:val="en-US" w:eastAsia="zh-CN"/>
                    </w:rPr>
                    <w:t>2</w:t>
                  </w:r>
                  <w:r>
                    <w:rPr>
                      <w:rFonts w:hint="eastAsia"/>
                      <w:color w:val="auto"/>
                      <w:sz w:val="24"/>
                      <w:szCs w:val="18"/>
                    </w:rPr>
                    <w:t>F生产车间南侧和</w:t>
                  </w:r>
                  <w:r>
                    <w:rPr>
                      <w:rFonts w:hint="eastAsia"/>
                      <w:color w:val="auto"/>
                      <w:sz w:val="24"/>
                      <w:szCs w:val="18"/>
                      <w:lang w:val="en-US" w:eastAsia="zh-CN"/>
                    </w:rPr>
                    <w:t>3F</w:t>
                  </w:r>
                  <w:r>
                    <w:rPr>
                      <w:rFonts w:hint="eastAsia"/>
                      <w:color w:val="auto"/>
                      <w:sz w:val="24"/>
                    </w:rPr>
                    <w:t>车间</w:t>
                  </w:r>
                  <w:r>
                    <w:rPr>
                      <w:rFonts w:hint="eastAsia"/>
                      <w:color w:val="auto"/>
                      <w:sz w:val="24"/>
                      <w:lang w:eastAsia="zh-CN"/>
                    </w:rPr>
                    <w:t>西</w:t>
                  </w:r>
                  <w:r>
                    <w:rPr>
                      <w:rFonts w:hint="eastAsia"/>
                      <w:color w:val="auto"/>
                      <w:sz w:val="24"/>
                    </w:rPr>
                    <w:t>侧和南侧</w:t>
                  </w:r>
                  <w:r>
                    <w:rPr>
                      <w:rFonts w:hint="eastAsia"/>
                      <w:color w:val="auto"/>
                      <w:sz w:val="24"/>
                      <w:szCs w:val="18"/>
                    </w:rPr>
                    <w:t>，面积分别</w:t>
                  </w:r>
                  <w:r>
                    <w:rPr>
                      <w:rFonts w:hint="eastAsia"/>
                      <w:color w:val="auto"/>
                      <w:sz w:val="24"/>
                      <w:szCs w:val="18"/>
                      <w:lang w:val="en-US" w:eastAsia="zh-CN"/>
                    </w:rPr>
                    <w:t>8</w:t>
                  </w:r>
                  <w:r>
                    <w:rPr>
                      <w:rFonts w:hint="eastAsia"/>
                      <w:color w:val="auto"/>
                      <w:sz w:val="24"/>
                      <w:szCs w:val="18"/>
                    </w:rPr>
                    <w:t>00㎡、900㎡、</w:t>
                  </w:r>
                  <w:r>
                    <w:rPr>
                      <w:rFonts w:hint="eastAsia"/>
                      <w:i/>
                      <w:iCs/>
                      <w:color w:val="auto"/>
                      <w:sz w:val="24"/>
                      <w:szCs w:val="18"/>
                    </w:rPr>
                    <w:t>分别用于存放</w:t>
                  </w:r>
                  <w:r>
                    <w:rPr>
                      <w:rFonts w:hint="eastAsia"/>
                      <w:i/>
                      <w:iCs/>
                      <w:color w:val="auto"/>
                      <w:sz w:val="24"/>
                      <w:szCs w:val="18"/>
                      <w:lang w:eastAsia="zh-CN"/>
                    </w:rPr>
                    <w:t>植绒布</w:t>
                  </w:r>
                  <w:r>
                    <w:rPr>
                      <w:rFonts w:hint="eastAsia"/>
                      <w:i/>
                      <w:iCs/>
                      <w:color w:val="auto"/>
                      <w:sz w:val="24"/>
                      <w:szCs w:val="18"/>
                    </w:rPr>
                    <w:t>、</w:t>
                  </w:r>
                  <w:r>
                    <w:rPr>
                      <w:rFonts w:hint="eastAsia"/>
                      <w:i/>
                      <w:iCs/>
                      <w:color w:val="auto"/>
                      <w:sz w:val="24"/>
                      <w:szCs w:val="18"/>
                      <w:lang w:val="en-US" w:eastAsia="zh-CN"/>
                    </w:rPr>
                    <w:t>EVA、PU、PE</w:t>
                  </w:r>
                  <w:r>
                    <w:rPr>
                      <w:rFonts w:hint="eastAsia"/>
                      <w:i/>
                      <w:iCs/>
                      <w:color w:val="auto"/>
                      <w:sz w:val="24"/>
                      <w:szCs w:val="18"/>
                    </w:rPr>
                    <w:t>等原辅料。</w:t>
                  </w:r>
                </w:p>
              </w:tc>
              <w:tc>
                <w:tcPr>
                  <w:tcW w:w="715" w:type="pct"/>
                  <w:vAlign w:val="center"/>
                </w:tcPr>
                <w:p w14:paraId="3C2FC89A">
                  <w:pPr>
                    <w:pStyle w:val="48"/>
                    <w:rPr>
                      <w:color w:val="auto"/>
                      <w:szCs w:val="18"/>
                    </w:rPr>
                  </w:pPr>
                  <w:r>
                    <w:rPr>
                      <w:rFonts w:hint="eastAsia"/>
                      <w:color w:val="auto"/>
                      <w:sz w:val="24"/>
                      <w:szCs w:val="18"/>
                    </w:rPr>
                    <w:t>新建</w:t>
                  </w:r>
                </w:p>
              </w:tc>
            </w:tr>
            <w:tr w14:paraId="70CD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5F945C93">
                  <w:pPr>
                    <w:pStyle w:val="48"/>
                    <w:rPr>
                      <w:color w:val="auto"/>
                      <w:szCs w:val="18"/>
                    </w:rPr>
                  </w:pPr>
                </w:p>
              </w:tc>
              <w:tc>
                <w:tcPr>
                  <w:tcW w:w="943" w:type="pct"/>
                  <w:vAlign w:val="center"/>
                </w:tcPr>
                <w:p w14:paraId="25D60066">
                  <w:pPr>
                    <w:pStyle w:val="48"/>
                    <w:rPr>
                      <w:color w:val="auto"/>
                      <w:szCs w:val="18"/>
                    </w:rPr>
                  </w:pPr>
                  <w:r>
                    <w:rPr>
                      <w:rFonts w:hint="eastAsia"/>
                      <w:color w:val="auto"/>
                      <w:sz w:val="24"/>
                      <w:szCs w:val="18"/>
                    </w:rPr>
                    <w:t>运输工程</w:t>
                  </w:r>
                </w:p>
              </w:tc>
              <w:tc>
                <w:tcPr>
                  <w:tcW w:w="2621" w:type="pct"/>
                  <w:vAlign w:val="center"/>
                </w:tcPr>
                <w:p w14:paraId="74754022">
                  <w:pPr>
                    <w:pStyle w:val="48"/>
                    <w:jc w:val="left"/>
                    <w:rPr>
                      <w:rFonts w:hint="eastAsia" w:eastAsia="仿宋"/>
                      <w:color w:val="auto"/>
                      <w:szCs w:val="18"/>
                      <w:lang w:val="en-US" w:eastAsia="zh-CN"/>
                    </w:rPr>
                  </w:pPr>
                  <w:r>
                    <w:rPr>
                      <w:rFonts w:hint="eastAsia"/>
                      <w:color w:val="auto"/>
                      <w:sz w:val="24"/>
                      <w:szCs w:val="18"/>
                    </w:rPr>
                    <w:t>厂外物料均采用汽车运输，厂房内采用人工搬运、</w:t>
                  </w:r>
                  <w:r>
                    <w:rPr>
                      <w:rFonts w:hint="eastAsia"/>
                      <w:color w:val="auto"/>
                      <w:sz w:val="24"/>
                      <w:szCs w:val="18"/>
                      <w:highlight w:val="none"/>
                    </w:rPr>
                    <w:t>叉车、</w:t>
                  </w:r>
                  <w:r>
                    <w:rPr>
                      <w:rFonts w:hint="eastAsia"/>
                      <w:color w:val="auto"/>
                      <w:sz w:val="24"/>
                      <w:szCs w:val="18"/>
                      <w:highlight w:val="none"/>
                      <w:lang w:eastAsia="zh-CN"/>
                    </w:rPr>
                    <w:t>电梯</w:t>
                  </w:r>
                  <w:r>
                    <w:rPr>
                      <w:rFonts w:hint="eastAsia"/>
                      <w:color w:val="auto"/>
                      <w:sz w:val="24"/>
                      <w:szCs w:val="18"/>
                      <w:highlight w:val="none"/>
                    </w:rPr>
                    <w:t>等搬运；</w:t>
                  </w:r>
                </w:p>
              </w:tc>
              <w:tc>
                <w:tcPr>
                  <w:tcW w:w="715" w:type="pct"/>
                  <w:vAlign w:val="center"/>
                </w:tcPr>
                <w:p w14:paraId="54C2CADD">
                  <w:pPr>
                    <w:pStyle w:val="48"/>
                    <w:rPr>
                      <w:color w:val="auto"/>
                      <w:szCs w:val="18"/>
                    </w:rPr>
                  </w:pPr>
                  <w:r>
                    <w:rPr>
                      <w:rFonts w:hint="eastAsia"/>
                      <w:color w:val="auto"/>
                      <w:sz w:val="24"/>
                      <w:szCs w:val="18"/>
                    </w:rPr>
                    <w:t>新建</w:t>
                  </w:r>
                </w:p>
              </w:tc>
            </w:tr>
            <w:tr w14:paraId="0D33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0EC0FB95">
                  <w:pPr>
                    <w:pStyle w:val="48"/>
                    <w:rPr>
                      <w:color w:val="auto"/>
                      <w:szCs w:val="18"/>
                    </w:rPr>
                  </w:pPr>
                </w:p>
              </w:tc>
              <w:tc>
                <w:tcPr>
                  <w:tcW w:w="943" w:type="pct"/>
                  <w:shd w:val="clear" w:color="auto" w:fill="auto"/>
                  <w:vAlign w:val="center"/>
                </w:tcPr>
                <w:p w14:paraId="6B7C44F8">
                  <w:pPr>
                    <w:spacing w:line="240" w:lineRule="auto"/>
                    <w:ind w:firstLine="0" w:firstLineChars="0"/>
                    <w:jc w:val="center"/>
                    <w:rPr>
                      <w:rFonts w:hint="eastAsia" w:ascii="仿宋" w:hAnsi="仿宋" w:eastAsia="仿宋" w:cs="Times New Roman"/>
                      <w:color w:val="auto"/>
                      <w:kern w:val="2"/>
                      <w:sz w:val="24"/>
                      <w:szCs w:val="24"/>
                      <w:lang w:val="en-US" w:eastAsia="zh-CN" w:bidi="ar-SA"/>
                    </w:rPr>
                  </w:pPr>
                  <w:r>
                    <w:rPr>
                      <w:rFonts w:hint="eastAsia"/>
                      <w:color w:val="auto"/>
                      <w:sz w:val="24"/>
                      <w:lang w:eastAsia="zh-CN"/>
                    </w:rPr>
                    <w:t>化学品存放区</w:t>
                  </w:r>
                </w:p>
              </w:tc>
              <w:tc>
                <w:tcPr>
                  <w:tcW w:w="2621" w:type="pct"/>
                  <w:shd w:val="clear" w:color="auto" w:fill="auto"/>
                  <w:vAlign w:val="center"/>
                </w:tcPr>
                <w:p w14:paraId="6AE56DB7">
                  <w:pPr>
                    <w:spacing w:line="240" w:lineRule="auto"/>
                    <w:ind w:firstLine="0" w:firstLineChars="0"/>
                    <w:rPr>
                      <w:rFonts w:hint="eastAsia" w:ascii="仿宋" w:hAnsi="仿宋" w:eastAsia="仿宋" w:cs="Times New Roman"/>
                      <w:color w:val="auto"/>
                      <w:kern w:val="2"/>
                      <w:sz w:val="24"/>
                      <w:szCs w:val="24"/>
                      <w:lang w:val="en-US" w:eastAsia="zh-CN" w:bidi="ar-SA"/>
                    </w:rPr>
                  </w:pPr>
                  <w:r>
                    <w:rPr>
                      <w:rFonts w:hint="eastAsia"/>
                      <w:color w:val="auto"/>
                      <w:sz w:val="24"/>
                      <w:lang w:eastAsia="zh-CN"/>
                    </w:rPr>
                    <w:t>位于生产车间东侧，面积约</w:t>
                  </w:r>
                  <w:r>
                    <w:rPr>
                      <w:rFonts w:hint="eastAsia"/>
                      <w:color w:val="auto"/>
                      <w:sz w:val="24"/>
                      <w:lang w:val="en-US" w:eastAsia="zh-CN"/>
                    </w:rPr>
                    <w:t>20</w:t>
                  </w:r>
                  <w:r>
                    <w:rPr>
                      <w:rFonts w:hint="eastAsia"/>
                      <w:color w:val="auto"/>
                      <w:sz w:val="24"/>
                    </w:rPr>
                    <w:t>m</w:t>
                  </w:r>
                  <w:r>
                    <w:rPr>
                      <w:color w:val="auto"/>
                      <w:sz w:val="24"/>
                      <w:vertAlign w:val="superscript"/>
                    </w:rPr>
                    <w:t>2</w:t>
                  </w:r>
                </w:p>
              </w:tc>
              <w:tc>
                <w:tcPr>
                  <w:tcW w:w="715" w:type="pct"/>
                  <w:vAlign w:val="center"/>
                </w:tcPr>
                <w:p w14:paraId="669B25B2">
                  <w:pPr>
                    <w:pStyle w:val="48"/>
                    <w:rPr>
                      <w:rFonts w:hint="eastAsia"/>
                      <w:color w:val="auto"/>
                      <w:sz w:val="24"/>
                      <w:szCs w:val="18"/>
                    </w:rPr>
                  </w:pPr>
                  <w:r>
                    <w:rPr>
                      <w:rFonts w:hint="eastAsia"/>
                      <w:color w:val="auto"/>
                      <w:sz w:val="24"/>
                      <w:szCs w:val="18"/>
                    </w:rPr>
                    <w:t>新建</w:t>
                  </w:r>
                </w:p>
              </w:tc>
            </w:tr>
            <w:tr w14:paraId="737F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restart"/>
                  <w:vAlign w:val="center"/>
                </w:tcPr>
                <w:p w14:paraId="1681BFF7">
                  <w:pPr>
                    <w:pStyle w:val="48"/>
                    <w:rPr>
                      <w:color w:val="auto"/>
                      <w:szCs w:val="18"/>
                    </w:rPr>
                  </w:pPr>
                  <w:r>
                    <w:rPr>
                      <w:rFonts w:hint="eastAsia"/>
                      <w:color w:val="auto"/>
                      <w:sz w:val="24"/>
                      <w:szCs w:val="18"/>
                    </w:rPr>
                    <w:t>公用工程</w:t>
                  </w:r>
                </w:p>
              </w:tc>
              <w:tc>
                <w:tcPr>
                  <w:tcW w:w="943" w:type="pct"/>
                  <w:vAlign w:val="center"/>
                </w:tcPr>
                <w:p w14:paraId="51E1DDD6">
                  <w:pPr>
                    <w:pStyle w:val="48"/>
                    <w:rPr>
                      <w:color w:val="auto"/>
                      <w:szCs w:val="18"/>
                    </w:rPr>
                  </w:pPr>
                  <w:r>
                    <w:rPr>
                      <w:rFonts w:hint="eastAsia"/>
                      <w:color w:val="auto"/>
                      <w:sz w:val="24"/>
                      <w:szCs w:val="18"/>
                    </w:rPr>
                    <w:t>给水</w:t>
                  </w:r>
                </w:p>
              </w:tc>
              <w:tc>
                <w:tcPr>
                  <w:tcW w:w="2621" w:type="pct"/>
                  <w:vAlign w:val="center"/>
                </w:tcPr>
                <w:p w14:paraId="61E68DE1">
                  <w:pPr>
                    <w:pStyle w:val="48"/>
                    <w:jc w:val="left"/>
                    <w:rPr>
                      <w:color w:val="auto"/>
                      <w:szCs w:val="18"/>
                    </w:rPr>
                  </w:pPr>
                  <w:r>
                    <w:rPr>
                      <w:rFonts w:hint="eastAsia"/>
                      <w:color w:val="auto"/>
                      <w:sz w:val="24"/>
                      <w:szCs w:val="18"/>
                    </w:rPr>
                    <w:t>依托市政供水管网供应。</w:t>
                  </w:r>
                </w:p>
              </w:tc>
              <w:tc>
                <w:tcPr>
                  <w:tcW w:w="715" w:type="pct"/>
                  <w:vAlign w:val="center"/>
                </w:tcPr>
                <w:p w14:paraId="037AEACA">
                  <w:pPr>
                    <w:pStyle w:val="48"/>
                    <w:rPr>
                      <w:color w:val="auto"/>
                      <w:szCs w:val="18"/>
                    </w:rPr>
                  </w:pPr>
                  <w:r>
                    <w:rPr>
                      <w:rFonts w:hint="eastAsia"/>
                      <w:color w:val="auto"/>
                      <w:sz w:val="24"/>
                      <w:szCs w:val="18"/>
                    </w:rPr>
                    <w:t>新建</w:t>
                  </w:r>
                </w:p>
              </w:tc>
            </w:tr>
            <w:tr w14:paraId="62F3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7E95C175">
                  <w:pPr>
                    <w:pStyle w:val="48"/>
                    <w:rPr>
                      <w:color w:val="auto"/>
                      <w:szCs w:val="18"/>
                    </w:rPr>
                  </w:pPr>
                </w:p>
              </w:tc>
              <w:tc>
                <w:tcPr>
                  <w:tcW w:w="943" w:type="pct"/>
                  <w:vAlign w:val="center"/>
                </w:tcPr>
                <w:p w14:paraId="4689CC61">
                  <w:pPr>
                    <w:pStyle w:val="48"/>
                    <w:rPr>
                      <w:color w:val="auto"/>
                      <w:szCs w:val="18"/>
                    </w:rPr>
                  </w:pPr>
                  <w:r>
                    <w:rPr>
                      <w:rFonts w:hint="eastAsia"/>
                      <w:color w:val="auto"/>
                      <w:sz w:val="24"/>
                      <w:szCs w:val="18"/>
                    </w:rPr>
                    <w:t>排水</w:t>
                  </w:r>
                </w:p>
              </w:tc>
              <w:tc>
                <w:tcPr>
                  <w:tcW w:w="2621" w:type="pct"/>
                  <w:vAlign w:val="center"/>
                </w:tcPr>
                <w:p w14:paraId="2C25B3AA">
                  <w:pPr>
                    <w:pStyle w:val="48"/>
                    <w:jc w:val="both"/>
                    <w:rPr>
                      <w:color w:val="auto"/>
                      <w:szCs w:val="18"/>
                    </w:rPr>
                  </w:pPr>
                  <w:r>
                    <w:rPr>
                      <w:rFonts w:hint="eastAsia"/>
                      <w:color w:val="auto"/>
                      <w:sz w:val="24"/>
                      <w:szCs w:val="18"/>
                    </w:rPr>
                    <w:t>厂区采用雨污分流制，雨水排入市政雨水管网。</w:t>
                  </w:r>
                  <w:r>
                    <w:rPr>
                      <w:rFonts w:hint="eastAsia"/>
                      <w:color w:val="auto"/>
                      <w:sz w:val="24"/>
                      <w:szCs w:val="18"/>
                      <w:highlight w:val="none"/>
                      <w:lang w:eastAsia="zh-CN"/>
                    </w:rPr>
                    <w:t>地面清洁废水与生活废水一起经过生化池处理（处理能力</w:t>
                  </w:r>
                  <w:r>
                    <w:rPr>
                      <w:rFonts w:hint="eastAsia"/>
                      <w:color w:val="auto"/>
                      <w:sz w:val="24"/>
                      <w:szCs w:val="18"/>
                      <w:highlight w:val="none"/>
                      <w:lang w:val="en-US" w:eastAsia="zh-CN"/>
                    </w:rPr>
                    <w:t>9</w:t>
                  </w:r>
                  <w:r>
                    <w:rPr>
                      <w:rFonts w:hint="eastAsia"/>
                      <w:color w:val="auto"/>
                      <w:sz w:val="24"/>
                      <w:szCs w:val="18"/>
                      <w:highlight w:val="none"/>
                      <w:lang w:eastAsia="zh-CN"/>
                    </w:rPr>
                    <w:t>0m³/d），</w:t>
                  </w:r>
                  <w:r>
                    <w:rPr>
                      <w:rFonts w:hint="eastAsia"/>
                      <w:color w:val="auto"/>
                      <w:sz w:val="24"/>
                      <w:szCs w:val="18"/>
                    </w:rPr>
                    <w:t>处理达《污水综合排放标准》(GB8978-1996)中三级标准后通过市政污水管网送入</w:t>
                  </w:r>
                  <w:r>
                    <w:rPr>
                      <w:rFonts w:hint="eastAsia"/>
                      <w:color w:val="auto"/>
                      <w:sz w:val="24"/>
                      <w:szCs w:val="18"/>
                      <w:lang w:eastAsia="zh-CN"/>
                    </w:rPr>
                    <w:t>西彭工业园区</w:t>
                  </w:r>
                  <w:r>
                    <w:rPr>
                      <w:rFonts w:hint="eastAsia"/>
                      <w:color w:val="auto"/>
                      <w:sz w:val="24"/>
                      <w:szCs w:val="18"/>
                    </w:rPr>
                    <w:t>污水处理厂</w:t>
                  </w:r>
                </w:p>
              </w:tc>
              <w:tc>
                <w:tcPr>
                  <w:tcW w:w="715" w:type="pct"/>
                  <w:vAlign w:val="center"/>
                </w:tcPr>
                <w:p w14:paraId="29D8CA51">
                  <w:pPr>
                    <w:pStyle w:val="48"/>
                    <w:rPr>
                      <w:color w:val="auto"/>
                      <w:szCs w:val="18"/>
                    </w:rPr>
                  </w:pPr>
                  <w:r>
                    <w:rPr>
                      <w:rFonts w:hint="eastAsia"/>
                      <w:color w:val="auto"/>
                      <w:sz w:val="24"/>
                      <w:szCs w:val="18"/>
                      <w:lang w:eastAsia="zh-CN"/>
                    </w:rPr>
                    <w:t>生化池依托，</w:t>
                  </w:r>
                  <w:r>
                    <w:rPr>
                      <w:rFonts w:hint="eastAsia"/>
                      <w:color w:val="auto"/>
                      <w:sz w:val="24"/>
                      <w:szCs w:val="18"/>
                    </w:rPr>
                    <w:t>新建</w:t>
                  </w:r>
                </w:p>
              </w:tc>
            </w:tr>
            <w:tr w14:paraId="4AD0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67605B1C">
                  <w:pPr>
                    <w:pStyle w:val="48"/>
                    <w:rPr>
                      <w:color w:val="auto"/>
                      <w:szCs w:val="18"/>
                    </w:rPr>
                  </w:pPr>
                </w:p>
              </w:tc>
              <w:tc>
                <w:tcPr>
                  <w:tcW w:w="943" w:type="pct"/>
                  <w:vAlign w:val="center"/>
                </w:tcPr>
                <w:p w14:paraId="2DA39547">
                  <w:pPr>
                    <w:pStyle w:val="48"/>
                    <w:rPr>
                      <w:color w:val="auto"/>
                      <w:szCs w:val="18"/>
                    </w:rPr>
                  </w:pPr>
                  <w:r>
                    <w:rPr>
                      <w:rFonts w:hint="eastAsia"/>
                      <w:color w:val="auto"/>
                      <w:sz w:val="24"/>
                      <w:szCs w:val="18"/>
                    </w:rPr>
                    <w:t>供电</w:t>
                  </w:r>
                </w:p>
              </w:tc>
              <w:tc>
                <w:tcPr>
                  <w:tcW w:w="2621" w:type="pct"/>
                  <w:vAlign w:val="center"/>
                </w:tcPr>
                <w:p w14:paraId="1AB3DA6F">
                  <w:pPr>
                    <w:pStyle w:val="48"/>
                    <w:jc w:val="left"/>
                    <w:rPr>
                      <w:color w:val="auto"/>
                      <w:szCs w:val="18"/>
                    </w:rPr>
                  </w:pPr>
                  <w:r>
                    <w:rPr>
                      <w:rFonts w:hint="eastAsia"/>
                      <w:color w:val="auto"/>
                      <w:sz w:val="24"/>
                      <w:szCs w:val="18"/>
                    </w:rPr>
                    <w:t>项目所需电源由市政电网提供。</w:t>
                  </w:r>
                </w:p>
              </w:tc>
              <w:tc>
                <w:tcPr>
                  <w:tcW w:w="715" w:type="pct"/>
                  <w:vAlign w:val="center"/>
                </w:tcPr>
                <w:p w14:paraId="2D2ADDD2">
                  <w:pPr>
                    <w:pStyle w:val="48"/>
                    <w:rPr>
                      <w:color w:val="auto"/>
                      <w:szCs w:val="18"/>
                    </w:rPr>
                  </w:pPr>
                  <w:r>
                    <w:rPr>
                      <w:rFonts w:hint="eastAsia"/>
                      <w:color w:val="auto"/>
                      <w:sz w:val="24"/>
                      <w:szCs w:val="18"/>
                    </w:rPr>
                    <w:t>新建</w:t>
                  </w:r>
                </w:p>
              </w:tc>
            </w:tr>
            <w:tr w14:paraId="78C7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44C369CC">
                  <w:pPr>
                    <w:pStyle w:val="48"/>
                    <w:rPr>
                      <w:color w:val="auto"/>
                      <w:szCs w:val="18"/>
                    </w:rPr>
                  </w:pPr>
                </w:p>
              </w:tc>
              <w:tc>
                <w:tcPr>
                  <w:tcW w:w="943" w:type="pct"/>
                  <w:vAlign w:val="center"/>
                </w:tcPr>
                <w:p w14:paraId="5B1E6DC6">
                  <w:pPr>
                    <w:pStyle w:val="48"/>
                    <w:rPr>
                      <w:color w:val="auto"/>
                      <w:szCs w:val="18"/>
                    </w:rPr>
                  </w:pPr>
                  <w:r>
                    <w:rPr>
                      <w:rFonts w:hint="eastAsia"/>
                      <w:color w:val="auto"/>
                      <w:sz w:val="24"/>
                      <w:szCs w:val="18"/>
                    </w:rPr>
                    <w:t>排风</w:t>
                  </w:r>
                </w:p>
              </w:tc>
              <w:tc>
                <w:tcPr>
                  <w:tcW w:w="2621" w:type="pct"/>
                  <w:vAlign w:val="center"/>
                </w:tcPr>
                <w:p w14:paraId="7D6D9704">
                  <w:pPr>
                    <w:pStyle w:val="48"/>
                    <w:jc w:val="left"/>
                    <w:rPr>
                      <w:color w:val="auto"/>
                      <w:szCs w:val="18"/>
                    </w:rPr>
                  </w:pPr>
                  <w:r>
                    <w:rPr>
                      <w:rFonts w:hint="eastAsia"/>
                      <w:color w:val="auto"/>
                      <w:sz w:val="24"/>
                      <w:szCs w:val="18"/>
                    </w:rPr>
                    <w:t>本项目车间的通风以自然通风为主，机械通风为辅</w:t>
                  </w:r>
                </w:p>
              </w:tc>
              <w:tc>
                <w:tcPr>
                  <w:tcW w:w="715" w:type="pct"/>
                  <w:vAlign w:val="center"/>
                </w:tcPr>
                <w:p w14:paraId="5E49BD6F">
                  <w:pPr>
                    <w:pStyle w:val="48"/>
                    <w:rPr>
                      <w:color w:val="auto"/>
                      <w:szCs w:val="18"/>
                    </w:rPr>
                  </w:pPr>
                  <w:r>
                    <w:rPr>
                      <w:rFonts w:hint="eastAsia"/>
                      <w:color w:val="auto"/>
                      <w:sz w:val="24"/>
                      <w:szCs w:val="18"/>
                    </w:rPr>
                    <w:t>新建</w:t>
                  </w:r>
                </w:p>
              </w:tc>
            </w:tr>
            <w:tr w14:paraId="4DCA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4B1CC5E0">
                  <w:pPr>
                    <w:pStyle w:val="48"/>
                    <w:rPr>
                      <w:color w:val="auto"/>
                      <w:szCs w:val="18"/>
                    </w:rPr>
                  </w:pPr>
                </w:p>
              </w:tc>
              <w:tc>
                <w:tcPr>
                  <w:tcW w:w="943" w:type="pct"/>
                  <w:vAlign w:val="center"/>
                </w:tcPr>
                <w:p w14:paraId="4110CC51">
                  <w:pPr>
                    <w:pStyle w:val="48"/>
                    <w:rPr>
                      <w:i/>
                      <w:iCs/>
                      <w:color w:val="auto"/>
                      <w:szCs w:val="18"/>
                    </w:rPr>
                  </w:pPr>
                  <w:r>
                    <w:rPr>
                      <w:rFonts w:hint="eastAsia"/>
                      <w:i/>
                      <w:iCs/>
                      <w:color w:val="auto"/>
                      <w:sz w:val="24"/>
                      <w:szCs w:val="18"/>
                    </w:rPr>
                    <w:t>空压系统</w:t>
                  </w:r>
                </w:p>
              </w:tc>
              <w:tc>
                <w:tcPr>
                  <w:tcW w:w="2621" w:type="pct"/>
                  <w:vAlign w:val="center"/>
                </w:tcPr>
                <w:p w14:paraId="3F84C1B1">
                  <w:pPr>
                    <w:pStyle w:val="48"/>
                    <w:jc w:val="left"/>
                    <w:rPr>
                      <w:i/>
                      <w:iCs/>
                      <w:color w:val="auto"/>
                      <w:szCs w:val="18"/>
                    </w:rPr>
                  </w:pPr>
                  <w:r>
                    <w:rPr>
                      <w:rFonts w:hint="eastAsia"/>
                      <w:i/>
                      <w:iCs/>
                      <w:color w:val="auto"/>
                      <w:sz w:val="24"/>
                      <w:szCs w:val="18"/>
                    </w:rPr>
                    <w:t>设置</w:t>
                  </w:r>
                  <w:r>
                    <w:rPr>
                      <w:rFonts w:hint="eastAsia"/>
                      <w:i/>
                      <w:iCs/>
                      <w:color w:val="auto"/>
                      <w:sz w:val="24"/>
                      <w:szCs w:val="18"/>
                      <w:lang w:val="en-US" w:eastAsia="zh-CN"/>
                    </w:rPr>
                    <w:t>1</w:t>
                  </w:r>
                  <w:r>
                    <w:rPr>
                      <w:rFonts w:hint="eastAsia"/>
                      <w:i/>
                      <w:iCs/>
                      <w:color w:val="auto"/>
                      <w:sz w:val="24"/>
                      <w:szCs w:val="18"/>
                    </w:rPr>
                    <w:t>台空压机，供气量为</w:t>
                  </w:r>
                  <w:r>
                    <w:rPr>
                      <w:rFonts w:hint="eastAsia"/>
                      <w:i/>
                      <w:iCs/>
                      <w:color w:val="auto"/>
                      <w:sz w:val="24"/>
                      <w:szCs w:val="18"/>
                      <w:highlight w:val="none"/>
                      <w:lang w:val="en-US" w:eastAsia="zh-CN"/>
                    </w:rPr>
                    <w:t>1.1</w:t>
                  </w:r>
                  <w:r>
                    <w:rPr>
                      <w:rFonts w:hint="eastAsia"/>
                      <w:i/>
                      <w:iCs/>
                      <w:color w:val="auto"/>
                      <w:sz w:val="24"/>
                      <w:szCs w:val="18"/>
                      <w:highlight w:val="none"/>
                    </w:rPr>
                    <w:t>m³/</w:t>
                  </w:r>
                  <w:r>
                    <w:rPr>
                      <w:rFonts w:hint="eastAsia"/>
                      <w:i/>
                      <w:iCs/>
                      <w:color w:val="auto"/>
                      <w:sz w:val="24"/>
                      <w:szCs w:val="18"/>
                      <w:highlight w:val="none"/>
                      <w:lang w:val="en-US" w:eastAsia="zh-CN"/>
                    </w:rPr>
                    <w:t>min</w:t>
                  </w:r>
                  <w:r>
                    <w:rPr>
                      <w:rFonts w:hint="eastAsia"/>
                      <w:i/>
                      <w:iCs/>
                      <w:color w:val="auto"/>
                      <w:sz w:val="24"/>
                      <w:szCs w:val="18"/>
                      <w:highlight w:val="none"/>
                    </w:rPr>
                    <w:t>。</w:t>
                  </w:r>
                </w:p>
              </w:tc>
              <w:tc>
                <w:tcPr>
                  <w:tcW w:w="715" w:type="pct"/>
                  <w:vAlign w:val="center"/>
                </w:tcPr>
                <w:p w14:paraId="4A7A16AD">
                  <w:pPr>
                    <w:pStyle w:val="48"/>
                    <w:rPr>
                      <w:color w:val="auto"/>
                      <w:szCs w:val="18"/>
                    </w:rPr>
                  </w:pPr>
                  <w:r>
                    <w:rPr>
                      <w:rFonts w:hint="eastAsia"/>
                      <w:color w:val="auto"/>
                      <w:sz w:val="24"/>
                      <w:szCs w:val="18"/>
                    </w:rPr>
                    <w:t>新建</w:t>
                  </w:r>
                </w:p>
              </w:tc>
            </w:tr>
            <w:tr w14:paraId="0B1C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restart"/>
                  <w:vAlign w:val="center"/>
                </w:tcPr>
                <w:p w14:paraId="3C4F33AC">
                  <w:pPr>
                    <w:pStyle w:val="48"/>
                    <w:rPr>
                      <w:color w:val="auto"/>
                      <w:szCs w:val="18"/>
                    </w:rPr>
                  </w:pPr>
                  <w:r>
                    <w:rPr>
                      <w:rFonts w:hint="eastAsia"/>
                      <w:color w:val="auto"/>
                      <w:sz w:val="24"/>
                      <w:szCs w:val="18"/>
                    </w:rPr>
                    <w:t>环保工程</w:t>
                  </w:r>
                </w:p>
              </w:tc>
              <w:tc>
                <w:tcPr>
                  <w:tcW w:w="943" w:type="pct"/>
                  <w:vAlign w:val="center"/>
                </w:tcPr>
                <w:p w14:paraId="0094A94A">
                  <w:pPr>
                    <w:pStyle w:val="48"/>
                    <w:rPr>
                      <w:color w:val="auto"/>
                      <w:szCs w:val="18"/>
                    </w:rPr>
                  </w:pPr>
                  <w:r>
                    <w:rPr>
                      <w:rFonts w:hint="eastAsia"/>
                      <w:color w:val="auto"/>
                      <w:sz w:val="24"/>
                      <w:szCs w:val="18"/>
                      <w:highlight w:val="none"/>
                    </w:rPr>
                    <w:t>废水处理设施</w:t>
                  </w:r>
                </w:p>
              </w:tc>
              <w:tc>
                <w:tcPr>
                  <w:tcW w:w="2621" w:type="pct"/>
                  <w:vAlign w:val="center"/>
                </w:tcPr>
                <w:p w14:paraId="780D2E03">
                  <w:pPr>
                    <w:pStyle w:val="48"/>
                    <w:jc w:val="both"/>
                    <w:rPr>
                      <w:color w:val="auto"/>
                      <w:szCs w:val="18"/>
                    </w:rPr>
                  </w:pPr>
                  <w:r>
                    <w:rPr>
                      <w:rFonts w:hint="eastAsia"/>
                      <w:color w:val="auto"/>
                      <w:sz w:val="24"/>
                      <w:szCs w:val="18"/>
                    </w:rPr>
                    <w:t>项目主要</w:t>
                  </w:r>
                  <w:r>
                    <w:rPr>
                      <w:rFonts w:hint="eastAsia"/>
                      <w:color w:val="auto"/>
                      <w:sz w:val="24"/>
                      <w:szCs w:val="18"/>
                      <w:highlight w:val="none"/>
                      <w:lang w:eastAsia="zh-CN"/>
                    </w:rPr>
                    <w:t>为生活污水和地面清洁废水。</w:t>
                  </w:r>
                  <w:r>
                    <w:rPr>
                      <w:rFonts w:hint="eastAsia"/>
                      <w:color w:val="auto"/>
                      <w:sz w:val="24"/>
                      <w:szCs w:val="18"/>
                    </w:rPr>
                    <w:t>定期</w:t>
                  </w:r>
                  <w:r>
                    <w:rPr>
                      <w:rFonts w:hint="eastAsia"/>
                      <w:color w:val="auto"/>
                      <w:sz w:val="24"/>
                      <w:szCs w:val="18"/>
                      <w:lang w:eastAsia="zh-CN"/>
                    </w:rPr>
                    <w:t>排入生化池</w:t>
                  </w:r>
                  <w:r>
                    <w:rPr>
                      <w:rFonts w:hint="eastAsia"/>
                      <w:color w:val="auto"/>
                      <w:sz w:val="24"/>
                      <w:szCs w:val="18"/>
                      <w:highlight w:val="none"/>
                    </w:rPr>
                    <w:t>（</w:t>
                  </w:r>
                  <w:r>
                    <w:rPr>
                      <w:rFonts w:hint="eastAsia"/>
                      <w:color w:val="auto"/>
                      <w:sz w:val="24"/>
                      <w:szCs w:val="18"/>
                      <w:highlight w:val="none"/>
                      <w:lang w:val="en-US" w:eastAsia="zh-CN"/>
                    </w:rPr>
                    <w:t>9</w:t>
                  </w:r>
                  <w:r>
                    <w:rPr>
                      <w:rFonts w:hint="eastAsia"/>
                      <w:color w:val="auto"/>
                      <w:sz w:val="24"/>
                      <w:szCs w:val="18"/>
                      <w:highlight w:val="none"/>
                    </w:rPr>
                    <w:t>0m³/d）</w:t>
                  </w:r>
                  <w:r>
                    <w:rPr>
                      <w:rFonts w:hint="eastAsia"/>
                      <w:color w:val="auto"/>
                      <w:sz w:val="24"/>
                      <w:szCs w:val="18"/>
                    </w:rPr>
                    <w:t>处理，废水经处理达《污水综合排放标准》(GB8978-1996)中三级标准后通过市政污水管网送入</w:t>
                  </w:r>
                  <w:r>
                    <w:rPr>
                      <w:rFonts w:hint="eastAsia"/>
                      <w:color w:val="auto"/>
                      <w:sz w:val="24"/>
                      <w:szCs w:val="18"/>
                      <w:lang w:eastAsia="zh-CN"/>
                    </w:rPr>
                    <w:t>西彭工业园区</w:t>
                  </w:r>
                  <w:r>
                    <w:rPr>
                      <w:rFonts w:hint="eastAsia"/>
                      <w:color w:val="auto"/>
                      <w:sz w:val="24"/>
                      <w:szCs w:val="18"/>
                    </w:rPr>
                    <w:t>污水处理厂处理达标后排放</w:t>
                  </w:r>
                </w:p>
              </w:tc>
              <w:tc>
                <w:tcPr>
                  <w:tcW w:w="715" w:type="pct"/>
                  <w:vAlign w:val="center"/>
                </w:tcPr>
                <w:p w14:paraId="7E353800">
                  <w:pPr>
                    <w:pStyle w:val="48"/>
                    <w:rPr>
                      <w:color w:val="auto"/>
                      <w:szCs w:val="18"/>
                    </w:rPr>
                  </w:pPr>
                  <w:r>
                    <w:rPr>
                      <w:rFonts w:hint="eastAsia"/>
                      <w:color w:val="auto"/>
                      <w:sz w:val="24"/>
                      <w:szCs w:val="18"/>
                      <w:lang w:eastAsia="zh-CN"/>
                    </w:rPr>
                    <w:t>生化池依托，</w:t>
                  </w:r>
                  <w:r>
                    <w:rPr>
                      <w:rFonts w:hint="eastAsia"/>
                      <w:color w:val="auto"/>
                      <w:sz w:val="24"/>
                      <w:szCs w:val="18"/>
                    </w:rPr>
                    <w:t>新建</w:t>
                  </w:r>
                </w:p>
              </w:tc>
            </w:tr>
            <w:tr w14:paraId="23FD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pct"/>
                  <w:vMerge w:val="continue"/>
                  <w:vAlign w:val="center"/>
                </w:tcPr>
                <w:p w14:paraId="129AD50A">
                  <w:pPr>
                    <w:pStyle w:val="48"/>
                    <w:rPr>
                      <w:color w:val="auto"/>
                      <w:szCs w:val="18"/>
                    </w:rPr>
                  </w:pPr>
                </w:p>
              </w:tc>
              <w:tc>
                <w:tcPr>
                  <w:tcW w:w="943" w:type="pct"/>
                  <w:vAlign w:val="center"/>
                </w:tcPr>
                <w:p w14:paraId="740F557C">
                  <w:pPr>
                    <w:pStyle w:val="48"/>
                    <w:rPr>
                      <w:color w:val="auto"/>
                      <w:szCs w:val="18"/>
                    </w:rPr>
                  </w:pPr>
                  <w:r>
                    <w:rPr>
                      <w:rFonts w:hint="eastAsia"/>
                      <w:color w:val="auto"/>
                      <w:sz w:val="24"/>
                      <w:szCs w:val="18"/>
                      <w:highlight w:val="none"/>
                    </w:rPr>
                    <w:t>废气处理设施</w:t>
                  </w:r>
                </w:p>
              </w:tc>
              <w:tc>
                <w:tcPr>
                  <w:tcW w:w="2621" w:type="pct"/>
                  <w:vAlign w:val="center"/>
                </w:tcPr>
                <w:p w14:paraId="70D500B4">
                  <w:pPr>
                    <w:pStyle w:val="48"/>
                    <w:jc w:val="left"/>
                    <w:rPr>
                      <w:rFonts w:hint="eastAsia" w:eastAsia="仿宋"/>
                      <w:color w:val="auto"/>
                      <w:lang w:eastAsia="zh-CN"/>
                    </w:rPr>
                  </w:pPr>
                  <w:r>
                    <w:rPr>
                      <w:rFonts w:hint="eastAsia"/>
                      <w:i/>
                      <w:iCs/>
                      <w:color w:val="auto"/>
                      <w:sz w:val="24"/>
                      <w:szCs w:val="18"/>
                      <w:lang w:eastAsia="zh-CN"/>
                    </w:rPr>
                    <w:t>涂布、烘干</w:t>
                  </w:r>
                  <w:r>
                    <w:rPr>
                      <w:rFonts w:hint="eastAsia"/>
                      <w:i/>
                      <w:iCs/>
                      <w:color w:val="auto"/>
                      <w:sz w:val="24"/>
                      <w:szCs w:val="18"/>
                    </w:rPr>
                    <w:t>废气经集气罩收集后</w:t>
                  </w:r>
                  <w:r>
                    <w:rPr>
                      <w:rFonts w:hint="eastAsia"/>
                      <w:i/>
                      <w:iCs/>
                      <w:color w:val="auto"/>
                      <w:sz w:val="24"/>
                      <w:szCs w:val="18"/>
                      <w:lang w:eastAsia="zh-CN"/>
                    </w:rPr>
                    <w:t>经</w:t>
                  </w:r>
                  <w:r>
                    <w:rPr>
                      <w:rFonts w:hint="eastAsia"/>
                      <w:i/>
                      <w:iCs/>
                      <w:color w:val="auto"/>
                      <w:sz w:val="24"/>
                      <w:szCs w:val="18"/>
                      <w:highlight w:val="none"/>
                      <w:lang w:eastAsia="zh-CN"/>
                    </w:rPr>
                    <w:t>过滤棉</w:t>
                  </w:r>
                  <w:r>
                    <w:rPr>
                      <w:rFonts w:hint="eastAsia"/>
                      <w:i/>
                      <w:iCs/>
                      <w:color w:val="auto"/>
                      <w:sz w:val="24"/>
                      <w:szCs w:val="18"/>
                      <w:highlight w:val="none"/>
                      <w:lang w:val="en-US" w:eastAsia="zh-CN"/>
                    </w:rPr>
                    <w:t>+</w:t>
                  </w:r>
                  <w:r>
                    <w:rPr>
                      <w:rFonts w:hint="eastAsia"/>
                      <w:i/>
                      <w:iCs/>
                      <w:color w:val="auto"/>
                      <w:sz w:val="24"/>
                      <w:szCs w:val="18"/>
                      <w:highlight w:val="none"/>
                      <w:lang w:eastAsia="zh-CN"/>
                    </w:rPr>
                    <w:t>二级活性炭吸附</w:t>
                  </w:r>
                  <w:r>
                    <w:rPr>
                      <w:rFonts w:hint="eastAsia"/>
                      <w:i/>
                      <w:iCs/>
                      <w:color w:val="auto"/>
                      <w:sz w:val="24"/>
                      <w:szCs w:val="18"/>
                    </w:rPr>
                    <w:t>处理达标后由</w:t>
                  </w:r>
                  <w:r>
                    <w:rPr>
                      <w:rFonts w:hint="eastAsia"/>
                      <w:i/>
                      <w:iCs/>
                      <w:color w:val="auto"/>
                      <w:sz w:val="24"/>
                      <w:szCs w:val="18"/>
                      <w:lang w:val="en-US" w:eastAsia="zh-CN"/>
                    </w:rPr>
                    <w:t>15m高</w:t>
                  </w:r>
                  <w:r>
                    <w:rPr>
                      <w:rFonts w:hint="eastAsia"/>
                      <w:i/>
                      <w:iCs/>
                      <w:color w:val="auto"/>
                      <w:sz w:val="24"/>
                      <w:szCs w:val="18"/>
                    </w:rPr>
                    <w:t>DA001排气筒排放</w:t>
                  </w:r>
                  <w:r>
                    <w:rPr>
                      <w:rFonts w:hint="eastAsia"/>
                      <w:i/>
                      <w:iCs/>
                      <w:color w:val="auto"/>
                      <w:sz w:val="24"/>
                      <w:szCs w:val="18"/>
                      <w:lang w:eastAsia="zh-CN"/>
                    </w:rPr>
                    <w:t>，风机风量为</w:t>
                  </w:r>
                  <w:r>
                    <w:rPr>
                      <w:rFonts w:hint="eastAsia"/>
                      <w:i/>
                      <w:iCs/>
                      <w:color w:val="auto"/>
                      <w:sz w:val="24"/>
                      <w:szCs w:val="18"/>
                      <w:lang w:val="en-US" w:eastAsia="zh-CN"/>
                    </w:rPr>
                    <w:t>8000m</w:t>
                  </w:r>
                  <w:r>
                    <w:rPr>
                      <w:rFonts w:hint="eastAsia"/>
                      <w:i/>
                      <w:iCs/>
                      <w:color w:val="auto"/>
                      <w:sz w:val="24"/>
                      <w:szCs w:val="18"/>
                      <w:vertAlign w:val="superscript"/>
                      <w:lang w:val="en-US" w:eastAsia="zh-CN"/>
                    </w:rPr>
                    <w:t>3</w:t>
                  </w:r>
                  <w:r>
                    <w:rPr>
                      <w:rFonts w:hint="eastAsia"/>
                      <w:i/>
                      <w:iCs/>
                      <w:color w:val="auto"/>
                      <w:sz w:val="24"/>
                      <w:szCs w:val="18"/>
                      <w:lang w:val="en-US" w:eastAsia="zh-CN"/>
                    </w:rPr>
                    <w:t>/h</w:t>
                  </w:r>
                  <w:r>
                    <w:rPr>
                      <w:rFonts w:hint="eastAsia"/>
                      <w:i/>
                      <w:iCs/>
                      <w:color w:val="auto"/>
                      <w:sz w:val="24"/>
                      <w:szCs w:val="18"/>
                    </w:rPr>
                    <w:t>；</w:t>
                  </w:r>
                </w:p>
              </w:tc>
              <w:tc>
                <w:tcPr>
                  <w:tcW w:w="715" w:type="pct"/>
                  <w:vAlign w:val="center"/>
                </w:tcPr>
                <w:p w14:paraId="653529E2">
                  <w:pPr>
                    <w:pStyle w:val="48"/>
                    <w:rPr>
                      <w:color w:val="auto"/>
                      <w:szCs w:val="18"/>
                    </w:rPr>
                  </w:pPr>
                  <w:r>
                    <w:rPr>
                      <w:rFonts w:hint="eastAsia"/>
                      <w:color w:val="auto"/>
                      <w:sz w:val="24"/>
                      <w:szCs w:val="18"/>
                    </w:rPr>
                    <w:t>新建</w:t>
                  </w:r>
                </w:p>
              </w:tc>
            </w:tr>
            <w:tr w14:paraId="58E4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719" w:type="pct"/>
                  <w:vMerge w:val="continue"/>
                  <w:vAlign w:val="center"/>
                </w:tcPr>
                <w:p w14:paraId="4C3BE406">
                  <w:pPr>
                    <w:pStyle w:val="48"/>
                    <w:rPr>
                      <w:color w:val="auto"/>
                      <w:szCs w:val="18"/>
                    </w:rPr>
                  </w:pPr>
                </w:p>
              </w:tc>
              <w:tc>
                <w:tcPr>
                  <w:tcW w:w="943" w:type="pct"/>
                  <w:vAlign w:val="center"/>
                </w:tcPr>
                <w:p w14:paraId="5A7DA0AB">
                  <w:pPr>
                    <w:pStyle w:val="48"/>
                    <w:rPr>
                      <w:color w:val="auto"/>
                      <w:szCs w:val="18"/>
                    </w:rPr>
                  </w:pPr>
                  <w:r>
                    <w:rPr>
                      <w:rFonts w:hint="eastAsia"/>
                      <w:color w:val="auto"/>
                      <w:sz w:val="24"/>
                      <w:szCs w:val="18"/>
                    </w:rPr>
                    <w:t>噪声处理</w:t>
                  </w:r>
                </w:p>
              </w:tc>
              <w:tc>
                <w:tcPr>
                  <w:tcW w:w="2621" w:type="pct"/>
                  <w:vAlign w:val="center"/>
                </w:tcPr>
                <w:p w14:paraId="022C21DE">
                  <w:pPr>
                    <w:pStyle w:val="48"/>
                    <w:jc w:val="left"/>
                    <w:rPr>
                      <w:color w:val="auto"/>
                      <w:szCs w:val="18"/>
                    </w:rPr>
                  </w:pPr>
                  <w:r>
                    <w:rPr>
                      <w:rFonts w:hint="eastAsia"/>
                      <w:color w:val="auto"/>
                      <w:sz w:val="24"/>
                      <w:szCs w:val="18"/>
                    </w:rPr>
                    <w:t>项目选用低噪声设备，采取基础减</w:t>
                  </w:r>
                  <w:r>
                    <w:rPr>
                      <w:rFonts w:hint="eastAsia"/>
                      <w:color w:val="auto"/>
                      <w:sz w:val="24"/>
                      <w:szCs w:val="18"/>
                      <w:lang w:eastAsia="zh-CN"/>
                    </w:rPr>
                    <w:t>振</w:t>
                  </w:r>
                  <w:r>
                    <w:rPr>
                      <w:rFonts w:hint="eastAsia"/>
                      <w:color w:val="auto"/>
                      <w:sz w:val="24"/>
                      <w:szCs w:val="18"/>
                    </w:rPr>
                    <w:t>，墙体隔声等措施减小噪声对周边环境的影响。</w:t>
                  </w:r>
                </w:p>
              </w:tc>
              <w:tc>
                <w:tcPr>
                  <w:tcW w:w="715" w:type="pct"/>
                  <w:vAlign w:val="center"/>
                </w:tcPr>
                <w:p w14:paraId="6D014E3B">
                  <w:pPr>
                    <w:pStyle w:val="48"/>
                    <w:rPr>
                      <w:color w:val="auto"/>
                      <w:szCs w:val="18"/>
                    </w:rPr>
                  </w:pPr>
                  <w:r>
                    <w:rPr>
                      <w:rFonts w:hint="eastAsia"/>
                      <w:color w:val="auto"/>
                      <w:sz w:val="24"/>
                      <w:szCs w:val="18"/>
                    </w:rPr>
                    <w:t>新建</w:t>
                  </w:r>
                </w:p>
              </w:tc>
            </w:tr>
            <w:tr w14:paraId="077B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pct"/>
                  <w:vMerge w:val="continue"/>
                  <w:vAlign w:val="center"/>
                </w:tcPr>
                <w:p w14:paraId="27EF261E">
                  <w:pPr>
                    <w:pStyle w:val="48"/>
                    <w:rPr>
                      <w:color w:val="auto"/>
                      <w:szCs w:val="18"/>
                    </w:rPr>
                  </w:pPr>
                </w:p>
              </w:tc>
              <w:tc>
                <w:tcPr>
                  <w:tcW w:w="943" w:type="pct"/>
                  <w:vMerge w:val="restart"/>
                  <w:vAlign w:val="center"/>
                </w:tcPr>
                <w:p w14:paraId="7111563A">
                  <w:pPr>
                    <w:pStyle w:val="48"/>
                    <w:rPr>
                      <w:color w:val="auto"/>
                      <w:szCs w:val="18"/>
                    </w:rPr>
                  </w:pPr>
                  <w:r>
                    <w:rPr>
                      <w:rFonts w:hint="eastAsia"/>
                      <w:color w:val="auto"/>
                      <w:sz w:val="24"/>
                      <w:szCs w:val="18"/>
                    </w:rPr>
                    <w:t>固废</w:t>
                  </w:r>
                </w:p>
              </w:tc>
              <w:tc>
                <w:tcPr>
                  <w:tcW w:w="2621" w:type="pct"/>
                  <w:vAlign w:val="center"/>
                </w:tcPr>
                <w:p w14:paraId="38BF48B0">
                  <w:pPr>
                    <w:pStyle w:val="49"/>
                    <w:jc w:val="both"/>
                    <w:rPr>
                      <w:color w:val="auto"/>
                      <w:sz w:val="24"/>
                    </w:rPr>
                  </w:pPr>
                  <w:r>
                    <w:rPr>
                      <w:rFonts w:hint="eastAsia"/>
                      <w:color w:val="auto"/>
                      <w:sz w:val="24"/>
                    </w:rPr>
                    <w:t>一般固废</w:t>
                  </w:r>
                  <w:r>
                    <w:rPr>
                      <w:rFonts w:hint="eastAsia"/>
                      <w:color w:val="auto"/>
                      <w:sz w:val="24"/>
                      <w:lang w:eastAsia="zh-CN"/>
                    </w:rPr>
                    <w:t>暂存点</w:t>
                  </w:r>
                  <w:r>
                    <w:rPr>
                      <w:rFonts w:hint="eastAsia"/>
                      <w:color w:val="auto"/>
                      <w:sz w:val="24"/>
                    </w:rPr>
                    <w:t>：位于</w:t>
                  </w:r>
                  <w:r>
                    <w:rPr>
                      <w:rFonts w:hint="eastAsia"/>
                      <w:color w:val="auto"/>
                      <w:sz w:val="24"/>
                      <w:lang w:val="en-US" w:eastAsia="zh-CN"/>
                    </w:rPr>
                    <w:t>2</w:t>
                  </w:r>
                  <w:r>
                    <w:rPr>
                      <w:rFonts w:hint="eastAsia"/>
                      <w:color w:val="auto"/>
                      <w:sz w:val="24"/>
                    </w:rPr>
                    <w:t>F生产车间西</w:t>
                  </w:r>
                  <w:r>
                    <w:rPr>
                      <w:rFonts w:hint="eastAsia"/>
                      <w:color w:val="auto"/>
                      <w:sz w:val="24"/>
                      <w:lang w:eastAsia="zh-CN"/>
                    </w:rPr>
                    <w:t>南</w:t>
                  </w:r>
                  <w:r>
                    <w:rPr>
                      <w:rFonts w:hint="eastAsia"/>
                      <w:color w:val="auto"/>
                      <w:sz w:val="24"/>
                    </w:rPr>
                    <w:t>侧，</w:t>
                  </w:r>
                  <w:r>
                    <w:rPr>
                      <w:rFonts w:hint="eastAsia"/>
                      <w:color w:val="auto"/>
                      <w:sz w:val="24"/>
                      <w:lang w:val="en-US" w:eastAsia="zh-CN"/>
                    </w:rPr>
                    <w:t>3</w:t>
                  </w:r>
                  <w:r>
                    <w:rPr>
                      <w:rFonts w:hint="eastAsia"/>
                      <w:color w:val="auto"/>
                      <w:sz w:val="24"/>
                    </w:rPr>
                    <w:t>F生产车间</w:t>
                  </w:r>
                  <w:r>
                    <w:rPr>
                      <w:rFonts w:hint="eastAsia"/>
                      <w:color w:val="auto"/>
                      <w:sz w:val="24"/>
                      <w:lang w:eastAsia="zh-CN"/>
                    </w:rPr>
                    <w:t>东南</w:t>
                  </w:r>
                  <w:r>
                    <w:rPr>
                      <w:rFonts w:hint="eastAsia"/>
                      <w:color w:val="auto"/>
                      <w:sz w:val="24"/>
                    </w:rPr>
                    <w:t>侧，面积</w:t>
                  </w:r>
                  <w:r>
                    <w:rPr>
                      <w:rFonts w:hint="eastAsia"/>
                      <w:color w:val="auto"/>
                      <w:sz w:val="24"/>
                      <w:lang w:eastAsia="zh-CN"/>
                    </w:rPr>
                    <w:t>各</w:t>
                  </w:r>
                  <w:r>
                    <w:rPr>
                      <w:rFonts w:hint="eastAsia"/>
                      <w:color w:val="auto"/>
                      <w:sz w:val="24"/>
                    </w:rPr>
                    <w:t>约</w:t>
                  </w:r>
                  <w:r>
                    <w:rPr>
                      <w:rFonts w:hint="eastAsia"/>
                      <w:color w:val="auto"/>
                      <w:sz w:val="24"/>
                      <w:lang w:val="en-US" w:eastAsia="zh-CN"/>
                    </w:rPr>
                    <w:t>5</w:t>
                  </w:r>
                  <w:r>
                    <w:rPr>
                      <w:rFonts w:hint="eastAsia"/>
                      <w:color w:val="auto"/>
                      <w:sz w:val="24"/>
                    </w:rPr>
                    <w:t>0m</w:t>
                  </w:r>
                  <w:r>
                    <w:rPr>
                      <w:rFonts w:hint="eastAsia"/>
                      <w:color w:val="auto"/>
                      <w:sz w:val="24"/>
                      <w:vertAlign w:val="superscript"/>
                    </w:rPr>
                    <w:t>2</w:t>
                  </w:r>
                  <w:r>
                    <w:rPr>
                      <w:rFonts w:hint="eastAsia"/>
                      <w:color w:val="auto"/>
                      <w:sz w:val="24"/>
                    </w:rPr>
                    <w:t>，产生的一般废物分类暂存，最后交废品回收站回收利用。</w:t>
                  </w:r>
                </w:p>
                <w:p w14:paraId="2B874D6C">
                  <w:pPr>
                    <w:pStyle w:val="49"/>
                    <w:jc w:val="both"/>
                    <w:rPr>
                      <w:color w:val="auto"/>
                      <w:sz w:val="24"/>
                    </w:rPr>
                  </w:pPr>
                  <w:r>
                    <w:rPr>
                      <w:rFonts w:hint="eastAsia" w:ascii="仿宋" w:hAnsi="仿宋" w:eastAsia="仿宋" w:cs="Times New Roman"/>
                      <w:color w:val="auto"/>
                      <w:kern w:val="2"/>
                      <w:sz w:val="24"/>
                      <w:szCs w:val="18"/>
                      <w:highlight w:val="none"/>
                      <w:lang w:val="en-US" w:eastAsia="zh-CN" w:bidi="ar-SA"/>
                    </w:rPr>
                    <w:t>危废贮存点：</w:t>
                  </w:r>
                  <w:r>
                    <w:rPr>
                      <w:rFonts w:hint="eastAsia"/>
                      <w:color w:val="auto"/>
                      <w:sz w:val="24"/>
                    </w:rPr>
                    <w:t>厂房</w:t>
                  </w:r>
                  <w:r>
                    <w:rPr>
                      <w:rFonts w:hint="eastAsia"/>
                      <w:color w:val="auto"/>
                      <w:sz w:val="24"/>
                      <w:lang w:val="en-US" w:eastAsia="zh-CN"/>
                    </w:rPr>
                    <w:t>2</w:t>
                  </w:r>
                  <w:r>
                    <w:rPr>
                      <w:rFonts w:hint="eastAsia"/>
                      <w:color w:val="auto"/>
                      <w:sz w:val="24"/>
                    </w:rPr>
                    <w:t>F</w:t>
                  </w:r>
                  <w:r>
                    <w:rPr>
                      <w:rFonts w:hint="eastAsia"/>
                      <w:color w:val="auto"/>
                      <w:sz w:val="24"/>
                      <w:lang w:eastAsia="zh-CN"/>
                    </w:rPr>
                    <w:t>西</w:t>
                  </w:r>
                  <w:r>
                    <w:rPr>
                      <w:rFonts w:hint="eastAsia"/>
                      <w:color w:val="auto"/>
                      <w:sz w:val="24"/>
                    </w:rPr>
                    <w:t>侧，</w:t>
                  </w:r>
                  <w:r>
                    <w:rPr>
                      <w:rFonts w:hint="eastAsia"/>
                      <w:color w:val="auto"/>
                      <w:sz w:val="24"/>
                      <w:lang w:eastAsia="zh-CN"/>
                    </w:rPr>
                    <w:t>面积约</w:t>
                  </w:r>
                  <w:r>
                    <w:rPr>
                      <w:rFonts w:hint="eastAsia"/>
                      <w:color w:val="auto"/>
                      <w:sz w:val="24"/>
                      <w:lang w:val="en-US" w:eastAsia="zh-CN"/>
                    </w:rPr>
                    <w:t>10m</w:t>
                  </w:r>
                  <w:r>
                    <w:rPr>
                      <w:rFonts w:hint="eastAsia"/>
                      <w:color w:val="auto"/>
                      <w:sz w:val="24"/>
                      <w:vertAlign w:val="superscript"/>
                      <w:lang w:val="en-US" w:eastAsia="zh-CN"/>
                    </w:rPr>
                    <w:t>2</w:t>
                  </w:r>
                  <w:r>
                    <w:rPr>
                      <w:rFonts w:hint="eastAsia"/>
                      <w:color w:val="auto"/>
                      <w:sz w:val="24"/>
                    </w:rPr>
                    <w:t>，采取“六防”措施，危险废物定期交具有危废处理资质的单位处理。</w:t>
                  </w:r>
                </w:p>
              </w:tc>
              <w:tc>
                <w:tcPr>
                  <w:tcW w:w="715" w:type="pct"/>
                  <w:vAlign w:val="center"/>
                </w:tcPr>
                <w:p w14:paraId="2407B292">
                  <w:pPr>
                    <w:pStyle w:val="48"/>
                    <w:rPr>
                      <w:color w:val="auto"/>
                      <w:szCs w:val="18"/>
                    </w:rPr>
                  </w:pPr>
                  <w:r>
                    <w:rPr>
                      <w:rFonts w:hint="eastAsia"/>
                      <w:color w:val="auto"/>
                      <w:sz w:val="24"/>
                      <w:szCs w:val="18"/>
                    </w:rPr>
                    <w:t>新建</w:t>
                  </w:r>
                </w:p>
              </w:tc>
            </w:tr>
            <w:tr w14:paraId="2B44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19" w:type="pct"/>
                  <w:vMerge w:val="continue"/>
                  <w:vAlign w:val="center"/>
                </w:tcPr>
                <w:p w14:paraId="77755838">
                  <w:pPr>
                    <w:pStyle w:val="48"/>
                    <w:rPr>
                      <w:color w:val="auto"/>
                      <w:szCs w:val="18"/>
                    </w:rPr>
                  </w:pPr>
                </w:p>
              </w:tc>
              <w:tc>
                <w:tcPr>
                  <w:tcW w:w="943" w:type="pct"/>
                  <w:vMerge w:val="continue"/>
                  <w:vAlign w:val="center"/>
                </w:tcPr>
                <w:p w14:paraId="75180B00">
                  <w:pPr>
                    <w:pStyle w:val="48"/>
                    <w:rPr>
                      <w:color w:val="auto"/>
                      <w:szCs w:val="18"/>
                    </w:rPr>
                  </w:pPr>
                </w:p>
              </w:tc>
              <w:tc>
                <w:tcPr>
                  <w:tcW w:w="2621" w:type="pct"/>
                  <w:vAlign w:val="center"/>
                </w:tcPr>
                <w:p w14:paraId="19E1F92D">
                  <w:pPr>
                    <w:pStyle w:val="49"/>
                    <w:jc w:val="both"/>
                    <w:rPr>
                      <w:color w:val="auto"/>
                      <w:sz w:val="24"/>
                    </w:rPr>
                  </w:pPr>
                  <w:r>
                    <w:rPr>
                      <w:rFonts w:hint="eastAsia"/>
                      <w:color w:val="auto"/>
                      <w:sz w:val="24"/>
                    </w:rPr>
                    <w:t>生活垃圾：厂区各处设置了生活垃圾收集箱，将生活垃圾分类后交当地环卫统一收运处置。</w:t>
                  </w:r>
                </w:p>
              </w:tc>
              <w:tc>
                <w:tcPr>
                  <w:tcW w:w="715" w:type="pct"/>
                  <w:vAlign w:val="center"/>
                </w:tcPr>
                <w:p w14:paraId="0B3D2FCC">
                  <w:pPr>
                    <w:pStyle w:val="48"/>
                    <w:rPr>
                      <w:color w:val="auto"/>
                      <w:szCs w:val="18"/>
                    </w:rPr>
                  </w:pPr>
                  <w:r>
                    <w:rPr>
                      <w:rFonts w:hint="eastAsia"/>
                      <w:color w:val="auto"/>
                      <w:sz w:val="24"/>
                      <w:szCs w:val="18"/>
                    </w:rPr>
                    <w:t>新建</w:t>
                  </w:r>
                </w:p>
              </w:tc>
            </w:tr>
          </w:tbl>
          <w:p w14:paraId="6CC46795">
            <w:pPr>
              <w:pStyle w:val="53"/>
              <w:spacing w:before="120"/>
              <w:rPr>
                <w:rFonts w:ascii="仿宋" w:hAnsi="仿宋"/>
                <w:color w:val="auto"/>
                <w:sz w:val="28"/>
              </w:rPr>
            </w:pPr>
            <w:r>
              <w:rPr>
                <w:rFonts w:hint="eastAsia" w:ascii="仿宋" w:hAnsi="仿宋"/>
                <w:color w:val="auto"/>
                <w:sz w:val="28"/>
                <w:lang w:val="en-US"/>
              </w:rPr>
              <w:t>2.3</w:t>
            </w:r>
            <w:r>
              <w:rPr>
                <w:rFonts w:hint="eastAsia" w:ascii="仿宋" w:hAnsi="仿宋"/>
                <w:color w:val="auto"/>
                <w:sz w:val="28"/>
              </w:rPr>
              <w:t>产品方案</w:t>
            </w:r>
          </w:p>
          <w:p w14:paraId="42DCF153">
            <w:pPr>
              <w:ind w:firstLine="560"/>
              <w:rPr>
                <w:color w:val="auto"/>
                <w:sz w:val="28"/>
              </w:rPr>
            </w:pPr>
            <w:r>
              <w:rPr>
                <w:rFonts w:hint="eastAsia"/>
                <w:color w:val="auto"/>
                <w:sz w:val="28"/>
              </w:rPr>
              <w:t>本项目</w:t>
            </w:r>
            <w:r>
              <w:rPr>
                <w:rFonts w:hint="eastAsia"/>
                <w:color w:val="auto"/>
                <w:sz w:val="28"/>
                <w:highlight w:val="none"/>
                <w:lang w:eastAsia="zh-CN"/>
              </w:rPr>
              <w:t>隔音、隔热</w:t>
            </w:r>
            <w:r>
              <w:rPr>
                <w:rFonts w:hint="eastAsia"/>
                <w:color w:val="auto"/>
                <w:sz w:val="28"/>
                <w:lang w:eastAsia="zh-CN"/>
              </w:rPr>
              <w:t>棉</w:t>
            </w:r>
            <w:r>
              <w:rPr>
                <w:rFonts w:hint="eastAsia"/>
                <w:color w:val="auto"/>
                <w:sz w:val="28"/>
                <w:highlight w:val="none"/>
                <w:lang w:eastAsia="zh-CN"/>
              </w:rPr>
              <w:t>总年产量为</w:t>
            </w:r>
            <w:r>
              <w:rPr>
                <w:rFonts w:hint="eastAsia"/>
                <w:color w:val="auto"/>
                <w:sz w:val="28"/>
                <w:highlight w:val="none"/>
                <w:lang w:val="en-US" w:eastAsia="zh-CN"/>
              </w:rPr>
              <w:t>100万m</w:t>
            </w:r>
            <w:r>
              <w:rPr>
                <w:rFonts w:hint="eastAsia"/>
                <w:color w:val="auto"/>
                <w:sz w:val="28"/>
                <w:highlight w:val="none"/>
                <w:vertAlign w:val="superscript"/>
                <w:lang w:val="en-US" w:eastAsia="zh-CN"/>
              </w:rPr>
              <w:t>2</w:t>
            </w:r>
            <w:r>
              <w:rPr>
                <w:rFonts w:hint="eastAsia"/>
                <w:color w:val="auto"/>
                <w:sz w:val="28"/>
                <w:highlight w:val="none"/>
                <w:lang w:val="en-US" w:eastAsia="zh-CN"/>
              </w:rPr>
              <w:t>，</w:t>
            </w:r>
            <w:r>
              <w:rPr>
                <w:rFonts w:hint="eastAsia"/>
                <w:color w:val="auto"/>
                <w:sz w:val="28"/>
              </w:rPr>
              <w:t>方案详见表2-2。</w:t>
            </w:r>
          </w:p>
          <w:p w14:paraId="4CA84FCE">
            <w:pPr>
              <w:pStyle w:val="75"/>
              <w:rPr>
                <w:rFonts w:ascii="仿宋" w:hAnsi="仿宋"/>
                <w:color w:val="auto"/>
                <w:sz w:val="28"/>
                <w:lang w:val="en-US"/>
              </w:rPr>
            </w:pPr>
            <w:r>
              <w:rPr>
                <w:rFonts w:hint="eastAsia"/>
                <w:color w:val="auto"/>
                <w:sz w:val="24"/>
                <w:szCs w:val="24"/>
              </w:rPr>
              <w:t>表2-2项目产品方案一览表</w:t>
            </w:r>
          </w:p>
          <w:tbl>
            <w:tblPr>
              <w:tblStyle w:val="31"/>
              <w:tblW w:w="98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982"/>
              <w:gridCol w:w="1549"/>
              <w:gridCol w:w="1812"/>
              <w:gridCol w:w="1985"/>
              <w:gridCol w:w="2831"/>
            </w:tblGrid>
            <w:tr w14:paraId="2E6B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A6D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序号</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ADA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u w:val="none"/>
                      <w:lang w:eastAsia="zh-CN"/>
                    </w:rPr>
                  </w:pPr>
                  <w:r>
                    <w:rPr>
                      <w:rFonts w:hint="default" w:ascii="Times New Roman" w:hAnsi="Times New Roman" w:cs="Times New Roman"/>
                      <w:i/>
                      <w:iCs/>
                      <w:color w:val="auto"/>
                      <w:sz w:val="24"/>
                      <w:szCs w:val="24"/>
                      <w:u w:val="none"/>
                      <w:lang w:eastAsia="zh-CN"/>
                    </w:rPr>
                    <w:t>用途</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007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eastAsia="仿宋" w:cs="Times New Roman"/>
                      <w:i/>
                      <w:iCs/>
                      <w:color w:val="auto"/>
                      <w:kern w:val="0"/>
                      <w:sz w:val="24"/>
                      <w:szCs w:val="24"/>
                      <w:u w:val="none"/>
                      <w:lang w:val="en-US" w:eastAsia="zh-CN" w:bidi="ar"/>
                    </w:rPr>
                    <w:t>产品名称</w:t>
                  </w:r>
                </w:p>
              </w:tc>
              <w:tc>
                <w:tcPr>
                  <w:tcW w:w="1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F38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u w:val="none"/>
                      <w:lang w:val="en-US"/>
                    </w:rPr>
                  </w:pPr>
                  <w:r>
                    <w:rPr>
                      <w:rFonts w:hint="eastAsia" w:ascii="Times New Roman" w:hAnsi="Times New Roman" w:cs="Times New Roman"/>
                      <w:i/>
                      <w:iCs/>
                      <w:color w:val="auto"/>
                      <w:kern w:val="0"/>
                      <w:sz w:val="24"/>
                      <w:szCs w:val="24"/>
                      <w:u w:val="none"/>
                      <w:lang w:val="en-US" w:eastAsia="zh-CN" w:bidi="ar"/>
                    </w:rPr>
                    <w:t>主要</w:t>
                  </w:r>
                  <w:r>
                    <w:rPr>
                      <w:rFonts w:hint="default" w:ascii="Times New Roman" w:hAnsi="Times New Roman" w:eastAsia="仿宋" w:cs="Times New Roman"/>
                      <w:i/>
                      <w:iCs/>
                      <w:color w:val="auto"/>
                      <w:kern w:val="0"/>
                      <w:sz w:val="24"/>
                      <w:szCs w:val="24"/>
                      <w:u w:val="none"/>
                      <w:lang w:val="en-US" w:eastAsia="zh-CN" w:bidi="ar"/>
                    </w:rPr>
                    <w:t>规格型号</w:t>
                  </w:r>
                  <w:r>
                    <w:rPr>
                      <w:rFonts w:hint="default" w:ascii="Times New Roman" w:hAnsi="Times New Roman" w:cs="Times New Roman"/>
                      <w:i/>
                      <w:iCs/>
                      <w:color w:val="auto"/>
                      <w:kern w:val="0"/>
                      <w:sz w:val="24"/>
                      <w:szCs w:val="24"/>
                      <w:u w:val="none"/>
                      <w:lang w:val="en-US" w:eastAsia="zh-CN" w:bidi="ar"/>
                    </w:rPr>
                    <w:t>mm</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8D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u w:val="none"/>
                      <w:lang w:val="en-US"/>
                    </w:rPr>
                  </w:pPr>
                  <w:r>
                    <w:rPr>
                      <w:rFonts w:hint="default" w:ascii="Times New Roman" w:hAnsi="Times New Roman" w:eastAsia="仿宋" w:cs="Times New Roman"/>
                      <w:i/>
                      <w:iCs/>
                      <w:color w:val="auto"/>
                      <w:kern w:val="0"/>
                      <w:sz w:val="24"/>
                      <w:szCs w:val="24"/>
                      <w:u w:val="none"/>
                      <w:lang w:val="en-US" w:eastAsia="zh-CN" w:bidi="ar"/>
                    </w:rPr>
                    <w:t>产量</w:t>
                  </w:r>
                  <w:r>
                    <w:rPr>
                      <w:rFonts w:hint="default" w:ascii="Times New Roman" w:hAnsi="Times New Roman" w:cs="Times New Roman"/>
                      <w:i/>
                      <w:iCs/>
                      <w:color w:val="auto"/>
                      <w:kern w:val="0"/>
                      <w:sz w:val="24"/>
                      <w:szCs w:val="24"/>
                      <w:u w:val="none"/>
                      <w:lang w:val="en-US" w:eastAsia="zh-CN" w:bidi="ar"/>
                    </w:rPr>
                    <w:t>万m</w:t>
                  </w:r>
                  <w:r>
                    <w:rPr>
                      <w:rFonts w:hint="default" w:ascii="Times New Roman" w:hAnsi="Times New Roman" w:cs="Times New Roman"/>
                      <w:i/>
                      <w:iCs/>
                      <w:color w:val="auto"/>
                      <w:kern w:val="0"/>
                      <w:sz w:val="24"/>
                      <w:szCs w:val="24"/>
                      <w:u w:val="none"/>
                      <w:vertAlign w:val="superscript"/>
                      <w:lang w:val="en-US" w:eastAsia="zh-CN" w:bidi="ar"/>
                    </w:rPr>
                    <w:t>2</w:t>
                  </w:r>
                  <w:r>
                    <w:rPr>
                      <w:rFonts w:hint="default" w:ascii="Times New Roman" w:hAnsi="Times New Roman" w:eastAsia="仿宋" w:cs="Times New Roman"/>
                      <w:i/>
                      <w:iCs/>
                      <w:color w:val="auto"/>
                      <w:sz w:val="24"/>
                      <w:szCs w:val="24"/>
                      <w:lang w:val="en-US" w:eastAsia="zh-CN"/>
                    </w:rPr>
                    <w:t>/</w:t>
                  </w:r>
                  <w:r>
                    <w:rPr>
                      <w:rFonts w:hint="default" w:ascii="Times New Roman" w:hAnsi="Times New Roman" w:cs="Times New Roman"/>
                      <w:i/>
                      <w:iCs/>
                      <w:color w:val="auto"/>
                      <w:kern w:val="0"/>
                      <w:sz w:val="24"/>
                      <w:szCs w:val="24"/>
                      <w:u w:val="none"/>
                      <w:lang w:val="en-US" w:eastAsia="zh-CN" w:bidi="ar"/>
                    </w:rPr>
                    <w:t>a</w:t>
                  </w:r>
                </w:p>
              </w:tc>
              <w:tc>
                <w:tcPr>
                  <w:tcW w:w="2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AC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产品</w:t>
                  </w:r>
                  <w:r>
                    <w:rPr>
                      <w:rFonts w:hint="default" w:ascii="Times New Roman" w:hAnsi="Times New Roman" w:cs="Times New Roman"/>
                      <w:i/>
                      <w:iCs/>
                      <w:color w:val="auto"/>
                      <w:kern w:val="0"/>
                      <w:sz w:val="24"/>
                      <w:szCs w:val="24"/>
                      <w:u w:val="none"/>
                      <w:lang w:val="en-US" w:eastAsia="zh-CN" w:bidi="ar"/>
                    </w:rPr>
                    <w:t>照片</w:t>
                  </w:r>
                </w:p>
              </w:tc>
            </w:tr>
            <w:tr w14:paraId="7F1C2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B17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1</w:t>
                  </w:r>
                </w:p>
              </w:tc>
              <w:tc>
                <w:tcPr>
                  <w:tcW w:w="982" w:type="dxa"/>
                  <w:vMerge w:val="restart"/>
                  <w:tcBorders>
                    <w:top w:val="single" w:color="000000" w:sz="4" w:space="0"/>
                    <w:left w:val="single" w:color="000000" w:sz="4" w:space="0"/>
                    <w:right w:val="single" w:color="000000" w:sz="4" w:space="0"/>
                  </w:tcBorders>
                  <w:shd w:val="clear" w:color="auto" w:fill="auto"/>
                  <w:vAlign w:val="center"/>
                </w:tcPr>
                <w:p w14:paraId="29D332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sz w:val="24"/>
                      <w:szCs w:val="24"/>
                      <w:u w:val="none"/>
                      <w:lang w:val="en-US" w:eastAsia="zh-CN"/>
                    </w:rPr>
                  </w:pPr>
                  <w:r>
                    <w:rPr>
                      <w:rFonts w:hint="default" w:ascii="Times New Roman" w:hAnsi="Times New Roman" w:cs="Times New Roman"/>
                      <w:b w:val="0"/>
                      <w:bCs w:val="0"/>
                      <w:i/>
                      <w:iCs/>
                      <w:color w:val="auto"/>
                      <w:kern w:val="0"/>
                      <w:sz w:val="24"/>
                      <w:szCs w:val="24"/>
                      <w:highlight w:val="none"/>
                      <w:u w:val="none"/>
                      <w:lang w:val="en-US" w:eastAsia="zh-CN" w:bidi="ar"/>
                    </w:rPr>
                    <w:t>汽车、家电用隔音、隔热棉（</w:t>
                  </w:r>
                  <w:r>
                    <w:rPr>
                      <w:rFonts w:hint="eastAsia" w:ascii="Times New Roman" w:hAnsi="Times New Roman" w:cs="Times New Roman"/>
                      <w:b w:val="0"/>
                      <w:bCs w:val="0"/>
                      <w:i/>
                      <w:iCs/>
                      <w:color w:val="auto"/>
                      <w:kern w:val="0"/>
                      <w:sz w:val="24"/>
                      <w:szCs w:val="24"/>
                      <w:highlight w:val="none"/>
                      <w:u w:val="none"/>
                      <w:lang w:val="en-US" w:eastAsia="zh-CN" w:bidi="ar"/>
                    </w:rPr>
                    <w:t>贴胶</w:t>
                  </w:r>
                  <w:r>
                    <w:rPr>
                      <w:rFonts w:hint="default" w:ascii="Times New Roman" w:hAnsi="Times New Roman" w:cs="Times New Roman"/>
                      <w:b w:val="0"/>
                      <w:bCs w:val="0"/>
                      <w:i/>
                      <w:iCs/>
                      <w:color w:val="auto"/>
                      <w:kern w:val="0"/>
                      <w:sz w:val="24"/>
                      <w:szCs w:val="24"/>
                      <w:highlight w:val="none"/>
                      <w:u w:val="none"/>
                      <w:lang w:val="en-US" w:eastAsia="zh-CN" w:bidi="ar"/>
                    </w:rPr>
                    <w:t>）</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60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2"/>
                      <w:sz w:val="24"/>
                      <w:szCs w:val="24"/>
                      <w:u w:val="none"/>
                      <w:lang w:val="en-US" w:eastAsia="zh-CN" w:bidi="ar-SA"/>
                    </w:rPr>
                  </w:pPr>
                  <w:r>
                    <w:rPr>
                      <w:rFonts w:hint="default" w:ascii="Times New Roman" w:hAnsi="Times New Roman" w:cs="Times New Roman"/>
                      <w:b w:val="0"/>
                      <w:bCs w:val="0"/>
                      <w:i/>
                      <w:iCs/>
                      <w:color w:val="auto"/>
                      <w:kern w:val="0"/>
                      <w:sz w:val="24"/>
                      <w:szCs w:val="24"/>
                      <w:u w:val="none"/>
                      <w:lang w:val="en-US" w:eastAsia="zh-CN" w:bidi="ar"/>
                    </w:rPr>
                    <w:t>PE</w:t>
                  </w:r>
                  <w:r>
                    <w:rPr>
                      <w:rFonts w:hint="default" w:ascii="Times New Roman" w:hAnsi="Times New Roman" w:eastAsia="仿宋" w:cs="Times New Roman"/>
                      <w:b w:val="0"/>
                      <w:bCs w:val="0"/>
                      <w:i/>
                      <w:iCs/>
                      <w:color w:val="auto"/>
                      <w:kern w:val="0"/>
                      <w:sz w:val="24"/>
                      <w:szCs w:val="24"/>
                      <w:u w:val="none"/>
                      <w:lang w:val="en-US" w:eastAsia="zh-CN" w:bidi="ar"/>
                    </w:rPr>
                    <w:t>隔音、隔热</w:t>
                  </w:r>
                  <w:r>
                    <w:rPr>
                      <w:rFonts w:hint="default" w:ascii="Times New Roman" w:hAnsi="Times New Roman" w:cs="Times New Roman"/>
                      <w:b w:val="0"/>
                      <w:bCs w:val="0"/>
                      <w:i/>
                      <w:iCs/>
                      <w:color w:val="auto"/>
                      <w:kern w:val="0"/>
                      <w:sz w:val="24"/>
                      <w:szCs w:val="24"/>
                      <w:u w:val="none"/>
                      <w:lang w:val="en-US" w:eastAsia="zh-CN" w:bidi="ar"/>
                    </w:rPr>
                    <w:t>棉</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A1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lang w:val="en-US" w:eastAsia="zh-CN"/>
                    </w:rPr>
                  </w:pPr>
                  <w:r>
                    <w:rPr>
                      <w:rFonts w:hint="default" w:ascii="Times New Roman" w:hAnsi="Times New Roman" w:cs="Times New Roman"/>
                      <w:i/>
                      <w:iCs/>
                      <w:color w:val="auto"/>
                      <w:sz w:val="24"/>
                      <w:szCs w:val="24"/>
                      <w:u w:val="none"/>
                      <w:lang w:val="en-US" w:eastAsia="zh-CN"/>
                    </w:rPr>
                    <w:t>170*44*3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6B8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2"/>
                      <w:sz w:val="24"/>
                      <w:szCs w:val="24"/>
                      <w:highlight w:val="none"/>
                      <w:u w:val="none"/>
                      <w:lang w:val="en-US" w:eastAsia="zh-CN" w:bidi="ar-SA"/>
                    </w:rPr>
                  </w:pPr>
                  <w:r>
                    <w:rPr>
                      <w:rFonts w:hint="default" w:ascii="Times New Roman" w:hAnsi="Times New Roman" w:eastAsia="宋体" w:cs="Times New Roman"/>
                      <w:i/>
                      <w:iCs/>
                      <w:color w:val="auto"/>
                      <w:kern w:val="0"/>
                      <w:sz w:val="24"/>
                      <w:szCs w:val="24"/>
                      <w:u w:val="none"/>
                      <w:lang w:val="en-US" w:eastAsia="zh-CN" w:bidi="ar"/>
                    </w:rPr>
                    <w:t>24.75</w:t>
                  </w:r>
                </w:p>
              </w:tc>
              <w:tc>
                <w:tcPr>
                  <w:tcW w:w="2831" w:type="dxa"/>
                  <w:tcBorders>
                    <w:top w:val="single" w:color="000000" w:sz="4" w:space="0"/>
                    <w:left w:val="single" w:color="000000" w:sz="4" w:space="0"/>
                    <w:right w:val="single" w:color="000000" w:sz="4" w:space="0"/>
                  </w:tcBorders>
                  <w:shd w:val="clear" w:color="auto" w:fill="auto"/>
                  <w:vAlign w:val="center"/>
                </w:tcPr>
                <w:p w14:paraId="385C3B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drawing>
                      <wp:inline distT="0" distB="0" distL="114300" distR="114300">
                        <wp:extent cx="611505" cy="1088390"/>
                        <wp:effectExtent l="0" t="0" r="16510" b="17145"/>
                        <wp:docPr id="192" name="图片 192" descr="d89518e04801d392489a38d64a5ff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d89518e04801d392489a38d64a5ff75a"/>
                                <pic:cNvPicPr>
                                  <a:picLocks noChangeAspect="1"/>
                                </pic:cNvPicPr>
                              </pic:nvPicPr>
                              <pic:blipFill>
                                <a:blip r:embed="rId13"/>
                                <a:stretch>
                                  <a:fillRect/>
                                </a:stretch>
                              </pic:blipFill>
                              <pic:spPr>
                                <a:xfrm rot="16200000">
                                  <a:off x="0" y="0"/>
                                  <a:ext cx="611505" cy="1088390"/>
                                </a:xfrm>
                                <a:prstGeom prst="rect">
                                  <a:avLst/>
                                </a:prstGeom>
                              </pic:spPr>
                            </pic:pic>
                          </a:graphicData>
                        </a:graphic>
                      </wp:inline>
                    </w:drawing>
                  </w:r>
                </w:p>
              </w:tc>
            </w:tr>
            <w:tr w14:paraId="44641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FF2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2</w:t>
                  </w:r>
                </w:p>
              </w:tc>
              <w:tc>
                <w:tcPr>
                  <w:tcW w:w="982" w:type="dxa"/>
                  <w:vMerge w:val="continue"/>
                  <w:tcBorders>
                    <w:left w:val="single" w:color="000000" w:sz="4" w:space="0"/>
                    <w:right w:val="single" w:color="000000" w:sz="4" w:space="0"/>
                  </w:tcBorders>
                  <w:shd w:val="clear" w:color="auto" w:fill="auto"/>
                  <w:vAlign w:val="center"/>
                </w:tcPr>
                <w:p w14:paraId="029CC1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0"/>
                      <w:sz w:val="24"/>
                      <w:szCs w:val="24"/>
                      <w:u w:val="none"/>
                      <w:lang w:val="en-US" w:eastAsia="zh-CN" w:bidi="ar"/>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89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0"/>
                      <w:sz w:val="24"/>
                      <w:szCs w:val="24"/>
                      <w:u w:val="none"/>
                      <w:lang w:val="en-US" w:eastAsia="zh-CN" w:bidi="ar"/>
                    </w:rPr>
                  </w:pPr>
                  <w:r>
                    <w:rPr>
                      <w:rFonts w:hint="default" w:ascii="Times New Roman" w:hAnsi="Times New Roman" w:cs="Times New Roman"/>
                      <w:b w:val="0"/>
                      <w:bCs w:val="0"/>
                      <w:i/>
                      <w:iCs/>
                      <w:color w:val="auto"/>
                      <w:kern w:val="0"/>
                      <w:sz w:val="24"/>
                      <w:szCs w:val="24"/>
                      <w:highlight w:val="none"/>
                      <w:u w:val="none"/>
                      <w:lang w:val="en-US" w:eastAsia="zh-CN" w:bidi="ar"/>
                    </w:rPr>
                    <w:t>PU</w:t>
                  </w:r>
                  <w:r>
                    <w:rPr>
                      <w:rFonts w:hint="default" w:ascii="Times New Roman" w:hAnsi="Times New Roman" w:eastAsia="仿宋" w:cs="Times New Roman"/>
                      <w:b w:val="0"/>
                      <w:bCs w:val="0"/>
                      <w:i/>
                      <w:iCs/>
                      <w:color w:val="auto"/>
                      <w:kern w:val="0"/>
                      <w:sz w:val="24"/>
                      <w:szCs w:val="24"/>
                      <w:highlight w:val="none"/>
                      <w:u w:val="none"/>
                      <w:lang w:val="en-US" w:eastAsia="zh-CN" w:bidi="ar"/>
                    </w:rPr>
                    <w:t>隔音、隔热</w:t>
                  </w:r>
                  <w:r>
                    <w:rPr>
                      <w:rFonts w:hint="default" w:ascii="Times New Roman" w:hAnsi="Times New Roman" w:cs="Times New Roman"/>
                      <w:b w:val="0"/>
                      <w:bCs w:val="0"/>
                      <w:i/>
                      <w:iCs/>
                      <w:color w:val="auto"/>
                      <w:kern w:val="0"/>
                      <w:sz w:val="24"/>
                      <w:szCs w:val="24"/>
                      <w:highlight w:val="none"/>
                      <w:u w:val="none"/>
                      <w:lang w:val="en-US" w:eastAsia="zh-CN" w:bidi="ar"/>
                    </w:rPr>
                    <w:t>棉</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660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cs="Times New Roman"/>
                      <w:i/>
                      <w:iCs/>
                      <w:color w:val="auto"/>
                      <w:sz w:val="24"/>
                      <w:szCs w:val="24"/>
                      <w:highlight w:val="none"/>
                      <w:u w:val="none"/>
                      <w:lang w:val="en-US" w:eastAsia="zh-CN"/>
                    </w:rPr>
                  </w:pPr>
                  <w:r>
                    <w:rPr>
                      <w:rFonts w:hint="default" w:ascii="Times New Roman" w:hAnsi="Times New Roman" w:cs="Times New Roman"/>
                      <w:i/>
                      <w:iCs/>
                      <w:color w:val="auto"/>
                      <w:sz w:val="24"/>
                      <w:szCs w:val="24"/>
                      <w:highlight w:val="none"/>
                      <w:u w:val="none"/>
                      <w:lang w:val="en-US" w:eastAsia="zh-CN"/>
                    </w:rPr>
                    <w:t>490*150*15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297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2"/>
                      <w:sz w:val="24"/>
                      <w:szCs w:val="24"/>
                      <w:highlight w:val="none"/>
                      <w:u w:val="none"/>
                      <w:lang w:val="en-US" w:eastAsia="zh-CN" w:bidi="ar-SA"/>
                    </w:rPr>
                  </w:pPr>
                  <w:r>
                    <w:rPr>
                      <w:rFonts w:hint="default" w:ascii="Times New Roman" w:hAnsi="Times New Roman" w:eastAsia="宋体" w:cs="Times New Roman"/>
                      <w:i/>
                      <w:iCs/>
                      <w:color w:val="auto"/>
                      <w:kern w:val="0"/>
                      <w:sz w:val="24"/>
                      <w:szCs w:val="24"/>
                      <w:u w:val="none"/>
                      <w:lang w:val="en-US" w:eastAsia="zh-CN" w:bidi="ar"/>
                    </w:rPr>
                    <w:t>39.6</w:t>
                  </w:r>
                </w:p>
              </w:tc>
              <w:tc>
                <w:tcPr>
                  <w:tcW w:w="2831" w:type="dxa"/>
                  <w:tcBorders>
                    <w:left w:val="single" w:color="000000" w:sz="4" w:space="0"/>
                    <w:bottom w:val="single" w:color="000000" w:sz="4" w:space="0"/>
                    <w:right w:val="single" w:color="000000" w:sz="4" w:space="0"/>
                  </w:tcBorders>
                  <w:shd w:val="clear" w:color="auto" w:fill="auto"/>
                  <w:vAlign w:val="center"/>
                </w:tcPr>
                <w:p w14:paraId="5AADBC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i/>
                      <w:iCs/>
                      <w:color w:val="auto"/>
                    </w:rPr>
                    <w:drawing>
                      <wp:inline distT="0" distB="0" distL="114300" distR="114300">
                        <wp:extent cx="440690" cy="1125855"/>
                        <wp:effectExtent l="0" t="0" r="17145" b="1651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4"/>
                                <a:stretch>
                                  <a:fillRect/>
                                </a:stretch>
                              </pic:blipFill>
                              <pic:spPr>
                                <a:xfrm rot="16200000">
                                  <a:off x="0" y="0"/>
                                  <a:ext cx="440690" cy="1125855"/>
                                </a:xfrm>
                                <a:prstGeom prst="rect">
                                  <a:avLst/>
                                </a:prstGeom>
                                <a:noFill/>
                                <a:ln>
                                  <a:noFill/>
                                </a:ln>
                              </pic:spPr>
                            </pic:pic>
                          </a:graphicData>
                        </a:graphic>
                      </wp:inline>
                    </w:drawing>
                  </w:r>
                </w:p>
              </w:tc>
            </w:tr>
            <w:tr w14:paraId="5E08F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7E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3</w:t>
                  </w:r>
                </w:p>
              </w:tc>
              <w:tc>
                <w:tcPr>
                  <w:tcW w:w="982" w:type="dxa"/>
                  <w:vMerge w:val="continue"/>
                  <w:tcBorders>
                    <w:left w:val="single" w:color="000000" w:sz="4" w:space="0"/>
                    <w:right w:val="single" w:color="000000" w:sz="4" w:space="0"/>
                  </w:tcBorders>
                  <w:shd w:val="clear" w:color="auto" w:fill="auto"/>
                  <w:vAlign w:val="center"/>
                </w:tcPr>
                <w:p w14:paraId="2688D7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0"/>
                      <w:sz w:val="24"/>
                      <w:szCs w:val="24"/>
                      <w:highlight w:val="none"/>
                      <w:u w:val="none"/>
                      <w:lang w:val="en-US" w:eastAsia="zh-CN" w:bidi="ar"/>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B5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0"/>
                      <w:sz w:val="24"/>
                      <w:szCs w:val="24"/>
                      <w:highlight w:val="none"/>
                      <w:u w:val="none"/>
                      <w:lang w:val="en-US" w:eastAsia="zh-CN" w:bidi="ar"/>
                    </w:rPr>
                  </w:pPr>
                  <w:r>
                    <w:rPr>
                      <w:rFonts w:hint="default" w:ascii="Times New Roman" w:hAnsi="Times New Roman" w:cs="Times New Roman"/>
                      <w:b w:val="0"/>
                      <w:bCs w:val="0"/>
                      <w:i/>
                      <w:iCs/>
                      <w:color w:val="auto"/>
                      <w:kern w:val="0"/>
                      <w:sz w:val="24"/>
                      <w:szCs w:val="24"/>
                      <w:highlight w:val="none"/>
                      <w:u w:val="none"/>
                      <w:lang w:val="en-US" w:eastAsia="zh-CN" w:bidi="ar"/>
                    </w:rPr>
                    <w:t>EVA</w:t>
                  </w:r>
                  <w:r>
                    <w:rPr>
                      <w:rFonts w:hint="default" w:ascii="Times New Roman" w:hAnsi="Times New Roman" w:eastAsia="仿宋" w:cs="Times New Roman"/>
                      <w:b w:val="0"/>
                      <w:bCs w:val="0"/>
                      <w:i/>
                      <w:iCs/>
                      <w:color w:val="auto"/>
                      <w:kern w:val="0"/>
                      <w:sz w:val="24"/>
                      <w:szCs w:val="24"/>
                      <w:highlight w:val="none"/>
                      <w:u w:val="none"/>
                      <w:lang w:val="en-US" w:eastAsia="zh-CN" w:bidi="ar"/>
                    </w:rPr>
                    <w:t>隔音、隔热</w:t>
                  </w:r>
                  <w:r>
                    <w:rPr>
                      <w:rFonts w:hint="default" w:ascii="Times New Roman" w:hAnsi="Times New Roman" w:cs="Times New Roman"/>
                      <w:b w:val="0"/>
                      <w:bCs w:val="0"/>
                      <w:i/>
                      <w:iCs/>
                      <w:color w:val="auto"/>
                      <w:kern w:val="0"/>
                      <w:sz w:val="24"/>
                      <w:szCs w:val="24"/>
                      <w:highlight w:val="none"/>
                      <w:u w:val="none"/>
                      <w:lang w:val="en-US" w:eastAsia="zh-CN" w:bidi="ar"/>
                    </w:rPr>
                    <w:t>棉</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29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cs="Times New Roman"/>
                      <w:i/>
                      <w:iCs/>
                      <w:color w:val="auto"/>
                      <w:sz w:val="24"/>
                      <w:szCs w:val="24"/>
                      <w:highlight w:val="none"/>
                      <w:u w:val="none"/>
                      <w:lang w:val="en-US" w:eastAsia="zh-CN"/>
                    </w:rPr>
                  </w:pPr>
                  <w:r>
                    <w:rPr>
                      <w:rFonts w:hint="default" w:ascii="Times New Roman" w:hAnsi="Times New Roman" w:cs="Times New Roman"/>
                      <w:i/>
                      <w:iCs/>
                      <w:color w:val="auto"/>
                      <w:sz w:val="24"/>
                      <w:szCs w:val="24"/>
                      <w:highlight w:val="none"/>
                      <w:u w:val="none"/>
                      <w:lang w:val="en-US" w:eastAsia="zh-CN"/>
                    </w:rPr>
                    <w:t>195*55*5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553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2"/>
                      <w:sz w:val="24"/>
                      <w:szCs w:val="24"/>
                      <w:highlight w:val="none"/>
                      <w:u w:val="none"/>
                      <w:lang w:val="en-US" w:eastAsia="zh-CN" w:bidi="ar-SA"/>
                    </w:rPr>
                  </w:pPr>
                  <w:r>
                    <w:rPr>
                      <w:rFonts w:hint="default" w:ascii="Times New Roman" w:hAnsi="Times New Roman" w:eastAsia="宋体" w:cs="Times New Roman"/>
                      <w:i/>
                      <w:iCs/>
                      <w:color w:val="auto"/>
                      <w:kern w:val="0"/>
                      <w:sz w:val="24"/>
                      <w:szCs w:val="24"/>
                      <w:u w:val="none"/>
                      <w:lang w:val="en-US" w:eastAsia="zh-CN" w:bidi="ar"/>
                    </w:rPr>
                    <w:t>19.8</w:t>
                  </w:r>
                </w:p>
              </w:tc>
              <w:tc>
                <w:tcPr>
                  <w:tcW w:w="2831" w:type="dxa"/>
                  <w:tcBorders>
                    <w:left w:val="single" w:color="000000" w:sz="4" w:space="0"/>
                    <w:bottom w:val="single" w:color="000000" w:sz="4" w:space="0"/>
                    <w:right w:val="single" w:color="000000" w:sz="4" w:space="0"/>
                  </w:tcBorders>
                  <w:shd w:val="clear" w:color="auto" w:fill="auto"/>
                  <w:vAlign w:val="center"/>
                </w:tcPr>
                <w:p w14:paraId="4579CE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drawing>
                      <wp:inline distT="0" distB="0" distL="114300" distR="114300">
                        <wp:extent cx="601980" cy="1071880"/>
                        <wp:effectExtent l="0" t="0" r="13970" b="7620"/>
                        <wp:docPr id="191" name="图片 191" descr="f2d8a9f081111559181ca211da22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f2d8a9f081111559181ca211da225170"/>
                                <pic:cNvPicPr>
                                  <a:picLocks noChangeAspect="1"/>
                                </pic:cNvPicPr>
                              </pic:nvPicPr>
                              <pic:blipFill>
                                <a:blip r:embed="rId15"/>
                                <a:stretch>
                                  <a:fillRect/>
                                </a:stretch>
                              </pic:blipFill>
                              <pic:spPr>
                                <a:xfrm rot="16200000">
                                  <a:off x="0" y="0"/>
                                  <a:ext cx="601980" cy="1071880"/>
                                </a:xfrm>
                                <a:prstGeom prst="rect">
                                  <a:avLst/>
                                </a:prstGeom>
                              </pic:spPr>
                            </pic:pic>
                          </a:graphicData>
                        </a:graphic>
                      </wp:inline>
                    </w:drawing>
                  </w:r>
                </w:p>
              </w:tc>
            </w:tr>
            <w:tr w14:paraId="31421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7EF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4</w:t>
                  </w:r>
                </w:p>
              </w:tc>
              <w:tc>
                <w:tcPr>
                  <w:tcW w:w="982" w:type="dxa"/>
                  <w:vMerge w:val="continue"/>
                  <w:tcBorders>
                    <w:left w:val="single" w:color="000000" w:sz="4" w:space="0"/>
                    <w:bottom w:val="single" w:color="000000" w:sz="4" w:space="0"/>
                    <w:right w:val="single" w:color="000000" w:sz="4" w:space="0"/>
                  </w:tcBorders>
                  <w:shd w:val="clear" w:color="auto" w:fill="auto"/>
                  <w:vAlign w:val="center"/>
                </w:tcPr>
                <w:p w14:paraId="7D1A97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0"/>
                      <w:sz w:val="24"/>
                      <w:szCs w:val="24"/>
                      <w:highlight w:val="none"/>
                      <w:u w:val="none"/>
                      <w:lang w:val="en-US" w:eastAsia="zh-CN" w:bidi="ar"/>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35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i/>
                      <w:iCs/>
                      <w:color w:val="auto"/>
                      <w:kern w:val="0"/>
                      <w:sz w:val="24"/>
                      <w:szCs w:val="24"/>
                      <w:highlight w:val="none"/>
                      <w:u w:val="none"/>
                      <w:lang w:val="en-US" w:eastAsia="zh-CN" w:bidi="ar"/>
                    </w:rPr>
                  </w:pPr>
                  <w:r>
                    <w:rPr>
                      <w:rFonts w:hint="default" w:ascii="Times New Roman" w:hAnsi="Times New Roman" w:cs="Times New Roman"/>
                      <w:b w:val="0"/>
                      <w:bCs w:val="0"/>
                      <w:i/>
                      <w:iCs/>
                      <w:color w:val="auto"/>
                      <w:kern w:val="0"/>
                      <w:sz w:val="24"/>
                      <w:szCs w:val="24"/>
                      <w:highlight w:val="none"/>
                      <w:u w:val="none"/>
                      <w:lang w:val="en-US" w:eastAsia="zh-CN" w:bidi="ar"/>
                    </w:rPr>
                    <w:t>植绒布</w:t>
                  </w:r>
                  <w:r>
                    <w:rPr>
                      <w:rFonts w:hint="default" w:ascii="Times New Roman" w:hAnsi="Times New Roman" w:eastAsia="仿宋" w:cs="Times New Roman"/>
                      <w:b w:val="0"/>
                      <w:bCs w:val="0"/>
                      <w:i/>
                      <w:iCs/>
                      <w:color w:val="auto"/>
                      <w:kern w:val="0"/>
                      <w:sz w:val="24"/>
                      <w:szCs w:val="24"/>
                      <w:highlight w:val="none"/>
                      <w:u w:val="none"/>
                      <w:lang w:val="en-US" w:eastAsia="zh-CN" w:bidi="ar"/>
                    </w:rPr>
                    <w:t>隔音、隔热</w:t>
                  </w:r>
                  <w:r>
                    <w:rPr>
                      <w:rFonts w:hint="default" w:ascii="Times New Roman" w:hAnsi="Times New Roman" w:cs="Times New Roman"/>
                      <w:b w:val="0"/>
                      <w:bCs w:val="0"/>
                      <w:i/>
                      <w:iCs/>
                      <w:color w:val="auto"/>
                      <w:kern w:val="0"/>
                      <w:sz w:val="24"/>
                      <w:szCs w:val="24"/>
                      <w:highlight w:val="none"/>
                      <w:u w:val="none"/>
                      <w:lang w:val="en-US" w:eastAsia="zh-CN" w:bidi="ar"/>
                    </w:rPr>
                    <w:t>棉</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DC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cs="Times New Roman"/>
                      <w:i/>
                      <w:iCs/>
                      <w:color w:val="auto"/>
                      <w:sz w:val="24"/>
                      <w:szCs w:val="24"/>
                      <w:highlight w:val="none"/>
                      <w:u w:val="none"/>
                      <w:lang w:val="en-US" w:eastAsia="zh-CN"/>
                    </w:rPr>
                  </w:pPr>
                  <w:r>
                    <w:rPr>
                      <w:rFonts w:hint="default" w:ascii="Times New Roman" w:hAnsi="Times New Roman" w:cs="Times New Roman"/>
                      <w:i/>
                      <w:iCs/>
                      <w:color w:val="auto"/>
                      <w:sz w:val="24"/>
                      <w:szCs w:val="24"/>
                      <w:highlight w:val="none"/>
                      <w:u w:val="none"/>
                      <w:lang w:val="en-US" w:eastAsia="zh-CN"/>
                    </w:rPr>
                    <w:t>1800*10*0.5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2E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14.85</w:t>
                  </w:r>
                </w:p>
              </w:tc>
              <w:tc>
                <w:tcPr>
                  <w:tcW w:w="2831" w:type="dxa"/>
                  <w:tcBorders>
                    <w:left w:val="single" w:color="000000" w:sz="4" w:space="0"/>
                    <w:bottom w:val="single" w:color="000000" w:sz="4" w:space="0"/>
                    <w:right w:val="single" w:color="000000" w:sz="4" w:space="0"/>
                  </w:tcBorders>
                  <w:shd w:val="clear" w:color="auto" w:fill="auto"/>
                  <w:vAlign w:val="center"/>
                </w:tcPr>
                <w:p w14:paraId="5C0710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eastAsia="仿宋" w:cs="Times New Roman"/>
                      <w:i/>
                      <w:iCs/>
                      <w:color w:val="auto"/>
                      <w:sz w:val="24"/>
                      <w:szCs w:val="24"/>
                      <w:u w:val="none"/>
                      <w:lang w:eastAsia="zh-CN"/>
                    </w:rPr>
                    <w:drawing>
                      <wp:inline distT="0" distB="0" distL="114300" distR="114300">
                        <wp:extent cx="1058545" cy="638175"/>
                        <wp:effectExtent l="0" t="0" r="8255" b="9525"/>
                        <wp:docPr id="7" name="图片 7" descr="cfb6207a14aaefc477afd28dafb1b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fb6207a14aaefc477afd28dafb1bad0"/>
                                <pic:cNvPicPr>
                                  <a:picLocks noChangeAspect="1"/>
                                </pic:cNvPicPr>
                              </pic:nvPicPr>
                              <pic:blipFill>
                                <a:blip r:embed="rId16"/>
                                <a:stretch>
                                  <a:fillRect/>
                                </a:stretch>
                              </pic:blipFill>
                              <pic:spPr>
                                <a:xfrm>
                                  <a:off x="0" y="0"/>
                                  <a:ext cx="1058545" cy="638175"/>
                                </a:xfrm>
                                <a:prstGeom prst="rect">
                                  <a:avLst/>
                                </a:prstGeom>
                              </pic:spPr>
                            </pic:pic>
                          </a:graphicData>
                        </a:graphic>
                      </wp:inline>
                    </w:drawing>
                  </w:r>
                </w:p>
              </w:tc>
            </w:tr>
            <w:tr w14:paraId="3028A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77F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eastAsia" w:ascii="Times New Roman" w:hAnsi="Times New Roman" w:cs="Times New Roman"/>
                      <w:i/>
                      <w:iCs/>
                      <w:color w:val="auto"/>
                      <w:kern w:val="0"/>
                      <w:sz w:val="24"/>
                      <w:szCs w:val="24"/>
                      <w:u w:val="none"/>
                      <w:lang w:val="en-US" w:eastAsia="zh-CN" w:bidi="ar"/>
                    </w:rPr>
                    <w:t>5</w:t>
                  </w:r>
                </w:p>
              </w:tc>
              <w:tc>
                <w:tcPr>
                  <w:tcW w:w="982" w:type="dxa"/>
                  <w:vMerge w:val="restart"/>
                  <w:tcBorders>
                    <w:left w:val="single" w:color="000000" w:sz="4" w:space="0"/>
                    <w:right w:val="single" w:color="000000" w:sz="4" w:space="0"/>
                  </w:tcBorders>
                  <w:shd w:val="clear" w:color="auto" w:fill="auto"/>
                  <w:vAlign w:val="center"/>
                </w:tcPr>
                <w:p w14:paraId="603FA4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0"/>
                      <w:sz w:val="24"/>
                      <w:szCs w:val="24"/>
                      <w:highlight w:val="none"/>
                      <w:u w:val="none"/>
                      <w:lang w:val="en-US" w:eastAsia="zh-CN" w:bidi="ar"/>
                    </w:rPr>
                  </w:pPr>
                  <w:r>
                    <w:rPr>
                      <w:rFonts w:hint="default" w:ascii="Times New Roman" w:hAnsi="Times New Roman" w:cs="Times New Roman"/>
                      <w:b w:val="0"/>
                      <w:bCs w:val="0"/>
                      <w:i/>
                      <w:iCs/>
                      <w:color w:val="auto"/>
                      <w:kern w:val="0"/>
                      <w:sz w:val="24"/>
                      <w:szCs w:val="24"/>
                      <w:highlight w:val="none"/>
                      <w:u w:val="none"/>
                      <w:lang w:val="en-US" w:eastAsia="zh-CN" w:bidi="ar"/>
                    </w:rPr>
                    <w:t>汽车、家电用隔音、隔热棉（不贴胶）</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66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2"/>
                      <w:sz w:val="24"/>
                      <w:szCs w:val="24"/>
                      <w:u w:val="none"/>
                      <w:lang w:val="en-US" w:eastAsia="zh-CN" w:bidi="ar-SA"/>
                    </w:rPr>
                  </w:pPr>
                  <w:r>
                    <w:rPr>
                      <w:rFonts w:hint="default" w:ascii="Times New Roman" w:hAnsi="Times New Roman" w:cs="Times New Roman"/>
                      <w:b w:val="0"/>
                      <w:bCs w:val="0"/>
                      <w:i/>
                      <w:iCs/>
                      <w:color w:val="auto"/>
                      <w:kern w:val="0"/>
                      <w:sz w:val="24"/>
                      <w:szCs w:val="24"/>
                      <w:u w:val="none"/>
                      <w:lang w:val="en-US" w:eastAsia="zh-CN" w:bidi="ar"/>
                    </w:rPr>
                    <w:t>PE</w:t>
                  </w:r>
                  <w:r>
                    <w:rPr>
                      <w:rFonts w:hint="default" w:ascii="Times New Roman" w:hAnsi="Times New Roman" w:eastAsia="仿宋" w:cs="Times New Roman"/>
                      <w:b w:val="0"/>
                      <w:bCs w:val="0"/>
                      <w:i/>
                      <w:iCs/>
                      <w:color w:val="auto"/>
                      <w:kern w:val="0"/>
                      <w:sz w:val="24"/>
                      <w:szCs w:val="24"/>
                      <w:u w:val="none"/>
                      <w:lang w:val="en-US" w:eastAsia="zh-CN" w:bidi="ar"/>
                    </w:rPr>
                    <w:t>隔音、隔热</w:t>
                  </w:r>
                  <w:r>
                    <w:rPr>
                      <w:rFonts w:hint="default" w:ascii="Times New Roman" w:hAnsi="Times New Roman" w:cs="Times New Roman"/>
                      <w:b w:val="0"/>
                      <w:bCs w:val="0"/>
                      <w:i/>
                      <w:iCs/>
                      <w:color w:val="auto"/>
                      <w:kern w:val="0"/>
                      <w:sz w:val="24"/>
                      <w:szCs w:val="24"/>
                      <w:u w:val="none"/>
                      <w:lang w:val="en-US" w:eastAsia="zh-CN" w:bidi="ar"/>
                    </w:rPr>
                    <w:t>棉</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D5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kern w:val="2"/>
                      <w:sz w:val="24"/>
                      <w:szCs w:val="24"/>
                      <w:u w:val="none"/>
                      <w:lang w:val="en-US" w:eastAsia="zh-CN" w:bidi="ar-SA"/>
                    </w:rPr>
                  </w:pPr>
                  <w:r>
                    <w:rPr>
                      <w:rFonts w:hint="default" w:ascii="Times New Roman" w:hAnsi="Times New Roman" w:cs="Times New Roman"/>
                      <w:i/>
                      <w:iCs/>
                      <w:color w:val="auto"/>
                      <w:sz w:val="24"/>
                      <w:szCs w:val="24"/>
                      <w:u w:val="none"/>
                      <w:lang w:val="en-US" w:eastAsia="zh-CN"/>
                    </w:rPr>
                    <w:t>170*44*3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EA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eastAsia="宋体" w:cs="Times New Roman"/>
                      <w:i/>
                      <w:iCs/>
                      <w:color w:val="auto"/>
                      <w:kern w:val="0"/>
                      <w:sz w:val="24"/>
                      <w:szCs w:val="24"/>
                      <w:u w:val="none"/>
                      <w:lang w:val="en-US" w:eastAsia="zh-CN" w:bidi="ar"/>
                    </w:rPr>
                    <w:t>0.25</w:t>
                  </w:r>
                </w:p>
              </w:tc>
              <w:tc>
                <w:tcPr>
                  <w:tcW w:w="2831" w:type="dxa"/>
                  <w:tcBorders>
                    <w:left w:val="single" w:color="000000" w:sz="4" w:space="0"/>
                    <w:bottom w:val="single" w:color="000000" w:sz="4" w:space="0"/>
                    <w:right w:val="single" w:color="000000" w:sz="4" w:space="0"/>
                  </w:tcBorders>
                  <w:shd w:val="clear" w:color="auto" w:fill="auto"/>
                  <w:vAlign w:val="center"/>
                </w:tcPr>
                <w:p w14:paraId="4D657C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drawing>
                      <wp:inline distT="0" distB="0" distL="114300" distR="114300">
                        <wp:extent cx="623570" cy="1108710"/>
                        <wp:effectExtent l="0" t="0" r="15240" b="5080"/>
                        <wp:docPr id="17" name="图片 17" descr="07378692f3e84f53de0322ab96d5b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7378692f3e84f53de0322ab96d5b2e1"/>
                                <pic:cNvPicPr>
                                  <a:picLocks noChangeAspect="1"/>
                                </pic:cNvPicPr>
                              </pic:nvPicPr>
                              <pic:blipFill>
                                <a:blip r:embed="rId17"/>
                                <a:stretch>
                                  <a:fillRect/>
                                </a:stretch>
                              </pic:blipFill>
                              <pic:spPr>
                                <a:xfrm rot="16200000">
                                  <a:off x="0" y="0"/>
                                  <a:ext cx="623570" cy="1108710"/>
                                </a:xfrm>
                                <a:prstGeom prst="rect">
                                  <a:avLst/>
                                </a:prstGeom>
                              </pic:spPr>
                            </pic:pic>
                          </a:graphicData>
                        </a:graphic>
                      </wp:inline>
                    </w:drawing>
                  </w:r>
                </w:p>
              </w:tc>
            </w:tr>
            <w:tr w14:paraId="2EEC7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36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eastAsia" w:ascii="Times New Roman" w:hAnsi="Times New Roman" w:cs="Times New Roman"/>
                      <w:i/>
                      <w:iCs/>
                      <w:color w:val="auto"/>
                      <w:kern w:val="0"/>
                      <w:sz w:val="24"/>
                      <w:szCs w:val="24"/>
                      <w:u w:val="none"/>
                      <w:lang w:val="en-US" w:eastAsia="zh-CN" w:bidi="ar"/>
                    </w:rPr>
                    <w:t>6</w:t>
                  </w:r>
                </w:p>
              </w:tc>
              <w:tc>
                <w:tcPr>
                  <w:tcW w:w="982" w:type="dxa"/>
                  <w:vMerge w:val="continue"/>
                  <w:tcBorders>
                    <w:left w:val="single" w:color="000000" w:sz="4" w:space="0"/>
                    <w:right w:val="single" w:color="000000" w:sz="4" w:space="0"/>
                  </w:tcBorders>
                  <w:shd w:val="clear" w:color="auto" w:fill="auto"/>
                  <w:vAlign w:val="center"/>
                </w:tcPr>
                <w:p w14:paraId="195068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0"/>
                      <w:sz w:val="24"/>
                      <w:szCs w:val="24"/>
                      <w:highlight w:val="none"/>
                      <w:u w:val="none"/>
                      <w:lang w:val="en-US" w:eastAsia="zh-CN" w:bidi="ar"/>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2C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0"/>
                      <w:sz w:val="24"/>
                      <w:szCs w:val="24"/>
                      <w:u w:val="none"/>
                      <w:lang w:val="en-US" w:eastAsia="zh-CN" w:bidi="ar"/>
                    </w:rPr>
                  </w:pPr>
                  <w:r>
                    <w:rPr>
                      <w:rFonts w:hint="default" w:ascii="Times New Roman" w:hAnsi="Times New Roman" w:cs="Times New Roman"/>
                      <w:b w:val="0"/>
                      <w:bCs w:val="0"/>
                      <w:i/>
                      <w:iCs/>
                      <w:color w:val="auto"/>
                      <w:kern w:val="0"/>
                      <w:sz w:val="24"/>
                      <w:szCs w:val="24"/>
                      <w:highlight w:val="none"/>
                      <w:u w:val="none"/>
                      <w:lang w:val="en-US" w:eastAsia="zh-CN" w:bidi="ar"/>
                    </w:rPr>
                    <w:t>PU</w:t>
                  </w:r>
                  <w:r>
                    <w:rPr>
                      <w:rFonts w:hint="default" w:ascii="Times New Roman" w:hAnsi="Times New Roman" w:eastAsia="仿宋" w:cs="Times New Roman"/>
                      <w:b w:val="0"/>
                      <w:bCs w:val="0"/>
                      <w:i/>
                      <w:iCs/>
                      <w:color w:val="auto"/>
                      <w:kern w:val="0"/>
                      <w:sz w:val="24"/>
                      <w:szCs w:val="24"/>
                      <w:highlight w:val="none"/>
                      <w:u w:val="none"/>
                      <w:lang w:val="en-US" w:eastAsia="zh-CN" w:bidi="ar"/>
                    </w:rPr>
                    <w:t>隔音、隔热</w:t>
                  </w:r>
                  <w:r>
                    <w:rPr>
                      <w:rFonts w:hint="default" w:ascii="Times New Roman" w:hAnsi="Times New Roman" w:cs="Times New Roman"/>
                      <w:b w:val="0"/>
                      <w:bCs w:val="0"/>
                      <w:i/>
                      <w:iCs/>
                      <w:color w:val="auto"/>
                      <w:kern w:val="0"/>
                      <w:sz w:val="24"/>
                      <w:szCs w:val="24"/>
                      <w:highlight w:val="none"/>
                      <w:u w:val="none"/>
                      <w:lang w:val="en-US" w:eastAsia="zh-CN" w:bidi="ar"/>
                    </w:rPr>
                    <w:t>棉</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CD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kern w:val="2"/>
                      <w:sz w:val="24"/>
                      <w:szCs w:val="24"/>
                      <w:highlight w:val="none"/>
                      <w:u w:val="none"/>
                      <w:lang w:val="en-US" w:eastAsia="zh-CN" w:bidi="ar-SA"/>
                    </w:rPr>
                  </w:pPr>
                  <w:r>
                    <w:rPr>
                      <w:rFonts w:hint="default" w:ascii="Times New Roman" w:hAnsi="Times New Roman" w:cs="Times New Roman"/>
                      <w:i/>
                      <w:iCs/>
                      <w:color w:val="auto"/>
                      <w:sz w:val="24"/>
                      <w:szCs w:val="24"/>
                      <w:highlight w:val="none"/>
                      <w:u w:val="none"/>
                      <w:lang w:val="en-US" w:eastAsia="zh-CN"/>
                    </w:rPr>
                    <w:t>490*150*15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23A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eastAsia="宋体" w:cs="Times New Roman"/>
                      <w:i/>
                      <w:iCs/>
                      <w:color w:val="auto"/>
                      <w:kern w:val="0"/>
                      <w:sz w:val="24"/>
                      <w:szCs w:val="24"/>
                      <w:u w:val="none"/>
                      <w:lang w:val="en-US" w:eastAsia="zh-CN" w:bidi="ar"/>
                    </w:rPr>
                    <w:t>0.4</w:t>
                  </w:r>
                </w:p>
              </w:tc>
              <w:tc>
                <w:tcPr>
                  <w:tcW w:w="2831" w:type="dxa"/>
                  <w:tcBorders>
                    <w:left w:val="single" w:color="000000" w:sz="4" w:space="0"/>
                    <w:bottom w:val="single" w:color="000000" w:sz="4" w:space="0"/>
                    <w:right w:val="single" w:color="000000" w:sz="4" w:space="0"/>
                  </w:tcBorders>
                  <w:shd w:val="clear" w:color="auto" w:fill="auto"/>
                  <w:vAlign w:val="center"/>
                </w:tcPr>
                <w:p w14:paraId="08CCE6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drawing>
                      <wp:inline distT="0" distB="0" distL="114300" distR="114300">
                        <wp:extent cx="500380" cy="1148715"/>
                        <wp:effectExtent l="0" t="0" r="13335" b="13970"/>
                        <wp:docPr id="18" name="图片 18" descr="5a0927717b184769ce0dca63a3f40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a0927717b184769ce0dca63a3f4010a"/>
                                <pic:cNvPicPr>
                                  <a:picLocks noChangeAspect="1"/>
                                </pic:cNvPicPr>
                              </pic:nvPicPr>
                              <pic:blipFill>
                                <a:blip r:embed="rId18"/>
                                <a:srcRect r="46941"/>
                                <a:stretch>
                                  <a:fillRect/>
                                </a:stretch>
                              </pic:blipFill>
                              <pic:spPr>
                                <a:xfrm rot="16200000">
                                  <a:off x="0" y="0"/>
                                  <a:ext cx="500380" cy="1148715"/>
                                </a:xfrm>
                                <a:prstGeom prst="rect">
                                  <a:avLst/>
                                </a:prstGeom>
                              </pic:spPr>
                            </pic:pic>
                          </a:graphicData>
                        </a:graphic>
                      </wp:inline>
                    </w:drawing>
                  </w:r>
                </w:p>
              </w:tc>
            </w:tr>
            <w:tr w14:paraId="01274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A06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eastAsia" w:ascii="Times New Roman" w:hAnsi="Times New Roman" w:cs="Times New Roman"/>
                      <w:i/>
                      <w:iCs/>
                      <w:color w:val="auto"/>
                      <w:kern w:val="0"/>
                      <w:sz w:val="24"/>
                      <w:szCs w:val="24"/>
                      <w:u w:val="none"/>
                      <w:lang w:val="en-US" w:eastAsia="zh-CN" w:bidi="ar"/>
                    </w:rPr>
                    <w:t>7</w:t>
                  </w:r>
                </w:p>
              </w:tc>
              <w:tc>
                <w:tcPr>
                  <w:tcW w:w="982" w:type="dxa"/>
                  <w:vMerge w:val="continue"/>
                  <w:tcBorders>
                    <w:left w:val="single" w:color="000000" w:sz="4" w:space="0"/>
                    <w:right w:val="single" w:color="000000" w:sz="4" w:space="0"/>
                  </w:tcBorders>
                  <w:shd w:val="clear" w:color="auto" w:fill="auto"/>
                  <w:vAlign w:val="center"/>
                </w:tcPr>
                <w:p w14:paraId="3E3AE6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0"/>
                      <w:sz w:val="24"/>
                      <w:szCs w:val="24"/>
                      <w:highlight w:val="none"/>
                      <w:u w:val="none"/>
                      <w:lang w:val="en-US" w:eastAsia="zh-CN" w:bidi="ar"/>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51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0"/>
                      <w:sz w:val="24"/>
                      <w:szCs w:val="24"/>
                      <w:highlight w:val="none"/>
                      <w:u w:val="none"/>
                      <w:lang w:val="en-US" w:eastAsia="zh-CN" w:bidi="ar"/>
                    </w:rPr>
                  </w:pPr>
                  <w:r>
                    <w:rPr>
                      <w:rFonts w:hint="default" w:ascii="Times New Roman" w:hAnsi="Times New Roman" w:cs="Times New Roman"/>
                      <w:b w:val="0"/>
                      <w:bCs w:val="0"/>
                      <w:i/>
                      <w:iCs/>
                      <w:color w:val="auto"/>
                      <w:kern w:val="0"/>
                      <w:sz w:val="24"/>
                      <w:szCs w:val="24"/>
                      <w:highlight w:val="none"/>
                      <w:u w:val="none"/>
                      <w:lang w:val="en-US" w:eastAsia="zh-CN" w:bidi="ar"/>
                    </w:rPr>
                    <w:t>EVA</w:t>
                  </w:r>
                  <w:r>
                    <w:rPr>
                      <w:rFonts w:hint="default" w:ascii="Times New Roman" w:hAnsi="Times New Roman" w:eastAsia="仿宋" w:cs="Times New Roman"/>
                      <w:b w:val="0"/>
                      <w:bCs w:val="0"/>
                      <w:i/>
                      <w:iCs/>
                      <w:color w:val="auto"/>
                      <w:kern w:val="0"/>
                      <w:sz w:val="24"/>
                      <w:szCs w:val="24"/>
                      <w:highlight w:val="none"/>
                      <w:u w:val="none"/>
                      <w:lang w:val="en-US" w:eastAsia="zh-CN" w:bidi="ar"/>
                    </w:rPr>
                    <w:t>隔音、隔热</w:t>
                  </w:r>
                  <w:r>
                    <w:rPr>
                      <w:rFonts w:hint="default" w:ascii="Times New Roman" w:hAnsi="Times New Roman" w:cs="Times New Roman"/>
                      <w:b w:val="0"/>
                      <w:bCs w:val="0"/>
                      <w:i/>
                      <w:iCs/>
                      <w:color w:val="auto"/>
                      <w:kern w:val="0"/>
                      <w:sz w:val="24"/>
                      <w:szCs w:val="24"/>
                      <w:highlight w:val="none"/>
                      <w:u w:val="none"/>
                      <w:lang w:val="en-US" w:eastAsia="zh-CN" w:bidi="ar"/>
                    </w:rPr>
                    <w:t>棉</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30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kern w:val="2"/>
                      <w:sz w:val="24"/>
                      <w:szCs w:val="24"/>
                      <w:highlight w:val="none"/>
                      <w:u w:val="none"/>
                      <w:lang w:val="en-US" w:eastAsia="zh-CN" w:bidi="ar-SA"/>
                    </w:rPr>
                  </w:pPr>
                  <w:r>
                    <w:rPr>
                      <w:rFonts w:hint="default" w:ascii="Times New Roman" w:hAnsi="Times New Roman" w:cs="Times New Roman"/>
                      <w:i/>
                      <w:iCs/>
                      <w:color w:val="auto"/>
                      <w:sz w:val="24"/>
                      <w:szCs w:val="24"/>
                      <w:highlight w:val="none"/>
                      <w:u w:val="none"/>
                      <w:lang w:val="en-US" w:eastAsia="zh-CN"/>
                    </w:rPr>
                    <w:t>195*55*5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A7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0.2</w:t>
                  </w:r>
                </w:p>
              </w:tc>
              <w:tc>
                <w:tcPr>
                  <w:tcW w:w="2831" w:type="dxa"/>
                  <w:tcBorders>
                    <w:left w:val="single" w:color="000000" w:sz="4" w:space="0"/>
                    <w:bottom w:val="single" w:color="000000" w:sz="4" w:space="0"/>
                    <w:right w:val="single" w:color="000000" w:sz="4" w:space="0"/>
                  </w:tcBorders>
                  <w:shd w:val="clear" w:color="auto" w:fill="auto"/>
                  <w:vAlign w:val="center"/>
                </w:tcPr>
                <w:p w14:paraId="14EB01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drawing>
                      <wp:inline distT="0" distB="0" distL="114300" distR="114300">
                        <wp:extent cx="616585" cy="1097280"/>
                        <wp:effectExtent l="15875" t="28575" r="29845" b="40640"/>
                        <wp:docPr id="19" name="图片 19" descr="7a34df70b3857b5c30d85b1b000d7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a34df70b3857b5c30d85b1b000d7cc0"/>
                                <pic:cNvPicPr>
                                  <a:picLocks noChangeAspect="1"/>
                                </pic:cNvPicPr>
                              </pic:nvPicPr>
                              <pic:blipFill>
                                <a:blip r:embed="rId19"/>
                                <a:stretch>
                                  <a:fillRect/>
                                </a:stretch>
                              </pic:blipFill>
                              <pic:spPr>
                                <a:xfrm rot="16020000">
                                  <a:off x="0" y="0"/>
                                  <a:ext cx="616585" cy="1097280"/>
                                </a:xfrm>
                                <a:prstGeom prst="rect">
                                  <a:avLst/>
                                </a:prstGeom>
                              </pic:spPr>
                            </pic:pic>
                          </a:graphicData>
                        </a:graphic>
                      </wp:inline>
                    </w:drawing>
                  </w:r>
                </w:p>
              </w:tc>
            </w:tr>
            <w:tr w14:paraId="72465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567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eastAsia" w:ascii="Times New Roman" w:hAnsi="Times New Roman" w:cs="Times New Roman"/>
                      <w:i/>
                      <w:iCs/>
                      <w:color w:val="auto"/>
                      <w:kern w:val="0"/>
                      <w:sz w:val="24"/>
                      <w:szCs w:val="24"/>
                      <w:u w:val="none"/>
                      <w:lang w:val="en-US" w:eastAsia="zh-CN" w:bidi="ar"/>
                    </w:rPr>
                    <w:t>8</w:t>
                  </w:r>
                </w:p>
              </w:tc>
              <w:tc>
                <w:tcPr>
                  <w:tcW w:w="982" w:type="dxa"/>
                  <w:vMerge w:val="continue"/>
                  <w:tcBorders>
                    <w:left w:val="single" w:color="000000" w:sz="4" w:space="0"/>
                    <w:bottom w:val="single" w:color="000000" w:sz="4" w:space="0"/>
                    <w:right w:val="single" w:color="000000" w:sz="4" w:space="0"/>
                  </w:tcBorders>
                  <w:shd w:val="clear" w:color="auto" w:fill="auto"/>
                  <w:vAlign w:val="center"/>
                </w:tcPr>
                <w:p w14:paraId="6BB30A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0"/>
                      <w:sz w:val="24"/>
                      <w:szCs w:val="24"/>
                      <w:highlight w:val="none"/>
                      <w:u w:val="none"/>
                      <w:lang w:val="en-US" w:eastAsia="zh-CN" w:bidi="ar"/>
                    </w:rPr>
                  </w:pP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6E0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val="0"/>
                      <w:i/>
                      <w:iCs/>
                      <w:color w:val="auto"/>
                      <w:kern w:val="0"/>
                      <w:sz w:val="24"/>
                      <w:szCs w:val="24"/>
                      <w:highlight w:val="none"/>
                      <w:u w:val="none"/>
                      <w:lang w:val="en-US" w:eastAsia="zh-CN" w:bidi="ar"/>
                    </w:rPr>
                  </w:pPr>
                  <w:r>
                    <w:rPr>
                      <w:rFonts w:hint="default" w:ascii="Times New Roman" w:hAnsi="Times New Roman" w:cs="Times New Roman"/>
                      <w:b w:val="0"/>
                      <w:bCs w:val="0"/>
                      <w:i/>
                      <w:iCs/>
                      <w:color w:val="auto"/>
                      <w:kern w:val="0"/>
                      <w:sz w:val="24"/>
                      <w:szCs w:val="24"/>
                      <w:highlight w:val="none"/>
                      <w:u w:val="none"/>
                      <w:lang w:val="en-US" w:eastAsia="zh-CN" w:bidi="ar"/>
                    </w:rPr>
                    <w:t>植绒布</w:t>
                  </w:r>
                  <w:r>
                    <w:rPr>
                      <w:rFonts w:hint="default" w:ascii="Times New Roman" w:hAnsi="Times New Roman" w:eastAsia="仿宋" w:cs="Times New Roman"/>
                      <w:b w:val="0"/>
                      <w:bCs w:val="0"/>
                      <w:i/>
                      <w:iCs/>
                      <w:color w:val="auto"/>
                      <w:kern w:val="0"/>
                      <w:sz w:val="24"/>
                      <w:szCs w:val="24"/>
                      <w:highlight w:val="none"/>
                      <w:u w:val="none"/>
                      <w:lang w:val="en-US" w:eastAsia="zh-CN" w:bidi="ar"/>
                    </w:rPr>
                    <w:t>隔音、隔热</w:t>
                  </w:r>
                  <w:r>
                    <w:rPr>
                      <w:rFonts w:hint="default" w:ascii="Times New Roman" w:hAnsi="Times New Roman" w:cs="Times New Roman"/>
                      <w:b w:val="0"/>
                      <w:bCs w:val="0"/>
                      <w:i/>
                      <w:iCs/>
                      <w:color w:val="auto"/>
                      <w:kern w:val="0"/>
                      <w:sz w:val="24"/>
                      <w:szCs w:val="24"/>
                      <w:highlight w:val="none"/>
                      <w:u w:val="none"/>
                      <w:lang w:val="en-US" w:eastAsia="zh-CN" w:bidi="ar"/>
                    </w:rPr>
                    <w:t>棉</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3C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kern w:val="2"/>
                      <w:sz w:val="24"/>
                      <w:szCs w:val="24"/>
                      <w:highlight w:val="none"/>
                      <w:u w:val="none"/>
                      <w:lang w:val="en-US" w:eastAsia="zh-CN" w:bidi="ar-SA"/>
                    </w:rPr>
                  </w:pPr>
                  <w:r>
                    <w:rPr>
                      <w:rFonts w:hint="default" w:ascii="Times New Roman" w:hAnsi="Times New Roman" w:cs="Times New Roman"/>
                      <w:i/>
                      <w:iCs/>
                      <w:color w:val="auto"/>
                      <w:sz w:val="24"/>
                      <w:szCs w:val="24"/>
                      <w:highlight w:val="none"/>
                      <w:u w:val="none"/>
                      <w:lang w:val="en-US" w:eastAsia="zh-CN"/>
                    </w:rPr>
                    <w:t>1800*10*0.5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2BA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0.15</w:t>
                  </w:r>
                </w:p>
              </w:tc>
              <w:tc>
                <w:tcPr>
                  <w:tcW w:w="2831" w:type="dxa"/>
                  <w:tcBorders>
                    <w:left w:val="single" w:color="000000" w:sz="4" w:space="0"/>
                    <w:bottom w:val="single" w:color="000000" w:sz="4" w:space="0"/>
                    <w:right w:val="single" w:color="000000" w:sz="4" w:space="0"/>
                  </w:tcBorders>
                  <w:shd w:val="clear" w:color="auto" w:fill="auto"/>
                  <w:vAlign w:val="center"/>
                </w:tcPr>
                <w:p w14:paraId="75A0B4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i/>
                      <w:iCs/>
                      <w:color w:val="auto"/>
                    </w:rPr>
                    <w:drawing>
                      <wp:inline distT="0" distB="0" distL="114300" distR="114300">
                        <wp:extent cx="581025" cy="1093470"/>
                        <wp:effectExtent l="0" t="0" r="11430"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0"/>
                                <a:srcRect b="10313"/>
                                <a:stretch>
                                  <a:fillRect/>
                                </a:stretch>
                              </pic:blipFill>
                              <pic:spPr>
                                <a:xfrm rot="16200000">
                                  <a:off x="0" y="0"/>
                                  <a:ext cx="581025" cy="1093470"/>
                                </a:xfrm>
                                <a:prstGeom prst="rect">
                                  <a:avLst/>
                                </a:prstGeom>
                                <a:noFill/>
                                <a:ln>
                                  <a:noFill/>
                                </a:ln>
                              </pic:spPr>
                            </pic:pic>
                          </a:graphicData>
                        </a:graphic>
                      </wp:inline>
                    </w:drawing>
                  </w:r>
                </w:p>
              </w:tc>
            </w:tr>
            <w:tr w14:paraId="255E2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03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00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cs="Times New Roman"/>
                      <w:i/>
                      <w:iCs/>
                      <w:color w:val="auto"/>
                      <w:sz w:val="24"/>
                      <w:szCs w:val="24"/>
                      <w:highlight w:val="none"/>
                      <w:u w:val="none"/>
                      <w:lang w:val="en-US" w:eastAsia="zh-CN"/>
                    </w:rPr>
                  </w:pPr>
                  <w:r>
                    <w:rPr>
                      <w:rFonts w:hint="default" w:ascii="Times New Roman" w:hAnsi="Times New Roman" w:cs="Times New Roman"/>
                      <w:i/>
                      <w:iCs/>
                      <w:color w:val="auto"/>
                      <w:sz w:val="24"/>
                      <w:szCs w:val="24"/>
                      <w:highlight w:val="none"/>
                      <w:u w:val="none"/>
                      <w:lang w:val="en-US" w:eastAsia="zh-CN"/>
                    </w:rPr>
                    <w:t>合计</w:t>
                  </w:r>
                </w:p>
              </w:tc>
              <w:tc>
                <w:tcPr>
                  <w:tcW w:w="481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BCC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cs="Times New Roman"/>
                      <w:i/>
                      <w:iCs/>
                      <w:color w:val="auto"/>
                      <w:sz w:val="24"/>
                      <w:szCs w:val="24"/>
                      <w:highlight w:val="none"/>
                      <w:u w:val="none"/>
                      <w:lang w:val="en-US" w:eastAsia="zh-CN"/>
                    </w:rPr>
                    <w:t>100（其中贴胶</w:t>
                  </w:r>
                  <w:r>
                    <w:rPr>
                      <w:rFonts w:hint="eastAsia" w:ascii="Times New Roman" w:hAnsi="Times New Roman" w:cs="Times New Roman"/>
                      <w:i/>
                      <w:iCs/>
                      <w:color w:val="auto"/>
                      <w:sz w:val="24"/>
                      <w:szCs w:val="24"/>
                      <w:highlight w:val="none"/>
                      <w:u w:val="none"/>
                      <w:lang w:val="en-US" w:eastAsia="zh-CN"/>
                    </w:rPr>
                    <w:t>产品</w:t>
                  </w:r>
                  <w:r>
                    <w:rPr>
                      <w:rFonts w:hint="default" w:ascii="Times New Roman" w:hAnsi="Times New Roman" w:cs="Times New Roman"/>
                      <w:i/>
                      <w:iCs/>
                      <w:color w:val="auto"/>
                      <w:sz w:val="24"/>
                      <w:szCs w:val="24"/>
                      <w:highlight w:val="none"/>
                      <w:u w:val="none"/>
                      <w:lang w:val="en-US" w:eastAsia="zh-CN"/>
                    </w:rPr>
                    <w:t>占99%，不贴胶占1%）</w:t>
                  </w:r>
                </w:p>
              </w:tc>
            </w:tr>
            <w:tr w14:paraId="664E7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85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C8E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i/>
                      <w:iCs/>
                      <w:color w:val="auto"/>
                      <w:sz w:val="24"/>
                      <w:szCs w:val="24"/>
                      <w:highlight w:val="none"/>
                      <w:u w:val="none"/>
                      <w:lang w:val="en-US" w:eastAsia="zh-CN"/>
                    </w:rPr>
                  </w:pPr>
                  <w:r>
                    <w:rPr>
                      <w:rFonts w:hint="default" w:ascii="Times New Roman" w:hAnsi="Times New Roman" w:cs="Times New Roman"/>
                      <w:i/>
                      <w:iCs/>
                      <w:color w:val="auto"/>
                      <w:sz w:val="24"/>
                      <w:szCs w:val="24"/>
                      <w:highlight w:val="none"/>
                      <w:u w:val="none"/>
                      <w:lang w:val="en-US" w:eastAsia="zh-CN"/>
                    </w:rPr>
                    <w:t>项目产品尺寸根据客户需求定制</w:t>
                  </w:r>
                </w:p>
              </w:tc>
            </w:tr>
          </w:tbl>
          <w:p w14:paraId="73434674">
            <w:pPr>
              <w:rPr>
                <w:color w:val="auto"/>
                <w:lang w:val="en-US"/>
              </w:rPr>
            </w:pPr>
          </w:p>
          <w:p w14:paraId="2746C6DE">
            <w:pPr>
              <w:pStyle w:val="53"/>
              <w:spacing w:before="120"/>
              <w:rPr>
                <w:rFonts w:ascii="仿宋" w:hAnsi="仿宋"/>
                <w:color w:val="auto"/>
                <w:sz w:val="28"/>
              </w:rPr>
            </w:pPr>
            <w:r>
              <w:rPr>
                <w:rFonts w:hint="eastAsia" w:ascii="仿宋" w:hAnsi="仿宋"/>
                <w:color w:val="auto"/>
                <w:sz w:val="28"/>
                <w:lang w:val="en-US"/>
              </w:rPr>
              <w:t>2.4</w:t>
            </w:r>
            <w:r>
              <w:rPr>
                <w:rFonts w:ascii="仿宋" w:hAnsi="仿宋"/>
                <w:color w:val="auto"/>
                <w:sz w:val="28"/>
              </w:rPr>
              <w:t>.</w:t>
            </w:r>
            <w:r>
              <w:rPr>
                <w:rFonts w:hint="eastAsia" w:ascii="仿宋" w:hAnsi="仿宋"/>
                <w:color w:val="auto"/>
                <w:sz w:val="28"/>
              </w:rPr>
              <w:t>主要生产设备</w:t>
            </w:r>
          </w:p>
          <w:p w14:paraId="5321108C">
            <w:pPr>
              <w:ind w:firstLine="560"/>
              <w:rPr>
                <w:color w:val="auto"/>
                <w:sz w:val="28"/>
              </w:rPr>
            </w:pPr>
            <w:r>
              <w:rPr>
                <w:rFonts w:hint="eastAsia"/>
                <w:color w:val="auto"/>
                <w:sz w:val="28"/>
              </w:rPr>
              <w:t>项目主要生产设备情况见表2-3。</w:t>
            </w:r>
          </w:p>
          <w:p w14:paraId="35BDE493">
            <w:pPr>
              <w:pStyle w:val="75"/>
              <w:rPr>
                <w:color w:val="auto"/>
                <w:highlight w:val="none"/>
              </w:rPr>
            </w:pPr>
            <w:r>
              <w:rPr>
                <w:rFonts w:hint="eastAsia"/>
                <w:color w:val="auto"/>
                <w:sz w:val="24"/>
                <w:highlight w:val="none"/>
              </w:rPr>
              <w:t>表2-</w:t>
            </w:r>
            <w:r>
              <w:rPr>
                <w:rFonts w:hint="eastAsia"/>
                <w:color w:val="auto"/>
                <w:sz w:val="24"/>
                <w:highlight w:val="none"/>
                <w:lang w:val="en-US"/>
              </w:rPr>
              <w:t>3</w:t>
            </w:r>
            <w:r>
              <w:rPr>
                <w:rFonts w:hint="eastAsia"/>
                <w:color w:val="auto"/>
                <w:sz w:val="24"/>
                <w:highlight w:val="none"/>
              </w:rPr>
              <w:t>项目主要生产设备情况一览表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53"/>
              <w:gridCol w:w="2456"/>
              <w:gridCol w:w="2458"/>
              <w:gridCol w:w="3156"/>
              <w:gridCol w:w="831"/>
              <w:gridCol w:w="587"/>
            </w:tblGrid>
            <w:tr w14:paraId="195D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vAlign w:val="center"/>
                </w:tcPr>
                <w:p w14:paraId="5D967423">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序号</w:t>
                  </w:r>
                </w:p>
              </w:tc>
              <w:tc>
                <w:tcPr>
                  <w:tcW w:w="1247" w:type="pct"/>
                  <w:vAlign w:val="center"/>
                </w:tcPr>
                <w:p w14:paraId="1AACA4C3">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生产工艺</w:t>
                  </w:r>
                </w:p>
              </w:tc>
              <w:tc>
                <w:tcPr>
                  <w:tcW w:w="1248" w:type="pct"/>
                  <w:vAlign w:val="center"/>
                </w:tcPr>
                <w:p w14:paraId="4B5065CF">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设备名称</w:t>
                  </w:r>
                </w:p>
              </w:tc>
              <w:tc>
                <w:tcPr>
                  <w:tcW w:w="1602" w:type="pct"/>
                  <w:vAlign w:val="center"/>
                </w:tcPr>
                <w:p w14:paraId="70B49FC3">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规格型号</w:t>
                  </w:r>
                </w:p>
              </w:tc>
              <w:tc>
                <w:tcPr>
                  <w:tcW w:w="422" w:type="pct"/>
                  <w:vAlign w:val="center"/>
                </w:tcPr>
                <w:p w14:paraId="529E7D8B">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数量</w:t>
                  </w:r>
                </w:p>
              </w:tc>
              <w:tc>
                <w:tcPr>
                  <w:tcW w:w="298" w:type="pct"/>
                  <w:vAlign w:val="center"/>
                </w:tcPr>
                <w:p w14:paraId="46DFD3E2">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单位</w:t>
                  </w:r>
                </w:p>
              </w:tc>
            </w:tr>
            <w:tr w14:paraId="1A52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79" w:type="pct"/>
                  <w:shd w:val="clear" w:color="auto" w:fill="auto"/>
                  <w:vAlign w:val="center"/>
                </w:tcPr>
                <w:p w14:paraId="591F26E5">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1</w:t>
                  </w:r>
                </w:p>
              </w:tc>
              <w:tc>
                <w:tcPr>
                  <w:tcW w:w="1247" w:type="pct"/>
                  <w:vMerge w:val="restart"/>
                  <w:shd w:val="clear" w:color="auto" w:fill="auto"/>
                  <w:vAlign w:val="center"/>
                </w:tcPr>
                <w:p w14:paraId="3E2B878C">
                  <w:pPr>
                    <w:spacing w:line="240" w:lineRule="auto"/>
                    <w:ind w:firstLine="0" w:firstLineChars="0"/>
                    <w:jc w:val="center"/>
                    <w:rPr>
                      <w:rFonts w:hint="default" w:ascii="Times New Roman" w:hAnsi="Times New Roman" w:eastAsia="仿宋" w:cs="Times New Roman"/>
                      <w:color w:val="auto"/>
                      <w:sz w:val="24"/>
                      <w:lang w:val="en-US" w:eastAsia="zh-CN"/>
                    </w:rPr>
                  </w:pPr>
                  <w:r>
                    <w:rPr>
                      <w:rFonts w:hint="default" w:ascii="Times New Roman" w:hAnsi="Times New Roman" w:cs="Times New Roman"/>
                      <w:color w:val="auto"/>
                      <w:sz w:val="24"/>
                      <w:lang w:val="en-US" w:eastAsia="zh-CN"/>
                    </w:rPr>
                    <w:t>冲压</w:t>
                  </w:r>
                </w:p>
              </w:tc>
              <w:tc>
                <w:tcPr>
                  <w:tcW w:w="1248" w:type="pct"/>
                  <w:shd w:val="clear" w:color="auto" w:fill="auto"/>
                  <w:vAlign w:val="top"/>
                </w:tcPr>
                <w:p w14:paraId="5BD1D7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四柱液压冲床</w:t>
                  </w:r>
                </w:p>
              </w:tc>
              <w:tc>
                <w:tcPr>
                  <w:tcW w:w="1602" w:type="pct"/>
                  <w:shd w:val="clear" w:color="auto" w:fill="auto"/>
                  <w:vAlign w:val="top"/>
                </w:tcPr>
                <w:p w14:paraId="13C9ED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XCLP3-</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00</w:t>
                  </w:r>
                </w:p>
              </w:tc>
              <w:tc>
                <w:tcPr>
                  <w:tcW w:w="422" w:type="pct"/>
                  <w:shd w:val="clear" w:color="auto" w:fill="auto"/>
                  <w:vAlign w:val="top"/>
                </w:tcPr>
                <w:p w14:paraId="626392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lang w:val="en-US" w:eastAsia="zh-CN"/>
                    </w:rPr>
                    <w:t>1</w:t>
                  </w:r>
                </w:p>
              </w:tc>
              <w:tc>
                <w:tcPr>
                  <w:tcW w:w="298" w:type="pct"/>
                  <w:vAlign w:val="center"/>
                </w:tcPr>
                <w:p w14:paraId="1CBA4995">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327F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73DF5E70">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2</w:t>
                  </w:r>
                </w:p>
              </w:tc>
              <w:tc>
                <w:tcPr>
                  <w:tcW w:w="1247" w:type="pct"/>
                  <w:vMerge w:val="continue"/>
                  <w:shd w:val="clear" w:color="auto" w:fill="auto"/>
                  <w:vAlign w:val="center"/>
                </w:tcPr>
                <w:p w14:paraId="205B8E0E">
                  <w:pPr>
                    <w:spacing w:line="240" w:lineRule="auto"/>
                    <w:ind w:firstLine="0" w:firstLineChars="0"/>
                    <w:jc w:val="center"/>
                    <w:rPr>
                      <w:rFonts w:hint="default" w:ascii="Times New Roman" w:hAnsi="Times New Roman" w:cs="Times New Roman"/>
                      <w:color w:val="auto"/>
                      <w:sz w:val="24"/>
                    </w:rPr>
                  </w:pPr>
                </w:p>
              </w:tc>
              <w:tc>
                <w:tcPr>
                  <w:tcW w:w="1248" w:type="pct"/>
                  <w:shd w:val="clear" w:color="auto" w:fill="auto"/>
                  <w:vAlign w:val="top"/>
                </w:tcPr>
                <w:p w14:paraId="565A87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四柱液压冲床</w:t>
                  </w:r>
                </w:p>
              </w:tc>
              <w:tc>
                <w:tcPr>
                  <w:tcW w:w="1602" w:type="pct"/>
                  <w:shd w:val="clear" w:color="auto" w:fill="auto"/>
                  <w:vAlign w:val="top"/>
                </w:tcPr>
                <w:p w14:paraId="13D351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XCLP3-</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00</w:t>
                  </w:r>
                </w:p>
              </w:tc>
              <w:tc>
                <w:tcPr>
                  <w:tcW w:w="422" w:type="pct"/>
                  <w:shd w:val="clear" w:color="auto" w:fill="auto"/>
                  <w:vAlign w:val="top"/>
                </w:tcPr>
                <w:p w14:paraId="7B19C5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lang w:val="en-US" w:eastAsia="zh-CN"/>
                    </w:rPr>
                    <w:t>2</w:t>
                  </w:r>
                </w:p>
              </w:tc>
              <w:tc>
                <w:tcPr>
                  <w:tcW w:w="298" w:type="pct"/>
                  <w:vAlign w:val="center"/>
                </w:tcPr>
                <w:p w14:paraId="279AB508">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28A7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28DDAA7E">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3</w:t>
                  </w:r>
                </w:p>
              </w:tc>
              <w:tc>
                <w:tcPr>
                  <w:tcW w:w="1247" w:type="pct"/>
                  <w:vMerge w:val="continue"/>
                  <w:shd w:val="clear" w:color="auto" w:fill="auto"/>
                  <w:vAlign w:val="center"/>
                </w:tcPr>
                <w:p w14:paraId="521C2183">
                  <w:pPr>
                    <w:spacing w:line="240" w:lineRule="auto"/>
                    <w:ind w:firstLine="0" w:firstLineChars="0"/>
                    <w:jc w:val="center"/>
                    <w:rPr>
                      <w:rFonts w:hint="default" w:ascii="Times New Roman" w:hAnsi="Times New Roman" w:cs="Times New Roman"/>
                      <w:color w:val="auto"/>
                      <w:sz w:val="24"/>
                    </w:rPr>
                  </w:pPr>
                </w:p>
              </w:tc>
              <w:tc>
                <w:tcPr>
                  <w:tcW w:w="1248" w:type="pct"/>
                  <w:shd w:val="clear" w:color="auto" w:fill="auto"/>
                  <w:vAlign w:val="center"/>
                </w:tcPr>
                <w:p w14:paraId="5CA92D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四柱液压冲床</w:t>
                  </w:r>
                </w:p>
              </w:tc>
              <w:tc>
                <w:tcPr>
                  <w:tcW w:w="1602" w:type="pct"/>
                  <w:shd w:val="clear" w:color="auto" w:fill="auto"/>
                  <w:vAlign w:val="top"/>
                </w:tcPr>
                <w:p w14:paraId="71AEB0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XCLP3-</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00</w:t>
                  </w:r>
                </w:p>
              </w:tc>
              <w:tc>
                <w:tcPr>
                  <w:tcW w:w="422" w:type="pct"/>
                  <w:shd w:val="clear" w:color="auto" w:fill="auto"/>
                  <w:vAlign w:val="top"/>
                </w:tcPr>
                <w:p w14:paraId="042DC4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1</w:t>
                  </w:r>
                </w:p>
              </w:tc>
              <w:tc>
                <w:tcPr>
                  <w:tcW w:w="298" w:type="pct"/>
                  <w:vAlign w:val="center"/>
                </w:tcPr>
                <w:p w14:paraId="0DD28E49">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3B29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1079F505">
                  <w:pPr>
                    <w:pStyle w:val="49"/>
                    <w:spacing w:line="240" w:lineRule="auto"/>
                    <w:rPr>
                      <w:rFonts w:hint="default" w:ascii="Times New Roman" w:hAnsi="Times New Roman" w:eastAsia="仿宋" w:cs="Times New Roman"/>
                      <w:color w:val="auto"/>
                      <w:sz w:val="24"/>
                      <w:lang w:eastAsia="zh-CN"/>
                    </w:rPr>
                  </w:pPr>
                  <w:r>
                    <w:rPr>
                      <w:rFonts w:hint="default" w:ascii="Times New Roman" w:hAnsi="Times New Roman" w:cs="Times New Roman"/>
                      <w:color w:val="auto"/>
                      <w:sz w:val="24"/>
                      <w:lang w:val="en-US" w:eastAsia="zh-CN"/>
                    </w:rPr>
                    <w:t>4</w:t>
                  </w:r>
                </w:p>
              </w:tc>
              <w:tc>
                <w:tcPr>
                  <w:tcW w:w="1247" w:type="pct"/>
                  <w:shd w:val="clear" w:color="auto" w:fill="auto"/>
                  <w:vAlign w:val="center"/>
                </w:tcPr>
                <w:p w14:paraId="0CB068F6">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压痕</w:t>
                  </w:r>
                </w:p>
              </w:tc>
              <w:tc>
                <w:tcPr>
                  <w:tcW w:w="1248" w:type="pct"/>
                  <w:shd w:val="clear" w:color="auto" w:fill="auto"/>
                  <w:vAlign w:val="top"/>
                </w:tcPr>
                <w:p w14:paraId="2C5E02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压痕机</w:t>
                  </w:r>
                </w:p>
              </w:tc>
              <w:tc>
                <w:tcPr>
                  <w:tcW w:w="1602" w:type="pct"/>
                  <w:shd w:val="clear" w:color="auto" w:fill="auto"/>
                  <w:vAlign w:val="top"/>
                </w:tcPr>
                <w:p w14:paraId="41CC44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PYQ（ML）203</w:t>
                  </w:r>
                </w:p>
              </w:tc>
              <w:tc>
                <w:tcPr>
                  <w:tcW w:w="422" w:type="pct"/>
                  <w:shd w:val="clear" w:color="auto" w:fill="auto"/>
                  <w:vAlign w:val="top"/>
                </w:tcPr>
                <w:p w14:paraId="3811B4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1</w:t>
                  </w:r>
                </w:p>
              </w:tc>
              <w:tc>
                <w:tcPr>
                  <w:tcW w:w="298" w:type="pct"/>
                  <w:vAlign w:val="center"/>
                </w:tcPr>
                <w:p w14:paraId="48D766FA">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375E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12F16119">
                  <w:pPr>
                    <w:pStyle w:val="49"/>
                    <w:spacing w:line="240" w:lineRule="auto"/>
                    <w:rPr>
                      <w:rFonts w:hint="default" w:ascii="Times New Roman" w:hAnsi="Times New Roman" w:eastAsia="仿宋" w:cs="Times New Roman"/>
                      <w:color w:val="auto"/>
                      <w:sz w:val="24"/>
                      <w:lang w:val="en-US" w:eastAsia="zh-CN"/>
                    </w:rPr>
                  </w:pPr>
                  <w:r>
                    <w:rPr>
                      <w:rFonts w:hint="default" w:ascii="Times New Roman" w:hAnsi="Times New Roman" w:cs="Times New Roman"/>
                      <w:color w:val="auto"/>
                      <w:sz w:val="24"/>
                      <w:lang w:val="en-US" w:eastAsia="zh-CN"/>
                    </w:rPr>
                    <w:t>5</w:t>
                  </w:r>
                </w:p>
              </w:tc>
              <w:tc>
                <w:tcPr>
                  <w:tcW w:w="1247" w:type="pct"/>
                  <w:shd w:val="clear" w:color="auto" w:fill="auto"/>
                  <w:vAlign w:val="center"/>
                </w:tcPr>
                <w:p w14:paraId="4378C399">
                  <w:pPr>
                    <w:spacing w:line="240" w:lineRule="auto"/>
                    <w:ind w:firstLine="0" w:firstLineChars="0"/>
                    <w:jc w:val="center"/>
                    <w:rPr>
                      <w:rFonts w:hint="default" w:ascii="Times New Roman" w:hAnsi="Times New Roman" w:eastAsia="仿宋" w:cs="Times New Roman"/>
                      <w:color w:val="auto"/>
                      <w:sz w:val="24"/>
                      <w:lang w:eastAsia="zh-CN"/>
                    </w:rPr>
                  </w:pPr>
                  <w:r>
                    <w:rPr>
                      <w:rFonts w:hint="default" w:ascii="Times New Roman" w:hAnsi="Times New Roman" w:cs="Times New Roman"/>
                      <w:color w:val="auto"/>
                      <w:sz w:val="24"/>
                      <w:lang w:eastAsia="zh-CN"/>
                    </w:rPr>
                    <w:t>下料</w:t>
                  </w:r>
                </w:p>
              </w:tc>
              <w:tc>
                <w:tcPr>
                  <w:tcW w:w="1248" w:type="pct"/>
                  <w:shd w:val="clear" w:color="auto" w:fill="auto"/>
                  <w:vAlign w:val="top"/>
                </w:tcPr>
                <w:p w14:paraId="401359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下料机</w:t>
                  </w:r>
                </w:p>
              </w:tc>
              <w:tc>
                <w:tcPr>
                  <w:tcW w:w="1602" w:type="pct"/>
                  <w:shd w:val="clear" w:color="auto" w:fill="auto"/>
                  <w:vAlign w:val="top"/>
                </w:tcPr>
                <w:p w14:paraId="255F4E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SKFQ-1600</w:t>
                  </w:r>
                </w:p>
              </w:tc>
              <w:tc>
                <w:tcPr>
                  <w:tcW w:w="422" w:type="pct"/>
                  <w:shd w:val="clear" w:color="auto" w:fill="auto"/>
                  <w:vAlign w:val="top"/>
                </w:tcPr>
                <w:p w14:paraId="7D12D1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1</w:t>
                  </w:r>
                </w:p>
              </w:tc>
              <w:tc>
                <w:tcPr>
                  <w:tcW w:w="298" w:type="pct"/>
                  <w:vAlign w:val="center"/>
                </w:tcPr>
                <w:p w14:paraId="197FEC67">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574B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4B9277B9">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6</w:t>
                  </w:r>
                </w:p>
              </w:tc>
              <w:tc>
                <w:tcPr>
                  <w:tcW w:w="1247" w:type="pct"/>
                  <w:shd w:val="clear" w:color="auto" w:fill="auto"/>
                  <w:vAlign w:val="center"/>
                </w:tcPr>
                <w:p w14:paraId="71ED2596">
                  <w:pPr>
                    <w:spacing w:line="240" w:lineRule="auto"/>
                    <w:ind w:firstLine="0" w:firstLineChars="0"/>
                    <w:jc w:val="center"/>
                    <w:rPr>
                      <w:rFonts w:hint="default" w:ascii="Times New Roman" w:hAnsi="Times New Roman" w:eastAsia="仿宋" w:cs="Times New Roman"/>
                      <w:color w:val="auto"/>
                      <w:sz w:val="24"/>
                      <w:lang w:eastAsia="zh-CN"/>
                    </w:rPr>
                  </w:pPr>
                  <w:r>
                    <w:rPr>
                      <w:rFonts w:hint="default" w:ascii="Times New Roman" w:hAnsi="Times New Roman" w:cs="Times New Roman"/>
                      <w:color w:val="auto"/>
                      <w:sz w:val="24"/>
                    </w:rPr>
                    <w:t>裁</w:t>
                  </w:r>
                  <w:r>
                    <w:rPr>
                      <w:rFonts w:hint="default" w:ascii="Times New Roman" w:hAnsi="Times New Roman" w:cs="Times New Roman"/>
                      <w:color w:val="auto"/>
                      <w:sz w:val="24"/>
                      <w:lang w:eastAsia="zh-CN"/>
                    </w:rPr>
                    <w:t>切</w:t>
                  </w:r>
                </w:p>
              </w:tc>
              <w:tc>
                <w:tcPr>
                  <w:tcW w:w="1248" w:type="pct"/>
                  <w:shd w:val="clear" w:color="auto" w:fill="auto"/>
                  <w:vAlign w:val="top"/>
                </w:tcPr>
                <w:p w14:paraId="62454E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小裁剪机</w:t>
                  </w:r>
                </w:p>
              </w:tc>
              <w:tc>
                <w:tcPr>
                  <w:tcW w:w="1602" w:type="pct"/>
                  <w:shd w:val="clear" w:color="auto" w:fill="auto"/>
                  <w:vAlign w:val="top"/>
                </w:tcPr>
                <w:p w14:paraId="765B48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CZD-1200</w:t>
                  </w:r>
                </w:p>
              </w:tc>
              <w:tc>
                <w:tcPr>
                  <w:tcW w:w="422" w:type="pct"/>
                  <w:shd w:val="clear" w:color="auto" w:fill="auto"/>
                  <w:vAlign w:val="top"/>
                </w:tcPr>
                <w:p w14:paraId="403091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2</w:t>
                  </w:r>
                </w:p>
              </w:tc>
              <w:tc>
                <w:tcPr>
                  <w:tcW w:w="298" w:type="pct"/>
                </w:tcPr>
                <w:p w14:paraId="3A41A7D3">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665B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7FE44A3F">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7</w:t>
                  </w:r>
                </w:p>
              </w:tc>
              <w:tc>
                <w:tcPr>
                  <w:tcW w:w="1247" w:type="pct"/>
                  <w:shd w:val="clear" w:color="auto" w:fill="auto"/>
                  <w:vAlign w:val="center"/>
                </w:tcPr>
                <w:p w14:paraId="4C6A1F55">
                  <w:pPr>
                    <w:pStyle w:val="49"/>
                    <w:spacing w:line="240" w:lineRule="auto"/>
                    <w:rPr>
                      <w:rFonts w:hint="default" w:ascii="Times New Roman" w:hAnsi="Times New Roman" w:eastAsia="仿宋" w:cs="Times New Roman"/>
                      <w:color w:val="auto"/>
                      <w:sz w:val="24"/>
                      <w:lang w:eastAsia="zh-CN"/>
                    </w:rPr>
                  </w:pPr>
                  <w:r>
                    <w:rPr>
                      <w:rFonts w:hint="default" w:ascii="Times New Roman" w:hAnsi="Times New Roman" w:cs="Times New Roman"/>
                      <w:color w:val="auto"/>
                      <w:sz w:val="24"/>
                      <w:lang w:eastAsia="zh-CN"/>
                    </w:rPr>
                    <w:t>分条</w:t>
                  </w:r>
                </w:p>
              </w:tc>
              <w:tc>
                <w:tcPr>
                  <w:tcW w:w="1248" w:type="pct"/>
                  <w:shd w:val="clear" w:color="auto" w:fill="auto"/>
                  <w:vAlign w:val="top"/>
                </w:tcPr>
                <w:p w14:paraId="744D08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分条机</w:t>
                  </w:r>
                </w:p>
              </w:tc>
              <w:tc>
                <w:tcPr>
                  <w:tcW w:w="1602" w:type="pct"/>
                  <w:shd w:val="clear" w:color="auto" w:fill="auto"/>
                  <w:vAlign w:val="top"/>
                </w:tcPr>
                <w:p w14:paraId="4138FA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FQ-60</w:t>
                  </w:r>
                </w:p>
              </w:tc>
              <w:tc>
                <w:tcPr>
                  <w:tcW w:w="422" w:type="pct"/>
                  <w:shd w:val="clear" w:color="auto" w:fill="auto"/>
                  <w:vAlign w:val="top"/>
                </w:tcPr>
                <w:p w14:paraId="3FF2DF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2</w:t>
                  </w:r>
                </w:p>
              </w:tc>
              <w:tc>
                <w:tcPr>
                  <w:tcW w:w="298" w:type="pct"/>
                  <w:vAlign w:val="center"/>
                </w:tcPr>
                <w:p w14:paraId="6A398317">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63CA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1DBE138E">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8</w:t>
                  </w:r>
                </w:p>
              </w:tc>
              <w:tc>
                <w:tcPr>
                  <w:tcW w:w="1247" w:type="pct"/>
                  <w:shd w:val="clear" w:color="auto" w:fill="auto"/>
                  <w:vAlign w:val="center"/>
                </w:tcPr>
                <w:p w14:paraId="40766CA4">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裁</w:t>
                  </w:r>
                  <w:r>
                    <w:rPr>
                      <w:rFonts w:hint="default" w:ascii="Times New Roman" w:hAnsi="Times New Roman" w:cs="Times New Roman"/>
                      <w:color w:val="auto"/>
                      <w:sz w:val="24"/>
                      <w:lang w:eastAsia="zh-CN"/>
                    </w:rPr>
                    <w:t>切</w:t>
                  </w:r>
                </w:p>
              </w:tc>
              <w:tc>
                <w:tcPr>
                  <w:tcW w:w="1248" w:type="pct"/>
                  <w:shd w:val="clear" w:color="auto" w:fill="auto"/>
                  <w:vAlign w:val="top"/>
                </w:tcPr>
                <w:p w14:paraId="61799A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大立切机</w:t>
                  </w:r>
                </w:p>
              </w:tc>
              <w:tc>
                <w:tcPr>
                  <w:tcW w:w="1602" w:type="pct"/>
                  <w:shd w:val="clear" w:color="auto" w:fill="auto"/>
                  <w:vAlign w:val="top"/>
                </w:tcPr>
                <w:p w14:paraId="680EC3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HX-4L</w:t>
                  </w:r>
                </w:p>
              </w:tc>
              <w:tc>
                <w:tcPr>
                  <w:tcW w:w="422" w:type="pct"/>
                  <w:shd w:val="clear" w:color="auto" w:fill="auto"/>
                  <w:vAlign w:val="top"/>
                </w:tcPr>
                <w:p w14:paraId="2E0ECA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1</w:t>
                  </w:r>
                </w:p>
              </w:tc>
              <w:tc>
                <w:tcPr>
                  <w:tcW w:w="298" w:type="pct"/>
                  <w:vAlign w:val="center"/>
                </w:tcPr>
                <w:p w14:paraId="1BB2E0CC">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69E6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2502A2AD">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9</w:t>
                  </w:r>
                </w:p>
              </w:tc>
              <w:tc>
                <w:tcPr>
                  <w:tcW w:w="1247" w:type="pct"/>
                  <w:shd w:val="clear" w:color="auto" w:fill="auto"/>
                  <w:vAlign w:val="center"/>
                </w:tcPr>
                <w:p w14:paraId="6112C9CD">
                  <w:pPr>
                    <w:widowControl/>
                    <w:spacing w:line="240" w:lineRule="auto"/>
                    <w:ind w:firstLine="0" w:firstLineChars="0"/>
                    <w:jc w:val="center"/>
                    <w:textAlignment w:val="center"/>
                    <w:rPr>
                      <w:rFonts w:hint="default" w:ascii="Times New Roman" w:hAnsi="Times New Roman" w:eastAsia="仿宋" w:cs="Times New Roman"/>
                      <w:color w:val="auto"/>
                      <w:sz w:val="24"/>
                      <w:lang w:eastAsia="zh-CN"/>
                    </w:rPr>
                  </w:pPr>
                  <w:r>
                    <w:rPr>
                      <w:rFonts w:hint="default" w:ascii="Times New Roman" w:hAnsi="Times New Roman" w:cs="Times New Roman"/>
                      <w:color w:val="auto"/>
                      <w:sz w:val="24"/>
                      <w:lang w:eastAsia="zh-CN"/>
                    </w:rPr>
                    <w:t>提供压缩空气</w:t>
                  </w:r>
                </w:p>
              </w:tc>
              <w:tc>
                <w:tcPr>
                  <w:tcW w:w="1248" w:type="pct"/>
                  <w:shd w:val="clear" w:color="auto" w:fill="auto"/>
                  <w:vAlign w:val="top"/>
                </w:tcPr>
                <w:p w14:paraId="287C68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i/>
                      <w:iCs/>
                      <w:color w:val="auto"/>
                      <w:kern w:val="2"/>
                      <w:sz w:val="24"/>
                      <w:szCs w:val="24"/>
                      <w:highlight w:val="none"/>
                      <w:lang w:val="en-US" w:eastAsia="zh-CN" w:bidi="ar-SA"/>
                    </w:rPr>
                  </w:pPr>
                  <w:r>
                    <w:rPr>
                      <w:rFonts w:hint="default" w:ascii="Times New Roman" w:hAnsi="Times New Roman" w:cs="Times New Roman"/>
                      <w:i/>
                      <w:iCs/>
                      <w:color w:val="auto"/>
                      <w:sz w:val="24"/>
                      <w:highlight w:val="none"/>
                    </w:rPr>
                    <w:t>空压机</w:t>
                  </w:r>
                </w:p>
              </w:tc>
              <w:tc>
                <w:tcPr>
                  <w:tcW w:w="1602" w:type="pct"/>
                  <w:shd w:val="clear" w:color="auto" w:fill="auto"/>
                  <w:vAlign w:val="top"/>
                </w:tcPr>
                <w:p w14:paraId="290012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i/>
                      <w:iCs/>
                      <w:color w:val="auto"/>
                      <w:kern w:val="2"/>
                      <w:sz w:val="24"/>
                      <w:szCs w:val="24"/>
                      <w:highlight w:val="none"/>
                      <w:lang w:val="en-US" w:eastAsia="zh-CN" w:bidi="ar-SA"/>
                    </w:rPr>
                  </w:pPr>
                  <w:r>
                    <w:rPr>
                      <w:rFonts w:hint="default" w:ascii="Times New Roman" w:hAnsi="Times New Roman" w:cs="Times New Roman"/>
                      <w:i/>
                      <w:iCs/>
                      <w:color w:val="auto"/>
                      <w:kern w:val="2"/>
                      <w:sz w:val="24"/>
                      <w:szCs w:val="24"/>
                      <w:highlight w:val="none"/>
                      <w:lang w:val="en-US" w:eastAsia="zh-CN" w:bidi="ar-SA"/>
                    </w:rPr>
                    <w:t>供气量1.1m</w:t>
                  </w:r>
                  <w:r>
                    <w:rPr>
                      <w:rFonts w:hint="default" w:ascii="Times New Roman" w:hAnsi="Times New Roman" w:cs="Times New Roman"/>
                      <w:i/>
                      <w:iCs/>
                      <w:color w:val="auto"/>
                      <w:kern w:val="2"/>
                      <w:sz w:val="24"/>
                      <w:szCs w:val="24"/>
                      <w:highlight w:val="none"/>
                      <w:vertAlign w:val="superscript"/>
                      <w:lang w:val="en-US" w:eastAsia="zh-CN" w:bidi="ar-SA"/>
                    </w:rPr>
                    <w:t>3</w:t>
                  </w:r>
                  <w:r>
                    <w:rPr>
                      <w:rFonts w:hint="default" w:ascii="Times New Roman" w:hAnsi="Times New Roman" w:cs="Times New Roman"/>
                      <w:i/>
                      <w:iCs/>
                      <w:color w:val="auto"/>
                      <w:kern w:val="0"/>
                      <w:sz w:val="24"/>
                      <w:szCs w:val="24"/>
                      <w:highlight w:val="none"/>
                      <w:vertAlign w:val="baseline"/>
                      <w:lang w:val="en-US" w:eastAsia="zh-CN"/>
                    </w:rPr>
                    <w:t>/</w:t>
                  </w:r>
                  <w:r>
                    <w:rPr>
                      <w:rFonts w:hint="default" w:ascii="Times New Roman" w:hAnsi="Times New Roman" w:cs="Times New Roman"/>
                      <w:i/>
                      <w:iCs/>
                      <w:color w:val="auto"/>
                      <w:kern w:val="2"/>
                      <w:sz w:val="24"/>
                      <w:szCs w:val="24"/>
                      <w:highlight w:val="none"/>
                      <w:lang w:val="en-US" w:eastAsia="zh-CN" w:bidi="ar-SA"/>
                    </w:rPr>
                    <w:t>min</w:t>
                  </w:r>
                </w:p>
              </w:tc>
              <w:tc>
                <w:tcPr>
                  <w:tcW w:w="422" w:type="pct"/>
                  <w:shd w:val="clear" w:color="auto" w:fill="auto"/>
                  <w:vAlign w:val="top"/>
                </w:tcPr>
                <w:p w14:paraId="2C800F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1</w:t>
                  </w:r>
                </w:p>
              </w:tc>
              <w:tc>
                <w:tcPr>
                  <w:tcW w:w="298" w:type="pct"/>
                  <w:vAlign w:val="center"/>
                </w:tcPr>
                <w:p w14:paraId="592DBAF6">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225D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37C5F40C">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10</w:t>
                  </w:r>
                </w:p>
              </w:tc>
              <w:tc>
                <w:tcPr>
                  <w:tcW w:w="1247" w:type="pct"/>
                  <w:shd w:val="clear" w:color="auto" w:fill="auto"/>
                  <w:vAlign w:val="center"/>
                </w:tcPr>
                <w:p w14:paraId="34A3BCCC">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分卷</w:t>
                  </w:r>
                </w:p>
              </w:tc>
              <w:tc>
                <w:tcPr>
                  <w:tcW w:w="1248" w:type="pct"/>
                  <w:shd w:val="clear" w:color="auto" w:fill="auto"/>
                  <w:vAlign w:val="top"/>
                </w:tcPr>
                <w:p w14:paraId="70FE88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分卷机</w:t>
                  </w:r>
                </w:p>
              </w:tc>
              <w:tc>
                <w:tcPr>
                  <w:tcW w:w="1602" w:type="pct"/>
                  <w:shd w:val="clear" w:color="auto" w:fill="auto"/>
                  <w:vAlign w:val="top"/>
                </w:tcPr>
                <w:p w14:paraId="357497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FJ-1300L</w:t>
                  </w:r>
                </w:p>
              </w:tc>
              <w:tc>
                <w:tcPr>
                  <w:tcW w:w="422" w:type="pct"/>
                  <w:shd w:val="clear" w:color="auto" w:fill="auto"/>
                  <w:vAlign w:val="top"/>
                </w:tcPr>
                <w:p w14:paraId="0948C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cs="Times New Roman"/>
                      <w:color w:val="auto"/>
                      <w:sz w:val="24"/>
                    </w:rPr>
                    <w:t>1</w:t>
                  </w:r>
                </w:p>
              </w:tc>
              <w:tc>
                <w:tcPr>
                  <w:tcW w:w="298" w:type="pct"/>
                  <w:vAlign w:val="center"/>
                </w:tcPr>
                <w:p w14:paraId="148857CA">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5F02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34A997C6">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11</w:t>
                  </w:r>
                </w:p>
              </w:tc>
              <w:tc>
                <w:tcPr>
                  <w:tcW w:w="1247" w:type="pct"/>
                  <w:shd w:val="clear" w:color="auto" w:fill="auto"/>
                  <w:vAlign w:val="center"/>
                </w:tcPr>
                <w:p w14:paraId="55227694">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lang w:eastAsia="zh-CN"/>
                    </w:rPr>
                    <w:t>模切</w:t>
                  </w:r>
                </w:p>
              </w:tc>
              <w:tc>
                <w:tcPr>
                  <w:tcW w:w="1248" w:type="pct"/>
                  <w:shd w:val="clear" w:color="auto" w:fill="auto"/>
                  <w:vAlign w:val="top"/>
                </w:tcPr>
                <w:p w14:paraId="262A19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eastAsia="zh-CN"/>
                    </w:rPr>
                    <w:t>模切机</w:t>
                  </w:r>
                </w:p>
              </w:tc>
              <w:tc>
                <w:tcPr>
                  <w:tcW w:w="1602" w:type="pct"/>
                  <w:shd w:val="clear" w:color="auto" w:fill="auto"/>
                  <w:vAlign w:val="top"/>
                </w:tcPr>
                <w:p w14:paraId="3F1556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HL-350A</w:t>
                  </w:r>
                </w:p>
              </w:tc>
              <w:tc>
                <w:tcPr>
                  <w:tcW w:w="422" w:type="pct"/>
                  <w:shd w:val="clear" w:color="auto" w:fill="auto"/>
                  <w:vAlign w:val="top"/>
                </w:tcPr>
                <w:p w14:paraId="25FB1B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cs="Times New Roman"/>
                      <w:color w:val="auto"/>
                      <w:sz w:val="24"/>
                    </w:rPr>
                    <w:t>1</w:t>
                  </w:r>
                </w:p>
              </w:tc>
              <w:tc>
                <w:tcPr>
                  <w:tcW w:w="298" w:type="pct"/>
                  <w:vAlign w:val="center"/>
                </w:tcPr>
                <w:p w14:paraId="61E9A5F7">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0DE6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648DB760">
                  <w:pPr>
                    <w:pStyle w:val="49"/>
                    <w:spacing w:line="240" w:lineRule="auto"/>
                    <w:rPr>
                      <w:rFonts w:hint="default" w:ascii="Times New Roman" w:hAnsi="Times New Roman" w:cs="Times New Roman"/>
                      <w:color w:val="auto"/>
                      <w:sz w:val="24"/>
                    </w:rPr>
                  </w:pPr>
                  <w:r>
                    <w:rPr>
                      <w:rFonts w:hint="default" w:ascii="Times New Roman" w:hAnsi="Times New Roman" w:cs="Times New Roman"/>
                      <w:color w:val="auto"/>
                      <w:sz w:val="24"/>
                    </w:rPr>
                    <w:t>12</w:t>
                  </w:r>
                </w:p>
              </w:tc>
              <w:tc>
                <w:tcPr>
                  <w:tcW w:w="1247" w:type="pct"/>
                  <w:shd w:val="clear" w:color="auto" w:fill="auto"/>
                  <w:vAlign w:val="center"/>
                </w:tcPr>
                <w:p w14:paraId="18A5C4C7">
                  <w:pPr>
                    <w:widowControl/>
                    <w:spacing w:line="240" w:lineRule="auto"/>
                    <w:ind w:firstLine="0" w:firstLineChars="0"/>
                    <w:jc w:val="center"/>
                    <w:textAlignment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打包</w:t>
                  </w:r>
                </w:p>
              </w:tc>
              <w:tc>
                <w:tcPr>
                  <w:tcW w:w="1248" w:type="pct"/>
                  <w:shd w:val="clear" w:color="auto" w:fill="auto"/>
                  <w:vAlign w:val="top"/>
                </w:tcPr>
                <w:p w14:paraId="57E1D4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cs="Times New Roman"/>
                      <w:color w:val="auto"/>
                      <w:sz w:val="24"/>
                      <w:highlight w:val="none"/>
                    </w:rPr>
                    <w:t>垃圾打包机</w:t>
                  </w:r>
                </w:p>
              </w:tc>
              <w:tc>
                <w:tcPr>
                  <w:tcW w:w="1602" w:type="pct"/>
                  <w:shd w:val="clear" w:color="auto" w:fill="auto"/>
                  <w:vAlign w:val="top"/>
                </w:tcPr>
                <w:p w14:paraId="5515AC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kern w:val="0"/>
                      <w:sz w:val="24"/>
                      <w:szCs w:val="24"/>
                      <w:vertAlign w:val="baseline"/>
                      <w:lang w:val="en-US" w:eastAsia="zh-CN"/>
                    </w:rPr>
                    <w:t>/</w:t>
                  </w:r>
                </w:p>
              </w:tc>
              <w:tc>
                <w:tcPr>
                  <w:tcW w:w="422" w:type="pct"/>
                  <w:shd w:val="clear" w:color="auto" w:fill="auto"/>
                  <w:vAlign w:val="top"/>
                </w:tcPr>
                <w:p w14:paraId="355A00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1</w:t>
                  </w:r>
                </w:p>
              </w:tc>
              <w:tc>
                <w:tcPr>
                  <w:tcW w:w="298" w:type="pct"/>
                  <w:vAlign w:val="center"/>
                </w:tcPr>
                <w:p w14:paraId="56AAD795">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3F8F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41356151">
                  <w:pPr>
                    <w:pStyle w:val="49"/>
                    <w:spacing w:line="240" w:lineRule="auto"/>
                    <w:rPr>
                      <w:rFonts w:hint="default" w:ascii="Times New Roman" w:hAnsi="Times New Roman" w:eastAsia="仿宋" w:cs="Times New Roman"/>
                      <w:color w:val="auto"/>
                      <w:sz w:val="24"/>
                      <w:lang w:val="en-US" w:eastAsia="zh-CN"/>
                    </w:rPr>
                  </w:pPr>
                  <w:r>
                    <w:rPr>
                      <w:rFonts w:hint="default" w:ascii="Times New Roman" w:hAnsi="Times New Roman" w:cs="Times New Roman"/>
                      <w:color w:val="auto"/>
                      <w:sz w:val="24"/>
                      <w:lang w:val="en-US" w:eastAsia="zh-CN"/>
                    </w:rPr>
                    <w:t>13</w:t>
                  </w:r>
                </w:p>
              </w:tc>
              <w:tc>
                <w:tcPr>
                  <w:tcW w:w="1247" w:type="pct"/>
                  <w:vMerge w:val="restart"/>
                  <w:shd w:val="clear" w:color="auto" w:fill="auto"/>
                  <w:vAlign w:val="center"/>
                </w:tcPr>
                <w:p w14:paraId="7041F764">
                  <w:pPr>
                    <w:widowControl/>
                    <w:spacing w:line="240" w:lineRule="auto"/>
                    <w:ind w:firstLine="0" w:firstLineChars="0"/>
                    <w:jc w:val="center"/>
                    <w:textAlignment w:val="center"/>
                    <w:rPr>
                      <w:rFonts w:hint="default" w:ascii="Times New Roman" w:hAnsi="Times New Roman" w:eastAsia="仿宋" w:cs="Times New Roman"/>
                      <w:color w:val="auto"/>
                      <w:sz w:val="24"/>
                      <w:lang w:eastAsia="zh-CN"/>
                    </w:rPr>
                  </w:pPr>
                  <w:r>
                    <w:rPr>
                      <w:rFonts w:hint="default" w:ascii="Times New Roman" w:hAnsi="Times New Roman" w:cs="Times New Roman"/>
                      <w:color w:val="auto"/>
                      <w:sz w:val="24"/>
                      <w:lang w:eastAsia="zh-CN"/>
                    </w:rPr>
                    <w:t>涂胶</w:t>
                  </w:r>
                </w:p>
              </w:tc>
              <w:tc>
                <w:tcPr>
                  <w:tcW w:w="1248" w:type="pct"/>
                  <w:shd w:val="clear" w:color="auto" w:fill="auto"/>
                  <w:vAlign w:val="top"/>
                </w:tcPr>
                <w:p w14:paraId="0F035F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涂布烘干一体机</w:t>
                  </w:r>
                </w:p>
              </w:tc>
              <w:tc>
                <w:tcPr>
                  <w:tcW w:w="1602" w:type="pct"/>
                  <w:shd w:val="clear" w:color="auto" w:fill="auto"/>
                  <w:vAlign w:val="top"/>
                </w:tcPr>
                <w:p w14:paraId="4ED676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24000*1400*4500</w:t>
                  </w:r>
                </w:p>
              </w:tc>
              <w:tc>
                <w:tcPr>
                  <w:tcW w:w="422" w:type="pct"/>
                  <w:shd w:val="clear" w:color="auto" w:fill="auto"/>
                  <w:vAlign w:val="top"/>
                </w:tcPr>
                <w:p w14:paraId="0873A9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1</w:t>
                  </w:r>
                </w:p>
              </w:tc>
              <w:tc>
                <w:tcPr>
                  <w:tcW w:w="298" w:type="pct"/>
                  <w:vAlign w:val="center"/>
                </w:tcPr>
                <w:p w14:paraId="50DE2D44">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1A81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538F8684">
                  <w:pPr>
                    <w:pStyle w:val="49"/>
                    <w:spacing w:line="240" w:lineRule="auto"/>
                    <w:ind w:firstLine="0" w:firstLineChars="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lang w:val="en-US" w:eastAsia="zh-CN"/>
                    </w:rPr>
                    <w:t>14</w:t>
                  </w:r>
                </w:p>
              </w:tc>
              <w:tc>
                <w:tcPr>
                  <w:tcW w:w="1247" w:type="pct"/>
                  <w:vMerge w:val="continue"/>
                  <w:shd w:val="clear" w:color="auto" w:fill="auto"/>
                  <w:vAlign w:val="center"/>
                </w:tcPr>
                <w:p w14:paraId="38F57E9C">
                  <w:pPr>
                    <w:widowControl/>
                    <w:spacing w:line="240" w:lineRule="auto"/>
                    <w:ind w:firstLine="0" w:firstLineChars="0"/>
                    <w:jc w:val="center"/>
                    <w:textAlignment w:val="center"/>
                    <w:rPr>
                      <w:rFonts w:hint="default" w:ascii="Times New Roman" w:hAnsi="Times New Roman" w:cs="Times New Roman"/>
                      <w:color w:val="auto"/>
                      <w:sz w:val="24"/>
                    </w:rPr>
                  </w:pPr>
                </w:p>
              </w:tc>
              <w:tc>
                <w:tcPr>
                  <w:tcW w:w="1248" w:type="pct"/>
                  <w:shd w:val="clear" w:color="auto" w:fill="auto"/>
                  <w:vAlign w:val="top"/>
                </w:tcPr>
                <w:p w14:paraId="5950B0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涂布烘干一体机</w:t>
                  </w:r>
                </w:p>
              </w:tc>
              <w:tc>
                <w:tcPr>
                  <w:tcW w:w="1602" w:type="pct"/>
                  <w:shd w:val="clear" w:color="auto" w:fill="auto"/>
                  <w:vAlign w:val="top"/>
                </w:tcPr>
                <w:p w14:paraId="3392D2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15000*1600*4500</w:t>
                  </w:r>
                </w:p>
              </w:tc>
              <w:tc>
                <w:tcPr>
                  <w:tcW w:w="422" w:type="pct"/>
                  <w:shd w:val="clear" w:color="auto" w:fill="auto"/>
                  <w:vAlign w:val="top"/>
                </w:tcPr>
                <w:p w14:paraId="7AC3ED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1</w:t>
                  </w:r>
                </w:p>
              </w:tc>
              <w:tc>
                <w:tcPr>
                  <w:tcW w:w="298" w:type="pct"/>
                  <w:vAlign w:val="center"/>
                </w:tcPr>
                <w:p w14:paraId="1704AC40">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50C1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32A70BEC">
                  <w:pPr>
                    <w:pStyle w:val="49"/>
                    <w:spacing w:line="240" w:lineRule="auto"/>
                    <w:ind w:firstLine="0" w:firstLineChars="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15</w:t>
                  </w:r>
                </w:p>
              </w:tc>
              <w:tc>
                <w:tcPr>
                  <w:tcW w:w="1247" w:type="pct"/>
                  <w:shd w:val="clear" w:color="auto" w:fill="auto"/>
                  <w:vAlign w:val="center"/>
                </w:tcPr>
                <w:p w14:paraId="0F673A86">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lang w:eastAsia="zh-CN"/>
                    </w:rPr>
                    <w:t>贴合</w:t>
                  </w:r>
                </w:p>
              </w:tc>
              <w:tc>
                <w:tcPr>
                  <w:tcW w:w="1248" w:type="pct"/>
                  <w:shd w:val="clear" w:color="auto" w:fill="auto"/>
                  <w:vAlign w:val="top"/>
                </w:tcPr>
                <w:p w14:paraId="6AAED0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eastAsia="zh-CN"/>
                    </w:rPr>
                    <w:t>贴合机</w:t>
                  </w:r>
                </w:p>
              </w:tc>
              <w:tc>
                <w:tcPr>
                  <w:tcW w:w="1602" w:type="pct"/>
                  <w:shd w:val="clear" w:color="auto" w:fill="auto"/>
                  <w:vAlign w:val="center"/>
                </w:tcPr>
                <w:p w14:paraId="2AA2A9FF">
                  <w:pPr>
                    <w:widowControl/>
                    <w:spacing w:line="240" w:lineRule="auto"/>
                    <w:ind w:firstLine="0" w:firstLineChars="0"/>
                    <w:jc w:val="center"/>
                    <w:textAlignment w:val="center"/>
                    <w:rPr>
                      <w:rFonts w:hint="default" w:ascii="Times New Roman" w:hAnsi="Times New Roman" w:eastAsia="仿宋" w:cs="Times New Roman"/>
                      <w:color w:val="auto"/>
                      <w:kern w:val="0"/>
                      <w:sz w:val="24"/>
                      <w:vertAlign w:val="superscript"/>
                      <w:lang w:val="en-US" w:eastAsia="zh-CN"/>
                    </w:rPr>
                  </w:pPr>
                  <w:r>
                    <w:rPr>
                      <w:rFonts w:hint="default" w:ascii="Times New Roman" w:hAnsi="Times New Roman" w:cs="Times New Roman"/>
                      <w:color w:val="auto"/>
                      <w:kern w:val="0"/>
                      <w:sz w:val="24"/>
                      <w:szCs w:val="24"/>
                      <w:vertAlign w:val="baseline"/>
                      <w:lang w:val="en-US" w:eastAsia="zh-CN"/>
                    </w:rPr>
                    <w:t>/</w:t>
                  </w:r>
                </w:p>
              </w:tc>
              <w:tc>
                <w:tcPr>
                  <w:tcW w:w="422" w:type="pct"/>
                  <w:shd w:val="clear" w:color="auto" w:fill="auto"/>
                  <w:vAlign w:val="top"/>
                </w:tcPr>
                <w:p w14:paraId="79F34A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1</w:t>
                  </w:r>
                </w:p>
              </w:tc>
              <w:tc>
                <w:tcPr>
                  <w:tcW w:w="298" w:type="pct"/>
                  <w:vAlign w:val="center"/>
                </w:tcPr>
                <w:p w14:paraId="5B3B6699">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60BF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18266F7F">
                  <w:pPr>
                    <w:pStyle w:val="49"/>
                    <w:spacing w:line="240" w:lineRule="auto"/>
                    <w:ind w:firstLine="0" w:firstLineChars="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rPr>
                    <w:t>16</w:t>
                  </w:r>
                </w:p>
              </w:tc>
              <w:tc>
                <w:tcPr>
                  <w:tcW w:w="1247" w:type="pct"/>
                  <w:shd w:val="clear" w:color="auto" w:fill="auto"/>
                  <w:vAlign w:val="center"/>
                </w:tcPr>
                <w:p w14:paraId="4773F44D">
                  <w:pPr>
                    <w:widowControl/>
                    <w:spacing w:line="240" w:lineRule="auto"/>
                    <w:ind w:firstLine="0" w:firstLineChars="0"/>
                    <w:jc w:val="center"/>
                    <w:textAlignment w:val="center"/>
                    <w:rPr>
                      <w:rFonts w:hint="default" w:ascii="Times New Roman" w:hAnsi="Times New Roman" w:cs="Times New Roman"/>
                      <w:color w:val="auto"/>
                      <w:kern w:val="0"/>
                      <w:sz w:val="24"/>
                      <w:lang w:bidi="ar"/>
                    </w:rPr>
                  </w:pPr>
                  <w:r>
                    <w:rPr>
                      <w:rFonts w:hint="default" w:ascii="Times New Roman" w:hAnsi="Times New Roman" w:cs="Times New Roman"/>
                      <w:color w:val="auto"/>
                      <w:sz w:val="24"/>
                      <w:lang w:eastAsia="zh-CN"/>
                    </w:rPr>
                    <w:t>剖片</w:t>
                  </w:r>
                </w:p>
              </w:tc>
              <w:tc>
                <w:tcPr>
                  <w:tcW w:w="1248" w:type="pct"/>
                  <w:shd w:val="clear" w:color="auto" w:fill="auto"/>
                  <w:vAlign w:val="top"/>
                </w:tcPr>
                <w:p w14:paraId="3C0F7C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eastAsia="zh-CN"/>
                    </w:rPr>
                    <w:t>剖片机</w:t>
                  </w:r>
                </w:p>
              </w:tc>
              <w:tc>
                <w:tcPr>
                  <w:tcW w:w="1602" w:type="pct"/>
                  <w:shd w:val="clear" w:color="auto" w:fill="auto"/>
                  <w:vAlign w:val="center"/>
                </w:tcPr>
                <w:p w14:paraId="62DA902A">
                  <w:pPr>
                    <w:widowControl/>
                    <w:spacing w:line="240" w:lineRule="auto"/>
                    <w:ind w:firstLine="0" w:firstLineChars="0"/>
                    <w:jc w:val="center"/>
                    <w:textAlignment w:val="center"/>
                    <w:rPr>
                      <w:rFonts w:hint="default" w:ascii="Times New Roman" w:hAnsi="Times New Roman" w:eastAsia="仿宋" w:cs="Times New Roman"/>
                      <w:color w:val="auto"/>
                      <w:sz w:val="24"/>
                      <w:lang w:val="en-US" w:eastAsia="zh-CN"/>
                    </w:rPr>
                  </w:pPr>
                  <w:r>
                    <w:rPr>
                      <w:rFonts w:hint="default" w:ascii="Times New Roman" w:hAnsi="Times New Roman" w:cs="Times New Roman"/>
                      <w:color w:val="auto"/>
                      <w:sz w:val="24"/>
                      <w:lang w:val="en-US" w:eastAsia="zh-CN"/>
                    </w:rPr>
                    <w:t>/</w:t>
                  </w:r>
                </w:p>
              </w:tc>
              <w:tc>
                <w:tcPr>
                  <w:tcW w:w="422" w:type="pct"/>
                  <w:shd w:val="clear" w:color="auto" w:fill="auto"/>
                  <w:vAlign w:val="top"/>
                </w:tcPr>
                <w:p w14:paraId="4D87AB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4"/>
                      <w:szCs w:val="32"/>
                      <w:lang w:val="en-US" w:eastAsia="zh-CN"/>
                    </w:rPr>
                    <w:t>1</w:t>
                  </w:r>
                </w:p>
              </w:tc>
              <w:tc>
                <w:tcPr>
                  <w:tcW w:w="298" w:type="pct"/>
                  <w:vAlign w:val="center"/>
                </w:tcPr>
                <w:p w14:paraId="0E248D87">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157E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55A633ED">
                  <w:pPr>
                    <w:pStyle w:val="49"/>
                    <w:spacing w:line="240" w:lineRule="auto"/>
                    <w:ind w:firstLine="0" w:firstLineChars="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7</w:t>
                  </w:r>
                </w:p>
              </w:tc>
              <w:tc>
                <w:tcPr>
                  <w:tcW w:w="1247" w:type="pct"/>
                  <w:vMerge w:val="restart"/>
                  <w:shd w:val="clear" w:color="auto" w:fill="auto"/>
                  <w:vAlign w:val="center"/>
                </w:tcPr>
                <w:p w14:paraId="3370A69A">
                  <w:pPr>
                    <w:widowControl/>
                    <w:spacing w:line="240" w:lineRule="auto"/>
                    <w:ind w:firstLine="0" w:firstLineChars="0"/>
                    <w:jc w:val="center"/>
                    <w:textAlignment w:val="center"/>
                    <w:rPr>
                      <w:rFonts w:hint="default" w:ascii="Times New Roman" w:hAnsi="Times New Roman" w:eastAsia="仿宋" w:cs="Times New Roman"/>
                      <w:color w:val="auto"/>
                      <w:kern w:val="0"/>
                      <w:sz w:val="24"/>
                      <w:lang w:eastAsia="zh-CN" w:bidi="ar"/>
                    </w:rPr>
                  </w:pPr>
                  <w:r>
                    <w:rPr>
                      <w:rFonts w:hint="default" w:ascii="Times New Roman" w:hAnsi="Times New Roman" w:cs="Times New Roman"/>
                      <w:color w:val="auto"/>
                      <w:kern w:val="0"/>
                      <w:sz w:val="24"/>
                      <w:lang w:eastAsia="zh-CN" w:bidi="ar"/>
                    </w:rPr>
                    <w:t>运输</w:t>
                  </w:r>
                </w:p>
              </w:tc>
              <w:tc>
                <w:tcPr>
                  <w:tcW w:w="1248" w:type="pct"/>
                  <w:shd w:val="clear" w:color="auto" w:fill="auto"/>
                  <w:vAlign w:val="center"/>
                </w:tcPr>
                <w:p w14:paraId="5385AD21">
                  <w:pPr>
                    <w:widowControl/>
                    <w:spacing w:line="240" w:lineRule="auto"/>
                    <w:ind w:firstLine="0" w:firstLineChars="0"/>
                    <w:jc w:val="center"/>
                    <w:textAlignment w:val="center"/>
                    <w:rPr>
                      <w:rFonts w:hint="default" w:ascii="Times New Roman" w:hAnsi="Times New Roman" w:cs="Times New Roman"/>
                      <w:color w:val="auto"/>
                      <w:kern w:val="0"/>
                      <w:sz w:val="24"/>
                      <w:lang w:val="en-US" w:eastAsia="zh-CN" w:bidi="ar"/>
                    </w:rPr>
                  </w:pPr>
                  <w:r>
                    <w:rPr>
                      <w:rFonts w:hint="default" w:ascii="Times New Roman" w:hAnsi="Times New Roman" w:cs="Times New Roman"/>
                      <w:color w:val="auto"/>
                      <w:kern w:val="0"/>
                      <w:sz w:val="24"/>
                      <w:lang w:eastAsia="zh-CN" w:bidi="ar"/>
                    </w:rPr>
                    <w:t>电叉车</w:t>
                  </w:r>
                </w:p>
              </w:tc>
              <w:tc>
                <w:tcPr>
                  <w:tcW w:w="1602" w:type="pct"/>
                  <w:shd w:val="clear" w:color="auto" w:fill="auto"/>
                  <w:vAlign w:val="center"/>
                </w:tcPr>
                <w:p w14:paraId="3B94F627">
                  <w:pPr>
                    <w:widowControl/>
                    <w:spacing w:line="240" w:lineRule="auto"/>
                    <w:ind w:firstLine="0" w:firstLineChars="0"/>
                    <w:jc w:val="center"/>
                    <w:textAlignment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w:t>
                  </w:r>
                </w:p>
              </w:tc>
              <w:tc>
                <w:tcPr>
                  <w:tcW w:w="422" w:type="pct"/>
                  <w:shd w:val="clear" w:color="auto" w:fill="auto"/>
                  <w:vAlign w:val="center"/>
                </w:tcPr>
                <w:p w14:paraId="52A78E94">
                  <w:pPr>
                    <w:widowControl/>
                    <w:spacing w:line="240" w:lineRule="auto"/>
                    <w:ind w:firstLine="0" w:firstLineChars="0"/>
                    <w:jc w:val="center"/>
                    <w:textAlignment w:val="center"/>
                    <w:rPr>
                      <w:rFonts w:hint="default" w:ascii="Times New Roman" w:hAnsi="Times New Roman" w:cs="Times New Roman"/>
                      <w:color w:val="auto"/>
                      <w:kern w:val="0"/>
                      <w:sz w:val="24"/>
                      <w:lang w:val="en-US" w:eastAsia="zh-CN" w:bidi="ar"/>
                    </w:rPr>
                  </w:pPr>
                  <w:r>
                    <w:rPr>
                      <w:rFonts w:hint="default" w:ascii="Times New Roman" w:hAnsi="Times New Roman" w:cs="Times New Roman"/>
                      <w:color w:val="auto"/>
                      <w:kern w:val="0"/>
                      <w:sz w:val="24"/>
                      <w:lang w:val="en-US" w:eastAsia="zh-CN" w:bidi="ar"/>
                    </w:rPr>
                    <w:t>5</w:t>
                  </w:r>
                </w:p>
              </w:tc>
              <w:tc>
                <w:tcPr>
                  <w:tcW w:w="298" w:type="pct"/>
                  <w:vAlign w:val="center"/>
                </w:tcPr>
                <w:p w14:paraId="4D40B3A2">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r w14:paraId="2F94B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79" w:type="pct"/>
                  <w:shd w:val="clear" w:color="auto" w:fill="auto"/>
                  <w:vAlign w:val="center"/>
                </w:tcPr>
                <w:p w14:paraId="3B52B149">
                  <w:pPr>
                    <w:pStyle w:val="49"/>
                    <w:spacing w:line="240" w:lineRule="auto"/>
                    <w:ind w:firstLine="0" w:firstLineChars="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8</w:t>
                  </w:r>
                </w:p>
              </w:tc>
              <w:tc>
                <w:tcPr>
                  <w:tcW w:w="1247" w:type="pct"/>
                  <w:vMerge w:val="continue"/>
                  <w:shd w:val="clear" w:color="auto" w:fill="auto"/>
                  <w:vAlign w:val="center"/>
                </w:tcPr>
                <w:p w14:paraId="0276089B">
                  <w:pPr>
                    <w:widowControl/>
                    <w:spacing w:line="240" w:lineRule="auto"/>
                    <w:ind w:firstLine="0" w:firstLineChars="0"/>
                    <w:jc w:val="center"/>
                    <w:textAlignment w:val="center"/>
                    <w:rPr>
                      <w:rFonts w:hint="default" w:ascii="Times New Roman" w:hAnsi="Times New Roman" w:cs="Times New Roman"/>
                      <w:color w:val="auto"/>
                      <w:kern w:val="0"/>
                      <w:sz w:val="24"/>
                      <w:lang w:eastAsia="zh-CN" w:bidi="ar"/>
                    </w:rPr>
                  </w:pPr>
                </w:p>
              </w:tc>
              <w:tc>
                <w:tcPr>
                  <w:tcW w:w="1248" w:type="pct"/>
                  <w:shd w:val="clear" w:color="auto" w:fill="auto"/>
                  <w:vAlign w:val="center"/>
                </w:tcPr>
                <w:p w14:paraId="4E95DF6E">
                  <w:pPr>
                    <w:widowControl/>
                    <w:spacing w:line="240" w:lineRule="auto"/>
                    <w:ind w:firstLine="0" w:firstLineChars="0"/>
                    <w:jc w:val="center"/>
                    <w:textAlignment w:val="center"/>
                    <w:rPr>
                      <w:rFonts w:hint="default" w:ascii="Times New Roman" w:hAnsi="Times New Roman" w:cs="Times New Roman"/>
                      <w:color w:val="auto"/>
                      <w:kern w:val="0"/>
                      <w:sz w:val="24"/>
                      <w:lang w:eastAsia="zh-CN" w:bidi="ar"/>
                    </w:rPr>
                  </w:pPr>
                  <w:r>
                    <w:rPr>
                      <w:rFonts w:hint="default" w:ascii="Times New Roman" w:hAnsi="Times New Roman" w:cs="Times New Roman"/>
                      <w:color w:val="auto"/>
                      <w:kern w:val="0"/>
                      <w:sz w:val="24"/>
                      <w:lang w:eastAsia="zh-CN" w:bidi="ar"/>
                    </w:rPr>
                    <w:t>手动叉车</w:t>
                  </w:r>
                </w:p>
              </w:tc>
              <w:tc>
                <w:tcPr>
                  <w:tcW w:w="1602" w:type="pct"/>
                  <w:shd w:val="clear" w:color="auto" w:fill="auto"/>
                  <w:vAlign w:val="center"/>
                </w:tcPr>
                <w:p w14:paraId="65CCC9DA">
                  <w:pPr>
                    <w:widowControl/>
                    <w:spacing w:line="240" w:lineRule="auto"/>
                    <w:ind w:firstLine="0" w:firstLineChars="0"/>
                    <w:jc w:val="center"/>
                    <w:textAlignment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w:t>
                  </w:r>
                </w:p>
              </w:tc>
              <w:tc>
                <w:tcPr>
                  <w:tcW w:w="422" w:type="pct"/>
                  <w:shd w:val="clear" w:color="auto" w:fill="auto"/>
                  <w:vAlign w:val="center"/>
                </w:tcPr>
                <w:p w14:paraId="310E1FC1">
                  <w:pPr>
                    <w:widowControl/>
                    <w:spacing w:line="240" w:lineRule="auto"/>
                    <w:ind w:firstLine="0" w:firstLineChars="0"/>
                    <w:jc w:val="center"/>
                    <w:textAlignment w:val="center"/>
                    <w:rPr>
                      <w:rFonts w:hint="default" w:ascii="Times New Roman" w:hAnsi="Times New Roman" w:cs="Times New Roman"/>
                      <w:color w:val="auto"/>
                      <w:kern w:val="0"/>
                      <w:sz w:val="24"/>
                      <w:lang w:val="en-US" w:eastAsia="zh-CN" w:bidi="ar"/>
                    </w:rPr>
                  </w:pPr>
                  <w:r>
                    <w:rPr>
                      <w:rFonts w:hint="default" w:ascii="Times New Roman" w:hAnsi="Times New Roman" w:cs="Times New Roman"/>
                      <w:color w:val="auto"/>
                      <w:kern w:val="0"/>
                      <w:sz w:val="24"/>
                      <w:lang w:val="en-US" w:eastAsia="zh-CN" w:bidi="ar"/>
                    </w:rPr>
                    <w:t>1</w:t>
                  </w:r>
                </w:p>
              </w:tc>
              <w:tc>
                <w:tcPr>
                  <w:tcW w:w="298" w:type="pct"/>
                  <w:vAlign w:val="center"/>
                </w:tcPr>
                <w:p w14:paraId="01CE8949">
                  <w:pPr>
                    <w:widowControl/>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cs="Times New Roman"/>
                      <w:color w:val="auto"/>
                      <w:sz w:val="24"/>
                    </w:rPr>
                    <w:t>台</w:t>
                  </w:r>
                </w:p>
              </w:tc>
            </w:tr>
          </w:tbl>
          <w:p w14:paraId="0FE48BF9">
            <w:pPr>
              <w:spacing w:before="120" w:beforeLines="50"/>
              <w:ind w:firstLine="560"/>
              <w:rPr>
                <w:color w:val="auto"/>
                <w:sz w:val="28"/>
              </w:rPr>
            </w:pPr>
            <w:r>
              <w:rPr>
                <w:rFonts w:hint="eastAsia"/>
                <w:color w:val="auto"/>
                <w:sz w:val="28"/>
              </w:rPr>
              <w:t>对照</w:t>
            </w:r>
            <w:r>
              <w:rPr>
                <w:rFonts w:hint="eastAsia"/>
                <w:color w:val="auto"/>
                <w:sz w:val="28"/>
                <w:lang w:eastAsia="zh-CN"/>
              </w:rPr>
              <w:t>国家发展改革委</w:t>
            </w:r>
            <w:r>
              <w:rPr>
                <w:rFonts w:hint="eastAsia"/>
                <w:color w:val="auto"/>
                <w:sz w:val="28"/>
              </w:rPr>
              <w:t>2024年第7号令《产业结构调整指导目录（2024年本）》、工信部《高耗能落后机电设备（产品）淘汰目录》（第一、二、三、四批），本项目所用设备均不属于淘汰设备。</w:t>
            </w:r>
          </w:p>
          <w:p w14:paraId="05E1AD7F">
            <w:pPr>
              <w:pStyle w:val="46"/>
              <w:keepNext w:val="0"/>
              <w:keepLines w:val="0"/>
              <w:pageBreakBefore w:val="0"/>
              <w:widowControl/>
              <w:kinsoku/>
              <w:wordWrap/>
              <w:overflowPunct/>
              <w:topLinePunct w:val="0"/>
              <w:autoSpaceDE w:val="0"/>
              <w:autoSpaceDN w:val="0"/>
              <w:bidi w:val="0"/>
              <w:adjustRightInd/>
              <w:snapToGrid/>
              <w:spacing w:line="360" w:lineRule="auto"/>
              <w:ind w:firstLine="562" w:firstLineChars="200"/>
              <w:textAlignment w:val="auto"/>
              <w:rPr>
                <w:rFonts w:ascii="仿宋" w:hAnsi="仿宋" w:eastAsia="仿宋" w:cs="仿宋"/>
                <w:b/>
                <w:bCs/>
                <w:color w:val="auto"/>
                <w:sz w:val="28"/>
                <w:szCs w:val="28"/>
              </w:rPr>
            </w:pPr>
            <w:r>
              <w:rPr>
                <w:rFonts w:hint="eastAsia" w:ascii="仿宋" w:hAnsi="仿宋" w:eastAsia="仿宋" w:cs="仿宋"/>
                <w:b/>
                <w:bCs/>
                <w:color w:val="auto"/>
                <w:sz w:val="28"/>
                <w:szCs w:val="28"/>
              </w:rPr>
              <w:t>设备产能匹配性分析：</w:t>
            </w:r>
          </w:p>
          <w:p w14:paraId="5010B688">
            <w:pPr>
              <w:widowControl/>
              <w:ind w:firstLine="560"/>
              <w:jc w:val="left"/>
              <w:rPr>
                <w:rFonts w:cs="仿宋"/>
                <w:color w:val="auto"/>
                <w:kern w:val="0"/>
                <w:sz w:val="28"/>
                <w:szCs w:val="28"/>
                <w:lang w:bidi="ar"/>
              </w:rPr>
            </w:pPr>
            <w:r>
              <w:rPr>
                <w:rFonts w:hint="eastAsia" w:cs="仿宋"/>
                <w:i/>
                <w:iCs/>
                <w:color w:val="auto"/>
                <w:kern w:val="0"/>
                <w:sz w:val="28"/>
                <w:szCs w:val="28"/>
                <w:lang w:bidi="ar"/>
              </w:rPr>
              <w:t>根据建设单位提供资料，本项目共设置</w:t>
            </w:r>
            <w:r>
              <w:rPr>
                <w:rFonts w:hint="eastAsia" w:cs="仿宋"/>
                <w:i/>
                <w:iCs/>
                <w:color w:val="auto"/>
                <w:kern w:val="0"/>
                <w:sz w:val="28"/>
                <w:szCs w:val="28"/>
                <w:lang w:val="en-US" w:eastAsia="zh-CN" w:bidi="ar"/>
              </w:rPr>
              <w:t>2</w:t>
            </w:r>
            <w:r>
              <w:rPr>
                <w:rFonts w:hint="eastAsia" w:cs="仿宋"/>
                <w:i/>
                <w:iCs/>
                <w:color w:val="auto"/>
                <w:kern w:val="0"/>
                <w:sz w:val="28"/>
                <w:szCs w:val="28"/>
                <w:lang w:bidi="ar"/>
              </w:rPr>
              <w:t>台</w:t>
            </w:r>
            <w:r>
              <w:rPr>
                <w:rFonts w:hint="eastAsia" w:cs="仿宋"/>
                <w:i/>
                <w:iCs/>
                <w:color w:val="auto"/>
                <w:kern w:val="0"/>
                <w:sz w:val="28"/>
                <w:szCs w:val="28"/>
                <w:lang w:eastAsia="zh-CN" w:bidi="ar"/>
              </w:rPr>
              <w:t>涂布烘干一体</w:t>
            </w:r>
            <w:r>
              <w:rPr>
                <w:rFonts w:hint="eastAsia" w:cs="仿宋"/>
                <w:i/>
                <w:iCs/>
                <w:color w:val="auto"/>
                <w:kern w:val="0"/>
                <w:sz w:val="28"/>
                <w:szCs w:val="28"/>
                <w:lang w:bidi="ar"/>
              </w:rPr>
              <w:t>机</w:t>
            </w:r>
            <w:r>
              <w:rPr>
                <w:rFonts w:hint="eastAsia" w:cs="仿宋"/>
                <w:i/>
                <w:iCs/>
                <w:color w:val="auto"/>
                <w:kern w:val="0"/>
                <w:sz w:val="28"/>
                <w:szCs w:val="28"/>
                <w:lang w:eastAsia="zh-CN" w:bidi="ar"/>
              </w:rPr>
              <w:t>（因厂房电力负荷原因，两台设备不能同时使用，生产仅使用其中一台</w:t>
            </w:r>
            <w:r>
              <w:rPr>
                <w:rFonts w:hint="eastAsia" w:cs="仿宋"/>
                <w:i/>
                <w:iCs/>
                <w:color w:val="auto"/>
                <w:kern w:val="0"/>
                <w:sz w:val="28"/>
                <w:szCs w:val="28"/>
                <w:lang w:val="en-US" w:eastAsia="zh-CN" w:bidi="ar"/>
              </w:rPr>
              <w:t>，</w:t>
            </w:r>
            <w:r>
              <w:rPr>
                <w:rFonts w:hint="eastAsia" w:cs="仿宋"/>
                <w:i/>
                <w:iCs/>
                <w:color w:val="auto"/>
                <w:kern w:val="0"/>
                <w:sz w:val="28"/>
                <w:szCs w:val="28"/>
                <w:lang w:eastAsia="zh-CN" w:bidi="ar"/>
              </w:rPr>
              <w:t>一</w:t>
            </w:r>
            <w:r>
              <w:rPr>
                <w:rFonts w:hint="eastAsia" w:cs="仿宋"/>
                <w:i/>
                <w:iCs/>
                <w:color w:val="auto"/>
                <w:kern w:val="0"/>
                <w:sz w:val="28"/>
                <w:szCs w:val="28"/>
                <w:highlight w:val="none"/>
                <w:lang w:eastAsia="zh-CN" w:bidi="ar"/>
              </w:rPr>
              <w:t>用一备</w:t>
            </w:r>
            <w:r>
              <w:rPr>
                <w:rFonts w:hint="eastAsia" w:cs="仿宋"/>
                <w:i/>
                <w:iCs/>
                <w:color w:val="auto"/>
                <w:kern w:val="0"/>
                <w:sz w:val="28"/>
                <w:szCs w:val="28"/>
                <w:lang w:eastAsia="zh-CN" w:bidi="ar"/>
              </w:rPr>
              <w:t>）</w:t>
            </w:r>
            <w:r>
              <w:rPr>
                <w:rFonts w:hint="eastAsia" w:cs="仿宋"/>
                <w:i/>
                <w:iCs/>
                <w:color w:val="auto"/>
                <w:kern w:val="0"/>
                <w:sz w:val="28"/>
                <w:szCs w:val="28"/>
                <w:lang w:val="en-US" w:eastAsia="zh-CN" w:bidi="ar"/>
              </w:rPr>
              <w:t>。本次按生产能力较小的一台涂布机核算产能，</w:t>
            </w:r>
            <w:r>
              <w:rPr>
                <w:rFonts w:hint="eastAsia" w:cs="仿宋"/>
                <w:i/>
                <w:iCs/>
                <w:color w:val="auto"/>
                <w:kern w:val="0"/>
                <w:sz w:val="28"/>
                <w:szCs w:val="28"/>
                <w:lang w:eastAsia="zh-CN" w:bidi="ar"/>
              </w:rPr>
              <w:t>考虑每次放卷准备时间，每天的有效工作时间</w:t>
            </w:r>
            <w:r>
              <w:rPr>
                <w:rFonts w:hint="eastAsia" w:cs="仿宋"/>
                <w:i/>
                <w:iCs/>
                <w:color w:val="auto"/>
                <w:kern w:val="0"/>
                <w:sz w:val="28"/>
                <w:szCs w:val="28"/>
                <w:lang w:val="en-US" w:eastAsia="zh-CN" w:bidi="ar"/>
              </w:rPr>
              <w:t>约6</w:t>
            </w:r>
            <w:r>
              <w:rPr>
                <w:rFonts w:hint="eastAsia" w:cs="仿宋"/>
                <w:i/>
                <w:iCs/>
                <w:color w:val="auto"/>
                <w:kern w:val="0"/>
                <w:sz w:val="28"/>
                <w:szCs w:val="28"/>
                <w:lang w:bidi="ar"/>
              </w:rPr>
              <w:t>h，年工作</w:t>
            </w:r>
            <w:r>
              <w:rPr>
                <w:rFonts w:hint="eastAsia" w:cs="仿宋"/>
                <w:i/>
                <w:iCs/>
                <w:color w:val="auto"/>
                <w:kern w:val="0"/>
                <w:sz w:val="28"/>
                <w:szCs w:val="28"/>
                <w:lang w:val="en-US" w:eastAsia="zh-CN" w:bidi="ar"/>
              </w:rPr>
              <w:t>24</w:t>
            </w:r>
            <w:r>
              <w:rPr>
                <w:rFonts w:hint="eastAsia" w:cs="仿宋"/>
                <w:i/>
                <w:iCs/>
                <w:color w:val="auto"/>
                <w:kern w:val="0"/>
                <w:sz w:val="28"/>
                <w:szCs w:val="28"/>
                <w:lang w:bidi="ar"/>
              </w:rPr>
              <w:t>0d，则本项目产能匹配性详见下表。</w:t>
            </w:r>
          </w:p>
          <w:p w14:paraId="00F2A613">
            <w:pPr>
              <w:widowControl/>
              <w:ind w:firstLine="560"/>
              <w:jc w:val="left"/>
              <w:rPr>
                <w:rFonts w:hint="eastAsia" w:ascii="仿宋" w:hAnsi="仿宋" w:eastAsia="仿宋" w:cs="仿宋"/>
                <w:b/>
                <w:bCs/>
                <w:color w:val="auto"/>
                <w:highlight w:val="none"/>
              </w:rPr>
            </w:pPr>
            <w:r>
              <w:rPr>
                <w:rFonts w:hint="eastAsia" w:cs="仿宋"/>
                <w:color w:val="auto"/>
                <w:kern w:val="0"/>
                <w:sz w:val="28"/>
                <w:szCs w:val="28"/>
                <w:lang w:bidi="ar"/>
              </w:rPr>
              <w:t>经核算，本项目</w:t>
            </w:r>
            <w:r>
              <w:rPr>
                <w:rFonts w:hint="eastAsia" w:cs="仿宋"/>
                <w:color w:val="auto"/>
                <w:kern w:val="0"/>
                <w:sz w:val="28"/>
                <w:szCs w:val="28"/>
                <w:lang w:eastAsia="zh-CN" w:bidi="ar"/>
              </w:rPr>
              <w:t>涂布</w:t>
            </w:r>
            <w:r>
              <w:rPr>
                <w:rFonts w:hint="eastAsia" w:cs="仿宋"/>
                <w:color w:val="auto"/>
                <w:kern w:val="0"/>
                <w:sz w:val="28"/>
                <w:szCs w:val="28"/>
                <w:lang w:val="en-US" w:eastAsia="zh-CN" w:bidi="ar"/>
              </w:rPr>
              <w:t>烘干一体</w:t>
            </w:r>
            <w:r>
              <w:rPr>
                <w:rFonts w:hint="eastAsia" w:cs="仿宋"/>
                <w:color w:val="auto"/>
                <w:kern w:val="0"/>
                <w:sz w:val="28"/>
                <w:szCs w:val="28"/>
                <w:lang w:bidi="ar"/>
              </w:rPr>
              <w:t>机产能能够满足生产规模所需，具体核算见下表。</w:t>
            </w:r>
          </w:p>
          <w:p w14:paraId="69D9D83C">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仿宋" w:hAnsi="仿宋" w:eastAsia="仿宋" w:cs="仿宋"/>
                <w:b/>
                <w:bCs/>
                <w:color w:val="auto"/>
                <w:highlight w:val="none"/>
              </w:rPr>
            </w:pPr>
            <w:r>
              <w:rPr>
                <w:rFonts w:hint="eastAsia" w:ascii="仿宋" w:hAnsi="仿宋" w:eastAsia="仿宋" w:cs="仿宋"/>
                <w:b/>
                <w:bCs/>
                <w:color w:val="auto"/>
                <w:highlight w:val="none"/>
              </w:rPr>
              <w:t>表2-4设备产能匹配性分析情况一览表</w:t>
            </w:r>
          </w:p>
          <w:tbl>
            <w:tblPr>
              <w:tblStyle w:val="31"/>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62"/>
              <w:gridCol w:w="1331"/>
              <w:gridCol w:w="998"/>
              <w:gridCol w:w="1213"/>
              <w:gridCol w:w="1174"/>
              <w:gridCol w:w="1207"/>
              <w:gridCol w:w="1323"/>
              <w:gridCol w:w="1435"/>
            </w:tblGrid>
            <w:tr w14:paraId="73F0F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590" w:type="pct"/>
                  <w:tcBorders>
                    <w:top w:val="single" w:color="000000" w:sz="12" w:space="0"/>
                    <w:left w:val="nil"/>
                    <w:bottom w:val="single" w:color="000000" w:sz="8" w:space="0"/>
                    <w:right w:val="single" w:color="000000" w:sz="8" w:space="0"/>
                  </w:tcBorders>
                  <w:shd w:val="clear" w:color="auto" w:fill="F1F1F1"/>
                  <w:vAlign w:val="center"/>
                </w:tcPr>
                <w:p w14:paraId="6A47EE4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产品</w:t>
                  </w:r>
                </w:p>
              </w:tc>
              <w:tc>
                <w:tcPr>
                  <w:tcW w:w="676" w:type="pct"/>
                  <w:tcBorders>
                    <w:top w:val="single" w:color="000000" w:sz="12" w:space="0"/>
                    <w:left w:val="single" w:color="000000" w:sz="8" w:space="0"/>
                    <w:bottom w:val="single" w:color="000000" w:sz="8" w:space="0"/>
                    <w:right w:val="single" w:color="000000" w:sz="8" w:space="0"/>
                  </w:tcBorders>
                  <w:shd w:val="clear" w:color="auto" w:fill="F1F1F1"/>
                  <w:vAlign w:val="center"/>
                </w:tcPr>
                <w:p w14:paraId="0FD5E9C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生产设备</w:t>
                  </w:r>
                </w:p>
              </w:tc>
              <w:tc>
                <w:tcPr>
                  <w:tcW w:w="507" w:type="pct"/>
                  <w:tcBorders>
                    <w:top w:val="single" w:color="000000" w:sz="12" w:space="0"/>
                    <w:left w:val="single" w:color="000000" w:sz="8" w:space="0"/>
                    <w:bottom w:val="single" w:color="000000" w:sz="8" w:space="0"/>
                    <w:right w:val="single" w:color="000000" w:sz="8" w:space="0"/>
                  </w:tcBorders>
                  <w:shd w:val="clear" w:color="auto" w:fill="F1F1F1"/>
                  <w:vAlign w:val="center"/>
                </w:tcPr>
                <w:p w14:paraId="49B895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数量(台)</w:t>
                  </w:r>
                </w:p>
              </w:tc>
              <w:tc>
                <w:tcPr>
                  <w:tcW w:w="616" w:type="pct"/>
                  <w:tcBorders>
                    <w:top w:val="single" w:color="000000" w:sz="12" w:space="0"/>
                    <w:left w:val="single" w:color="000000" w:sz="8" w:space="0"/>
                    <w:bottom w:val="single" w:color="000000" w:sz="8" w:space="0"/>
                    <w:right w:val="single" w:color="000000" w:sz="8" w:space="0"/>
                  </w:tcBorders>
                  <w:shd w:val="clear" w:color="auto" w:fill="F1F1F1"/>
                  <w:vAlign w:val="center"/>
                </w:tcPr>
                <w:p w14:paraId="791796B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单台生产能力m/min</w:t>
                  </w:r>
                </w:p>
              </w:tc>
              <w:tc>
                <w:tcPr>
                  <w:tcW w:w="595" w:type="pct"/>
                  <w:tcBorders>
                    <w:top w:val="single" w:color="000000" w:sz="12" w:space="0"/>
                    <w:left w:val="single" w:color="000000" w:sz="8" w:space="0"/>
                    <w:bottom w:val="single" w:color="000000" w:sz="8" w:space="0"/>
                    <w:right w:val="single" w:color="000000" w:sz="8" w:space="0"/>
                  </w:tcBorders>
                  <w:shd w:val="clear" w:color="auto" w:fill="F1F1F1"/>
                  <w:vAlign w:val="center"/>
                </w:tcPr>
                <w:p w14:paraId="167AA4D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有效涂布宽度/m</w:t>
                  </w:r>
                </w:p>
              </w:tc>
              <w:tc>
                <w:tcPr>
                  <w:tcW w:w="613" w:type="pct"/>
                  <w:tcBorders>
                    <w:top w:val="single" w:color="000000" w:sz="12" w:space="0"/>
                    <w:left w:val="single" w:color="000000" w:sz="8" w:space="0"/>
                    <w:bottom w:val="single" w:color="000000" w:sz="8" w:space="0"/>
                    <w:right w:val="single" w:color="000000" w:sz="8" w:space="0"/>
                  </w:tcBorders>
                  <w:shd w:val="clear" w:color="auto" w:fill="F1F1F1"/>
                  <w:vAlign w:val="center"/>
                </w:tcPr>
                <w:p w14:paraId="754FFAF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年运行时数h</w:t>
                  </w:r>
                </w:p>
              </w:tc>
              <w:tc>
                <w:tcPr>
                  <w:tcW w:w="672" w:type="pct"/>
                  <w:tcBorders>
                    <w:top w:val="single" w:color="000000" w:sz="12" w:space="0"/>
                    <w:left w:val="single" w:color="000000" w:sz="8" w:space="0"/>
                    <w:bottom w:val="single" w:color="000000" w:sz="8" w:space="0"/>
                    <w:right w:val="single" w:color="000000" w:sz="8" w:space="0"/>
                  </w:tcBorders>
                  <w:shd w:val="clear" w:color="auto" w:fill="F1F1F1"/>
                  <w:vAlign w:val="center"/>
                </w:tcPr>
                <w:p w14:paraId="779E899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年</w:t>
                  </w:r>
                  <w:r>
                    <w:rPr>
                      <w:rFonts w:hint="eastAsia" w:ascii="Times New Roman" w:hAnsi="Times New Roman" w:cs="Times New Roman"/>
                      <w:i/>
                      <w:iCs/>
                      <w:color w:val="auto"/>
                      <w:kern w:val="0"/>
                      <w:sz w:val="24"/>
                      <w:szCs w:val="24"/>
                      <w:u w:val="none"/>
                      <w:lang w:val="en-US" w:eastAsia="zh-CN" w:bidi="ar"/>
                    </w:rPr>
                    <w:t>最大</w:t>
                  </w:r>
                  <w:r>
                    <w:rPr>
                      <w:rFonts w:hint="default" w:ascii="Times New Roman" w:hAnsi="Times New Roman" w:eastAsia="仿宋" w:cs="Times New Roman"/>
                      <w:i/>
                      <w:iCs/>
                      <w:color w:val="auto"/>
                      <w:kern w:val="0"/>
                      <w:sz w:val="24"/>
                      <w:szCs w:val="24"/>
                      <w:u w:val="none"/>
                      <w:lang w:val="en-US" w:eastAsia="zh-CN" w:bidi="ar"/>
                    </w:rPr>
                    <w:t>生产能力</w:t>
                  </w:r>
                  <w:r>
                    <w:rPr>
                      <w:rFonts w:hint="default" w:ascii="Times New Roman" w:hAnsi="Times New Roman" w:cs="Times New Roman"/>
                      <w:i/>
                      <w:iCs/>
                      <w:color w:val="auto"/>
                      <w:kern w:val="0"/>
                      <w:sz w:val="24"/>
                      <w:szCs w:val="24"/>
                      <w:u w:val="none"/>
                      <w:lang w:val="en-US" w:eastAsia="zh-CN" w:bidi="ar"/>
                    </w:rPr>
                    <w:t>（</w:t>
                  </w:r>
                  <w:r>
                    <w:rPr>
                      <w:rFonts w:hint="default" w:ascii="Times New Roman" w:hAnsi="Times New Roman" w:eastAsia="仿宋" w:cs="Times New Roman"/>
                      <w:i/>
                      <w:iCs/>
                      <w:color w:val="auto"/>
                      <w:kern w:val="0"/>
                      <w:sz w:val="24"/>
                      <w:szCs w:val="24"/>
                      <w:u w:val="none"/>
                      <w:lang w:val="en-US" w:eastAsia="zh-CN" w:bidi="ar"/>
                    </w:rPr>
                    <w:t>万m</w:t>
                  </w:r>
                  <w:r>
                    <w:rPr>
                      <w:rFonts w:hint="default" w:ascii="Times New Roman" w:hAnsi="Times New Roman" w:eastAsia="仿宋" w:cs="Times New Roman"/>
                      <w:i/>
                      <w:iCs/>
                      <w:color w:val="auto"/>
                      <w:kern w:val="0"/>
                      <w:sz w:val="24"/>
                      <w:szCs w:val="24"/>
                      <w:u w:val="none"/>
                      <w:vertAlign w:val="superscript"/>
                      <w:lang w:val="en-US" w:eastAsia="zh-CN" w:bidi="ar"/>
                    </w:rPr>
                    <w:t>2</w:t>
                  </w:r>
                  <w:r>
                    <w:rPr>
                      <w:rFonts w:hint="default" w:ascii="Times New Roman" w:hAnsi="Times New Roman" w:eastAsia="宋体" w:cs="Times New Roman"/>
                      <w:i/>
                      <w:iCs/>
                      <w:color w:val="auto"/>
                      <w:kern w:val="0"/>
                      <w:sz w:val="24"/>
                      <w:szCs w:val="24"/>
                      <w:u w:val="none"/>
                      <w:lang w:val="en-US" w:eastAsia="zh-CN" w:bidi="ar"/>
                    </w:rPr>
                    <w:t>/a</w:t>
                  </w:r>
                  <w:r>
                    <w:rPr>
                      <w:rFonts w:hint="default" w:ascii="Times New Roman" w:hAnsi="Times New Roman" w:cs="Times New Roman"/>
                      <w:i/>
                      <w:iCs/>
                      <w:color w:val="auto"/>
                      <w:kern w:val="0"/>
                      <w:sz w:val="24"/>
                      <w:szCs w:val="24"/>
                      <w:u w:val="none"/>
                      <w:lang w:val="en-US" w:eastAsia="zh-CN" w:bidi="ar"/>
                    </w:rPr>
                    <w:t>）</w:t>
                  </w:r>
                </w:p>
              </w:tc>
              <w:tc>
                <w:tcPr>
                  <w:tcW w:w="728" w:type="pct"/>
                  <w:tcBorders>
                    <w:top w:val="single" w:color="000000" w:sz="12" w:space="0"/>
                    <w:left w:val="single" w:color="000000" w:sz="8" w:space="0"/>
                    <w:bottom w:val="single" w:color="000000" w:sz="8" w:space="0"/>
                    <w:right w:val="nil"/>
                  </w:tcBorders>
                  <w:shd w:val="clear" w:color="auto" w:fill="F1F1F1"/>
                  <w:vAlign w:val="center"/>
                </w:tcPr>
                <w:p w14:paraId="3231E65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项目设计产能</w:t>
                  </w:r>
                  <w:r>
                    <w:rPr>
                      <w:rFonts w:hint="default" w:ascii="Times New Roman" w:hAnsi="Times New Roman" w:cs="Times New Roman"/>
                      <w:i/>
                      <w:iCs/>
                      <w:color w:val="auto"/>
                      <w:kern w:val="0"/>
                      <w:sz w:val="24"/>
                      <w:szCs w:val="24"/>
                      <w:u w:val="none"/>
                      <w:lang w:val="en-US" w:eastAsia="zh-CN" w:bidi="ar"/>
                    </w:rPr>
                    <w:t>（</w:t>
                  </w:r>
                  <w:r>
                    <w:rPr>
                      <w:rFonts w:hint="default" w:ascii="Times New Roman" w:hAnsi="Times New Roman" w:eastAsia="仿宋" w:cs="Times New Roman"/>
                      <w:i/>
                      <w:iCs/>
                      <w:color w:val="auto"/>
                      <w:kern w:val="0"/>
                      <w:sz w:val="24"/>
                      <w:szCs w:val="24"/>
                      <w:u w:val="none"/>
                      <w:lang w:val="en-US" w:eastAsia="zh-CN" w:bidi="ar"/>
                    </w:rPr>
                    <w:t>万</w:t>
                  </w:r>
                  <w:r>
                    <w:rPr>
                      <w:rFonts w:hint="default" w:ascii="Times New Roman" w:hAnsi="Times New Roman" w:eastAsia="宋体" w:cs="Times New Roman"/>
                      <w:i/>
                      <w:iCs/>
                      <w:color w:val="auto"/>
                      <w:kern w:val="0"/>
                      <w:sz w:val="24"/>
                      <w:szCs w:val="24"/>
                      <w:u w:val="none"/>
                      <w:lang w:val="en-US" w:eastAsia="zh-CN" w:bidi="ar"/>
                    </w:rPr>
                    <w:t>m</w:t>
                  </w:r>
                  <w:r>
                    <w:rPr>
                      <w:rStyle w:val="150"/>
                      <w:rFonts w:hint="default" w:ascii="Times New Roman" w:hAnsi="Times New Roman" w:eastAsia="宋体" w:cs="Times New Roman"/>
                      <w:i/>
                      <w:iCs/>
                      <w:color w:val="auto"/>
                      <w:sz w:val="24"/>
                      <w:szCs w:val="24"/>
                      <w:lang w:val="en-US" w:eastAsia="zh-CN" w:bidi="ar"/>
                    </w:rPr>
                    <w:t>2</w:t>
                  </w:r>
                  <w:r>
                    <w:rPr>
                      <w:rFonts w:hint="default" w:ascii="Times New Roman" w:hAnsi="Times New Roman" w:eastAsia="宋体" w:cs="Times New Roman"/>
                      <w:i/>
                      <w:iCs/>
                      <w:color w:val="auto"/>
                      <w:kern w:val="0"/>
                      <w:sz w:val="24"/>
                      <w:szCs w:val="24"/>
                      <w:u w:val="none"/>
                      <w:lang w:val="en-US" w:eastAsia="zh-CN" w:bidi="ar"/>
                    </w:rPr>
                    <w:t>/a</w:t>
                  </w:r>
                  <w:r>
                    <w:rPr>
                      <w:rFonts w:hint="default" w:ascii="Times New Roman" w:hAnsi="Times New Roman" w:cs="Times New Roman"/>
                      <w:i/>
                      <w:iCs/>
                      <w:color w:val="auto"/>
                      <w:kern w:val="0"/>
                      <w:sz w:val="24"/>
                      <w:szCs w:val="24"/>
                      <w:u w:val="none"/>
                      <w:lang w:val="en-US" w:eastAsia="zh-CN" w:bidi="ar"/>
                    </w:rPr>
                    <w:t>）</w:t>
                  </w:r>
                </w:p>
              </w:tc>
            </w:tr>
            <w:tr w14:paraId="204E7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90" w:type="pct"/>
                  <w:tcBorders>
                    <w:top w:val="single" w:color="000000" w:sz="8" w:space="0"/>
                    <w:left w:val="nil"/>
                    <w:bottom w:val="single" w:color="000000" w:sz="8" w:space="0"/>
                    <w:right w:val="single" w:color="000000" w:sz="8" w:space="0"/>
                  </w:tcBorders>
                  <w:shd w:val="clear" w:color="auto" w:fill="auto"/>
                  <w:vAlign w:val="center"/>
                </w:tcPr>
                <w:p w14:paraId="5BF940B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PE</w:t>
                  </w:r>
                  <w:r>
                    <w:rPr>
                      <w:rFonts w:hint="default" w:ascii="Times New Roman" w:hAnsi="Times New Roman" w:eastAsia="仿宋" w:cs="Times New Roman"/>
                      <w:i/>
                      <w:iCs/>
                      <w:color w:val="auto"/>
                      <w:kern w:val="0"/>
                      <w:sz w:val="24"/>
                      <w:szCs w:val="24"/>
                      <w:u w:val="none"/>
                      <w:lang w:val="en-US" w:eastAsia="zh-CN" w:bidi="ar"/>
                    </w:rPr>
                    <w:t>隔音、隔热棉</w:t>
                  </w:r>
                </w:p>
              </w:tc>
              <w:tc>
                <w:tcPr>
                  <w:tcW w:w="6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F1AEC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涂布烘干一体机</w:t>
                  </w:r>
                </w:p>
              </w:tc>
              <w:tc>
                <w:tcPr>
                  <w:tcW w:w="50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4454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w:t>
                  </w:r>
                </w:p>
              </w:tc>
              <w:tc>
                <w:tcPr>
                  <w:tcW w:w="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4CB55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10</w:t>
                  </w:r>
                </w:p>
              </w:tc>
              <w:tc>
                <w:tcPr>
                  <w:tcW w:w="59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FA827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1.3</w:t>
                  </w:r>
                </w:p>
              </w:tc>
              <w:tc>
                <w:tcPr>
                  <w:tcW w:w="120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26000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360</w:t>
                  </w:r>
                </w:p>
              </w:tc>
              <w:tc>
                <w:tcPr>
                  <w:tcW w:w="13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E5D55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28.08</w:t>
                  </w:r>
                </w:p>
              </w:tc>
              <w:tc>
                <w:tcPr>
                  <w:tcW w:w="728" w:type="pct"/>
                  <w:tcBorders>
                    <w:top w:val="single" w:color="000000" w:sz="8" w:space="0"/>
                    <w:left w:val="single" w:color="000000" w:sz="8" w:space="0"/>
                    <w:bottom w:val="single" w:color="000000" w:sz="8" w:space="0"/>
                    <w:right w:val="nil"/>
                  </w:tcBorders>
                  <w:shd w:val="clear" w:color="auto" w:fill="auto"/>
                  <w:vAlign w:val="center"/>
                </w:tcPr>
                <w:p w14:paraId="7EEB7F8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24.75</w:t>
                  </w:r>
                </w:p>
              </w:tc>
            </w:tr>
            <w:tr w14:paraId="778C4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90" w:type="pct"/>
                  <w:tcBorders>
                    <w:top w:val="single" w:color="000000" w:sz="8" w:space="0"/>
                    <w:left w:val="nil"/>
                    <w:bottom w:val="single" w:color="000000" w:sz="8" w:space="0"/>
                    <w:right w:val="single" w:color="000000" w:sz="8" w:space="0"/>
                  </w:tcBorders>
                  <w:shd w:val="clear" w:color="auto" w:fill="auto"/>
                  <w:vAlign w:val="center"/>
                </w:tcPr>
                <w:p w14:paraId="58D6A87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PU</w:t>
                  </w:r>
                  <w:r>
                    <w:rPr>
                      <w:rFonts w:hint="default" w:ascii="Times New Roman" w:hAnsi="Times New Roman" w:eastAsia="仿宋" w:cs="Times New Roman"/>
                      <w:i/>
                      <w:iCs/>
                      <w:color w:val="auto"/>
                      <w:kern w:val="0"/>
                      <w:sz w:val="24"/>
                      <w:szCs w:val="24"/>
                      <w:u w:val="none"/>
                      <w:lang w:val="en-US" w:eastAsia="zh-CN" w:bidi="ar"/>
                    </w:rPr>
                    <w:t>隔音、隔热棉</w:t>
                  </w:r>
                </w:p>
              </w:tc>
              <w:tc>
                <w:tcPr>
                  <w:tcW w:w="6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8A4E19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涂布烘干一体机</w:t>
                  </w:r>
                </w:p>
              </w:tc>
              <w:tc>
                <w:tcPr>
                  <w:tcW w:w="50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78B11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i/>
                      <w:iCs/>
                      <w:color w:val="auto"/>
                      <w:sz w:val="24"/>
                      <w:szCs w:val="24"/>
                      <w:u w:val="none"/>
                      <w:lang w:val="en-US" w:eastAsia="zh-CN"/>
                    </w:rPr>
                  </w:pPr>
                  <w:r>
                    <w:rPr>
                      <w:rFonts w:hint="default" w:ascii="Times New Roman" w:hAnsi="Times New Roman" w:eastAsia="仿宋" w:cs="Times New Roman"/>
                      <w:i/>
                      <w:iCs/>
                      <w:color w:val="auto"/>
                      <w:sz w:val="24"/>
                      <w:szCs w:val="24"/>
                      <w:u w:val="none"/>
                      <w:lang w:val="en-US" w:eastAsia="zh-CN"/>
                    </w:rPr>
                    <w:t>1</w:t>
                  </w:r>
                </w:p>
              </w:tc>
              <w:tc>
                <w:tcPr>
                  <w:tcW w:w="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22717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10</w:t>
                  </w:r>
                </w:p>
              </w:tc>
              <w:tc>
                <w:tcPr>
                  <w:tcW w:w="59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FEBDE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1.3</w:t>
                  </w:r>
                </w:p>
              </w:tc>
              <w:tc>
                <w:tcPr>
                  <w:tcW w:w="120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08110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580</w:t>
                  </w:r>
                </w:p>
              </w:tc>
              <w:tc>
                <w:tcPr>
                  <w:tcW w:w="13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FA1F8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45.24</w:t>
                  </w:r>
                </w:p>
              </w:tc>
              <w:tc>
                <w:tcPr>
                  <w:tcW w:w="728" w:type="pct"/>
                  <w:tcBorders>
                    <w:top w:val="single" w:color="000000" w:sz="8" w:space="0"/>
                    <w:left w:val="single" w:color="000000" w:sz="8" w:space="0"/>
                    <w:bottom w:val="single" w:color="000000" w:sz="8" w:space="0"/>
                    <w:right w:val="nil"/>
                  </w:tcBorders>
                  <w:shd w:val="clear" w:color="auto" w:fill="auto"/>
                  <w:vAlign w:val="center"/>
                </w:tcPr>
                <w:p w14:paraId="2C12E9F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39.6</w:t>
                  </w:r>
                </w:p>
              </w:tc>
            </w:tr>
            <w:tr w14:paraId="46B94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90" w:type="pct"/>
                  <w:tcBorders>
                    <w:top w:val="single" w:color="000000" w:sz="8" w:space="0"/>
                    <w:left w:val="nil"/>
                    <w:bottom w:val="single" w:color="000000" w:sz="8" w:space="0"/>
                    <w:right w:val="single" w:color="000000" w:sz="8" w:space="0"/>
                  </w:tcBorders>
                  <w:shd w:val="clear" w:color="auto" w:fill="auto"/>
                  <w:vAlign w:val="center"/>
                </w:tcPr>
                <w:p w14:paraId="2DF0A3B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EVA</w:t>
                  </w:r>
                  <w:r>
                    <w:rPr>
                      <w:rFonts w:hint="default" w:ascii="Times New Roman" w:hAnsi="Times New Roman" w:eastAsia="仿宋" w:cs="Times New Roman"/>
                      <w:i/>
                      <w:iCs/>
                      <w:color w:val="auto"/>
                      <w:kern w:val="0"/>
                      <w:sz w:val="24"/>
                      <w:szCs w:val="24"/>
                      <w:u w:val="none"/>
                      <w:lang w:val="en-US" w:eastAsia="zh-CN" w:bidi="ar"/>
                    </w:rPr>
                    <w:t>隔音、隔热棉</w:t>
                  </w:r>
                </w:p>
              </w:tc>
              <w:tc>
                <w:tcPr>
                  <w:tcW w:w="6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6E01A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涂布烘干一体机</w:t>
                  </w:r>
                </w:p>
              </w:tc>
              <w:tc>
                <w:tcPr>
                  <w:tcW w:w="50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9EB124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w:t>
                  </w:r>
                </w:p>
              </w:tc>
              <w:tc>
                <w:tcPr>
                  <w:tcW w:w="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79E8E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10</w:t>
                  </w:r>
                </w:p>
              </w:tc>
              <w:tc>
                <w:tcPr>
                  <w:tcW w:w="59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40E3F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1.3</w:t>
                  </w:r>
                </w:p>
              </w:tc>
              <w:tc>
                <w:tcPr>
                  <w:tcW w:w="120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04D00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300</w:t>
                  </w:r>
                </w:p>
              </w:tc>
              <w:tc>
                <w:tcPr>
                  <w:tcW w:w="13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071C5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23.4</w:t>
                  </w:r>
                </w:p>
              </w:tc>
              <w:tc>
                <w:tcPr>
                  <w:tcW w:w="728" w:type="pct"/>
                  <w:tcBorders>
                    <w:top w:val="single" w:color="000000" w:sz="8" w:space="0"/>
                    <w:left w:val="single" w:color="000000" w:sz="8" w:space="0"/>
                    <w:bottom w:val="single" w:color="000000" w:sz="8" w:space="0"/>
                    <w:right w:val="nil"/>
                  </w:tcBorders>
                  <w:shd w:val="clear" w:color="auto" w:fill="auto"/>
                  <w:vAlign w:val="center"/>
                </w:tcPr>
                <w:p w14:paraId="1CCB4BF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19.8</w:t>
                  </w:r>
                </w:p>
              </w:tc>
            </w:tr>
            <w:tr w14:paraId="2B745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590" w:type="pct"/>
                  <w:tcBorders>
                    <w:top w:val="single" w:color="000000" w:sz="8" w:space="0"/>
                    <w:left w:val="nil"/>
                    <w:bottom w:val="single" w:color="000000" w:sz="8" w:space="0"/>
                    <w:right w:val="single" w:color="000000" w:sz="8" w:space="0"/>
                  </w:tcBorders>
                  <w:shd w:val="clear" w:color="auto" w:fill="auto"/>
                  <w:vAlign w:val="center"/>
                </w:tcPr>
                <w:p w14:paraId="6AC7C1F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植绒布隔音、隔热棉</w:t>
                  </w:r>
                </w:p>
              </w:tc>
              <w:tc>
                <w:tcPr>
                  <w:tcW w:w="6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9C75E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涂布烘干一体机</w:t>
                  </w:r>
                </w:p>
              </w:tc>
              <w:tc>
                <w:tcPr>
                  <w:tcW w:w="50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006EE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i/>
                      <w:iCs/>
                      <w:color w:val="auto"/>
                      <w:sz w:val="24"/>
                      <w:szCs w:val="24"/>
                      <w:u w:val="none"/>
                    </w:rPr>
                  </w:pPr>
                </w:p>
              </w:tc>
              <w:tc>
                <w:tcPr>
                  <w:tcW w:w="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ADB42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11</w:t>
                  </w:r>
                </w:p>
              </w:tc>
              <w:tc>
                <w:tcPr>
                  <w:tcW w:w="59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B86BC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1.3</w:t>
                  </w:r>
                </w:p>
              </w:tc>
              <w:tc>
                <w:tcPr>
                  <w:tcW w:w="120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15A72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200</w:t>
                  </w:r>
                </w:p>
              </w:tc>
              <w:tc>
                <w:tcPr>
                  <w:tcW w:w="13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D5E19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17.16</w:t>
                  </w:r>
                </w:p>
              </w:tc>
              <w:tc>
                <w:tcPr>
                  <w:tcW w:w="728" w:type="pct"/>
                  <w:tcBorders>
                    <w:top w:val="single" w:color="000000" w:sz="8" w:space="0"/>
                    <w:left w:val="single" w:color="000000" w:sz="8" w:space="0"/>
                    <w:bottom w:val="single" w:color="000000" w:sz="8" w:space="0"/>
                    <w:right w:val="nil"/>
                  </w:tcBorders>
                  <w:shd w:val="clear" w:color="auto" w:fill="auto"/>
                  <w:vAlign w:val="center"/>
                </w:tcPr>
                <w:p w14:paraId="3641085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14.85</w:t>
                  </w:r>
                </w:p>
              </w:tc>
            </w:tr>
            <w:tr w14:paraId="6C5B9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85" w:type="pct"/>
                  <w:gridSpan w:val="5"/>
                  <w:tcBorders>
                    <w:top w:val="single" w:color="000000" w:sz="8" w:space="0"/>
                    <w:left w:val="nil"/>
                    <w:bottom w:val="single" w:color="000000" w:sz="8" w:space="0"/>
                    <w:right w:val="single" w:color="000000" w:sz="8" w:space="0"/>
                  </w:tcBorders>
                  <w:shd w:val="clear" w:color="auto" w:fill="auto"/>
                  <w:vAlign w:val="center"/>
                </w:tcPr>
                <w:p w14:paraId="2ECBD34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iCs/>
                      <w:color w:val="auto"/>
                      <w:kern w:val="0"/>
                      <w:sz w:val="24"/>
                      <w:szCs w:val="24"/>
                      <w:u w:val="none"/>
                      <w:lang w:val="en-US" w:eastAsia="zh-CN" w:bidi="ar"/>
                    </w:rPr>
                  </w:pPr>
                  <w:r>
                    <w:rPr>
                      <w:rFonts w:hint="default" w:ascii="Times New Roman" w:hAnsi="Times New Roman" w:eastAsia="仿宋" w:cs="Times New Roman"/>
                      <w:i/>
                      <w:iCs/>
                      <w:color w:val="auto"/>
                      <w:kern w:val="0"/>
                      <w:sz w:val="24"/>
                      <w:szCs w:val="24"/>
                      <w:u w:val="none"/>
                      <w:lang w:val="en-US" w:eastAsia="zh-CN" w:bidi="ar"/>
                    </w:rPr>
                    <w:t>合计</w:t>
                  </w:r>
                </w:p>
              </w:tc>
              <w:tc>
                <w:tcPr>
                  <w:tcW w:w="9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B923A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iCs/>
                      <w:color w:val="auto"/>
                      <w:kern w:val="0"/>
                      <w:sz w:val="24"/>
                      <w:szCs w:val="24"/>
                      <w:u w:val="none"/>
                      <w:lang w:val="en-US" w:eastAsia="zh-CN" w:bidi="ar"/>
                    </w:rPr>
                  </w:pPr>
                  <w:r>
                    <w:rPr>
                      <w:rFonts w:hint="default" w:ascii="Times New Roman" w:hAnsi="Times New Roman" w:eastAsia="宋体" w:cs="Times New Roman"/>
                      <w:i/>
                      <w:iCs/>
                      <w:color w:val="auto"/>
                      <w:kern w:val="0"/>
                      <w:sz w:val="24"/>
                      <w:szCs w:val="24"/>
                      <w:u w:val="none"/>
                      <w:lang w:val="en-US" w:eastAsia="zh-CN" w:bidi="ar"/>
                    </w:rPr>
                    <w:t>1440</w:t>
                  </w:r>
                </w:p>
              </w:tc>
              <w:tc>
                <w:tcPr>
                  <w:tcW w:w="10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EE30F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iCs/>
                      <w:color w:val="auto"/>
                      <w:kern w:val="0"/>
                      <w:sz w:val="24"/>
                      <w:szCs w:val="24"/>
                      <w:u w:val="none"/>
                      <w:lang w:val="en-US" w:eastAsia="zh-CN" w:bidi="ar"/>
                    </w:rPr>
                  </w:pPr>
                  <w:r>
                    <w:rPr>
                      <w:rFonts w:hint="default" w:ascii="Times New Roman" w:hAnsi="Times New Roman" w:eastAsia="宋体" w:cs="Times New Roman"/>
                      <w:i/>
                      <w:iCs/>
                      <w:color w:val="auto"/>
                      <w:kern w:val="0"/>
                      <w:sz w:val="24"/>
                      <w:szCs w:val="24"/>
                      <w:u w:val="none"/>
                      <w:lang w:val="en-US" w:eastAsia="zh-CN" w:bidi="ar"/>
                    </w:rPr>
                    <w:t>113.88</w:t>
                  </w:r>
                </w:p>
              </w:tc>
              <w:tc>
                <w:tcPr>
                  <w:tcW w:w="728" w:type="pct"/>
                  <w:tcBorders>
                    <w:top w:val="single" w:color="000000" w:sz="8" w:space="0"/>
                    <w:left w:val="single" w:color="000000" w:sz="8" w:space="0"/>
                    <w:bottom w:val="single" w:color="000000" w:sz="8" w:space="0"/>
                    <w:right w:val="nil"/>
                  </w:tcBorders>
                  <w:shd w:val="clear" w:color="auto" w:fill="auto"/>
                  <w:vAlign w:val="center"/>
                </w:tcPr>
                <w:p w14:paraId="3F65664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bottom"/>
                    <w:rPr>
                      <w:rFonts w:hint="default" w:ascii="Times New Roman" w:hAnsi="Times New Roman" w:eastAsia="宋体" w:cs="Times New Roman"/>
                      <w:i/>
                      <w:iCs/>
                      <w:color w:val="auto"/>
                      <w:kern w:val="0"/>
                      <w:sz w:val="24"/>
                      <w:szCs w:val="24"/>
                      <w:u w:val="none"/>
                      <w:lang w:val="en-US" w:eastAsia="zh-CN" w:bidi="ar"/>
                    </w:rPr>
                  </w:pPr>
                  <w:r>
                    <w:rPr>
                      <w:rFonts w:hint="default" w:ascii="Times New Roman" w:hAnsi="Times New Roman" w:eastAsia="宋体" w:cs="Times New Roman"/>
                      <w:i/>
                      <w:iCs/>
                      <w:color w:val="auto"/>
                      <w:kern w:val="0"/>
                      <w:sz w:val="24"/>
                      <w:szCs w:val="24"/>
                      <w:u w:val="none"/>
                      <w:lang w:val="en-US" w:eastAsia="zh-CN" w:bidi="ar"/>
                    </w:rPr>
                    <w:t>99</w:t>
                  </w:r>
                </w:p>
              </w:tc>
            </w:tr>
          </w:tbl>
          <w:p w14:paraId="51B9ECC6">
            <w:pPr>
              <w:pStyle w:val="46"/>
              <w:ind w:firstLine="482"/>
              <w:jc w:val="both"/>
              <w:rPr>
                <w:rFonts w:hint="default"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rPr>
              <w:t>由上表可知，根据各设备的处理能力及运行参数计算，生产设备能力满足生产设计需求</w:t>
            </w:r>
            <w:r>
              <w:rPr>
                <w:rFonts w:hint="eastAsia" w:ascii="仿宋" w:hAnsi="仿宋" w:eastAsia="仿宋" w:cs="仿宋"/>
                <w:b w:val="0"/>
                <w:bCs/>
                <w:color w:val="auto"/>
                <w:sz w:val="28"/>
                <w:szCs w:val="28"/>
                <w:lang w:val="en-US" w:eastAsia="zh-CN"/>
              </w:rPr>
              <w:t>。</w:t>
            </w:r>
          </w:p>
          <w:p w14:paraId="69D66DB6">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eastAsia="仿宋"/>
                <w:b/>
                <w:bCs w:val="0"/>
                <w:color w:val="auto"/>
                <w:sz w:val="28"/>
                <w:szCs w:val="28"/>
                <w:lang w:eastAsia="zh-CN"/>
              </w:rPr>
            </w:pPr>
            <w:r>
              <w:rPr>
                <w:rFonts w:hint="eastAsia"/>
                <w:b/>
                <w:bCs w:val="0"/>
                <w:color w:val="auto"/>
                <w:sz w:val="28"/>
                <w:szCs w:val="28"/>
                <w:lang w:eastAsia="zh-CN"/>
              </w:rPr>
              <w:t>胶水用量核算：</w:t>
            </w:r>
          </w:p>
          <w:p w14:paraId="712226A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bCs/>
                <w:color w:val="auto"/>
                <w:sz w:val="28"/>
                <w:szCs w:val="28"/>
              </w:rPr>
            </w:pPr>
            <w:r>
              <w:rPr>
                <w:rFonts w:hint="eastAsia"/>
                <w:bCs/>
                <w:color w:val="auto"/>
                <w:sz w:val="28"/>
                <w:szCs w:val="28"/>
              </w:rPr>
              <w:t>本项目</w:t>
            </w:r>
            <w:r>
              <w:rPr>
                <w:rFonts w:hint="eastAsia"/>
                <w:bCs/>
                <w:color w:val="auto"/>
                <w:sz w:val="28"/>
                <w:szCs w:val="28"/>
                <w:lang w:val="en-US" w:eastAsia="zh-CN"/>
              </w:rPr>
              <w:t>的产品的作业</w:t>
            </w:r>
            <w:r>
              <w:rPr>
                <w:rFonts w:hint="eastAsia"/>
                <w:bCs/>
                <w:color w:val="auto"/>
                <w:sz w:val="28"/>
                <w:szCs w:val="28"/>
              </w:rPr>
              <w:t>面积由建设单位根据</w:t>
            </w:r>
            <w:r>
              <w:rPr>
                <w:rFonts w:hint="eastAsia"/>
                <w:bCs/>
                <w:color w:val="auto"/>
                <w:sz w:val="28"/>
                <w:szCs w:val="28"/>
                <w:lang w:val="en-US" w:eastAsia="zh-CN"/>
              </w:rPr>
              <w:t>产品尺寸加和</w:t>
            </w:r>
            <w:r>
              <w:rPr>
                <w:rFonts w:hint="eastAsia"/>
                <w:bCs/>
                <w:color w:val="auto"/>
                <w:sz w:val="28"/>
                <w:szCs w:val="28"/>
              </w:rPr>
              <w:t>计算得来</w:t>
            </w:r>
            <w:r>
              <w:rPr>
                <w:rFonts w:hint="eastAsia"/>
                <w:bCs/>
                <w:color w:val="auto"/>
                <w:sz w:val="28"/>
                <w:szCs w:val="28"/>
                <w:lang w:eastAsia="zh-CN"/>
              </w:rPr>
              <w:t>。</w:t>
            </w:r>
            <w:r>
              <w:rPr>
                <w:rFonts w:hint="eastAsia"/>
                <w:bCs/>
                <w:color w:val="auto"/>
                <w:sz w:val="28"/>
                <w:szCs w:val="28"/>
                <w:lang w:val="en-US" w:eastAsia="zh-CN"/>
              </w:rPr>
              <w:t>本项目生产的产品主要包括四种。相关参数如下</w:t>
            </w:r>
          </w:p>
          <w:p w14:paraId="16F8C927">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jc w:val="center"/>
              <w:textAlignment w:val="auto"/>
              <w:rPr>
                <w:rFonts w:hint="eastAsia"/>
                <w:color w:val="auto"/>
              </w:rPr>
            </w:pPr>
            <w:r>
              <w:rPr>
                <w:bCs/>
                <w:color w:val="auto"/>
                <w:sz w:val="24"/>
              </w:rPr>
              <w:t>表</w:t>
            </w:r>
            <w:r>
              <w:rPr>
                <w:rFonts w:hint="eastAsia"/>
                <w:bCs/>
                <w:color w:val="auto"/>
                <w:sz w:val="24"/>
              </w:rPr>
              <w:t>2</w:t>
            </w:r>
            <w:r>
              <w:rPr>
                <w:rFonts w:hint="eastAsia"/>
                <w:bCs/>
                <w:color w:val="auto"/>
                <w:sz w:val="24"/>
                <w:lang w:val="en-US" w:eastAsia="zh-CN"/>
              </w:rPr>
              <w:t>-5涂布作业面参数计算</w:t>
            </w:r>
            <w:r>
              <w:rPr>
                <w:rFonts w:hint="eastAsia"/>
                <w:bCs/>
                <w:color w:val="auto"/>
                <w:sz w:val="24"/>
              </w:rPr>
              <w:t>统计表</w:t>
            </w:r>
          </w:p>
          <w:tbl>
            <w:tblPr>
              <w:tblStyle w:val="31"/>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6"/>
              <w:gridCol w:w="1291"/>
              <w:gridCol w:w="1476"/>
              <w:gridCol w:w="1072"/>
              <w:gridCol w:w="1265"/>
              <w:gridCol w:w="1134"/>
              <w:gridCol w:w="816"/>
              <w:gridCol w:w="1356"/>
              <w:gridCol w:w="981"/>
            </w:tblGrid>
            <w:tr w14:paraId="7CB9E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23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D583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序号</w:t>
                  </w:r>
                </w:p>
              </w:tc>
              <w:tc>
                <w:tcPr>
                  <w:tcW w:w="67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2CF7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产品名称</w:t>
                  </w:r>
                </w:p>
              </w:tc>
              <w:tc>
                <w:tcPr>
                  <w:tcW w:w="7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112E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产品规格（mm）</w:t>
                  </w:r>
                </w:p>
              </w:tc>
              <w:tc>
                <w:tcPr>
                  <w:tcW w:w="56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8544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产量（万</w:t>
                  </w:r>
                  <w:r>
                    <w:rPr>
                      <w:rFonts w:hint="default" w:ascii="Times New Roman" w:hAnsi="Times New Roman" w:cs="Times New Roman"/>
                      <w:i/>
                      <w:iCs/>
                      <w:color w:val="auto"/>
                      <w:kern w:val="0"/>
                      <w:sz w:val="24"/>
                      <w:szCs w:val="24"/>
                      <w:u w:val="none"/>
                      <w:lang w:val="en-US" w:eastAsia="zh-CN" w:bidi="ar"/>
                    </w:rPr>
                    <w:t>m</w:t>
                  </w:r>
                  <w:r>
                    <w:rPr>
                      <w:rFonts w:hint="default" w:ascii="Times New Roman" w:hAnsi="Times New Roman" w:cs="Times New Roman"/>
                      <w:i/>
                      <w:iCs/>
                      <w:color w:val="auto"/>
                      <w:kern w:val="0"/>
                      <w:sz w:val="24"/>
                      <w:szCs w:val="24"/>
                      <w:u w:val="none"/>
                      <w:vertAlign w:val="superscript"/>
                      <w:lang w:val="en-US" w:eastAsia="zh-CN" w:bidi="ar"/>
                    </w:rPr>
                    <w:t>2</w:t>
                  </w:r>
                  <w:r>
                    <w:rPr>
                      <w:rFonts w:hint="default" w:ascii="Times New Roman" w:hAnsi="Times New Roman" w:eastAsia="仿宋" w:cs="Times New Roman"/>
                      <w:i/>
                      <w:iCs/>
                      <w:color w:val="auto"/>
                      <w:kern w:val="0"/>
                      <w:sz w:val="24"/>
                      <w:szCs w:val="24"/>
                      <w:u w:val="none"/>
                      <w:lang w:val="en-US" w:eastAsia="zh-CN" w:bidi="ar"/>
                    </w:rPr>
                    <w:t>/a）</w:t>
                  </w:r>
                </w:p>
              </w:tc>
              <w:tc>
                <w:tcPr>
                  <w:tcW w:w="57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7804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滚胶面积（m</w:t>
                  </w:r>
                  <w:r>
                    <w:rPr>
                      <w:rStyle w:val="149"/>
                      <w:rFonts w:hint="default" w:ascii="Times New Roman" w:hAnsi="Times New Roman" w:eastAsia="仿宋" w:cs="Times New Roman"/>
                      <w:i/>
                      <w:iCs/>
                      <w:color w:val="auto"/>
                      <w:sz w:val="24"/>
                      <w:szCs w:val="24"/>
                      <w:lang w:val="en-US" w:eastAsia="zh-CN" w:bidi="ar"/>
                    </w:rPr>
                    <w:t>2</w:t>
                  </w:r>
                  <w:r>
                    <w:rPr>
                      <w:rFonts w:hint="default" w:ascii="Times New Roman" w:hAnsi="Times New Roman" w:cs="Times New Roman"/>
                      <w:i/>
                      <w:iCs/>
                      <w:color w:val="auto"/>
                      <w:kern w:val="0"/>
                      <w:sz w:val="24"/>
                      <w:szCs w:val="24"/>
                      <w:u w:val="none"/>
                      <w:lang w:val="en-US" w:eastAsia="zh-CN" w:bidi="ar"/>
                    </w:rPr>
                    <w:t>/</w:t>
                  </w:r>
                  <w:r>
                    <w:rPr>
                      <w:rFonts w:hint="default" w:ascii="Times New Roman" w:hAnsi="Times New Roman" w:eastAsia="仿宋" w:cs="Times New Roman"/>
                      <w:i/>
                      <w:iCs/>
                      <w:color w:val="auto"/>
                      <w:kern w:val="0"/>
                      <w:sz w:val="24"/>
                      <w:szCs w:val="24"/>
                      <w:u w:val="none"/>
                      <w:lang w:val="en-US" w:eastAsia="zh-CN" w:bidi="ar"/>
                    </w:rPr>
                    <w:t>m</w:t>
                  </w:r>
                  <w:r>
                    <w:rPr>
                      <w:rStyle w:val="149"/>
                      <w:rFonts w:hint="default" w:ascii="Times New Roman" w:hAnsi="Times New Roman" w:eastAsia="仿宋" w:cs="Times New Roman"/>
                      <w:i/>
                      <w:iCs/>
                      <w:color w:val="auto"/>
                      <w:sz w:val="24"/>
                      <w:szCs w:val="24"/>
                      <w:lang w:val="en-US" w:eastAsia="zh-CN" w:bidi="ar"/>
                    </w:rPr>
                    <w:t>2</w:t>
                  </w:r>
                  <w:r>
                    <w:rPr>
                      <w:rFonts w:hint="default" w:ascii="Times New Roman" w:hAnsi="Times New Roman" w:eastAsia="仿宋" w:cs="Times New Roman"/>
                      <w:i/>
                      <w:iCs/>
                      <w:color w:val="auto"/>
                      <w:kern w:val="0"/>
                      <w:sz w:val="24"/>
                      <w:szCs w:val="24"/>
                      <w:u w:val="none"/>
                      <w:lang w:val="en-US" w:eastAsia="zh-CN" w:bidi="ar"/>
                    </w:rPr>
                    <w:t>）</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44CC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用胶定额（g/m</w:t>
                  </w:r>
                  <w:r>
                    <w:rPr>
                      <w:rStyle w:val="149"/>
                      <w:rFonts w:hint="default" w:ascii="Times New Roman" w:hAnsi="Times New Roman" w:eastAsia="仿宋" w:cs="Times New Roman"/>
                      <w:i/>
                      <w:iCs/>
                      <w:color w:val="auto"/>
                      <w:sz w:val="24"/>
                      <w:szCs w:val="24"/>
                      <w:lang w:val="en-US" w:eastAsia="zh-CN" w:bidi="ar"/>
                    </w:rPr>
                    <w:t>2</w:t>
                  </w:r>
                  <w:r>
                    <w:rPr>
                      <w:rFonts w:hint="default" w:ascii="Times New Roman" w:hAnsi="Times New Roman" w:eastAsia="仿宋" w:cs="Times New Roman"/>
                      <w:i/>
                      <w:iCs/>
                      <w:color w:val="auto"/>
                      <w:kern w:val="0"/>
                      <w:sz w:val="24"/>
                      <w:szCs w:val="24"/>
                      <w:u w:val="none"/>
                      <w:lang w:val="en-US" w:eastAsia="zh-CN" w:bidi="ar"/>
                    </w:rPr>
                    <w:t>）</w:t>
                  </w:r>
                </w:p>
              </w:tc>
              <w:tc>
                <w:tcPr>
                  <w:tcW w:w="41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5187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作业面</w:t>
                  </w:r>
                </w:p>
              </w:tc>
              <w:tc>
                <w:tcPr>
                  <w:tcW w:w="6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4C3D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总作业面积（</w:t>
                  </w:r>
                  <w:r>
                    <w:rPr>
                      <w:rFonts w:hint="default" w:ascii="Times New Roman" w:hAnsi="Times New Roman" w:cs="Times New Roman"/>
                      <w:i/>
                      <w:iCs/>
                      <w:color w:val="auto"/>
                      <w:kern w:val="0"/>
                      <w:sz w:val="24"/>
                      <w:szCs w:val="24"/>
                      <w:u w:val="none"/>
                      <w:lang w:val="en-US" w:eastAsia="zh-CN" w:bidi="ar"/>
                    </w:rPr>
                    <w:t>万</w:t>
                  </w:r>
                  <w:r>
                    <w:rPr>
                      <w:rFonts w:hint="default" w:ascii="Times New Roman" w:hAnsi="Times New Roman" w:eastAsia="仿宋" w:cs="Times New Roman"/>
                      <w:i/>
                      <w:iCs/>
                      <w:color w:val="auto"/>
                      <w:kern w:val="0"/>
                      <w:sz w:val="24"/>
                      <w:szCs w:val="24"/>
                      <w:u w:val="none"/>
                      <w:lang w:val="en-US" w:eastAsia="zh-CN" w:bidi="ar"/>
                    </w:rPr>
                    <w:t>m</w:t>
                  </w:r>
                  <w:r>
                    <w:rPr>
                      <w:rStyle w:val="149"/>
                      <w:rFonts w:hint="default" w:ascii="Times New Roman" w:hAnsi="Times New Roman" w:eastAsia="仿宋" w:cs="Times New Roman"/>
                      <w:i/>
                      <w:iCs/>
                      <w:color w:val="auto"/>
                      <w:sz w:val="24"/>
                      <w:szCs w:val="24"/>
                      <w:lang w:val="en-US" w:eastAsia="zh-CN" w:bidi="ar"/>
                    </w:rPr>
                    <w:t>2</w:t>
                  </w:r>
                  <w:r>
                    <w:rPr>
                      <w:rFonts w:hint="default" w:ascii="Times New Roman" w:hAnsi="Times New Roman" w:eastAsia="仿宋" w:cs="Times New Roman"/>
                      <w:i/>
                      <w:iCs/>
                      <w:color w:val="auto"/>
                      <w:kern w:val="0"/>
                      <w:sz w:val="24"/>
                      <w:szCs w:val="24"/>
                      <w:u w:val="none"/>
                      <w:lang w:val="en-US" w:eastAsia="zh-CN" w:bidi="ar"/>
                    </w:rPr>
                    <w:t>）</w:t>
                  </w:r>
                </w:p>
              </w:tc>
              <w:tc>
                <w:tcPr>
                  <w:tcW w:w="5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1171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有效用胶量（t/a）</w:t>
                  </w:r>
                </w:p>
              </w:tc>
            </w:tr>
            <w:tr w14:paraId="342F4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34" w:type="pct"/>
                  <w:tcBorders>
                    <w:top w:val="nil"/>
                    <w:left w:val="single" w:color="000000" w:sz="8" w:space="0"/>
                    <w:bottom w:val="single" w:color="000000" w:sz="8" w:space="0"/>
                    <w:right w:val="single" w:color="000000" w:sz="8" w:space="0"/>
                  </w:tcBorders>
                  <w:shd w:val="clear" w:color="auto" w:fill="auto"/>
                  <w:vAlign w:val="center"/>
                </w:tcPr>
                <w:p w14:paraId="70D361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1</w:t>
                  </w:r>
                </w:p>
              </w:tc>
              <w:tc>
                <w:tcPr>
                  <w:tcW w:w="672" w:type="pct"/>
                  <w:tcBorders>
                    <w:top w:val="nil"/>
                    <w:left w:val="single" w:color="000000" w:sz="8" w:space="0"/>
                    <w:bottom w:val="single" w:color="auto" w:sz="4" w:space="0"/>
                    <w:right w:val="single" w:color="000000" w:sz="8" w:space="0"/>
                  </w:tcBorders>
                  <w:shd w:val="clear" w:color="auto" w:fill="auto"/>
                  <w:vAlign w:val="center"/>
                </w:tcPr>
                <w:p w14:paraId="2AAC66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PE隔音、隔热棉</w:t>
                  </w:r>
                </w:p>
              </w:tc>
              <w:tc>
                <w:tcPr>
                  <w:tcW w:w="749" w:type="pct"/>
                  <w:tcBorders>
                    <w:top w:val="nil"/>
                    <w:left w:val="single" w:color="000000" w:sz="8" w:space="0"/>
                    <w:bottom w:val="single" w:color="auto" w:sz="4" w:space="0"/>
                    <w:right w:val="single" w:color="000000" w:sz="8" w:space="0"/>
                  </w:tcBorders>
                  <w:shd w:val="clear" w:color="auto" w:fill="auto"/>
                  <w:vAlign w:val="center"/>
                </w:tcPr>
                <w:p w14:paraId="341D65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170*44*</w:t>
                  </w:r>
                  <w:r>
                    <w:rPr>
                      <w:rFonts w:hint="default" w:ascii="Times New Roman" w:hAnsi="Times New Roman" w:cs="Times New Roman"/>
                      <w:i/>
                      <w:iCs/>
                      <w:color w:val="auto"/>
                      <w:kern w:val="0"/>
                      <w:sz w:val="24"/>
                      <w:szCs w:val="24"/>
                      <w:u w:val="none"/>
                      <w:lang w:val="en-US" w:eastAsia="zh-CN" w:bidi="ar"/>
                    </w:rPr>
                    <w:t>3</w:t>
                  </w:r>
                </w:p>
              </w:tc>
              <w:tc>
                <w:tcPr>
                  <w:tcW w:w="562" w:type="pct"/>
                  <w:tcBorders>
                    <w:top w:val="nil"/>
                    <w:left w:val="single" w:color="000000" w:sz="8" w:space="0"/>
                    <w:bottom w:val="single" w:color="auto" w:sz="4" w:space="0"/>
                    <w:right w:val="single" w:color="000000" w:sz="8" w:space="0"/>
                  </w:tcBorders>
                  <w:shd w:val="clear" w:color="auto" w:fill="auto"/>
                  <w:vAlign w:val="center"/>
                </w:tcPr>
                <w:p w14:paraId="565572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lang w:eastAsia="zh-CN"/>
                    </w:rPr>
                  </w:pPr>
                  <w:r>
                    <w:rPr>
                      <w:rFonts w:hint="default" w:ascii="Times New Roman" w:hAnsi="Times New Roman" w:eastAsia="宋体" w:cs="Times New Roman"/>
                      <w:i/>
                      <w:iCs/>
                      <w:color w:val="auto"/>
                      <w:kern w:val="0"/>
                      <w:sz w:val="24"/>
                      <w:szCs w:val="24"/>
                      <w:u w:val="none"/>
                      <w:lang w:val="en-US" w:eastAsia="zh-CN" w:bidi="ar"/>
                    </w:rPr>
                    <w:t>24.75</w:t>
                  </w:r>
                </w:p>
              </w:tc>
              <w:tc>
                <w:tcPr>
                  <w:tcW w:w="579" w:type="pct"/>
                  <w:tcBorders>
                    <w:top w:val="nil"/>
                    <w:left w:val="single" w:color="000000" w:sz="8" w:space="0"/>
                    <w:bottom w:val="single" w:color="auto" w:sz="4" w:space="0"/>
                    <w:right w:val="single" w:color="000000" w:sz="8" w:space="0"/>
                  </w:tcBorders>
                  <w:shd w:val="clear" w:color="auto" w:fill="auto"/>
                  <w:vAlign w:val="center"/>
                </w:tcPr>
                <w:p w14:paraId="1F4E70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0.76</w:t>
                  </w:r>
                </w:p>
              </w:tc>
              <w:tc>
                <w:tcPr>
                  <w:tcW w:w="581" w:type="pct"/>
                  <w:tcBorders>
                    <w:top w:val="nil"/>
                    <w:left w:val="single" w:color="000000" w:sz="8" w:space="0"/>
                    <w:bottom w:val="single" w:color="000000" w:sz="8" w:space="0"/>
                    <w:right w:val="single" w:color="000000" w:sz="8" w:space="0"/>
                  </w:tcBorders>
                  <w:shd w:val="clear" w:color="auto" w:fill="auto"/>
                  <w:vAlign w:val="center"/>
                </w:tcPr>
                <w:p w14:paraId="347720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60</w:t>
                  </w:r>
                </w:p>
              </w:tc>
              <w:tc>
                <w:tcPr>
                  <w:tcW w:w="413" w:type="pct"/>
                  <w:tcBorders>
                    <w:top w:val="nil"/>
                    <w:left w:val="single" w:color="000000" w:sz="8" w:space="0"/>
                    <w:bottom w:val="single" w:color="000000" w:sz="8" w:space="0"/>
                    <w:right w:val="single" w:color="000000" w:sz="8" w:space="0"/>
                  </w:tcBorders>
                  <w:shd w:val="clear" w:color="auto" w:fill="auto"/>
                  <w:vAlign w:val="center"/>
                </w:tcPr>
                <w:p w14:paraId="2101EE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cs="Times New Roman"/>
                      <w:i/>
                      <w:iCs/>
                      <w:color w:val="auto"/>
                      <w:kern w:val="0"/>
                      <w:sz w:val="24"/>
                      <w:szCs w:val="24"/>
                      <w:u w:val="none"/>
                      <w:lang w:val="en-US" w:eastAsia="zh-CN" w:bidi="ar"/>
                    </w:rPr>
                    <w:t>1（2）</w:t>
                  </w:r>
                </w:p>
              </w:tc>
              <w:tc>
                <w:tcPr>
                  <w:tcW w:w="689" w:type="pct"/>
                  <w:tcBorders>
                    <w:top w:val="nil"/>
                    <w:left w:val="single" w:color="000000" w:sz="8" w:space="0"/>
                    <w:bottom w:val="single" w:color="000000" w:sz="8" w:space="0"/>
                    <w:right w:val="single" w:color="000000" w:sz="8" w:space="0"/>
                  </w:tcBorders>
                  <w:shd w:val="clear" w:color="auto" w:fill="auto"/>
                  <w:vAlign w:val="center"/>
                </w:tcPr>
                <w:p w14:paraId="768F7D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190230.975</w:t>
                  </w:r>
                </w:p>
              </w:tc>
              <w:tc>
                <w:tcPr>
                  <w:tcW w:w="516" w:type="pct"/>
                  <w:tcBorders>
                    <w:top w:val="nil"/>
                    <w:left w:val="single" w:color="000000" w:sz="8" w:space="0"/>
                    <w:bottom w:val="single" w:color="000000" w:sz="8" w:space="0"/>
                    <w:right w:val="single" w:color="000000" w:sz="8" w:space="0"/>
                  </w:tcBorders>
                  <w:shd w:val="clear" w:color="auto" w:fill="auto"/>
                  <w:vAlign w:val="center"/>
                </w:tcPr>
                <w:p w14:paraId="6C6631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lang w:val="en-US"/>
                    </w:rPr>
                  </w:pPr>
                  <w:r>
                    <w:rPr>
                      <w:rFonts w:hint="default" w:ascii="Times New Roman" w:hAnsi="Times New Roman" w:eastAsia="宋体" w:cs="Times New Roman"/>
                      <w:i/>
                      <w:iCs/>
                      <w:color w:val="auto"/>
                      <w:kern w:val="0"/>
                      <w:sz w:val="24"/>
                      <w:szCs w:val="24"/>
                      <w:u w:val="none"/>
                      <w:lang w:val="en-US" w:eastAsia="zh-CN" w:bidi="ar"/>
                    </w:rPr>
                    <w:t>11.</w:t>
                  </w:r>
                  <w:r>
                    <w:rPr>
                      <w:rFonts w:hint="eastAsia" w:ascii="Times New Roman" w:hAnsi="Times New Roman" w:eastAsia="宋体" w:cs="Times New Roman"/>
                      <w:i/>
                      <w:iCs/>
                      <w:color w:val="auto"/>
                      <w:kern w:val="0"/>
                      <w:sz w:val="24"/>
                      <w:szCs w:val="24"/>
                      <w:u w:val="none"/>
                      <w:lang w:val="en-US" w:eastAsia="zh-CN" w:bidi="ar"/>
                    </w:rPr>
                    <w:t>399</w:t>
                  </w:r>
                </w:p>
              </w:tc>
            </w:tr>
            <w:tr w14:paraId="3C620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234" w:type="pct"/>
                  <w:tcBorders>
                    <w:top w:val="nil"/>
                    <w:left w:val="single" w:color="000000" w:sz="8" w:space="0"/>
                    <w:bottom w:val="single" w:color="000000" w:sz="8" w:space="0"/>
                    <w:right w:val="single" w:color="auto" w:sz="4" w:space="0"/>
                  </w:tcBorders>
                  <w:shd w:val="clear" w:color="auto" w:fill="auto"/>
                  <w:vAlign w:val="center"/>
                </w:tcPr>
                <w:p w14:paraId="3E1564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2</w:t>
                  </w:r>
                </w:p>
              </w:tc>
              <w:tc>
                <w:tcPr>
                  <w:tcW w:w="672" w:type="pct"/>
                  <w:tcBorders>
                    <w:top w:val="single" w:color="auto" w:sz="4" w:space="0"/>
                    <w:left w:val="single" w:color="auto" w:sz="4" w:space="0"/>
                    <w:bottom w:val="single" w:color="auto" w:sz="4" w:space="0"/>
                    <w:right w:val="single" w:color="auto" w:sz="4" w:space="0"/>
                  </w:tcBorders>
                  <w:shd w:val="clear" w:color="auto" w:fill="auto"/>
                  <w:vAlign w:val="center"/>
                </w:tcPr>
                <w:p w14:paraId="33D4ED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PU隔音、隔热棉</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14:paraId="238A53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490*150*15</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14:paraId="7C861F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lang w:val="en-US" w:eastAsia="zh-CN"/>
                    </w:rPr>
                  </w:pPr>
                  <w:r>
                    <w:rPr>
                      <w:rFonts w:hint="default" w:ascii="Times New Roman" w:hAnsi="Times New Roman" w:eastAsia="宋体" w:cs="Times New Roman"/>
                      <w:i/>
                      <w:iCs/>
                      <w:color w:val="auto"/>
                      <w:kern w:val="0"/>
                      <w:sz w:val="24"/>
                      <w:szCs w:val="24"/>
                      <w:u w:val="none"/>
                      <w:lang w:val="en-US" w:eastAsia="zh-CN" w:bidi="ar"/>
                    </w:rPr>
                    <w:t>39.6</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518976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0.98</w:t>
                  </w:r>
                </w:p>
              </w:tc>
              <w:tc>
                <w:tcPr>
                  <w:tcW w:w="581" w:type="pct"/>
                  <w:tcBorders>
                    <w:top w:val="nil"/>
                    <w:left w:val="single" w:color="auto" w:sz="4" w:space="0"/>
                    <w:bottom w:val="single" w:color="000000" w:sz="8" w:space="0"/>
                    <w:right w:val="single" w:color="000000" w:sz="8" w:space="0"/>
                  </w:tcBorders>
                  <w:shd w:val="clear" w:color="auto" w:fill="auto"/>
                  <w:vAlign w:val="center"/>
                </w:tcPr>
                <w:p w14:paraId="359875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120</w:t>
                  </w:r>
                </w:p>
              </w:tc>
              <w:tc>
                <w:tcPr>
                  <w:tcW w:w="413" w:type="pct"/>
                  <w:tcBorders>
                    <w:top w:val="nil"/>
                    <w:left w:val="single" w:color="000000" w:sz="8" w:space="0"/>
                    <w:bottom w:val="single" w:color="000000" w:sz="8" w:space="0"/>
                    <w:right w:val="single" w:color="000000" w:sz="8" w:space="0"/>
                  </w:tcBorders>
                  <w:shd w:val="clear" w:color="auto" w:fill="auto"/>
                  <w:vAlign w:val="center"/>
                </w:tcPr>
                <w:p w14:paraId="7A9CBC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cs="Times New Roman"/>
                      <w:i/>
                      <w:iCs/>
                      <w:color w:val="auto"/>
                      <w:kern w:val="0"/>
                      <w:sz w:val="24"/>
                      <w:szCs w:val="24"/>
                      <w:u w:val="none"/>
                      <w:lang w:val="en-US" w:eastAsia="zh-CN" w:bidi="ar"/>
                    </w:rPr>
                    <w:t>1（2）</w:t>
                  </w:r>
                </w:p>
              </w:tc>
              <w:tc>
                <w:tcPr>
                  <w:tcW w:w="689" w:type="pct"/>
                  <w:tcBorders>
                    <w:top w:val="nil"/>
                    <w:left w:val="single" w:color="000000" w:sz="8" w:space="0"/>
                    <w:bottom w:val="single" w:color="000000" w:sz="8" w:space="0"/>
                    <w:right w:val="single" w:color="000000" w:sz="8" w:space="0"/>
                  </w:tcBorders>
                  <w:shd w:val="clear" w:color="auto" w:fill="auto"/>
                  <w:vAlign w:val="center"/>
                </w:tcPr>
                <w:p w14:paraId="36CDBC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391960.8</w:t>
                  </w:r>
                </w:p>
              </w:tc>
              <w:tc>
                <w:tcPr>
                  <w:tcW w:w="516" w:type="pct"/>
                  <w:tcBorders>
                    <w:top w:val="nil"/>
                    <w:left w:val="single" w:color="000000" w:sz="8" w:space="0"/>
                    <w:bottom w:val="single" w:color="000000" w:sz="8" w:space="0"/>
                    <w:right w:val="single" w:color="000000" w:sz="8" w:space="0"/>
                  </w:tcBorders>
                  <w:shd w:val="clear" w:color="auto" w:fill="auto"/>
                  <w:vAlign w:val="center"/>
                </w:tcPr>
                <w:p w14:paraId="6E92D1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47.035</w:t>
                  </w:r>
                </w:p>
              </w:tc>
            </w:tr>
            <w:tr w14:paraId="3C600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34" w:type="pct"/>
                  <w:tcBorders>
                    <w:top w:val="nil"/>
                    <w:left w:val="single" w:color="000000" w:sz="8" w:space="0"/>
                    <w:bottom w:val="single" w:color="auto" w:sz="4" w:space="0"/>
                    <w:right w:val="single" w:color="auto" w:sz="4" w:space="0"/>
                  </w:tcBorders>
                  <w:shd w:val="clear" w:color="auto" w:fill="auto"/>
                  <w:vAlign w:val="center"/>
                </w:tcPr>
                <w:p w14:paraId="24F0ED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3</w:t>
                  </w:r>
                </w:p>
              </w:tc>
              <w:tc>
                <w:tcPr>
                  <w:tcW w:w="672" w:type="pct"/>
                  <w:tcBorders>
                    <w:top w:val="single" w:color="auto" w:sz="4" w:space="0"/>
                    <w:left w:val="single" w:color="auto" w:sz="4" w:space="0"/>
                    <w:bottom w:val="single" w:color="auto" w:sz="4" w:space="0"/>
                    <w:right w:val="single" w:color="auto" w:sz="4" w:space="0"/>
                  </w:tcBorders>
                  <w:shd w:val="clear" w:color="auto" w:fill="auto"/>
                  <w:vAlign w:val="center"/>
                </w:tcPr>
                <w:p w14:paraId="0B5726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EVA隔音、隔热棉</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14:paraId="46F7D8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195*55*5</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14:paraId="46862A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19.8</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6D134E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0.66</w:t>
                  </w:r>
                </w:p>
              </w:tc>
              <w:tc>
                <w:tcPr>
                  <w:tcW w:w="581" w:type="pct"/>
                  <w:tcBorders>
                    <w:top w:val="nil"/>
                    <w:left w:val="single" w:color="auto" w:sz="4" w:space="0"/>
                    <w:bottom w:val="single" w:color="auto" w:sz="4" w:space="0"/>
                    <w:right w:val="single" w:color="000000" w:sz="8" w:space="0"/>
                  </w:tcBorders>
                  <w:shd w:val="clear" w:color="auto" w:fill="auto"/>
                  <w:vAlign w:val="center"/>
                </w:tcPr>
                <w:p w14:paraId="49E8F2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120</w:t>
                  </w:r>
                </w:p>
              </w:tc>
              <w:tc>
                <w:tcPr>
                  <w:tcW w:w="413" w:type="pct"/>
                  <w:tcBorders>
                    <w:top w:val="nil"/>
                    <w:left w:val="single" w:color="000000" w:sz="8" w:space="0"/>
                    <w:bottom w:val="single" w:color="auto" w:sz="4" w:space="0"/>
                    <w:right w:val="single" w:color="000000" w:sz="8" w:space="0"/>
                  </w:tcBorders>
                  <w:shd w:val="clear" w:color="auto" w:fill="auto"/>
                  <w:vAlign w:val="center"/>
                </w:tcPr>
                <w:p w14:paraId="1BC7F5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u w:val="none"/>
                    </w:rPr>
                  </w:pPr>
                  <w:r>
                    <w:rPr>
                      <w:rFonts w:hint="default" w:ascii="Times New Roman" w:hAnsi="Times New Roman" w:eastAsia="仿宋" w:cs="Times New Roman"/>
                      <w:i/>
                      <w:iCs/>
                      <w:color w:val="auto"/>
                      <w:kern w:val="0"/>
                      <w:sz w:val="24"/>
                      <w:szCs w:val="24"/>
                      <w:u w:val="none"/>
                      <w:lang w:val="en-US" w:eastAsia="zh-CN" w:bidi="ar"/>
                    </w:rPr>
                    <w:t>1</w:t>
                  </w:r>
                </w:p>
              </w:tc>
              <w:tc>
                <w:tcPr>
                  <w:tcW w:w="689" w:type="pct"/>
                  <w:tcBorders>
                    <w:top w:val="nil"/>
                    <w:left w:val="single" w:color="000000" w:sz="8" w:space="0"/>
                    <w:bottom w:val="single" w:color="auto" w:sz="4" w:space="0"/>
                    <w:right w:val="single" w:color="000000" w:sz="8" w:space="0"/>
                  </w:tcBorders>
                  <w:shd w:val="clear" w:color="auto" w:fill="auto"/>
                  <w:vAlign w:val="center"/>
                </w:tcPr>
                <w:p w14:paraId="0C39D1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130680</w:t>
                  </w:r>
                </w:p>
              </w:tc>
              <w:tc>
                <w:tcPr>
                  <w:tcW w:w="516" w:type="pct"/>
                  <w:tcBorders>
                    <w:top w:val="nil"/>
                    <w:left w:val="single" w:color="000000" w:sz="8" w:space="0"/>
                    <w:bottom w:val="single" w:color="auto" w:sz="4" w:space="0"/>
                    <w:right w:val="single" w:color="000000" w:sz="8" w:space="0"/>
                  </w:tcBorders>
                  <w:shd w:val="clear" w:color="auto" w:fill="auto"/>
                  <w:vAlign w:val="center"/>
                </w:tcPr>
                <w:p w14:paraId="5B8230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sz w:val="24"/>
                      <w:szCs w:val="24"/>
                      <w:u w:val="none"/>
                    </w:rPr>
                  </w:pPr>
                  <w:r>
                    <w:rPr>
                      <w:rFonts w:hint="default" w:ascii="Times New Roman" w:hAnsi="Times New Roman" w:eastAsia="宋体" w:cs="Times New Roman"/>
                      <w:i/>
                      <w:iCs/>
                      <w:color w:val="auto"/>
                      <w:kern w:val="0"/>
                      <w:sz w:val="24"/>
                      <w:szCs w:val="24"/>
                      <w:u w:val="none"/>
                      <w:lang w:val="en-US" w:eastAsia="zh-CN" w:bidi="ar"/>
                    </w:rPr>
                    <w:t>15.682</w:t>
                  </w:r>
                </w:p>
              </w:tc>
            </w:tr>
            <w:tr w14:paraId="22981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2B0D05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4</w:t>
                  </w:r>
                </w:p>
              </w:tc>
              <w:tc>
                <w:tcPr>
                  <w:tcW w:w="672" w:type="pct"/>
                  <w:tcBorders>
                    <w:top w:val="single" w:color="auto" w:sz="4" w:space="0"/>
                    <w:left w:val="single" w:color="auto" w:sz="4" w:space="0"/>
                    <w:bottom w:val="single" w:color="auto" w:sz="4" w:space="0"/>
                    <w:right w:val="single" w:color="auto" w:sz="4" w:space="0"/>
                  </w:tcBorders>
                  <w:shd w:val="clear" w:color="auto" w:fill="auto"/>
                  <w:vAlign w:val="center"/>
                </w:tcPr>
                <w:p w14:paraId="54E6CB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植绒布</w:t>
                  </w:r>
                  <w:r>
                    <w:rPr>
                      <w:rFonts w:hint="default" w:ascii="Times New Roman" w:hAnsi="Times New Roman" w:eastAsia="仿宋" w:cs="Times New Roman"/>
                      <w:i/>
                      <w:iCs/>
                      <w:color w:val="auto"/>
                      <w:kern w:val="0"/>
                      <w:sz w:val="24"/>
                      <w:szCs w:val="24"/>
                      <w:u w:val="none"/>
                      <w:lang w:val="en-US" w:eastAsia="zh-CN" w:bidi="ar"/>
                    </w:rPr>
                    <w:t>隔音、隔热棉</w:t>
                  </w:r>
                </w:p>
              </w:tc>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14:paraId="54673B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1800*10*0.5</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14:paraId="7405F4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eastAsia="仿宋" w:cs="Times New Roman"/>
                      <w:i/>
                      <w:iCs/>
                      <w:color w:val="auto"/>
                      <w:kern w:val="0"/>
                      <w:sz w:val="24"/>
                      <w:szCs w:val="24"/>
                      <w:u w:val="none"/>
                      <w:lang w:val="en-US" w:eastAsia="zh-CN" w:bidi="ar"/>
                    </w:rPr>
                    <w:t>14.85</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66898D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eastAsia="宋体" w:cs="Times New Roman"/>
                      <w:i/>
                      <w:iCs/>
                      <w:color w:val="auto"/>
                      <w:kern w:val="0"/>
                      <w:sz w:val="24"/>
                      <w:szCs w:val="24"/>
                      <w:u w:val="none"/>
                      <w:lang w:val="en-US" w:eastAsia="zh-CN" w:bidi="ar"/>
                    </w:rPr>
                    <w:t>0.66</w:t>
                  </w:r>
                </w:p>
              </w:tc>
              <w:tc>
                <w:tcPr>
                  <w:tcW w:w="581" w:type="pct"/>
                  <w:tcBorders>
                    <w:top w:val="single" w:color="auto" w:sz="4" w:space="0"/>
                    <w:left w:val="single" w:color="auto" w:sz="4" w:space="0"/>
                    <w:bottom w:val="single" w:color="auto" w:sz="4" w:space="0"/>
                    <w:right w:val="single" w:color="auto" w:sz="4" w:space="0"/>
                  </w:tcBorders>
                  <w:shd w:val="clear" w:color="auto" w:fill="auto"/>
                  <w:vAlign w:val="center"/>
                </w:tcPr>
                <w:p w14:paraId="5D797D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60</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4A5AFA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eastAsia="仿宋" w:cs="Times New Roman"/>
                      <w:i/>
                      <w:iCs/>
                      <w:color w:val="auto"/>
                      <w:kern w:val="0"/>
                      <w:sz w:val="24"/>
                      <w:szCs w:val="24"/>
                      <w:u w:val="none"/>
                      <w:lang w:val="en-US" w:eastAsia="zh-CN" w:bidi="ar"/>
                    </w:rPr>
                    <w:t>1</w:t>
                  </w:r>
                </w:p>
              </w:tc>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14:paraId="7CABF9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eastAsia="宋体" w:cs="Times New Roman"/>
                      <w:i/>
                      <w:iCs/>
                      <w:color w:val="auto"/>
                      <w:kern w:val="0"/>
                      <w:sz w:val="24"/>
                      <w:szCs w:val="24"/>
                      <w:u w:val="none"/>
                      <w:lang w:val="en-US" w:eastAsia="zh-CN" w:bidi="ar"/>
                    </w:rPr>
                    <w:t>98010</w:t>
                  </w:r>
                </w:p>
              </w:tc>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14:paraId="0B8568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eastAsia="宋体" w:cs="Times New Roman"/>
                      <w:i/>
                      <w:iCs/>
                      <w:color w:val="auto"/>
                      <w:kern w:val="0"/>
                      <w:sz w:val="24"/>
                      <w:szCs w:val="24"/>
                      <w:u w:val="none"/>
                      <w:lang w:val="en-US" w:eastAsia="zh-CN" w:bidi="ar"/>
                    </w:rPr>
                    <w:t>5.881</w:t>
                  </w:r>
                </w:p>
              </w:tc>
            </w:tr>
            <w:tr w14:paraId="5236B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165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3BD52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top"/>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合计</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14:paraId="7A12DA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99</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5E7905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w:t>
                  </w:r>
                </w:p>
              </w:tc>
              <w:tc>
                <w:tcPr>
                  <w:tcW w:w="581" w:type="pct"/>
                  <w:tcBorders>
                    <w:top w:val="single" w:color="auto" w:sz="4" w:space="0"/>
                    <w:left w:val="single" w:color="auto" w:sz="4" w:space="0"/>
                    <w:bottom w:val="single" w:color="auto" w:sz="4" w:space="0"/>
                    <w:right w:val="single" w:color="auto" w:sz="4" w:space="0"/>
                  </w:tcBorders>
                  <w:shd w:val="clear" w:color="auto" w:fill="auto"/>
                  <w:vAlign w:val="center"/>
                </w:tcPr>
                <w:p w14:paraId="117783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281F35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w:t>
                  </w:r>
                </w:p>
              </w:tc>
              <w:tc>
                <w:tcPr>
                  <w:tcW w:w="689" w:type="pct"/>
                  <w:tcBorders>
                    <w:top w:val="single" w:color="auto" w:sz="4" w:space="0"/>
                    <w:left w:val="single" w:color="auto" w:sz="4" w:space="0"/>
                    <w:bottom w:val="single" w:color="auto" w:sz="4" w:space="0"/>
                    <w:right w:val="single" w:color="auto" w:sz="4" w:space="0"/>
                  </w:tcBorders>
                  <w:shd w:val="clear" w:color="auto" w:fill="auto"/>
                  <w:vAlign w:val="center"/>
                </w:tcPr>
                <w:p w14:paraId="4CA1E3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81.1</w:t>
                  </w:r>
                </w:p>
              </w:tc>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14:paraId="74B915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kern w:val="0"/>
                      <w:sz w:val="24"/>
                      <w:szCs w:val="24"/>
                      <w:u w:val="none"/>
                      <w:lang w:val="en-US" w:eastAsia="zh-CN" w:bidi="ar"/>
                    </w:rPr>
                  </w:pPr>
                  <w:r>
                    <w:rPr>
                      <w:rFonts w:hint="eastAsia" w:ascii="Times New Roman" w:hAnsi="Times New Roman" w:cs="Times New Roman"/>
                      <w:i/>
                      <w:iCs/>
                      <w:color w:val="auto"/>
                      <w:kern w:val="0"/>
                      <w:sz w:val="24"/>
                      <w:szCs w:val="24"/>
                      <w:u w:val="none"/>
                      <w:lang w:val="en-US" w:eastAsia="zh-CN" w:bidi="ar"/>
                    </w:rPr>
                    <w:t>79.996</w:t>
                  </w:r>
                </w:p>
              </w:tc>
            </w:tr>
            <w:tr w14:paraId="0CF62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000"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09DE68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bottom"/>
                    <w:rPr>
                      <w:rFonts w:hint="default" w:ascii="Times New Roman" w:hAnsi="Times New Roman" w:cs="Times New Roman"/>
                      <w:i/>
                      <w:iCs/>
                      <w:color w:val="auto"/>
                      <w:kern w:val="0"/>
                      <w:sz w:val="24"/>
                      <w:szCs w:val="24"/>
                      <w:u w:val="none"/>
                      <w:lang w:val="en-US" w:eastAsia="zh-CN" w:bidi="ar"/>
                    </w:rPr>
                  </w:pPr>
                  <w:r>
                    <w:rPr>
                      <w:rFonts w:hint="default" w:ascii="Times New Roman" w:hAnsi="Times New Roman" w:cs="Times New Roman"/>
                      <w:i/>
                      <w:iCs/>
                      <w:color w:val="auto"/>
                      <w:kern w:val="0"/>
                      <w:sz w:val="24"/>
                      <w:szCs w:val="24"/>
                      <w:u w:val="none"/>
                      <w:lang w:val="en-US" w:eastAsia="zh-CN" w:bidi="ar"/>
                    </w:rPr>
                    <w:t>注：其中PE、PU涉及2面喷胶的产品占PE、PU总产品的1%。</w:t>
                  </w:r>
                </w:p>
              </w:tc>
            </w:tr>
          </w:tbl>
          <w:p w14:paraId="2188912E">
            <w:pPr>
              <w:pStyle w:val="25"/>
              <w:rPr>
                <w:rFonts w:hint="eastAsia"/>
                <w:color w:val="auto"/>
              </w:rPr>
            </w:pPr>
          </w:p>
          <w:p w14:paraId="36C87BB5">
            <w:pPr>
              <w:pStyle w:val="53"/>
              <w:spacing w:before="120"/>
              <w:rPr>
                <w:rFonts w:ascii="仿宋" w:hAnsi="仿宋"/>
                <w:color w:val="auto"/>
                <w:sz w:val="28"/>
              </w:rPr>
            </w:pPr>
            <w:r>
              <w:rPr>
                <w:rFonts w:hint="eastAsia" w:ascii="仿宋" w:hAnsi="仿宋"/>
                <w:color w:val="auto"/>
                <w:sz w:val="28"/>
                <w:lang w:val="en-US"/>
              </w:rPr>
              <w:t>5</w:t>
            </w:r>
            <w:r>
              <w:rPr>
                <w:rFonts w:ascii="仿宋" w:hAnsi="仿宋"/>
                <w:color w:val="auto"/>
                <w:sz w:val="28"/>
              </w:rPr>
              <w:t>.</w:t>
            </w:r>
            <w:r>
              <w:rPr>
                <w:rFonts w:hint="eastAsia" w:ascii="仿宋" w:hAnsi="仿宋"/>
                <w:color w:val="auto"/>
                <w:sz w:val="28"/>
              </w:rPr>
              <w:t>主要原辅料</w:t>
            </w:r>
          </w:p>
          <w:p w14:paraId="107DEA13">
            <w:pPr>
              <w:ind w:firstLine="560"/>
              <w:rPr>
                <w:color w:val="auto"/>
                <w:sz w:val="28"/>
              </w:rPr>
            </w:pPr>
            <w:r>
              <w:rPr>
                <w:color w:val="auto"/>
                <w:sz w:val="28"/>
              </w:rPr>
              <w:t>（1）</w:t>
            </w:r>
            <w:r>
              <w:rPr>
                <w:rFonts w:hint="eastAsia"/>
                <w:color w:val="auto"/>
                <w:sz w:val="28"/>
              </w:rPr>
              <w:t>项目主要原辅料</w:t>
            </w:r>
          </w:p>
          <w:p w14:paraId="6B9F9CBA">
            <w:pPr>
              <w:ind w:firstLine="560"/>
              <w:rPr>
                <w:color w:val="auto"/>
                <w:sz w:val="24"/>
              </w:rPr>
            </w:pPr>
            <w:r>
              <w:rPr>
                <w:rFonts w:hint="eastAsia"/>
                <w:color w:val="auto"/>
                <w:sz w:val="28"/>
              </w:rPr>
              <w:t>本项目主要原辅材料用量详见表2-6。</w:t>
            </w:r>
          </w:p>
          <w:p w14:paraId="7DE2AA52">
            <w:pPr>
              <w:pStyle w:val="75"/>
              <w:rPr>
                <w:color w:val="auto"/>
              </w:rPr>
            </w:pPr>
            <w:r>
              <w:rPr>
                <w:rFonts w:hint="eastAsia"/>
                <w:color w:val="auto"/>
                <w:sz w:val="24"/>
              </w:rPr>
              <w:t>表2-</w:t>
            </w:r>
            <w:r>
              <w:rPr>
                <w:rFonts w:hint="eastAsia"/>
                <w:color w:val="auto"/>
                <w:sz w:val="24"/>
                <w:lang w:val="en-US"/>
              </w:rPr>
              <w:t>6</w:t>
            </w:r>
            <w:r>
              <w:rPr>
                <w:rFonts w:hint="eastAsia"/>
                <w:color w:val="auto"/>
                <w:sz w:val="24"/>
              </w:rPr>
              <w:t>项目主要原辅材料用量情况一览表</w:t>
            </w:r>
          </w:p>
          <w:tbl>
            <w:tblPr>
              <w:tblStyle w:val="31"/>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774"/>
              <w:gridCol w:w="1580"/>
              <w:gridCol w:w="1501"/>
              <w:gridCol w:w="1639"/>
              <w:gridCol w:w="2482"/>
            </w:tblGrid>
            <w:tr w14:paraId="6E7F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42DE4A4F">
                  <w:pPr>
                    <w:pStyle w:val="48"/>
                    <w:spacing w:line="240" w:lineRule="auto"/>
                    <w:rPr>
                      <w:rFonts w:hint="default" w:ascii="Times New Roman" w:hAnsi="Times New Roman" w:cs="Times New Roman"/>
                      <w:color w:val="auto"/>
                      <w:szCs w:val="18"/>
                    </w:rPr>
                  </w:pPr>
                  <w:r>
                    <w:rPr>
                      <w:rFonts w:hint="default" w:ascii="Times New Roman" w:hAnsi="Times New Roman" w:cs="Times New Roman"/>
                      <w:color w:val="auto"/>
                      <w:sz w:val="24"/>
                      <w:szCs w:val="18"/>
                    </w:rPr>
                    <w:t>序号</w:t>
                  </w:r>
                </w:p>
              </w:tc>
              <w:tc>
                <w:tcPr>
                  <w:tcW w:w="902" w:type="pct"/>
                  <w:vAlign w:val="center"/>
                </w:tcPr>
                <w:p w14:paraId="5583360F">
                  <w:pPr>
                    <w:pStyle w:val="48"/>
                    <w:spacing w:line="240" w:lineRule="auto"/>
                    <w:rPr>
                      <w:rFonts w:hint="default" w:ascii="Times New Roman" w:hAnsi="Times New Roman" w:cs="Times New Roman"/>
                      <w:color w:val="auto"/>
                      <w:szCs w:val="18"/>
                    </w:rPr>
                  </w:pPr>
                  <w:r>
                    <w:rPr>
                      <w:rFonts w:hint="default" w:ascii="Times New Roman" w:hAnsi="Times New Roman" w:cs="Times New Roman"/>
                      <w:color w:val="auto"/>
                      <w:sz w:val="24"/>
                      <w:szCs w:val="18"/>
                    </w:rPr>
                    <w:t>名称</w:t>
                  </w:r>
                </w:p>
              </w:tc>
              <w:tc>
                <w:tcPr>
                  <w:tcW w:w="803" w:type="pct"/>
                  <w:vAlign w:val="center"/>
                </w:tcPr>
                <w:p w14:paraId="4F177509">
                  <w:pPr>
                    <w:pStyle w:val="48"/>
                    <w:spacing w:line="240" w:lineRule="auto"/>
                    <w:rPr>
                      <w:rFonts w:hint="default" w:ascii="Times New Roman" w:hAnsi="Times New Roman" w:cs="Times New Roman"/>
                      <w:color w:val="auto"/>
                      <w:szCs w:val="18"/>
                    </w:rPr>
                  </w:pPr>
                  <w:r>
                    <w:rPr>
                      <w:rFonts w:hint="default" w:ascii="Times New Roman" w:hAnsi="Times New Roman" w:cs="Times New Roman"/>
                      <w:color w:val="auto"/>
                      <w:sz w:val="24"/>
                      <w:szCs w:val="18"/>
                    </w:rPr>
                    <w:t>成分与规格</w:t>
                  </w:r>
                </w:p>
              </w:tc>
              <w:tc>
                <w:tcPr>
                  <w:tcW w:w="763" w:type="pct"/>
                  <w:vAlign w:val="center"/>
                </w:tcPr>
                <w:p w14:paraId="0FCCA4F5">
                  <w:pPr>
                    <w:pStyle w:val="48"/>
                    <w:spacing w:line="240" w:lineRule="auto"/>
                    <w:rPr>
                      <w:rFonts w:hint="default" w:ascii="Times New Roman" w:hAnsi="Times New Roman" w:cs="Times New Roman"/>
                      <w:color w:val="auto"/>
                      <w:szCs w:val="18"/>
                    </w:rPr>
                  </w:pPr>
                  <w:r>
                    <w:rPr>
                      <w:rFonts w:hint="default" w:ascii="Times New Roman" w:hAnsi="Times New Roman" w:cs="Times New Roman"/>
                      <w:color w:val="auto"/>
                      <w:sz w:val="24"/>
                      <w:szCs w:val="18"/>
                    </w:rPr>
                    <w:t>年用量t</w:t>
                  </w:r>
                </w:p>
              </w:tc>
              <w:tc>
                <w:tcPr>
                  <w:tcW w:w="833" w:type="pct"/>
                  <w:vAlign w:val="center"/>
                </w:tcPr>
                <w:p w14:paraId="2C497CC8">
                  <w:pPr>
                    <w:pStyle w:val="48"/>
                    <w:spacing w:line="240" w:lineRule="auto"/>
                    <w:rPr>
                      <w:rFonts w:hint="default" w:ascii="Times New Roman" w:hAnsi="Times New Roman" w:cs="Times New Roman"/>
                      <w:color w:val="auto"/>
                      <w:szCs w:val="18"/>
                    </w:rPr>
                  </w:pPr>
                  <w:r>
                    <w:rPr>
                      <w:rFonts w:hint="default" w:ascii="Times New Roman" w:hAnsi="Times New Roman" w:cs="Times New Roman"/>
                      <w:color w:val="auto"/>
                      <w:sz w:val="24"/>
                      <w:szCs w:val="18"/>
                    </w:rPr>
                    <w:t>最大储存量t</w:t>
                  </w:r>
                </w:p>
              </w:tc>
              <w:tc>
                <w:tcPr>
                  <w:tcW w:w="1262" w:type="pct"/>
                  <w:vAlign w:val="center"/>
                </w:tcPr>
                <w:p w14:paraId="425EE85B">
                  <w:pPr>
                    <w:pStyle w:val="48"/>
                    <w:spacing w:line="240" w:lineRule="auto"/>
                    <w:rPr>
                      <w:rFonts w:hint="default" w:ascii="Times New Roman" w:hAnsi="Times New Roman" w:cs="Times New Roman"/>
                      <w:color w:val="auto"/>
                      <w:sz w:val="24"/>
                      <w:szCs w:val="18"/>
                    </w:rPr>
                  </w:pPr>
                  <w:r>
                    <w:rPr>
                      <w:rFonts w:hint="default" w:ascii="Times New Roman" w:hAnsi="Times New Roman" w:cs="Times New Roman"/>
                      <w:color w:val="auto"/>
                      <w:sz w:val="24"/>
                      <w:szCs w:val="18"/>
                    </w:rPr>
                    <w:t>储存位置</w:t>
                  </w:r>
                </w:p>
              </w:tc>
            </w:tr>
            <w:tr w14:paraId="7649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6E3B7F07">
                  <w:pPr>
                    <w:pStyle w:val="48"/>
                    <w:spacing w:line="240" w:lineRule="auto"/>
                    <w:rPr>
                      <w:rFonts w:hint="default" w:ascii="Times New Roman" w:hAnsi="Times New Roman" w:cs="Times New Roman"/>
                      <w:color w:val="auto"/>
                      <w:szCs w:val="18"/>
                    </w:rPr>
                  </w:pPr>
                  <w:r>
                    <w:rPr>
                      <w:rFonts w:hint="default" w:ascii="Times New Roman" w:hAnsi="Times New Roman" w:cs="Times New Roman"/>
                      <w:color w:val="auto"/>
                      <w:sz w:val="24"/>
                      <w:szCs w:val="18"/>
                    </w:rPr>
                    <w:t>1</w:t>
                  </w:r>
                </w:p>
              </w:tc>
              <w:tc>
                <w:tcPr>
                  <w:tcW w:w="902" w:type="pct"/>
                  <w:vAlign w:val="center"/>
                </w:tcPr>
                <w:p w14:paraId="589CB78A">
                  <w:pPr>
                    <w:spacing w:line="240" w:lineRule="auto"/>
                    <w:ind w:firstLine="0" w:firstLineChars="0"/>
                    <w:jc w:val="center"/>
                    <w:rPr>
                      <w:rFonts w:hint="default" w:ascii="Times New Roman" w:hAnsi="Times New Roman" w:eastAsia="仿宋" w:cs="Times New Roman"/>
                      <w:i/>
                      <w:iCs/>
                      <w:color w:val="auto"/>
                      <w:sz w:val="24"/>
                      <w:lang w:eastAsia="zh-CN"/>
                    </w:rPr>
                  </w:pPr>
                  <w:r>
                    <w:rPr>
                      <w:rFonts w:hint="default" w:ascii="Times New Roman" w:hAnsi="Times New Roman" w:cs="Times New Roman"/>
                      <w:i/>
                      <w:iCs/>
                      <w:color w:val="auto"/>
                      <w:sz w:val="24"/>
                      <w:highlight w:val="none"/>
                      <w:lang w:eastAsia="zh-CN"/>
                    </w:rPr>
                    <w:t>水性压敏胶</w:t>
                  </w:r>
                </w:p>
              </w:tc>
              <w:tc>
                <w:tcPr>
                  <w:tcW w:w="803" w:type="pct"/>
                  <w:vAlign w:val="center"/>
                </w:tcPr>
                <w:p w14:paraId="0E50FB9C">
                  <w:pPr>
                    <w:spacing w:line="240" w:lineRule="auto"/>
                    <w:ind w:firstLine="0" w:firstLineChars="0"/>
                    <w:jc w:val="center"/>
                    <w:rPr>
                      <w:rFonts w:hint="default" w:ascii="Times New Roman" w:hAnsi="Times New Roman" w:eastAsia="仿宋" w:cs="Times New Roman"/>
                      <w:i/>
                      <w:iCs/>
                      <w:color w:val="auto"/>
                      <w:sz w:val="24"/>
                      <w:lang w:eastAsia="zh-CN"/>
                    </w:rPr>
                  </w:pPr>
                  <w:r>
                    <w:rPr>
                      <w:rFonts w:hint="default" w:ascii="Times New Roman" w:hAnsi="Times New Roman" w:cs="Times New Roman"/>
                      <w:i/>
                      <w:iCs/>
                      <w:color w:val="auto"/>
                      <w:sz w:val="24"/>
                      <w:highlight w:val="none"/>
                      <w:lang w:val="en-US" w:eastAsia="zh-CN"/>
                    </w:rPr>
                    <w:t>900</w:t>
                  </w:r>
                  <w:r>
                    <w:rPr>
                      <w:rFonts w:hint="default" w:ascii="Times New Roman" w:hAnsi="Times New Roman" w:cs="Times New Roman"/>
                      <w:i/>
                      <w:iCs/>
                      <w:color w:val="auto"/>
                      <w:sz w:val="24"/>
                      <w:highlight w:val="none"/>
                    </w:rPr>
                    <w:t>kg/</w:t>
                  </w:r>
                  <w:r>
                    <w:rPr>
                      <w:rFonts w:hint="default" w:ascii="Times New Roman" w:hAnsi="Times New Roman" w:cs="Times New Roman"/>
                      <w:i/>
                      <w:iCs/>
                      <w:color w:val="auto"/>
                      <w:sz w:val="24"/>
                      <w:highlight w:val="none"/>
                      <w:lang w:eastAsia="zh-CN"/>
                    </w:rPr>
                    <w:t>桶</w:t>
                  </w:r>
                </w:p>
              </w:tc>
              <w:tc>
                <w:tcPr>
                  <w:tcW w:w="763" w:type="pct"/>
                  <w:vAlign w:val="center"/>
                </w:tcPr>
                <w:p w14:paraId="4EA67A87">
                  <w:pPr>
                    <w:spacing w:line="240" w:lineRule="auto"/>
                    <w:ind w:firstLine="0" w:firstLineChars="0"/>
                    <w:jc w:val="center"/>
                    <w:rPr>
                      <w:rFonts w:hint="default" w:ascii="Times New Roman" w:hAnsi="Times New Roman" w:eastAsia="仿宋" w:cs="Times New Roman"/>
                      <w:i/>
                      <w:iCs/>
                      <w:color w:val="auto"/>
                      <w:sz w:val="24"/>
                      <w:lang w:val="en-US" w:eastAsia="zh-CN"/>
                    </w:rPr>
                  </w:pPr>
                  <w:r>
                    <w:rPr>
                      <w:rFonts w:hint="default" w:ascii="Times New Roman" w:hAnsi="Times New Roman" w:cs="Times New Roman"/>
                      <w:i/>
                      <w:iCs/>
                      <w:color w:val="auto"/>
                      <w:sz w:val="24"/>
                      <w:highlight w:val="none"/>
                      <w:lang w:val="en-US" w:eastAsia="zh-CN"/>
                    </w:rPr>
                    <w:t>80</w:t>
                  </w:r>
                </w:p>
              </w:tc>
              <w:tc>
                <w:tcPr>
                  <w:tcW w:w="833" w:type="pct"/>
                  <w:vAlign w:val="center"/>
                </w:tcPr>
                <w:p w14:paraId="3078C4C9">
                  <w:pPr>
                    <w:spacing w:line="240" w:lineRule="auto"/>
                    <w:ind w:firstLine="0" w:firstLineChars="0"/>
                    <w:jc w:val="center"/>
                    <w:rPr>
                      <w:rFonts w:hint="default" w:ascii="Times New Roman" w:hAnsi="Times New Roman" w:eastAsia="仿宋" w:cs="Times New Roman"/>
                      <w:i/>
                      <w:iCs/>
                      <w:color w:val="auto"/>
                      <w:sz w:val="24"/>
                      <w:lang w:val="en-US" w:eastAsia="zh-CN"/>
                    </w:rPr>
                  </w:pPr>
                  <w:r>
                    <w:rPr>
                      <w:rFonts w:hint="default" w:ascii="Times New Roman" w:hAnsi="Times New Roman" w:cs="Times New Roman"/>
                      <w:i/>
                      <w:iCs/>
                      <w:color w:val="auto"/>
                      <w:sz w:val="24"/>
                      <w:lang w:val="en-US" w:eastAsia="zh-CN"/>
                    </w:rPr>
                    <w:t>5</w:t>
                  </w:r>
                </w:p>
              </w:tc>
              <w:tc>
                <w:tcPr>
                  <w:tcW w:w="1262" w:type="pct"/>
                  <w:vAlign w:val="center"/>
                </w:tcPr>
                <w:p w14:paraId="5E7EB533">
                  <w:pPr>
                    <w:spacing w:line="240" w:lineRule="auto"/>
                    <w:ind w:firstLine="0" w:firstLineChars="0"/>
                    <w:jc w:val="center"/>
                    <w:rPr>
                      <w:rFonts w:hint="default" w:ascii="Times New Roman" w:hAnsi="Times New Roman" w:cs="Times New Roman"/>
                      <w:i/>
                      <w:iCs/>
                      <w:color w:val="auto"/>
                      <w:sz w:val="24"/>
                    </w:rPr>
                  </w:pPr>
                  <w:r>
                    <w:rPr>
                      <w:rFonts w:hint="default" w:ascii="Times New Roman" w:hAnsi="Times New Roman" w:cs="Times New Roman"/>
                      <w:i/>
                      <w:iCs/>
                      <w:color w:val="auto"/>
                      <w:sz w:val="24"/>
                      <w:lang w:eastAsia="zh-CN"/>
                    </w:rPr>
                    <w:t>外购，</w:t>
                  </w:r>
                  <w:r>
                    <w:rPr>
                      <w:rFonts w:hint="default" w:ascii="Times New Roman" w:hAnsi="Times New Roman" w:cs="Times New Roman"/>
                      <w:i/>
                      <w:iCs/>
                      <w:color w:val="auto"/>
                      <w:sz w:val="24"/>
                    </w:rPr>
                    <w:t>原料储存区</w:t>
                  </w:r>
                </w:p>
              </w:tc>
            </w:tr>
            <w:tr w14:paraId="7954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17E86DB9">
                  <w:pPr>
                    <w:pStyle w:val="48"/>
                    <w:spacing w:line="240" w:lineRule="auto"/>
                    <w:rPr>
                      <w:rFonts w:hint="default" w:ascii="Times New Roman" w:hAnsi="Times New Roman" w:cs="Times New Roman"/>
                      <w:color w:val="auto"/>
                      <w:szCs w:val="18"/>
                    </w:rPr>
                  </w:pPr>
                  <w:r>
                    <w:rPr>
                      <w:rFonts w:hint="default" w:ascii="Times New Roman" w:hAnsi="Times New Roman" w:cs="Times New Roman"/>
                      <w:color w:val="auto"/>
                      <w:sz w:val="24"/>
                      <w:szCs w:val="18"/>
                    </w:rPr>
                    <w:t>2</w:t>
                  </w:r>
                </w:p>
              </w:tc>
              <w:tc>
                <w:tcPr>
                  <w:tcW w:w="902" w:type="pct"/>
                  <w:shd w:val="clear" w:color="auto" w:fill="auto"/>
                  <w:vAlign w:val="center"/>
                </w:tcPr>
                <w:p w14:paraId="7631B7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i/>
                      <w:iCs/>
                      <w:color w:val="auto"/>
                      <w:kern w:val="0"/>
                      <w:sz w:val="24"/>
                      <w:szCs w:val="24"/>
                      <w:lang w:val="en-US" w:eastAsia="zh-CN" w:bidi="ar-SA"/>
                    </w:rPr>
                  </w:pPr>
                  <w:r>
                    <w:rPr>
                      <w:rFonts w:hint="default" w:ascii="Times New Roman" w:hAnsi="Times New Roman" w:eastAsia="宋体" w:cs="Times New Roman"/>
                      <w:i/>
                      <w:iCs/>
                      <w:color w:val="auto"/>
                      <w:sz w:val="24"/>
                      <w:szCs w:val="24"/>
                      <w:lang w:val="en-US" w:eastAsia="zh-CN"/>
                    </w:rPr>
                    <w:t>PU</w:t>
                  </w:r>
                </w:p>
              </w:tc>
              <w:tc>
                <w:tcPr>
                  <w:tcW w:w="803" w:type="pct"/>
                  <w:shd w:val="clear" w:color="auto" w:fill="auto"/>
                  <w:vAlign w:val="center"/>
                </w:tcPr>
                <w:p w14:paraId="1BD03D79">
                  <w:pPr>
                    <w:adjustRightInd w:val="0"/>
                    <w:snapToGrid w:val="0"/>
                    <w:spacing w:line="240" w:lineRule="auto"/>
                    <w:ind w:left="0" w:leftChars="0" w:firstLine="0" w:firstLineChars="0"/>
                    <w:jc w:val="both"/>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szCs w:val="24"/>
                      <w:lang w:val="en-US" w:eastAsia="zh-CN"/>
                    </w:rPr>
                    <w:t>100m/卷</w:t>
                  </w:r>
                </w:p>
              </w:tc>
              <w:tc>
                <w:tcPr>
                  <w:tcW w:w="763" w:type="pct"/>
                  <w:shd w:val="clear" w:color="auto" w:fill="auto"/>
                  <w:vAlign w:val="center"/>
                </w:tcPr>
                <w:p w14:paraId="7E0FC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iCs/>
                      <w:color w:val="auto"/>
                      <w:kern w:val="2"/>
                      <w:sz w:val="24"/>
                      <w:szCs w:val="24"/>
                      <w:highlight w:val="none"/>
                      <w:vertAlign w:val="baseline"/>
                      <w:lang w:val="en-US" w:eastAsia="zh-CN" w:bidi="ar-SA"/>
                    </w:rPr>
                  </w:pPr>
                  <w:r>
                    <w:rPr>
                      <w:rFonts w:hint="default" w:ascii="Times New Roman" w:hAnsi="Times New Roman" w:cs="Times New Roman"/>
                      <w:i/>
                      <w:iCs/>
                      <w:color w:val="auto"/>
                      <w:kern w:val="2"/>
                      <w:sz w:val="24"/>
                      <w:szCs w:val="24"/>
                      <w:highlight w:val="none"/>
                      <w:vertAlign w:val="baseline"/>
                      <w:lang w:val="en-US" w:eastAsia="zh-CN" w:bidi="ar-SA"/>
                    </w:rPr>
                    <w:t>25</w:t>
                  </w:r>
                </w:p>
              </w:tc>
              <w:tc>
                <w:tcPr>
                  <w:tcW w:w="833" w:type="pct"/>
                  <w:shd w:val="clear" w:color="auto" w:fill="auto"/>
                  <w:vAlign w:val="center"/>
                </w:tcPr>
                <w:p w14:paraId="47B6604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kern w:val="2"/>
                      <w:sz w:val="24"/>
                      <w:szCs w:val="24"/>
                      <w:lang w:val="en-US" w:eastAsia="zh-CN" w:bidi="ar-SA"/>
                    </w:rPr>
                    <w:t>2</w:t>
                  </w:r>
                </w:p>
              </w:tc>
              <w:tc>
                <w:tcPr>
                  <w:tcW w:w="1262" w:type="pct"/>
                  <w:shd w:val="clear" w:color="auto" w:fill="auto"/>
                  <w:vAlign w:val="center"/>
                </w:tcPr>
                <w:p w14:paraId="40A3D7E2">
                  <w:pPr>
                    <w:adjustRightInd w:val="0"/>
                    <w:snapToGrid w:val="0"/>
                    <w:spacing w:line="240" w:lineRule="auto"/>
                    <w:ind w:left="0" w:leftChars="0" w:firstLine="0" w:firstLineChars="0"/>
                    <w:jc w:val="both"/>
                    <w:rPr>
                      <w:rFonts w:hint="default" w:ascii="Times New Roman" w:hAnsi="Times New Roman" w:eastAsia="仿宋" w:cs="Times New Roman"/>
                      <w:i/>
                      <w:iCs/>
                      <w:color w:val="auto"/>
                      <w:kern w:val="2"/>
                      <w:sz w:val="21"/>
                      <w:szCs w:val="21"/>
                      <w:lang w:val="en-US" w:eastAsia="zh-CN" w:bidi="ar-SA"/>
                    </w:rPr>
                  </w:pPr>
                  <w:r>
                    <w:rPr>
                      <w:rFonts w:hint="default" w:ascii="Times New Roman" w:hAnsi="Times New Roman" w:cs="Times New Roman"/>
                      <w:i/>
                      <w:iCs/>
                      <w:color w:val="auto"/>
                      <w:sz w:val="24"/>
                      <w:lang w:eastAsia="zh-CN"/>
                    </w:rPr>
                    <w:t>外购，</w:t>
                  </w:r>
                  <w:r>
                    <w:rPr>
                      <w:rFonts w:hint="default" w:ascii="Times New Roman" w:hAnsi="Times New Roman" w:cs="Times New Roman"/>
                      <w:i/>
                      <w:iCs/>
                      <w:color w:val="auto"/>
                      <w:sz w:val="24"/>
                    </w:rPr>
                    <w:t>原料储存区</w:t>
                  </w:r>
                </w:p>
              </w:tc>
            </w:tr>
            <w:tr w14:paraId="4729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Align w:val="center"/>
                </w:tcPr>
                <w:p w14:paraId="0F7FC065">
                  <w:pPr>
                    <w:pStyle w:val="48"/>
                    <w:spacing w:line="240" w:lineRule="auto"/>
                    <w:rPr>
                      <w:rFonts w:hint="default" w:ascii="Times New Roman" w:hAnsi="Times New Roman" w:cs="Times New Roman"/>
                      <w:color w:val="auto"/>
                      <w:sz w:val="24"/>
                      <w:szCs w:val="18"/>
                    </w:rPr>
                  </w:pPr>
                  <w:r>
                    <w:rPr>
                      <w:rFonts w:hint="default" w:ascii="Times New Roman" w:hAnsi="Times New Roman" w:cs="Times New Roman"/>
                      <w:color w:val="auto"/>
                      <w:sz w:val="24"/>
                      <w:szCs w:val="18"/>
                    </w:rPr>
                    <w:t>3</w:t>
                  </w:r>
                </w:p>
              </w:tc>
              <w:tc>
                <w:tcPr>
                  <w:tcW w:w="902" w:type="pct"/>
                  <w:shd w:val="clear" w:color="auto" w:fill="auto"/>
                  <w:vAlign w:val="center"/>
                </w:tcPr>
                <w:p w14:paraId="2917030D">
                  <w:pPr>
                    <w:pStyle w:val="64"/>
                    <w:spacing w:beforeLines="0" w:afterLines="0" w:line="240" w:lineRule="auto"/>
                    <w:ind w:firstLine="0" w:firstLineChars="0"/>
                    <w:jc w:val="center"/>
                    <w:rPr>
                      <w:rFonts w:hint="default" w:ascii="Times New Roman" w:hAnsi="Times New Roman" w:eastAsia="仿宋" w:cs="Times New Roman"/>
                      <w:i/>
                      <w:iCs/>
                      <w:snapToGrid w:val="0"/>
                      <w:color w:val="auto"/>
                      <w:kern w:val="0"/>
                      <w:sz w:val="24"/>
                      <w:szCs w:val="24"/>
                      <w:lang w:val="en-US" w:eastAsia="zh-CN" w:bidi="ar-SA"/>
                    </w:rPr>
                  </w:pPr>
                  <w:r>
                    <w:rPr>
                      <w:rFonts w:hint="default" w:ascii="Times New Roman" w:hAnsi="Times New Roman" w:cs="Times New Roman"/>
                      <w:i/>
                      <w:iCs/>
                      <w:snapToGrid w:val="0"/>
                      <w:color w:val="auto"/>
                      <w:kern w:val="0"/>
                      <w:sz w:val="24"/>
                      <w:szCs w:val="24"/>
                      <w:lang w:val="en-US" w:eastAsia="zh-CN" w:bidi="ar-SA"/>
                    </w:rPr>
                    <w:t>PE</w:t>
                  </w:r>
                </w:p>
              </w:tc>
              <w:tc>
                <w:tcPr>
                  <w:tcW w:w="803" w:type="pct"/>
                  <w:shd w:val="clear" w:color="auto" w:fill="auto"/>
                  <w:vAlign w:val="center"/>
                </w:tcPr>
                <w:p w14:paraId="46D0AF51">
                  <w:pPr>
                    <w:widowControl/>
                    <w:spacing w:line="240" w:lineRule="auto"/>
                    <w:ind w:left="0" w:leftChars="0" w:firstLine="0" w:firstLineChars="0"/>
                    <w:jc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szCs w:val="24"/>
                      <w:lang w:val="en-US" w:eastAsia="zh-CN"/>
                    </w:rPr>
                    <w:t>100m/卷</w:t>
                  </w:r>
                </w:p>
              </w:tc>
              <w:tc>
                <w:tcPr>
                  <w:tcW w:w="763" w:type="pct"/>
                  <w:shd w:val="clear" w:color="auto" w:fill="auto"/>
                  <w:vAlign w:val="center"/>
                </w:tcPr>
                <w:p w14:paraId="576B69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i/>
                      <w:iCs/>
                      <w:color w:val="auto"/>
                      <w:kern w:val="2"/>
                      <w:sz w:val="24"/>
                      <w:szCs w:val="24"/>
                      <w:highlight w:val="none"/>
                      <w:vertAlign w:val="baseline"/>
                      <w:lang w:val="en-US" w:eastAsia="zh-CN" w:bidi="ar-SA"/>
                    </w:rPr>
                  </w:pPr>
                  <w:r>
                    <w:rPr>
                      <w:rFonts w:hint="default" w:ascii="Times New Roman" w:hAnsi="Times New Roman" w:cs="Times New Roman"/>
                      <w:i/>
                      <w:iCs/>
                      <w:color w:val="auto"/>
                      <w:kern w:val="2"/>
                      <w:sz w:val="24"/>
                      <w:szCs w:val="24"/>
                      <w:highlight w:val="none"/>
                      <w:vertAlign w:val="baseline"/>
                      <w:lang w:val="en-US" w:eastAsia="zh-CN" w:bidi="ar-SA"/>
                    </w:rPr>
                    <w:t>12</w:t>
                  </w:r>
                </w:p>
              </w:tc>
              <w:tc>
                <w:tcPr>
                  <w:tcW w:w="833" w:type="pct"/>
                  <w:shd w:val="clear" w:color="auto" w:fill="auto"/>
                  <w:vAlign w:val="center"/>
                </w:tcPr>
                <w:p w14:paraId="31F3FF2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kern w:val="2"/>
                      <w:sz w:val="24"/>
                      <w:szCs w:val="24"/>
                      <w:lang w:val="en-US" w:eastAsia="zh-CN" w:bidi="ar-SA"/>
                    </w:rPr>
                    <w:t>1</w:t>
                  </w:r>
                </w:p>
              </w:tc>
              <w:tc>
                <w:tcPr>
                  <w:tcW w:w="1262" w:type="pct"/>
                  <w:vAlign w:val="center"/>
                </w:tcPr>
                <w:p w14:paraId="335D23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iCs/>
                      <w:color w:val="auto"/>
                      <w:sz w:val="24"/>
                    </w:rPr>
                  </w:pPr>
                  <w:r>
                    <w:rPr>
                      <w:rFonts w:hint="default" w:ascii="Times New Roman" w:hAnsi="Times New Roman" w:cs="Times New Roman"/>
                      <w:i/>
                      <w:iCs/>
                      <w:color w:val="auto"/>
                      <w:sz w:val="24"/>
                      <w:lang w:eastAsia="zh-CN"/>
                    </w:rPr>
                    <w:t>外购，</w:t>
                  </w:r>
                  <w:r>
                    <w:rPr>
                      <w:rFonts w:hint="default" w:ascii="Times New Roman" w:hAnsi="Times New Roman" w:cs="Times New Roman"/>
                      <w:i/>
                      <w:iCs/>
                      <w:color w:val="auto"/>
                      <w:sz w:val="24"/>
                    </w:rPr>
                    <w:t>原料储存区</w:t>
                  </w:r>
                </w:p>
              </w:tc>
            </w:tr>
            <w:tr w14:paraId="7A3D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32" w:type="pct"/>
                  <w:shd w:val="clear" w:color="auto" w:fill="auto"/>
                  <w:vAlign w:val="center"/>
                </w:tcPr>
                <w:p w14:paraId="2713F361">
                  <w:pPr>
                    <w:pStyle w:val="48"/>
                    <w:spacing w:line="240" w:lineRule="auto"/>
                    <w:rPr>
                      <w:rFonts w:hint="default" w:ascii="Times New Roman" w:hAnsi="Times New Roman" w:eastAsia="仿宋" w:cs="Times New Roman"/>
                      <w:color w:val="auto"/>
                      <w:sz w:val="24"/>
                      <w:szCs w:val="18"/>
                      <w:lang w:val="en-US" w:eastAsia="zh-CN"/>
                    </w:rPr>
                  </w:pPr>
                  <w:r>
                    <w:rPr>
                      <w:rFonts w:hint="default" w:ascii="Times New Roman" w:hAnsi="Times New Roman" w:cs="Times New Roman"/>
                      <w:color w:val="auto"/>
                      <w:sz w:val="24"/>
                      <w:szCs w:val="18"/>
                      <w:lang w:val="en-US" w:eastAsia="zh-CN"/>
                    </w:rPr>
                    <w:t>4</w:t>
                  </w:r>
                </w:p>
              </w:tc>
              <w:tc>
                <w:tcPr>
                  <w:tcW w:w="902" w:type="pct"/>
                  <w:vAlign w:val="center"/>
                </w:tcPr>
                <w:p w14:paraId="25B72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iCs/>
                      <w:color w:val="auto"/>
                      <w:kern w:val="2"/>
                      <w:sz w:val="24"/>
                      <w:szCs w:val="24"/>
                      <w:highlight w:val="none"/>
                      <w:lang w:val="en-US" w:eastAsia="zh-CN" w:bidi="ar-SA"/>
                    </w:rPr>
                  </w:pPr>
                  <w:r>
                    <w:rPr>
                      <w:rFonts w:hint="default" w:ascii="Times New Roman" w:hAnsi="Times New Roman" w:cs="Times New Roman"/>
                      <w:i/>
                      <w:iCs/>
                      <w:color w:val="auto"/>
                      <w:kern w:val="2"/>
                      <w:sz w:val="24"/>
                      <w:szCs w:val="24"/>
                      <w:highlight w:val="none"/>
                      <w:lang w:val="en-US" w:eastAsia="zh-CN" w:bidi="ar-SA"/>
                    </w:rPr>
                    <w:t>植绒布</w:t>
                  </w:r>
                </w:p>
              </w:tc>
              <w:tc>
                <w:tcPr>
                  <w:tcW w:w="803" w:type="pct"/>
                  <w:vAlign w:val="center"/>
                </w:tcPr>
                <w:p w14:paraId="41870C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iCs/>
                      <w:color w:val="auto"/>
                      <w:sz w:val="24"/>
                      <w:szCs w:val="24"/>
                      <w:lang w:val="en-US" w:eastAsia="zh-CN"/>
                    </w:rPr>
                  </w:pPr>
                  <w:r>
                    <w:rPr>
                      <w:rFonts w:hint="default" w:ascii="Times New Roman" w:hAnsi="Times New Roman" w:cs="Times New Roman"/>
                      <w:i/>
                      <w:iCs/>
                      <w:color w:val="auto"/>
                      <w:sz w:val="24"/>
                      <w:highlight w:val="none"/>
                    </w:rPr>
                    <w:t>/</w:t>
                  </w:r>
                </w:p>
              </w:tc>
              <w:tc>
                <w:tcPr>
                  <w:tcW w:w="763" w:type="pct"/>
                  <w:shd w:val="clear" w:color="auto" w:fill="auto"/>
                  <w:vAlign w:val="center"/>
                </w:tcPr>
                <w:p w14:paraId="34EE6492">
                  <w:pPr>
                    <w:spacing w:line="240" w:lineRule="auto"/>
                    <w:ind w:firstLine="0" w:firstLineChars="0"/>
                    <w:jc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lang w:val="en-US" w:eastAsia="zh-CN"/>
                    </w:rPr>
                    <w:t>20</w:t>
                  </w:r>
                </w:p>
              </w:tc>
              <w:tc>
                <w:tcPr>
                  <w:tcW w:w="833" w:type="pct"/>
                  <w:shd w:val="clear" w:color="auto" w:fill="auto"/>
                  <w:vAlign w:val="center"/>
                </w:tcPr>
                <w:p w14:paraId="7524481F">
                  <w:pPr>
                    <w:spacing w:line="240" w:lineRule="auto"/>
                    <w:ind w:firstLine="0" w:firstLineChars="0"/>
                    <w:jc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lang w:val="en-US" w:eastAsia="zh-CN"/>
                    </w:rPr>
                    <w:t>2</w:t>
                  </w:r>
                </w:p>
              </w:tc>
              <w:tc>
                <w:tcPr>
                  <w:tcW w:w="1262" w:type="pct"/>
                  <w:vAlign w:val="center"/>
                </w:tcPr>
                <w:p w14:paraId="59CA52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iCs/>
                      <w:color w:val="auto"/>
                      <w:sz w:val="24"/>
                      <w:lang w:eastAsia="zh-CN"/>
                    </w:rPr>
                  </w:pPr>
                  <w:r>
                    <w:rPr>
                      <w:rFonts w:hint="default" w:ascii="Times New Roman" w:hAnsi="Times New Roman" w:cs="Times New Roman"/>
                      <w:i/>
                      <w:iCs/>
                      <w:color w:val="auto"/>
                      <w:sz w:val="24"/>
                      <w:lang w:eastAsia="zh-CN"/>
                    </w:rPr>
                    <w:t>外购，</w:t>
                  </w:r>
                  <w:r>
                    <w:rPr>
                      <w:rFonts w:hint="default" w:ascii="Times New Roman" w:hAnsi="Times New Roman" w:cs="Times New Roman"/>
                      <w:i/>
                      <w:iCs/>
                      <w:color w:val="auto"/>
                      <w:sz w:val="24"/>
                    </w:rPr>
                    <w:t>原料储存区</w:t>
                  </w:r>
                </w:p>
              </w:tc>
            </w:tr>
            <w:tr w14:paraId="437E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32" w:type="pct"/>
                  <w:shd w:val="clear" w:color="auto" w:fill="auto"/>
                  <w:vAlign w:val="center"/>
                </w:tcPr>
                <w:p w14:paraId="4FC4CF3B">
                  <w:pPr>
                    <w:pStyle w:val="48"/>
                    <w:spacing w:line="240" w:lineRule="auto"/>
                    <w:ind w:firstLine="0" w:firstLineChars="0"/>
                    <w:rPr>
                      <w:rFonts w:hint="default" w:ascii="Times New Roman" w:hAnsi="Times New Roman" w:eastAsia="仿宋" w:cs="Times New Roman"/>
                      <w:color w:val="auto"/>
                      <w:kern w:val="2"/>
                      <w:sz w:val="24"/>
                      <w:szCs w:val="18"/>
                      <w:lang w:val="en-US" w:eastAsia="zh-CN" w:bidi="ar-SA"/>
                    </w:rPr>
                  </w:pPr>
                  <w:r>
                    <w:rPr>
                      <w:rFonts w:hint="default" w:ascii="Times New Roman" w:hAnsi="Times New Roman" w:cs="Times New Roman"/>
                      <w:color w:val="auto"/>
                      <w:sz w:val="24"/>
                      <w:szCs w:val="18"/>
                    </w:rPr>
                    <w:t>5</w:t>
                  </w:r>
                </w:p>
              </w:tc>
              <w:tc>
                <w:tcPr>
                  <w:tcW w:w="902" w:type="pct"/>
                  <w:vAlign w:val="center"/>
                </w:tcPr>
                <w:p w14:paraId="741A1E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iCs/>
                      <w:color w:val="auto"/>
                      <w:kern w:val="2"/>
                      <w:sz w:val="24"/>
                      <w:szCs w:val="24"/>
                      <w:highlight w:val="none"/>
                      <w:lang w:val="en-US" w:eastAsia="zh-CN" w:bidi="ar-SA"/>
                    </w:rPr>
                  </w:pPr>
                  <w:r>
                    <w:rPr>
                      <w:rFonts w:hint="default" w:ascii="Times New Roman" w:hAnsi="Times New Roman" w:cs="Times New Roman"/>
                      <w:i/>
                      <w:iCs/>
                      <w:color w:val="auto"/>
                      <w:kern w:val="2"/>
                      <w:sz w:val="24"/>
                      <w:szCs w:val="24"/>
                      <w:highlight w:val="none"/>
                      <w:lang w:val="en-US" w:eastAsia="zh-CN" w:bidi="ar-SA"/>
                    </w:rPr>
                    <w:t>EVA</w:t>
                  </w:r>
                </w:p>
              </w:tc>
              <w:tc>
                <w:tcPr>
                  <w:tcW w:w="803" w:type="pct"/>
                  <w:vAlign w:val="center"/>
                </w:tcPr>
                <w:p w14:paraId="60850A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iCs/>
                      <w:color w:val="auto"/>
                      <w:sz w:val="24"/>
                      <w:szCs w:val="24"/>
                      <w:highlight w:val="none"/>
                      <w:lang w:val="en-US" w:eastAsia="zh-CN"/>
                    </w:rPr>
                  </w:pPr>
                  <w:r>
                    <w:rPr>
                      <w:rFonts w:hint="default" w:ascii="Times New Roman" w:hAnsi="Times New Roman" w:cs="Times New Roman"/>
                      <w:i/>
                      <w:iCs/>
                      <w:color w:val="auto"/>
                      <w:sz w:val="24"/>
                      <w:szCs w:val="24"/>
                      <w:highlight w:val="none"/>
                      <w:lang w:val="en-US" w:eastAsia="zh-CN"/>
                    </w:rPr>
                    <w:t>100m/卷</w:t>
                  </w:r>
                </w:p>
              </w:tc>
              <w:tc>
                <w:tcPr>
                  <w:tcW w:w="763" w:type="pct"/>
                  <w:vAlign w:val="center"/>
                </w:tcPr>
                <w:p w14:paraId="2A51838E">
                  <w:pPr>
                    <w:spacing w:line="240" w:lineRule="auto"/>
                    <w:ind w:firstLine="0" w:firstLineChars="0"/>
                    <w:jc w:val="center"/>
                    <w:rPr>
                      <w:rFonts w:hint="default" w:ascii="Times New Roman" w:hAnsi="Times New Roman" w:cs="Times New Roman"/>
                      <w:i/>
                      <w:iCs/>
                      <w:color w:val="auto"/>
                      <w:sz w:val="24"/>
                      <w:lang w:val="en-US" w:eastAsia="zh-CN"/>
                    </w:rPr>
                  </w:pPr>
                  <w:r>
                    <w:rPr>
                      <w:rFonts w:hint="default" w:ascii="Times New Roman" w:hAnsi="Times New Roman" w:cs="Times New Roman"/>
                      <w:i/>
                      <w:iCs/>
                      <w:color w:val="auto"/>
                      <w:sz w:val="24"/>
                      <w:lang w:val="en-US" w:eastAsia="zh-CN"/>
                    </w:rPr>
                    <w:t>10</w:t>
                  </w:r>
                </w:p>
              </w:tc>
              <w:tc>
                <w:tcPr>
                  <w:tcW w:w="833" w:type="pct"/>
                  <w:vAlign w:val="center"/>
                </w:tcPr>
                <w:p w14:paraId="77BE40BB">
                  <w:pPr>
                    <w:spacing w:line="240" w:lineRule="auto"/>
                    <w:ind w:firstLine="0" w:firstLineChars="0"/>
                    <w:jc w:val="center"/>
                    <w:rPr>
                      <w:rFonts w:hint="default" w:ascii="Times New Roman" w:hAnsi="Times New Roman" w:cs="Times New Roman"/>
                      <w:i/>
                      <w:iCs/>
                      <w:color w:val="auto"/>
                      <w:sz w:val="24"/>
                      <w:lang w:val="en-US" w:eastAsia="zh-CN"/>
                    </w:rPr>
                  </w:pPr>
                  <w:r>
                    <w:rPr>
                      <w:rFonts w:hint="default" w:ascii="Times New Roman" w:hAnsi="Times New Roman" w:cs="Times New Roman"/>
                      <w:i/>
                      <w:iCs/>
                      <w:color w:val="auto"/>
                      <w:sz w:val="24"/>
                      <w:lang w:val="en-US" w:eastAsia="zh-CN"/>
                    </w:rPr>
                    <w:t>1</w:t>
                  </w:r>
                </w:p>
              </w:tc>
              <w:tc>
                <w:tcPr>
                  <w:tcW w:w="1262" w:type="pct"/>
                  <w:vAlign w:val="center"/>
                </w:tcPr>
                <w:p w14:paraId="543FC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iCs/>
                      <w:color w:val="auto"/>
                      <w:sz w:val="24"/>
                    </w:rPr>
                  </w:pPr>
                  <w:r>
                    <w:rPr>
                      <w:rFonts w:hint="default" w:ascii="Times New Roman" w:hAnsi="Times New Roman" w:cs="Times New Roman"/>
                      <w:i/>
                      <w:iCs/>
                      <w:color w:val="auto"/>
                      <w:sz w:val="24"/>
                      <w:lang w:eastAsia="zh-CN"/>
                    </w:rPr>
                    <w:t>外购，</w:t>
                  </w:r>
                  <w:r>
                    <w:rPr>
                      <w:rFonts w:hint="default" w:ascii="Times New Roman" w:hAnsi="Times New Roman" w:cs="Times New Roman"/>
                      <w:i/>
                      <w:iCs/>
                      <w:color w:val="auto"/>
                      <w:sz w:val="24"/>
                    </w:rPr>
                    <w:t>原料储存区</w:t>
                  </w:r>
                </w:p>
              </w:tc>
            </w:tr>
            <w:tr w14:paraId="483A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3A1D1575">
                  <w:pPr>
                    <w:pStyle w:val="48"/>
                    <w:spacing w:line="240" w:lineRule="auto"/>
                    <w:ind w:firstLine="0" w:firstLineChars="0"/>
                    <w:rPr>
                      <w:rFonts w:hint="default" w:ascii="Times New Roman" w:hAnsi="Times New Roman" w:eastAsia="仿宋" w:cs="Times New Roman"/>
                      <w:color w:val="auto"/>
                      <w:kern w:val="2"/>
                      <w:sz w:val="24"/>
                      <w:szCs w:val="18"/>
                      <w:lang w:val="en-US" w:eastAsia="zh-CN" w:bidi="ar-SA"/>
                    </w:rPr>
                  </w:pPr>
                  <w:r>
                    <w:rPr>
                      <w:rFonts w:hint="default" w:ascii="Times New Roman" w:hAnsi="Times New Roman" w:cs="Times New Roman"/>
                      <w:color w:val="auto"/>
                      <w:sz w:val="24"/>
                      <w:szCs w:val="18"/>
                    </w:rPr>
                    <w:t>6</w:t>
                  </w:r>
                </w:p>
              </w:tc>
              <w:tc>
                <w:tcPr>
                  <w:tcW w:w="902" w:type="pct"/>
                  <w:shd w:val="clear" w:color="auto" w:fill="auto"/>
                  <w:vAlign w:val="center"/>
                </w:tcPr>
                <w:p w14:paraId="7D586A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i/>
                      <w:iCs/>
                      <w:color w:val="auto"/>
                      <w:kern w:val="0"/>
                      <w:sz w:val="24"/>
                      <w:szCs w:val="24"/>
                      <w:lang w:val="en-US" w:eastAsia="zh-CN" w:bidi="ar-SA"/>
                    </w:rPr>
                  </w:pPr>
                  <w:r>
                    <w:rPr>
                      <w:rFonts w:hint="default" w:ascii="Times New Roman" w:hAnsi="Times New Roman" w:cs="Times New Roman"/>
                      <w:i/>
                      <w:iCs/>
                      <w:color w:val="auto"/>
                      <w:sz w:val="24"/>
                      <w:szCs w:val="24"/>
                      <w:lang w:eastAsia="zh-CN"/>
                    </w:rPr>
                    <w:t>牛皮纸</w:t>
                  </w:r>
                </w:p>
              </w:tc>
              <w:tc>
                <w:tcPr>
                  <w:tcW w:w="803" w:type="pct"/>
                  <w:shd w:val="clear" w:color="auto" w:fill="auto"/>
                  <w:vAlign w:val="center"/>
                </w:tcPr>
                <w:p w14:paraId="161A08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szCs w:val="24"/>
                      <w:lang w:val="en-US" w:eastAsia="zh-CN"/>
                    </w:rPr>
                    <w:t>400kg/卷</w:t>
                  </w:r>
                </w:p>
              </w:tc>
              <w:tc>
                <w:tcPr>
                  <w:tcW w:w="763" w:type="pct"/>
                  <w:vAlign w:val="center"/>
                </w:tcPr>
                <w:p w14:paraId="4A0BFD73">
                  <w:pPr>
                    <w:spacing w:line="240" w:lineRule="auto"/>
                    <w:ind w:firstLine="0" w:firstLineChars="0"/>
                    <w:jc w:val="center"/>
                    <w:rPr>
                      <w:rFonts w:hint="default" w:ascii="Times New Roman" w:hAnsi="Times New Roman" w:eastAsia="仿宋" w:cs="Times New Roman"/>
                      <w:i/>
                      <w:iCs/>
                      <w:color w:val="auto"/>
                      <w:sz w:val="24"/>
                      <w:lang w:val="en-US" w:eastAsia="zh-CN"/>
                    </w:rPr>
                  </w:pPr>
                  <w:r>
                    <w:rPr>
                      <w:rFonts w:hint="default" w:ascii="Times New Roman" w:hAnsi="Times New Roman" w:cs="Times New Roman"/>
                      <w:i/>
                      <w:iCs/>
                      <w:color w:val="auto"/>
                      <w:sz w:val="24"/>
                      <w:lang w:val="en-US" w:eastAsia="zh-CN"/>
                    </w:rPr>
                    <w:t>40</w:t>
                  </w:r>
                </w:p>
              </w:tc>
              <w:tc>
                <w:tcPr>
                  <w:tcW w:w="833" w:type="pct"/>
                  <w:vAlign w:val="center"/>
                </w:tcPr>
                <w:p w14:paraId="59839ADC">
                  <w:pPr>
                    <w:spacing w:line="240" w:lineRule="auto"/>
                    <w:ind w:firstLine="0" w:firstLineChars="0"/>
                    <w:jc w:val="center"/>
                    <w:rPr>
                      <w:rFonts w:hint="default" w:ascii="Times New Roman" w:hAnsi="Times New Roman" w:eastAsia="仿宋" w:cs="Times New Roman"/>
                      <w:i/>
                      <w:iCs/>
                      <w:color w:val="auto"/>
                      <w:sz w:val="24"/>
                      <w:lang w:val="en-US" w:eastAsia="zh-CN"/>
                    </w:rPr>
                  </w:pPr>
                  <w:r>
                    <w:rPr>
                      <w:rFonts w:hint="default" w:ascii="Times New Roman" w:hAnsi="Times New Roman" w:cs="Times New Roman"/>
                      <w:i/>
                      <w:iCs/>
                      <w:color w:val="auto"/>
                      <w:sz w:val="24"/>
                      <w:lang w:val="en-US" w:eastAsia="zh-CN"/>
                    </w:rPr>
                    <w:t>4</w:t>
                  </w:r>
                </w:p>
              </w:tc>
              <w:tc>
                <w:tcPr>
                  <w:tcW w:w="1262" w:type="pct"/>
                </w:tcPr>
                <w:p w14:paraId="3BEE8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iCs/>
                      <w:color w:val="auto"/>
                      <w:sz w:val="24"/>
                    </w:rPr>
                  </w:pPr>
                  <w:r>
                    <w:rPr>
                      <w:rFonts w:hint="default" w:ascii="Times New Roman" w:hAnsi="Times New Roman" w:cs="Times New Roman"/>
                      <w:i/>
                      <w:iCs/>
                      <w:color w:val="auto"/>
                      <w:sz w:val="24"/>
                      <w:lang w:eastAsia="zh-CN"/>
                    </w:rPr>
                    <w:t>外购，</w:t>
                  </w:r>
                  <w:r>
                    <w:rPr>
                      <w:rFonts w:hint="default" w:ascii="Times New Roman" w:hAnsi="Times New Roman" w:cs="Times New Roman"/>
                      <w:i/>
                      <w:iCs/>
                      <w:color w:val="auto"/>
                      <w:sz w:val="24"/>
                    </w:rPr>
                    <w:t>原料储存区</w:t>
                  </w:r>
                </w:p>
              </w:tc>
            </w:tr>
            <w:tr w14:paraId="7870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335D4B43">
                  <w:pPr>
                    <w:pStyle w:val="48"/>
                    <w:spacing w:line="240" w:lineRule="auto"/>
                    <w:ind w:firstLine="0" w:firstLineChars="0"/>
                    <w:rPr>
                      <w:rFonts w:hint="default" w:ascii="Times New Roman" w:hAnsi="Times New Roman" w:eastAsia="仿宋" w:cs="Times New Roman"/>
                      <w:color w:val="auto"/>
                      <w:kern w:val="2"/>
                      <w:sz w:val="24"/>
                      <w:szCs w:val="18"/>
                      <w:lang w:val="en-US" w:eastAsia="zh-CN" w:bidi="ar-SA"/>
                    </w:rPr>
                  </w:pPr>
                  <w:r>
                    <w:rPr>
                      <w:rFonts w:hint="default" w:ascii="Times New Roman" w:hAnsi="Times New Roman" w:cs="Times New Roman"/>
                      <w:color w:val="auto"/>
                      <w:sz w:val="24"/>
                      <w:szCs w:val="18"/>
                    </w:rPr>
                    <w:t>7</w:t>
                  </w:r>
                </w:p>
              </w:tc>
              <w:tc>
                <w:tcPr>
                  <w:tcW w:w="902" w:type="pct"/>
                  <w:vAlign w:val="center"/>
                </w:tcPr>
                <w:p w14:paraId="2FFA5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lang w:eastAsia="zh-CN"/>
                    </w:rPr>
                    <w:t>白棉纸</w:t>
                  </w:r>
                </w:p>
              </w:tc>
              <w:tc>
                <w:tcPr>
                  <w:tcW w:w="803" w:type="pct"/>
                  <w:vAlign w:val="center"/>
                </w:tcPr>
                <w:p w14:paraId="2D91D2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iCs/>
                      <w:color w:val="auto"/>
                      <w:sz w:val="24"/>
                      <w:szCs w:val="24"/>
                      <w:highlight w:val="yellow"/>
                    </w:rPr>
                  </w:pPr>
                  <w:r>
                    <w:rPr>
                      <w:rFonts w:hint="default" w:ascii="Times New Roman" w:hAnsi="Times New Roman" w:cs="Times New Roman"/>
                      <w:i/>
                      <w:iCs/>
                      <w:color w:val="auto"/>
                      <w:sz w:val="24"/>
                      <w:szCs w:val="24"/>
                      <w:lang w:val="en-US" w:eastAsia="zh-CN"/>
                    </w:rPr>
                    <w:t>180kg/卷</w:t>
                  </w:r>
                </w:p>
              </w:tc>
              <w:tc>
                <w:tcPr>
                  <w:tcW w:w="763" w:type="pct"/>
                  <w:vAlign w:val="center"/>
                </w:tcPr>
                <w:p w14:paraId="74AB1A54">
                  <w:pPr>
                    <w:spacing w:line="240" w:lineRule="auto"/>
                    <w:ind w:firstLine="0" w:firstLineChars="0"/>
                    <w:jc w:val="center"/>
                    <w:rPr>
                      <w:rFonts w:hint="default" w:ascii="Times New Roman" w:hAnsi="Times New Roman" w:eastAsia="仿宋" w:cs="Times New Roman"/>
                      <w:i/>
                      <w:iCs/>
                      <w:color w:val="auto"/>
                      <w:sz w:val="24"/>
                      <w:lang w:val="en-US" w:eastAsia="zh-CN"/>
                    </w:rPr>
                  </w:pPr>
                  <w:r>
                    <w:rPr>
                      <w:rFonts w:hint="default" w:ascii="Times New Roman" w:hAnsi="Times New Roman" w:cs="Times New Roman"/>
                      <w:i/>
                      <w:iCs/>
                      <w:color w:val="auto"/>
                      <w:sz w:val="24"/>
                      <w:lang w:val="en-US" w:eastAsia="zh-CN"/>
                    </w:rPr>
                    <w:t>1.444</w:t>
                  </w:r>
                </w:p>
              </w:tc>
              <w:tc>
                <w:tcPr>
                  <w:tcW w:w="833" w:type="pct"/>
                  <w:vAlign w:val="center"/>
                </w:tcPr>
                <w:p w14:paraId="2281F872">
                  <w:pPr>
                    <w:spacing w:line="240" w:lineRule="auto"/>
                    <w:ind w:firstLine="0" w:firstLineChars="0"/>
                    <w:jc w:val="center"/>
                    <w:rPr>
                      <w:rFonts w:hint="default" w:ascii="Times New Roman" w:hAnsi="Times New Roman" w:eastAsia="仿宋" w:cs="Times New Roman"/>
                      <w:i/>
                      <w:iCs/>
                      <w:color w:val="auto"/>
                      <w:sz w:val="24"/>
                      <w:lang w:val="en-US" w:eastAsia="zh-CN"/>
                    </w:rPr>
                  </w:pPr>
                  <w:r>
                    <w:rPr>
                      <w:rFonts w:hint="default" w:ascii="Times New Roman" w:hAnsi="Times New Roman" w:cs="Times New Roman"/>
                      <w:i/>
                      <w:iCs/>
                      <w:color w:val="auto"/>
                      <w:sz w:val="24"/>
                      <w:lang w:val="en-US" w:eastAsia="zh-CN"/>
                    </w:rPr>
                    <w:t>0.1</w:t>
                  </w:r>
                </w:p>
              </w:tc>
              <w:tc>
                <w:tcPr>
                  <w:tcW w:w="1262" w:type="pct"/>
                </w:tcPr>
                <w:p w14:paraId="24AFFA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iCs/>
                      <w:color w:val="auto"/>
                      <w:sz w:val="24"/>
                    </w:rPr>
                  </w:pPr>
                  <w:r>
                    <w:rPr>
                      <w:rFonts w:hint="default" w:ascii="Times New Roman" w:hAnsi="Times New Roman" w:cs="Times New Roman"/>
                      <w:i/>
                      <w:iCs/>
                      <w:color w:val="auto"/>
                      <w:sz w:val="24"/>
                      <w:lang w:eastAsia="zh-CN"/>
                    </w:rPr>
                    <w:t>外购，</w:t>
                  </w:r>
                  <w:r>
                    <w:rPr>
                      <w:rFonts w:hint="default" w:ascii="Times New Roman" w:hAnsi="Times New Roman" w:cs="Times New Roman"/>
                      <w:i/>
                      <w:iCs/>
                      <w:color w:val="auto"/>
                      <w:sz w:val="24"/>
                    </w:rPr>
                    <w:t>原料储存区</w:t>
                  </w:r>
                </w:p>
              </w:tc>
            </w:tr>
            <w:tr w14:paraId="1F3A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27188B1D">
                  <w:pPr>
                    <w:pStyle w:val="48"/>
                    <w:spacing w:line="240" w:lineRule="auto"/>
                    <w:ind w:firstLine="0" w:firstLineChars="0"/>
                    <w:rPr>
                      <w:rFonts w:hint="default" w:ascii="Times New Roman" w:hAnsi="Times New Roman" w:eastAsia="仿宋" w:cs="Times New Roman"/>
                      <w:color w:val="auto"/>
                      <w:kern w:val="2"/>
                      <w:sz w:val="24"/>
                      <w:szCs w:val="18"/>
                      <w:lang w:val="en-US" w:eastAsia="zh-CN" w:bidi="ar-SA"/>
                    </w:rPr>
                  </w:pPr>
                  <w:r>
                    <w:rPr>
                      <w:rFonts w:hint="default" w:ascii="Times New Roman" w:hAnsi="Times New Roman" w:cs="Times New Roman"/>
                      <w:color w:val="auto"/>
                      <w:sz w:val="24"/>
                      <w:szCs w:val="18"/>
                    </w:rPr>
                    <w:t>8</w:t>
                  </w:r>
                </w:p>
              </w:tc>
              <w:tc>
                <w:tcPr>
                  <w:tcW w:w="902" w:type="pct"/>
                  <w:shd w:val="clear" w:color="auto" w:fill="auto"/>
                  <w:vAlign w:val="center"/>
                </w:tcPr>
                <w:p w14:paraId="01D98D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szCs w:val="24"/>
                      <w:lang w:eastAsia="zh-CN"/>
                    </w:rPr>
                    <w:t>空压机油</w:t>
                  </w:r>
                </w:p>
              </w:tc>
              <w:tc>
                <w:tcPr>
                  <w:tcW w:w="803" w:type="pct"/>
                  <w:shd w:val="clear" w:color="auto" w:fill="auto"/>
                  <w:vAlign w:val="center"/>
                </w:tcPr>
                <w:p w14:paraId="464FE9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szCs w:val="24"/>
                    </w:rPr>
                    <w:t>200L/桶</w:t>
                  </w:r>
                </w:p>
              </w:tc>
              <w:tc>
                <w:tcPr>
                  <w:tcW w:w="763" w:type="pct"/>
                  <w:shd w:val="clear" w:color="auto" w:fill="auto"/>
                  <w:vAlign w:val="center"/>
                </w:tcPr>
                <w:p w14:paraId="51DF35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szCs w:val="24"/>
                      <w:lang w:val="en-US" w:eastAsia="zh-CN"/>
                    </w:rPr>
                    <w:t>0.1</w:t>
                  </w:r>
                </w:p>
              </w:tc>
              <w:tc>
                <w:tcPr>
                  <w:tcW w:w="833" w:type="pct"/>
                  <w:shd w:val="clear" w:color="auto" w:fill="auto"/>
                  <w:vAlign w:val="center"/>
                </w:tcPr>
                <w:p w14:paraId="147803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szCs w:val="24"/>
                      <w:lang w:val="en-US" w:eastAsia="zh-CN"/>
                    </w:rPr>
                    <w:t>0.1</w:t>
                  </w:r>
                </w:p>
              </w:tc>
              <w:tc>
                <w:tcPr>
                  <w:tcW w:w="1262" w:type="pct"/>
                </w:tcPr>
                <w:p w14:paraId="674D9D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i/>
                      <w:iCs/>
                      <w:color w:val="auto"/>
                      <w:sz w:val="24"/>
                    </w:rPr>
                  </w:pPr>
                  <w:r>
                    <w:rPr>
                      <w:rFonts w:hint="default" w:ascii="Times New Roman" w:hAnsi="Times New Roman" w:cs="Times New Roman"/>
                      <w:i/>
                      <w:iCs/>
                      <w:color w:val="auto"/>
                      <w:sz w:val="24"/>
                      <w:lang w:eastAsia="zh-CN"/>
                    </w:rPr>
                    <w:t>外购，</w:t>
                  </w:r>
                  <w:r>
                    <w:rPr>
                      <w:rFonts w:hint="default" w:ascii="Times New Roman" w:hAnsi="Times New Roman" w:cs="Times New Roman"/>
                      <w:i/>
                      <w:iCs/>
                      <w:color w:val="auto"/>
                      <w:sz w:val="24"/>
                    </w:rPr>
                    <w:t>原料储存区</w:t>
                  </w:r>
                </w:p>
              </w:tc>
            </w:tr>
            <w:tr w14:paraId="55E6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429550D4">
                  <w:pPr>
                    <w:pStyle w:val="48"/>
                    <w:spacing w:line="240" w:lineRule="auto"/>
                    <w:rPr>
                      <w:rFonts w:hint="default" w:ascii="Times New Roman" w:hAnsi="Times New Roman" w:cs="Times New Roman"/>
                      <w:color w:val="auto"/>
                      <w:sz w:val="24"/>
                      <w:szCs w:val="18"/>
                    </w:rPr>
                  </w:pPr>
                  <w:r>
                    <w:rPr>
                      <w:rFonts w:hint="default" w:ascii="Times New Roman" w:hAnsi="Times New Roman" w:cs="Times New Roman"/>
                      <w:color w:val="auto"/>
                      <w:sz w:val="24"/>
                      <w:szCs w:val="18"/>
                    </w:rPr>
                    <w:t>9</w:t>
                  </w:r>
                </w:p>
              </w:tc>
              <w:tc>
                <w:tcPr>
                  <w:tcW w:w="902" w:type="pct"/>
                  <w:shd w:val="clear" w:color="auto" w:fill="auto"/>
                  <w:vAlign w:val="center"/>
                </w:tcPr>
                <w:p w14:paraId="5428DCFD">
                  <w:pPr>
                    <w:spacing w:line="240" w:lineRule="auto"/>
                    <w:ind w:firstLine="0" w:firstLineChars="0"/>
                    <w:jc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rPr>
                    <w:t>液压油</w:t>
                  </w:r>
                </w:p>
              </w:tc>
              <w:tc>
                <w:tcPr>
                  <w:tcW w:w="803" w:type="pct"/>
                  <w:shd w:val="clear" w:color="auto" w:fill="auto"/>
                  <w:vAlign w:val="center"/>
                </w:tcPr>
                <w:p w14:paraId="5AA324BA">
                  <w:pPr>
                    <w:spacing w:line="240" w:lineRule="auto"/>
                    <w:ind w:firstLine="0" w:firstLineChars="0"/>
                    <w:jc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lang w:val="en-US" w:eastAsia="zh-CN"/>
                    </w:rPr>
                    <w:t>18</w:t>
                  </w:r>
                  <w:r>
                    <w:rPr>
                      <w:rFonts w:hint="default" w:ascii="Times New Roman" w:hAnsi="Times New Roman" w:cs="Times New Roman"/>
                      <w:i/>
                      <w:iCs/>
                      <w:color w:val="auto"/>
                      <w:sz w:val="24"/>
                    </w:rPr>
                    <w:t>0kg/桶</w:t>
                  </w:r>
                </w:p>
              </w:tc>
              <w:tc>
                <w:tcPr>
                  <w:tcW w:w="763" w:type="pct"/>
                  <w:shd w:val="clear" w:color="auto" w:fill="auto"/>
                  <w:vAlign w:val="center"/>
                </w:tcPr>
                <w:p w14:paraId="31277DC9">
                  <w:pPr>
                    <w:spacing w:line="240" w:lineRule="auto"/>
                    <w:ind w:firstLine="0" w:firstLineChars="0"/>
                    <w:jc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lang w:val="en-US" w:eastAsia="zh-CN"/>
                    </w:rPr>
                    <w:t>0.2</w:t>
                  </w:r>
                </w:p>
              </w:tc>
              <w:tc>
                <w:tcPr>
                  <w:tcW w:w="833" w:type="pct"/>
                  <w:shd w:val="clear" w:color="auto" w:fill="auto"/>
                  <w:vAlign w:val="center"/>
                </w:tcPr>
                <w:p w14:paraId="59024DE7">
                  <w:pPr>
                    <w:spacing w:line="240" w:lineRule="auto"/>
                    <w:ind w:firstLine="0" w:firstLineChars="0"/>
                    <w:jc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lang w:val="en-US" w:eastAsia="zh-CN"/>
                    </w:rPr>
                    <w:t>0.2</w:t>
                  </w:r>
                </w:p>
              </w:tc>
              <w:tc>
                <w:tcPr>
                  <w:tcW w:w="1262" w:type="pct"/>
                  <w:shd w:val="clear" w:color="auto" w:fill="auto"/>
                  <w:vAlign w:val="center"/>
                </w:tcPr>
                <w:p w14:paraId="23D56426">
                  <w:pPr>
                    <w:spacing w:line="240" w:lineRule="auto"/>
                    <w:ind w:left="0" w:leftChars="0" w:firstLine="0" w:firstLineChars="0"/>
                    <w:jc w:val="both"/>
                    <w:rPr>
                      <w:rFonts w:hint="default" w:ascii="Times New Roman" w:hAnsi="Times New Roman" w:eastAsia="仿宋" w:cs="Times New Roman"/>
                      <w:i/>
                      <w:iCs/>
                      <w:color w:val="auto"/>
                      <w:kern w:val="2"/>
                      <w:sz w:val="21"/>
                      <w:szCs w:val="21"/>
                      <w:lang w:val="en-US" w:eastAsia="zh-CN" w:bidi="ar-SA"/>
                    </w:rPr>
                  </w:pPr>
                  <w:r>
                    <w:rPr>
                      <w:rFonts w:hint="default" w:ascii="Times New Roman" w:hAnsi="Times New Roman" w:cs="Times New Roman"/>
                      <w:i/>
                      <w:iCs/>
                      <w:color w:val="auto"/>
                      <w:sz w:val="24"/>
                      <w:lang w:eastAsia="zh-CN"/>
                    </w:rPr>
                    <w:t>外购，</w:t>
                  </w:r>
                  <w:r>
                    <w:rPr>
                      <w:rFonts w:hint="default" w:ascii="Times New Roman" w:hAnsi="Times New Roman" w:cs="Times New Roman"/>
                      <w:i/>
                      <w:iCs/>
                      <w:color w:val="auto"/>
                      <w:sz w:val="24"/>
                    </w:rPr>
                    <w:t>原料储存区</w:t>
                  </w:r>
                </w:p>
              </w:tc>
            </w:tr>
          </w:tbl>
          <w:p w14:paraId="0EB09ED2">
            <w:pPr>
              <w:numPr>
                <w:ilvl w:val="0"/>
                <w:numId w:val="11"/>
              </w:numPr>
              <w:spacing w:before="120" w:beforeLines="50"/>
              <w:ind w:firstLine="560"/>
              <w:rPr>
                <w:color w:val="auto"/>
                <w:sz w:val="28"/>
              </w:rPr>
            </w:pPr>
            <w:r>
              <w:rPr>
                <w:rFonts w:hint="eastAsia"/>
                <w:color w:val="auto"/>
                <w:sz w:val="28"/>
              </w:rPr>
              <w:t>主要原材料理化性质</w:t>
            </w:r>
          </w:p>
          <w:p w14:paraId="1C8A63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4"/>
                <w:highlight w:val="none"/>
              </w:rPr>
            </w:pPr>
            <w:r>
              <w:rPr>
                <w:b/>
                <w:bCs/>
                <w:color w:val="auto"/>
                <w:sz w:val="24"/>
                <w:highlight w:val="none"/>
              </w:rPr>
              <w:t>表2-</w:t>
            </w:r>
            <w:r>
              <w:rPr>
                <w:rFonts w:hint="eastAsia"/>
                <w:b/>
                <w:bCs/>
                <w:color w:val="auto"/>
                <w:sz w:val="24"/>
                <w:highlight w:val="none"/>
                <w:lang w:val="en-US" w:eastAsia="zh-CN"/>
              </w:rPr>
              <w:t>7</w:t>
            </w:r>
            <w:r>
              <w:rPr>
                <w:rFonts w:hint="eastAsia"/>
                <w:b/>
                <w:bCs/>
                <w:color w:val="auto"/>
                <w:sz w:val="24"/>
                <w:highlight w:val="none"/>
              </w:rPr>
              <w:t>本项目化学品的成分及理化性质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875"/>
              <w:gridCol w:w="3762"/>
              <w:gridCol w:w="3146"/>
            </w:tblGrid>
            <w:tr w14:paraId="1B62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noWrap w:val="0"/>
                  <w:vAlign w:val="center"/>
                </w:tcPr>
                <w:p w14:paraId="39656AA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原料名称</w:t>
                  </w:r>
                </w:p>
              </w:tc>
              <w:tc>
                <w:tcPr>
                  <w:tcW w:w="1538" w:type="dxa"/>
                  <w:noWrap w:val="0"/>
                  <w:vAlign w:val="center"/>
                </w:tcPr>
                <w:p w14:paraId="7012A46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bCs/>
                      <w:color w:val="auto"/>
                      <w:sz w:val="24"/>
                      <w:szCs w:val="24"/>
                      <w:highlight w:val="none"/>
                    </w:rPr>
                  </w:pPr>
                  <w:r>
                    <w:rPr>
                      <w:rFonts w:hint="eastAsia" w:cs="仿宋"/>
                      <w:b/>
                      <w:bCs/>
                      <w:color w:val="auto"/>
                      <w:sz w:val="24"/>
                      <w:szCs w:val="24"/>
                      <w:highlight w:val="none"/>
                      <w:lang w:eastAsia="zh-CN"/>
                    </w:rPr>
                    <w:t>主要</w:t>
                  </w:r>
                  <w:r>
                    <w:rPr>
                      <w:rFonts w:hint="eastAsia" w:ascii="仿宋" w:hAnsi="仿宋" w:eastAsia="仿宋" w:cs="仿宋"/>
                      <w:b/>
                      <w:bCs/>
                      <w:color w:val="auto"/>
                      <w:sz w:val="24"/>
                      <w:szCs w:val="24"/>
                      <w:highlight w:val="none"/>
                    </w:rPr>
                    <w:t>成分</w:t>
                  </w:r>
                </w:p>
              </w:tc>
              <w:tc>
                <w:tcPr>
                  <w:tcW w:w="3086" w:type="dxa"/>
                  <w:noWrap w:val="0"/>
                  <w:vAlign w:val="center"/>
                </w:tcPr>
                <w:p w14:paraId="060DB31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理化特性</w:t>
                  </w:r>
                </w:p>
              </w:tc>
              <w:tc>
                <w:tcPr>
                  <w:tcW w:w="2581" w:type="dxa"/>
                  <w:noWrap w:val="0"/>
                  <w:vAlign w:val="center"/>
                </w:tcPr>
                <w:p w14:paraId="0DA76BF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健康及毒性</w:t>
                  </w:r>
                </w:p>
              </w:tc>
            </w:tr>
            <w:tr w14:paraId="5072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noWrap w:val="0"/>
                  <w:vAlign w:val="center"/>
                </w:tcPr>
                <w:p w14:paraId="4C5AF5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kern w:val="2"/>
                      <w:sz w:val="24"/>
                      <w:szCs w:val="24"/>
                      <w:lang w:eastAsia="zh-CN"/>
                    </w:rPr>
                  </w:pPr>
                  <w:r>
                    <w:rPr>
                      <w:rFonts w:hint="eastAsia" w:ascii="Times New Roman" w:hAnsi="Times New Roman" w:cs="Times New Roman"/>
                      <w:color w:val="auto"/>
                      <w:sz w:val="24"/>
                      <w:szCs w:val="24"/>
                      <w:lang w:val="en-US" w:eastAsia="zh-CN"/>
                    </w:rPr>
                    <w:t>水性压敏胶</w:t>
                  </w:r>
                </w:p>
              </w:tc>
              <w:tc>
                <w:tcPr>
                  <w:tcW w:w="1538" w:type="dxa"/>
                  <w:noWrap w:val="0"/>
                  <w:vAlign w:val="center"/>
                </w:tcPr>
                <w:p w14:paraId="09963D89">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水</w:t>
                  </w:r>
                  <w:r>
                    <w:rPr>
                      <w:rFonts w:hint="eastAsia" w:cs="仿宋"/>
                      <w:color w:val="auto"/>
                      <w:kern w:val="2"/>
                      <w:sz w:val="24"/>
                      <w:szCs w:val="24"/>
                      <w:lang w:eastAsia="zh-CN"/>
                    </w:rPr>
                    <w:t>：</w:t>
                  </w:r>
                  <w:r>
                    <w:rPr>
                      <w:rFonts w:hint="eastAsia" w:ascii="仿宋" w:hAnsi="仿宋" w:eastAsia="仿宋" w:cs="仿宋"/>
                      <w:color w:val="auto"/>
                      <w:kern w:val="2"/>
                      <w:sz w:val="24"/>
                      <w:szCs w:val="24"/>
                    </w:rPr>
                    <w:t>40%</w:t>
                  </w:r>
                </w:p>
                <w:p w14:paraId="0A2E63B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聚合物+助剂</w:t>
                  </w:r>
                  <w:r>
                    <w:rPr>
                      <w:rFonts w:hint="eastAsia" w:cs="仿宋"/>
                      <w:color w:val="auto"/>
                      <w:kern w:val="2"/>
                      <w:sz w:val="24"/>
                      <w:szCs w:val="24"/>
                      <w:lang w:eastAsia="zh-CN"/>
                    </w:rPr>
                    <w:t>：</w:t>
                  </w:r>
                  <w:r>
                    <w:rPr>
                      <w:rFonts w:hint="eastAsia" w:ascii="仿宋" w:hAnsi="仿宋" w:eastAsia="仿宋" w:cs="仿宋"/>
                      <w:color w:val="auto"/>
                      <w:kern w:val="2"/>
                      <w:sz w:val="24"/>
                      <w:szCs w:val="24"/>
                    </w:rPr>
                    <w:t>60%</w:t>
                  </w:r>
                </w:p>
              </w:tc>
              <w:tc>
                <w:tcPr>
                  <w:tcW w:w="3086" w:type="dxa"/>
                  <w:noWrap w:val="0"/>
                  <w:vAlign w:val="center"/>
                </w:tcPr>
                <w:p w14:paraId="7429F3C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eastAsia="zh-CN"/>
                    </w:rPr>
                    <w:t>乳白色液体</w:t>
                  </w:r>
                  <w:r>
                    <w:rPr>
                      <w:rFonts w:hint="eastAsia" w:ascii="仿宋" w:hAnsi="仿宋" w:eastAsia="仿宋" w:cs="仿宋"/>
                      <w:color w:val="auto"/>
                      <w:kern w:val="2"/>
                      <w:sz w:val="24"/>
                      <w:szCs w:val="24"/>
                    </w:rPr>
                    <w:t>，有</w:t>
                  </w:r>
                  <w:r>
                    <w:rPr>
                      <w:rFonts w:hint="eastAsia" w:ascii="仿宋" w:hAnsi="仿宋" w:eastAsia="仿宋" w:cs="仿宋"/>
                      <w:color w:val="auto"/>
                      <w:kern w:val="2"/>
                      <w:sz w:val="24"/>
                      <w:szCs w:val="24"/>
                      <w:lang w:eastAsia="zh-CN"/>
                    </w:rPr>
                    <w:t>淡淡的气味</w:t>
                  </w:r>
                  <w:r>
                    <w:rPr>
                      <w:rFonts w:hint="eastAsia" w:ascii="仿宋" w:hAnsi="仿宋" w:eastAsia="仿宋" w:cs="仿宋"/>
                      <w:color w:val="auto"/>
                      <w:kern w:val="2"/>
                      <w:sz w:val="24"/>
                      <w:szCs w:val="24"/>
                    </w:rPr>
                    <w:t>，密度</w:t>
                  </w:r>
                  <w:r>
                    <w:rPr>
                      <w:rFonts w:hint="eastAsia" w:ascii="仿宋" w:hAnsi="仿宋" w:eastAsia="仿宋" w:cs="仿宋"/>
                      <w:color w:val="auto"/>
                      <w:kern w:val="2"/>
                      <w:sz w:val="24"/>
                      <w:szCs w:val="24"/>
                      <w:lang w:eastAsia="zh-CN"/>
                    </w:rPr>
                    <w:t>（水</w:t>
                  </w:r>
                  <w:r>
                    <w:rPr>
                      <w:rFonts w:hint="eastAsia" w:ascii="仿宋" w:hAnsi="仿宋" w:eastAsia="仿宋" w:cs="仿宋"/>
                      <w:color w:val="auto"/>
                      <w:kern w:val="2"/>
                      <w:sz w:val="24"/>
                      <w:szCs w:val="24"/>
                      <w:lang w:val="en-US" w:eastAsia="zh-CN"/>
                    </w:rPr>
                    <w:t>=1</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rPr>
                    <w:t>1.0</w:t>
                  </w:r>
                  <w:r>
                    <w:rPr>
                      <w:rFonts w:hint="eastAsia" w:ascii="仿宋" w:hAnsi="仿宋" w:eastAsia="仿宋" w:cs="仿宋"/>
                      <w:color w:val="auto"/>
                      <w:kern w:val="2"/>
                      <w:sz w:val="24"/>
                      <w:szCs w:val="24"/>
                      <w:lang w:val="en-US" w:eastAsia="zh-CN"/>
                    </w:rPr>
                    <w:t>3</w:t>
                  </w:r>
                  <w:r>
                    <w:rPr>
                      <w:rFonts w:hint="eastAsia" w:ascii="仿宋" w:hAnsi="仿宋" w:eastAsia="仿宋" w:cs="仿宋"/>
                      <w:color w:val="auto"/>
                      <w:kern w:val="2"/>
                      <w:sz w:val="24"/>
                      <w:szCs w:val="24"/>
                    </w:rPr>
                    <w:t>g/cm</w:t>
                  </w:r>
                  <w:r>
                    <w:rPr>
                      <w:rFonts w:hint="eastAsia" w:ascii="仿宋" w:hAnsi="仿宋" w:eastAsia="仿宋" w:cs="仿宋"/>
                      <w:color w:val="auto"/>
                      <w:kern w:val="2"/>
                      <w:sz w:val="24"/>
                      <w:szCs w:val="24"/>
                      <w:vertAlign w:val="superscript"/>
                    </w:rPr>
                    <w:t>3</w:t>
                  </w:r>
                  <w:r>
                    <w:rPr>
                      <w:rFonts w:hint="eastAsia" w:ascii="仿宋" w:hAnsi="仿宋" w:eastAsia="仿宋" w:cs="仿宋"/>
                      <w:color w:val="auto"/>
                      <w:kern w:val="2"/>
                      <w:sz w:val="24"/>
                      <w:szCs w:val="24"/>
                    </w:rPr>
                    <w:t>，溶于水，</w:t>
                  </w:r>
                  <w:r>
                    <w:rPr>
                      <w:rFonts w:hint="eastAsia" w:ascii="仿宋" w:hAnsi="仿宋" w:eastAsia="仿宋" w:cs="仿宋"/>
                      <w:color w:val="auto"/>
                      <w:kern w:val="2"/>
                      <w:sz w:val="24"/>
                      <w:szCs w:val="24"/>
                      <w:lang w:eastAsia="zh-CN"/>
                    </w:rPr>
                    <w:t>稳定性混合物，不易燃</w:t>
                  </w:r>
                </w:p>
              </w:tc>
              <w:tc>
                <w:tcPr>
                  <w:tcW w:w="2581" w:type="dxa"/>
                  <w:noWrap w:val="0"/>
                  <w:vAlign w:val="center"/>
                </w:tcPr>
                <w:p w14:paraId="0790437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val="en-US" w:eastAsia="zh-CN"/>
                    </w:rPr>
                    <w:t>正常储存状态下不会发生化学反应。</w:t>
                  </w:r>
                </w:p>
                <w:p w14:paraId="38C6AFA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val="en-US" w:eastAsia="zh-CN"/>
                    </w:rPr>
                    <w:t>微量组分和残留单体蒸气可能会刺激眼睛、粘膜、呼吸道，在缺乏通风的区域还会产生头痛、恶心的症状。</w:t>
                  </w:r>
                </w:p>
                <w:p w14:paraId="6B960E2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val="en-US" w:eastAsia="zh-CN"/>
                    </w:rPr>
                    <w:t>皮肤接触：长期接触可能引起暂时性的皮肤发红。</w:t>
                  </w:r>
                </w:p>
                <w:p w14:paraId="509B76E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lang w:val="en-US" w:eastAsia="zh-CN"/>
                    </w:rPr>
                    <w:t>眼接触：直接接触可引起眼睛刺激。</w:t>
                  </w:r>
                </w:p>
              </w:tc>
            </w:tr>
            <w:tr w14:paraId="2306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noWrap w:val="0"/>
                  <w:vAlign w:val="center"/>
                </w:tcPr>
                <w:p w14:paraId="6E0ED7D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仿宋" w:hAnsi="仿宋" w:eastAsia="仿宋" w:cs="仿宋"/>
                      <w:color w:val="auto"/>
                      <w:kern w:val="2"/>
                      <w:sz w:val="24"/>
                      <w:szCs w:val="24"/>
                      <w:lang w:val="en-US" w:eastAsia="zh-CN"/>
                    </w:rPr>
                  </w:pPr>
                  <w:r>
                    <w:rPr>
                      <w:rFonts w:hint="eastAsia" w:cs="仿宋"/>
                      <w:color w:val="auto"/>
                      <w:kern w:val="2"/>
                      <w:sz w:val="24"/>
                      <w:szCs w:val="24"/>
                      <w:lang w:val="en-US" w:eastAsia="zh-CN"/>
                    </w:rPr>
                    <w:t>PE</w:t>
                  </w:r>
                </w:p>
              </w:tc>
              <w:tc>
                <w:tcPr>
                  <w:tcW w:w="7205" w:type="dxa"/>
                  <w:gridSpan w:val="3"/>
                  <w:noWrap w:val="0"/>
                  <w:vAlign w:val="center"/>
                </w:tcPr>
                <w:p w14:paraId="33A284C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仿宋" w:hAnsi="仿宋" w:eastAsia="仿宋" w:cs="仿宋"/>
                      <w:color w:val="auto"/>
                      <w:kern w:val="2"/>
                      <w:sz w:val="24"/>
                      <w:szCs w:val="24"/>
                      <w:lang w:val="en-US" w:eastAsia="en-US"/>
                    </w:rPr>
                  </w:pPr>
                  <w:r>
                    <w:rPr>
                      <w:rFonts w:hint="default" w:ascii="仿宋" w:hAnsi="仿宋" w:eastAsia="仿宋" w:cs="仿宋"/>
                      <w:color w:val="auto"/>
                      <w:kern w:val="2"/>
                      <w:sz w:val="24"/>
                      <w:szCs w:val="24"/>
                      <w:highlight w:val="none"/>
                      <w:lang w:val="en-US" w:eastAsia="zh-CN"/>
                    </w:rPr>
                    <w:t>聚乙烯（polyethylene，简称PE）是乙烯经聚合制得的一种热塑性树脂。在工业上，也包括乙烯与少量α-烯烃的共聚物。聚乙烯无臭，无毒，手感似蜡，具有优良的耐低温性能（最低使用温度可达-100~-70°C），化学稳定性好，能耐大多数酸碱的侵蚀（不耐具有氧化性质的酸）。常温下不溶于一般溶剂，吸水性小，电绝缘性优良</w:t>
                  </w:r>
                  <w:r>
                    <w:rPr>
                      <w:rFonts w:hint="eastAsia" w:cs="仿宋"/>
                      <w:color w:val="auto"/>
                      <w:kern w:val="2"/>
                      <w:sz w:val="24"/>
                      <w:szCs w:val="24"/>
                      <w:highlight w:val="none"/>
                      <w:lang w:val="en-US" w:eastAsia="zh-CN"/>
                    </w:rPr>
                    <w:t>，</w:t>
                  </w:r>
                  <w:r>
                    <w:rPr>
                      <w:rFonts w:hint="default" w:ascii="Times New Roman" w:hAnsi="Times New Roman" w:cs="Times New Roman"/>
                      <w:color w:val="auto"/>
                      <w:sz w:val="24"/>
                      <w:szCs w:val="24"/>
                      <w:lang w:val="en-US" w:eastAsia="zh-CN"/>
                    </w:rPr>
                    <w:t>熔点为100℃</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130℃</w:t>
                  </w:r>
                  <w:r>
                    <w:rPr>
                      <w:rFonts w:hint="eastAsia" w:ascii="Times New Roman" w:hAnsi="Times New Roman" w:cs="Times New Roman"/>
                      <w:color w:val="auto"/>
                      <w:sz w:val="24"/>
                      <w:szCs w:val="24"/>
                      <w:lang w:val="en-US" w:eastAsia="zh-CN"/>
                    </w:rPr>
                    <w:t>，热分解温度通常在‌300℃至500℃‌之间</w:t>
                  </w:r>
                </w:p>
              </w:tc>
            </w:tr>
            <w:tr w14:paraId="5323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noWrap w:val="0"/>
                  <w:vAlign w:val="center"/>
                </w:tcPr>
                <w:p w14:paraId="577E4E1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仿宋" w:hAnsi="仿宋" w:eastAsia="仿宋" w:cs="仿宋"/>
                      <w:color w:val="auto"/>
                      <w:kern w:val="2"/>
                      <w:sz w:val="24"/>
                      <w:szCs w:val="24"/>
                      <w:lang w:val="en-US" w:eastAsia="zh-CN"/>
                    </w:rPr>
                  </w:pPr>
                  <w:r>
                    <w:rPr>
                      <w:rFonts w:hint="eastAsia" w:cs="仿宋"/>
                      <w:color w:val="auto"/>
                      <w:kern w:val="2"/>
                      <w:sz w:val="24"/>
                      <w:szCs w:val="24"/>
                      <w:lang w:val="en-US" w:eastAsia="zh-CN"/>
                    </w:rPr>
                    <w:t>PU</w:t>
                  </w:r>
                </w:p>
              </w:tc>
              <w:tc>
                <w:tcPr>
                  <w:tcW w:w="7205" w:type="dxa"/>
                  <w:gridSpan w:val="3"/>
                  <w:noWrap w:val="0"/>
                  <w:vAlign w:val="center"/>
                </w:tcPr>
                <w:p w14:paraId="563B6109">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仿宋" w:hAnsi="仿宋" w:eastAsia="仿宋" w:cs="仿宋"/>
                      <w:color w:val="auto"/>
                      <w:kern w:val="2"/>
                      <w:sz w:val="24"/>
                      <w:szCs w:val="24"/>
                      <w:lang w:val="en-US" w:eastAsia="zh-CN"/>
                    </w:rPr>
                  </w:pPr>
                  <w:r>
                    <w:rPr>
                      <w:rFonts w:hint="eastAsia" w:ascii="仿宋" w:hAnsi="仿宋" w:eastAsia="仿宋" w:cs="仿宋"/>
                      <w:color w:val="auto"/>
                      <w:kern w:val="2"/>
                      <w:sz w:val="24"/>
                      <w:szCs w:val="24"/>
                    </w:rPr>
                    <w:t>是Polyurethane的缩写，中文名为聚氨基甲酸酯</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rPr>
                    <w:t>简称</w:t>
                  </w:r>
                  <w:r>
                    <w:rPr>
                      <w:rFonts w:hint="eastAsia" w:ascii="仿宋" w:hAnsi="仿宋" w:eastAsia="仿宋" w:cs="仿宋"/>
                      <w:color w:val="auto"/>
                      <w:kern w:val="2"/>
                      <w:sz w:val="24"/>
                      <w:szCs w:val="24"/>
                    </w:rPr>
                    <w:fldChar w:fldCharType="begin"/>
                  </w:r>
                  <w:r>
                    <w:rPr>
                      <w:rFonts w:hint="eastAsia" w:ascii="仿宋" w:hAnsi="仿宋" w:eastAsia="仿宋" w:cs="仿宋"/>
                      <w:color w:val="auto"/>
                      <w:kern w:val="2"/>
                      <w:sz w:val="24"/>
                      <w:szCs w:val="24"/>
                    </w:rPr>
                    <w:instrText xml:space="preserve"> HYPERLINK "https://baike.so.com/doc/6243649-6457049.html" \t "https://baike.so.com/doc/_blank" </w:instrText>
                  </w:r>
                  <w:r>
                    <w:rPr>
                      <w:rFonts w:hint="eastAsia" w:ascii="仿宋" w:hAnsi="仿宋" w:eastAsia="仿宋" w:cs="仿宋"/>
                      <w:color w:val="auto"/>
                      <w:kern w:val="2"/>
                      <w:sz w:val="24"/>
                      <w:szCs w:val="24"/>
                    </w:rPr>
                    <w:fldChar w:fldCharType="separate"/>
                  </w:r>
                  <w:r>
                    <w:rPr>
                      <w:rFonts w:hint="eastAsia" w:ascii="仿宋" w:hAnsi="仿宋" w:eastAsia="仿宋" w:cs="仿宋"/>
                      <w:color w:val="auto"/>
                      <w:kern w:val="2"/>
                      <w:sz w:val="24"/>
                      <w:szCs w:val="24"/>
                    </w:rPr>
                    <w:t>聚氨酯</w:t>
                  </w:r>
                  <w:r>
                    <w:rPr>
                      <w:rFonts w:hint="eastAsia" w:ascii="仿宋" w:hAnsi="仿宋" w:eastAsia="仿宋" w:cs="仿宋"/>
                      <w:color w:val="auto"/>
                      <w:kern w:val="2"/>
                      <w:sz w:val="24"/>
                      <w:szCs w:val="24"/>
                    </w:rPr>
                    <w:fldChar w:fldCharType="end"/>
                  </w:r>
                  <w:r>
                    <w:rPr>
                      <w:rFonts w:hint="eastAsia" w:ascii="仿宋" w:hAnsi="仿宋" w:eastAsia="仿宋" w:cs="仿宋"/>
                      <w:color w:val="auto"/>
                      <w:kern w:val="2"/>
                      <w:sz w:val="24"/>
                      <w:szCs w:val="24"/>
                    </w:rPr>
                    <w:t>。由于，只需要简单修改配方，便可获得不同的密度、弹性、刚性等</w:t>
                  </w:r>
                  <w:r>
                    <w:rPr>
                      <w:rFonts w:hint="eastAsia" w:ascii="仿宋" w:hAnsi="仿宋" w:eastAsia="仿宋" w:cs="仿宋"/>
                      <w:color w:val="auto"/>
                      <w:kern w:val="2"/>
                      <w:sz w:val="24"/>
                      <w:szCs w:val="24"/>
                    </w:rPr>
                    <w:fldChar w:fldCharType="begin"/>
                  </w:r>
                  <w:r>
                    <w:rPr>
                      <w:rFonts w:hint="eastAsia" w:ascii="仿宋" w:hAnsi="仿宋" w:eastAsia="仿宋" w:cs="仿宋"/>
                      <w:color w:val="auto"/>
                      <w:kern w:val="2"/>
                      <w:sz w:val="24"/>
                      <w:szCs w:val="24"/>
                    </w:rPr>
                    <w:instrText xml:space="preserve"> HYPERLINK "https://baike.so.com/doc/419844-444641.html" \t "https://baike.so.com/doc/_blank" </w:instrText>
                  </w:r>
                  <w:r>
                    <w:rPr>
                      <w:rFonts w:hint="eastAsia" w:ascii="仿宋" w:hAnsi="仿宋" w:eastAsia="仿宋" w:cs="仿宋"/>
                      <w:color w:val="auto"/>
                      <w:kern w:val="2"/>
                      <w:sz w:val="24"/>
                      <w:szCs w:val="24"/>
                    </w:rPr>
                    <w:fldChar w:fldCharType="separate"/>
                  </w:r>
                  <w:r>
                    <w:rPr>
                      <w:rFonts w:hint="eastAsia" w:ascii="仿宋" w:hAnsi="仿宋" w:eastAsia="仿宋" w:cs="仿宋"/>
                      <w:color w:val="auto"/>
                      <w:kern w:val="2"/>
                      <w:sz w:val="24"/>
                      <w:szCs w:val="24"/>
                    </w:rPr>
                    <w:t>物理性能</w:t>
                  </w:r>
                  <w:r>
                    <w:rPr>
                      <w:rFonts w:hint="eastAsia" w:ascii="仿宋" w:hAnsi="仿宋" w:eastAsia="仿宋" w:cs="仿宋"/>
                      <w:color w:val="auto"/>
                      <w:kern w:val="2"/>
                      <w:sz w:val="24"/>
                      <w:szCs w:val="24"/>
                    </w:rPr>
                    <w:fldChar w:fldCharType="end"/>
                  </w:r>
                  <w:r>
                    <w:rPr>
                      <w:rFonts w:hint="eastAsia" w:ascii="仿宋" w:hAnsi="仿宋" w:eastAsia="仿宋" w:cs="仿宋"/>
                      <w:color w:val="auto"/>
                      <w:kern w:val="2"/>
                      <w:sz w:val="24"/>
                      <w:szCs w:val="24"/>
                    </w:rPr>
                    <w:t>。目前，已大量替代</w:t>
                  </w:r>
                  <w:r>
                    <w:rPr>
                      <w:rFonts w:hint="eastAsia" w:ascii="仿宋" w:hAnsi="仿宋" w:eastAsia="仿宋" w:cs="仿宋"/>
                      <w:color w:val="auto"/>
                      <w:kern w:val="2"/>
                      <w:sz w:val="24"/>
                      <w:szCs w:val="24"/>
                    </w:rPr>
                    <w:fldChar w:fldCharType="begin"/>
                  </w:r>
                  <w:r>
                    <w:rPr>
                      <w:rFonts w:hint="eastAsia" w:ascii="仿宋" w:hAnsi="仿宋" w:eastAsia="仿宋" w:cs="仿宋"/>
                      <w:color w:val="auto"/>
                      <w:kern w:val="2"/>
                      <w:sz w:val="24"/>
                      <w:szCs w:val="24"/>
                    </w:rPr>
                    <w:instrText xml:space="preserve"> HYPERLINK "https://baike.so.com/doc/4809545-5025948.html" \t "https://baike.so.com/doc/_blank" </w:instrText>
                  </w:r>
                  <w:r>
                    <w:rPr>
                      <w:rFonts w:hint="eastAsia" w:ascii="仿宋" w:hAnsi="仿宋" w:eastAsia="仿宋" w:cs="仿宋"/>
                      <w:color w:val="auto"/>
                      <w:kern w:val="2"/>
                      <w:sz w:val="24"/>
                      <w:szCs w:val="24"/>
                    </w:rPr>
                    <w:fldChar w:fldCharType="separate"/>
                  </w:r>
                  <w:r>
                    <w:rPr>
                      <w:rFonts w:hint="eastAsia" w:ascii="仿宋" w:hAnsi="仿宋" w:eastAsia="仿宋" w:cs="仿宋"/>
                      <w:color w:val="auto"/>
                      <w:kern w:val="2"/>
                      <w:sz w:val="24"/>
                      <w:szCs w:val="24"/>
                    </w:rPr>
                    <w:t>玻璃纤维</w:t>
                  </w:r>
                  <w:r>
                    <w:rPr>
                      <w:rFonts w:hint="eastAsia" w:ascii="仿宋" w:hAnsi="仿宋" w:eastAsia="仿宋" w:cs="仿宋"/>
                      <w:color w:val="auto"/>
                      <w:kern w:val="2"/>
                      <w:sz w:val="24"/>
                      <w:szCs w:val="24"/>
                    </w:rPr>
                    <w:fldChar w:fldCharType="end"/>
                  </w:r>
                  <w:r>
                    <w:rPr>
                      <w:rFonts w:hint="eastAsia" w:ascii="仿宋" w:hAnsi="仿宋" w:eastAsia="仿宋" w:cs="仿宋"/>
                      <w:color w:val="auto"/>
                      <w:kern w:val="2"/>
                      <w:sz w:val="24"/>
                      <w:szCs w:val="24"/>
                    </w:rPr>
                    <w:t>保温材料、木材、传统橡胶制品等。</w:t>
                  </w:r>
                  <w:r>
                    <w:rPr>
                      <w:rFonts w:hint="eastAsia" w:ascii="Times New Roman" w:hAnsi="Times New Roman" w:cs="Times New Roman"/>
                      <w:color w:val="auto"/>
                      <w:sz w:val="24"/>
                      <w:szCs w:val="24"/>
                      <w:lang w:val="en-US" w:eastAsia="zh-CN"/>
                    </w:rPr>
                    <w:t>PU材料的热分解起始温度范围为240℃–400℃</w:t>
                  </w:r>
                  <w:r>
                    <w:rPr>
                      <w:rFonts w:hint="eastAsia" w:ascii="仿宋" w:hAnsi="仿宋" w:eastAsia="仿宋" w:cs="仿宋"/>
                      <w:color w:val="auto"/>
                      <w:kern w:val="2"/>
                      <w:sz w:val="24"/>
                      <w:szCs w:val="24"/>
                      <w:lang w:val="en-US" w:eastAsia="zh-CN"/>
                    </w:rPr>
                    <w:t>‌</w:t>
                  </w:r>
                </w:p>
              </w:tc>
            </w:tr>
            <w:tr w14:paraId="3332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noWrap w:val="0"/>
                  <w:vAlign w:val="center"/>
                </w:tcPr>
                <w:p w14:paraId="1081EB4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仿宋"/>
                      <w:color w:val="auto"/>
                      <w:kern w:val="2"/>
                      <w:sz w:val="24"/>
                      <w:szCs w:val="24"/>
                      <w:lang w:val="en-US" w:eastAsia="zh-CN"/>
                    </w:rPr>
                  </w:pPr>
                  <w:r>
                    <w:rPr>
                      <w:rFonts w:hint="eastAsia" w:cs="仿宋"/>
                      <w:color w:val="auto"/>
                      <w:kern w:val="2"/>
                      <w:sz w:val="24"/>
                      <w:szCs w:val="24"/>
                      <w:lang w:val="en-US" w:eastAsia="zh-CN"/>
                    </w:rPr>
                    <w:t>EVA</w:t>
                  </w:r>
                </w:p>
              </w:tc>
              <w:tc>
                <w:tcPr>
                  <w:tcW w:w="7205" w:type="dxa"/>
                  <w:gridSpan w:val="3"/>
                  <w:noWrap w:val="0"/>
                  <w:vAlign w:val="center"/>
                </w:tcPr>
                <w:p w14:paraId="3C73467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是由乙烯和乙酸乙烯（VA含量5%-40%）共聚而成的通用高分子聚合物，燃烧时无刺激性气味，其性能随VA含量变化而改变：VA含量越高，透明度、柔软度和坚韧度越高。根据VA含量不同采用不同聚合工艺：VA含量低于30%采用高压本体聚合（塑料制品），高于30%采用乳液聚合（粘合剂），此外还有溶液聚合（PVC加工助剂）和悬浮聚合。通过调节VA比例，EVA可满足薄膜、鞋材、热熔胶、电缆护套等多种应用需求，是一种兼具优异柔韧性和加工性能的高分子材料。</w:t>
                  </w:r>
                  <w:r>
                    <w:rPr>
                      <w:rFonts w:hint="eastAsia" w:ascii="Times New Roman" w:hAnsi="Times New Roman" w:cs="Times New Roman"/>
                      <w:color w:val="auto"/>
                      <w:sz w:val="24"/>
                      <w:szCs w:val="24"/>
                      <w:lang w:val="en-US" w:eastAsia="zh-CN"/>
                    </w:rPr>
                    <w:t>EVA热分解温度范围为229℃～230℃</w:t>
                  </w:r>
                </w:p>
              </w:tc>
            </w:tr>
            <w:tr w14:paraId="0C1B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noWrap w:val="0"/>
                  <w:vAlign w:val="center"/>
                </w:tcPr>
                <w:p w14:paraId="41CE89D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仿宋"/>
                      <w:i/>
                      <w:iCs/>
                      <w:color w:val="auto"/>
                      <w:kern w:val="2"/>
                      <w:sz w:val="24"/>
                      <w:szCs w:val="24"/>
                      <w:lang w:val="en-US" w:eastAsia="zh-CN"/>
                    </w:rPr>
                  </w:pPr>
                  <w:r>
                    <w:rPr>
                      <w:rFonts w:hint="eastAsia" w:cs="仿宋"/>
                      <w:i/>
                      <w:iCs/>
                      <w:color w:val="auto"/>
                      <w:kern w:val="2"/>
                      <w:sz w:val="24"/>
                      <w:szCs w:val="24"/>
                      <w:highlight w:val="none"/>
                      <w:lang w:val="en-US" w:eastAsia="zh-CN"/>
                    </w:rPr>
                    <w:t>植绒布</w:t>
                  </w:r>
                </w:p>
              </w:tc>
              <w:tc>
                <w:tcPr>
                  <w:tcW w:w="7205" w:type="dxa"/>
                  <w:gridSpan w:val="3"/>
                  <w:noWrap w:val="0"/>
                  <w:vAlign w:val="center"/>
                </w:tcPr>
                <w:p w14:paraId="57E2773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仿宋" w:hAnsi="仿宋" w:eastAsia="仿宋" w:cs="仿宋"/>
                      <w:i/>
                      <w:iCs/>
                      <w:color w:val="auto"/>
                      <w:kern w:val="2"/>
                      <w:sz w:val="24"/>
                      <w:szCs w:val="24"/>
                    </w:rPr>
                  </w:pPr>
                  <w:r>
                    <w:rPr>
                      <w:rFonts w:hint="eastAsia" w:ascii="Times New Roman" w:hAnsi="Times New Roman" w:cs="Times New Roman"/>
                      <w:i/>
                      <w:iCs/>
                      <w:color w:val="auto"/>
                      <w:sz w:val="24"/>
                      <w:szCs w:val="24"/>
                      <w:lang w:val="en-US" w:eastAsia="zh-CN"/>
                    </w:rPr>
                    <w:t>植绒布是以布料为基底，通过静电植绒技术将尼龙或粘胶绒毛垂直固定在表面的面料。该技术利用电荷异性相吸原理，绒毛带负电荷后附着于带正电荷的涂胶基布，经烘蒸、水洗形成密集绒面层。其工艺类型还包括化学植绒、热溶植绒和印花植绒。植绒布具有立体感强、色彩鲜艳、手感柔软的特点，并具备防污、防水、耐磨等性能。</w:t>
                  </w:r>
                </w:p>
              </w:tc>
            </w:tr>
          </w:tbl>
          <w:p w14:paraId="67E27110">
            <w:pPr>
              <w:widowControl/>
              <w:ind w:firstLine="560"/>
              <w:jc w:val="left"/>
              <w:rPr>
                <w:rFonts w:hint="eastAsia"/>
                <w:color w:val="auto"/>
                <w:sz w:val="28"/>
              </w:rPr>
            </w:pPr>
            <w:r>
              <w:rPr>
                <w:rFonts w:hint="eastAsia"/>
                <w:color w:val="auto"/>
                <w:sz w:val="28"/>
                <w:highlight w:val="none"/>
                <w:lang w:eastAsia="zh-CN"/>
              </w:rPr>
              <w:t>本项目所用</w:t>
            </w:r>
            <w:r>
              <w:rPr>
                <w:rFonts w:hint="eastAsia"/>
                <w:color w:val="auto"/>
                <w:sz w:val="28"/>
                <w:lang w:val="en-US" w:eastAsia="zh-CN"/>
              </w:rPr>
              <w:t>水性压敏胶</w:t>
            </w:r>
            <w:r>
              <w:rPr>
                <w:rFonts w:hint="eastAsia"/>
                <w:color w:val="auto"/>
                <w:sz w:val="28"/>
                <w:highlight w:val="none"/>
                <w:lang w:eastAsia="zh-CN"/>
              </w:rPr>
              <w:t>属于《胶粘剂挥发性有机化合物限量》（GB33372-2020）中规定的水基型胶粘剂。由于业主未提供胶水中</w:t>
            </w:r>
            <w:r>
              <w:rPr>
                <w:rFonts w:hint="eastAsia"/>
                <w:color w:val="auto"/>
                <w:sz w:val="28"/>
                <w:highlight w:val="none"/>
                <w:lang w:val="en-US" w:eastAsia="zh-CN"/>
              </w:rPr>
              <w:t>VOC含量检测报告，因此本项目胶水中VOC含量按照最大限值50g/L考虑。</w:t>
            </w:r>
            <w:r>
              <w:rPr>
                <w:rFonts w:hint="eastAsia"/>
                <w:color w:val="auto"/>
                <w:sz w:val="28"/>
                <w:highlight w:val="none"/>
              </w:rPr>
              <w:t>本项目使用的胶符合《胶粘剂挥发性有机化合物限量》（GB33372-2020），胶水使用过程中将产生挥发性有机物（以非甲烷总烃计）。</w:t>
            </w:r>
          </w:p>
          <w:p w14:paraId="10FC2DEA">
            <w:pPr>
              <w:widowControl/>
              <w:ind w:firstLine="560"/>
              <w:jc w:val="left"/>
              <w:rPr>
                <w:rFonts w:cs="仿宋"/>
                <w:color w:val="auto"/>
                <w:sz w:val="28"/>
                <w:szCs w:val="28"/>
                <w:shd w:val="clear" w:color="auto" w:fill="FFFFFF"/>
              </w:rPr>
            </w:pPr>
            <w:r>
              <w:rPr>
                <w:rFonts w:hint="eastAsia"/>
                <w:color w:val="auto"/>
                <w:sz w:val="28"/>
                <w:lang w:val="en-US" w:eastAsia="zh-CN"/>
              </w:rPr>
              <w:t>水性压敏胶（丙烯酸酯类合成树脂）</w:t>
            </w:r>
            <w:r>
              <w:rPr>
                <w:rFonts w:hint="eastAsia"/>
                <w:color w:val="auto"/>
                <w:sz w:val="28"/>
              </w:rPr>
              <w:t>：丙烯酯树脂(英文名称acrylicresin)又名聚丙烯酸树脂(polyacrylicacideresin)是丙烯酸和甲基丙烯酸及其酯类或其他衍生物聚合而成的均聚物、共聚物的总成；</w:t>
            </w:r>
            <w:r>
              <w:rPr>
                <w:rFonts w:hint="eastAsia"/>
                <w:color w:val="auto"/>
                <w:sz w:val="28"/>
                <w:lang w:eastAsia="zh-CN"/>
              </w:rPr>
              <w:t>乳白色液体</w:t>
            </w:r>
            <w:r>
              <w:rPr>
                <w:rFonts w:hint="eastAsia"/>
                <w:color w:val="auto"/>
                <w:sz w:val="28"/>
              </w:rPr>
              <w:t>，有</w:t>
            </w:r>
            <w:r>
              <w:rPr>
                <w:rFonts w:hint="eastAsia"/>
                <w:color w:val="auto"/>
                <w:sz w:val="28"/>
                <w:lang w:eastAsia="zh-CN"/>
              </w:rPr>
              <w:t>淡淡的气味</w:t>
            </w:r>
            <w:r>
              <w:rPr>
                <w:rFonts w:hint="eastAsia"/>
                <w:color w:val="auto"/>
                <w:sz w:val="28"/>
              </w:rPr>
              <w:t>，密度</w:t>
            </w:r>
            <w:r>
              <w:rPr>
                <w:rFonts w:hint="eastAsia"/>
                <w:color w:val="auto"/>
                <w:sz w:val="28"/>
                <w:lang w:eastAsia="zh-CN"/>
              </w:rPr>
              <w:t>（水</w:t>
            </w:r>
            <w:r>
              <w:rPr>
                <w:rFonts w:hint="eastAsia"/>
                <w:color w:val="auto"/>
                <w:sz w:val="28"/>
                <w:lang w:val="en-US" w:eastAsia="zh-CN"/>
              </w:rPr>
              <w:t>=1</w:t>
            </w:r>
            <w:r>
              <w:rPr>
                <w:rFonts w:hint="eastAsia"/>
                <w:color w:val="auto"/>
                <w:sz w:val="28"/>
                <w:lang w:eastAsia="zh-CN"/>
              </w:rPr>
              <w:t>）</w:t>
            </w:r>
            <w:r>
              <w:rPr>
                <w:rFonts w:hint="eastAsia"/>
                <w:color w:val="auto"/>
                <w:sz w:val="28"/>
              </w:rPr>
              <w:t>1.0</w:t>
            </w:r>
            <w:r>
              <w:rPr>
                <w:rFonts w:hint="eastAsia"/>
                <w:color w:val="auto"/>
                <w:sz w:val="28"/>
                <w:lang w:val="en-US" w:eastAsia="zh-CN"/>
              </w:rPr>
              <w:t>3</w:t>
            </w:r>
            <w:r>
              <w:rPr>
                <w:rFonts w:hint="eastAsia"/>
                <w:color w:val="auto"/>
                <w:sz w:val="28"/>
              </w:rPr>
              <w:t>g/cm</w:t>
            </w:r>
            <w:r>
              <w:rPr>
                <w:rFonts w:hint="eastAsia"/>
                <w:color w:val="auto"/>
                <w:sz w:val="28"/>
                <w:vertAlign w:val="superscript"/>
              </w:rPr>
              <w:t>3</w:t>
            </w:r>
            <w:r>
              <w:rPr>
                <w:rFonts w:hint="eastAsia"/>
                <w:color w:val="auto"/>
                <w:sz w:val="28"/>
              </w:rPr>
              <w:t>，溶于水，</w:t>
            </w:r>
            <w:r>
              <w:rPr>
                <w:rFonts w:hint="eastAsia" w:cs="仿宋"/>
                <w:color w:val="auto"/>
                <w:sz w:val="28"/>
                <w:szCs w:val="28"/>
                <w:shd w:val="clear" w:color="auto" w:fill="FFFFFF"/>
                <w:lang w:eastAsia="zh-CN"/>
              </w:rPr>
              <w:t>稳定性混合物，不易燃</w:t>
            </w:r>
            <w:r>
              <w:rPr>
                <w:rFonts w:hint="eastAsia" w:cs="仿宋"/>
                <w:color w:val="auto"/>
                <w:sz w:val="28"/>
                <w:szCs w:val="28"/>
                <w:shd w:val="clear" w:color="auto" w:fill="FFFFFF"/>
              </w:rPr>
              <w:t>。</w:t>
            </w:r>
          </w:p>
          <w:p w14:paraId="43C9C019">
            <w:pPr>
              <w:spacing w:line="240" w:lineRule="auto"/>
              <w:ind w:firstLine="0" w:firstLineChars="0"/>
              <w:jc w:val="center"/>
              <w:rPr>
                <w:rFonts w:cs="仿宋"/>
                <w:color w:val="auto"/>
                <w:sz w:val="24"/>
                <w:highlight w:val="yellow"/>
              </w:rPr>
            </w:pPr>
            <w:r>
              <w:rPr>
                <w:rFonts w:hint="eastAsia" w:cs="仿宋"/>
                <w:color w:val="auto"/>
                <w:sz w:val="24"/>
                <w:shd w:val="clear" w:color="auto" w:fill="FFFFFF"/>
              </w:rPr>
              <w:t>表2-8</w:t>
            </w:r>
            <w:r>
              <w:rPr>
                <w:rFonts w:hint="eastAsia" w:cs="仿宋"/>
                <w:color w:val="auto"/>
                <w:sz w:val="24"/>
                <w:shd w:val="clear" w:color="auto" w:fill="FFFFFF"/>
                <w:lang w:val="en-US" w:eastAsia="zh-CN"/>
              </w:rPr>
              <w:t>水性压敏胶</w:t>
            </w:r>
            <w:r>
              <w:rPr>
                <w:rFonts w:hint="eastAsia" w:cs="仿宋"/>
                <w:color w:val="auto"/>
                <w:sz w:val="24"/>
                <w:shd w:val="clear" w:color="auto" w:fill="FFFFFF"/>
              </w:rPr>
              <w:t>成分信息表</w:t>
            </w:r>
          </w:p>
          <w:tbl>
            <w:tblPr>
              <w:tblStyle w:val="32"/>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8"/>
              <w:gridCol w:w="2400"/>
              <w:gridCol w:w="2400"/>
            </w:tblGrid>
            <w:tr w14:paraId="13C8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8" w:type="dxa"/>
                </w:tcPr>
                <w:p w14:paraId="76489C0A">
                  <w:pPr>
                    <w:widowControl/>
                    <w:spacing w:line="240" w:lineRule="auto"/>
                    <w:ind w:firstLine="0" w:firstLineChars="0"/>
                    <w:jc w:val="center"/>
                    <w:rPr>
                      <w:color w:val="auto"/>
                      <w:sz w:val="24"/>
                    </w:rPr>
                  </w:pPr>
                  <w:r>
                    <w:rPr>
                      <w:rFonts w:hint="eastAsia"/>
                      <w:color w:val="auto"/>
                      <w:sz w:val="24"/>
                    </w:rPr>
                    <w:t>成分</w:t>
                  </w:r>
                </w:p>
              </w:tc>
              <w:tc>
                <w:tcPr>
                  <w:tcW w:w="2400" w:type="dxa"/>
                </w:tcPr>
                <w:p w14:paraId="0901E2D6">
                  <w:pPr>
                    <w:widowControl/>
                    <w:spacing w:line="240" w:lineRule="auto"/>
                    <w:ind w:firstLine="0" w:firstLineChars="0"/>
                    <w:jc w:val="center"/>
                    <w:rPr>
                      <w:color w:val="auto"/>
                      <w:sz w:val="24"/>
                    </w:rPr>
                  </w:pPr>
                  <w:r>
                    <w:rPr>
                      <w:rFonts w:hint="eastAsia"/>
                      <w:color w:val="auto"/>
                      <w:sz w:val="24"/>
                    </w:rPr>
                    <w:t>含量</w:t>
                  </w:r>
                </w:p>
              </w:tc>
              <w:tc>
                <w:tcPr>
                  <w:tcW w:w="2400" w:type="dxa"/>
                </w:tcPr>
                <w:p w14:paraId="6254C06E">
                  <w:pPr>
                    <w:widowControl/>
                    <w:spacing w:line="240" w:lineRule="auto"/>
                    <w:ind w:firstLine="0" w:firstLineChars="0"/>
                    <w:jc w:val="center"/>
                    <w:rPr>
                      <w:color w:val="auto"/>
                      <w:sz w:val="24"/>
                    </w:rPr>
                  </w:pPr>
                  <w:r>
                    <w:rPr>
                      <w:rFonts w:hint="eastAsia"/>
                      <w:color w:val="auto"/>
                      <w:sz w:val="24"/>
                    </w:rPr>
                    <w:t>CAS号</w:t>
                  </w:r>
                </w:p>
              </w:tc>
            </w:tr>
            <w:tr w14:paraId="275C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8" w:type="dxa"/>
                </w:tcPr>
                <w:p w14:paraId="0F20E880">
                  <w:pPr>
                    <w:pStyle w:val="27"/>
                    <w:spacing w:before="0" w:beforeAutospacing="0" w:after="0" w:afterAutospacing="0" w:line="240" w:lineRule="auto"/>
                    <w:ind w:firstLine="0" w:firstLineChars="0"/>
                    <w:jc w:val="center"/>
                    <w:rPr>
                      <w:rFonts w:hint="eastAsia" w:eastAsia="仿宋"/>
                      <w:color w:val="auto"/>
                      <w:szCs w:val="24"/>
                      <w:lang w:val="en-US" w:eastAsia="zh-CN"/>
                    </w:rPr>
                  </w:pPr>
                  <w:r>
                    <w:rPr>
                      <w:rFonts w:hint="eastAsia"/>
                      <w:color w:val="auto"/>
                      <w:szCs w:val="24"/>
                      <w:lang w:val="en-US" w:eastAsia="zh-CN"/>
                    </w:rPr>
                    <w:t>水</w:t>
                  </w:r>
                </w:p>
              </w:tc>
              <w:tc>
                <w:tcPr>
                  <w:tcW w:w="2400" w:type="dxa"/>
                </w:tcPr>
                <w:p w14:paraId="02EE47B1">
                  <w:pPr>
                    <w:widowControl/>
                    <w:spacing w:line="240" w:lineRule="auto"/>
                    <w:ind w:firstLine="0" w:firstLineChars="0"/>
                    <w:jc w:val="center"/>
                    <w:rPr>
                      <w:color w:val="auto"/>
                      <w:sz w:val="24"/>
                    </w:rPr>
                  </w:pPr>
                  <w:r>
                    <w:rPr>
                      <w:rFonts w:hint="eastAsia"/>
                      <w:color w:val="auto"/>
                      <w:sz w:val="24"/>
                      <w:lang w:val="en-US" w:eastAsia="zh-CN"/>
                    </w:rPr>
                    <w:t>40</w:t>
                  </w:r>
                  <w:r>
                    <w:rPr>
                      <w:rFonts w:hint="eastAsia"/>
                      <w:color w:val="auto"/>
                      <w:sz w:val="24"/>
                    </w:rPr>
                    <w:t>%</w:t>
                  </w:r>
                </w:p>
              </w:tc>
              <w:tc>
                <w:tcPr>
                  <w:tcW w:w="2400" w:type="dxa"/>
                </w:tcPr>
                <w:p w14:paraId="2BA4A639">
                  <w:pPr>
                    <w:widowControl/>
                    <w:spacing w:line="240" w:lineRule="auto"/>
                    <w:ind w:firstLine="0" w:firstLineChars="0"/>
                    <w:jc w:val="center"/>
                    <w:rPr>
                      <w:color w:val="auto"/>
                      <w:sz w:val="24"/>
                    </w:rPr>
                  </w:pPr>
                  <w:r>
                    <w:rPr>
                      <w:rFonts w:hint="eastAsia"/>
                      <w:color w:val="auto"/>
                      <w:sz w:val="24"/>
                      <w:lang w:val="en-US" w:eastAsia="zh-CN"/>
                    </w:rPr>
                    <w:t>7732-18-5</w:t>
                  </w:r>
                </w:p>
              </w:tc>
            </w:tr>
            <w:tr w14:paraId="784A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8" w:type="dxa"/>
                </w:tcPr>
                <w:p w14:paraId="14AE41FD">
                  <w:pPr>
                    <w:pStyle w:val="27"/>
                    <w:spacing w:before="0" w:beforeAutospacing="0" w:after="0" w:afterAutospacing="0" w:line="240" w:lineRule="auto"/>
                    <w:ind w:firstLine="0" w:firstLineChars="0"/>
                    <w:jc w:val="center"/>
                    <w:rPr>
                      <w:color w:val="auto"/>
                      <w:szCs w:val="24"/>
                    </w:rPr>
                  </w:pPr>
                  <w:r>
                    <w:rPr>
                      <w:rFonts w:hint="eastAsia"/>
                      <w:color w:val="auto"/>
                      <w:szCs w:val="24"/>
                      <w:lang w:eastAsia="zh-CN"/>
                    </w:rPr>
                    <w:t>聚合物</w:t>
                  </w:r>
                  <w:r>
                    <w:rPr>
                      <w:rFonts w:hint="eastAsia"/>
                      <w:color w:val="auto"/>
                      <w:szCs w:val="24"/>
                      <w:lang w:val="en-US" w:eastAsia="zh-CN"/>
                    </w:rPr>
                    <w:t>+</w:t>
                  </w:r>
                  <w:r>
                    <w:rPr>
                      <w:rFonts w:hint="eastAsia"/>
                      <w:color w:val="auto"/>
                      <w:szCs w:val="24"/>
                    </w:rPr>
                    <w:t>助剂</w:t>
                  </w:r>
                </w:p>
              </w:tc>
              <w:tc>
                <w:tcPr>
                  <w:tcW w:w="2400" w:type="dxa"/>
                </w:tcPr>
                <w:p w14:paraId="7807B109">
                  <w:pPr>
                    <w:widowControl/>
                    <w:spacing w:line="240" w:lineRule="auto"/>
                    <w:ind w:firstLine="0" w:firstLineChars="0"/>
                    <w:jc w:val="center"/>
                    <w:rPr>
                      <w:color w:val="auto"/>
                      <w:sz w:val="24"/>
                    </w:rPr>
                  </w:pPr>
                  <w:r>
                    <w:rPr>
                      <w:rFonts w:hint="eastAsia"/>
                      <w:color w:val="auto"/>
                      <w:sz w:val="24"/>
                      <w:lang w:val="en-US" w:eastAsia="zh-CN"/>
                    </w:rPr>
                    <w:t>60</w:t>
                  </w:r>
                  <w:r>
                    <w:rPr>
                      <w:rFonts w:hint="eastAsia"/>
                      <w:color w:val="auto"/>
                      <w:sz w:val="24"/>
                    </w:rPr>
                    <w:t>%</w:t>
                  </w:r>
                </w:p>
              </w:tc>
              <w:tc>
                <w:tcPr>
                  <w:tcW w:w="2400" w:type="dxa"/>
                </w:tcPr>
                <w:p w14:paraId="19077053">
                  <w:pPr>
                    <w:widowControl/>
                    <w:spacing w:line="240" w:lineRule="auto"/>
                    <w:ind w:firstLine="0" w:firstLineChars="0"/>
                    <w:jc w:val="center"/>
                    <w:rPr>
                      <w:color w:val="auto"/>
                      <w:sz w:val="24"/>
                    </w:rPr>
                  </w:pPr>
                  <w:r>
                    <w:rPr>
                      <w:rFonts w:hint="eastAsia"/>
                      <w:color w:val="auto"/>
                      <w:sz w:val="24"/>
                    </w:rPr>
                    <w:t>/</w:t>
                  </w:r>
                </w:p>
              </w:tc>
            </w:tr>
          </w:tbl>
          <w:p w14:paraId="531E58EC">
            <w:pPr>
              <w:pStyle w:val="27"/>
              <w:spacing w:before="0" w:beforeAutospacing="0" w:after="0" w:afterAutospacing="0" w:line="240" w:lineRule="auto"/>
              <w:ind w:firstLine="0" w:firstLineChars="0"/>
              <w:jc w:val="center"/>
              <w:rPr>
                <w:rFonts w:ascii="Times New Roman" w:hAnsi="仿宋"/>
                <w:b/>
                <w:color w:val="auto"/>
                <w:szCs w:val="24"/>
                <w:lang w:val="en-US"/>
              </w:rPr>
            </w:pPr>
          </w:p>
          <w:p w14:paraId="22A59479">
            <w:pPr>
              <w:pStyle w:val="53"/>
              <w:numPr>
                <w:ilvl w:val="0"/>
                <w:numId w:val="12"/>
              </w:numPr>
              <w:spacing w:before="120"/>
              <w:rPr>
                <w:rFonts w:ascii="仿宋" w:hAnsi="仿宋"/>
                <w:color w:val="auto"/>
                <w:sz w:val="28"/>
              </w:rPr>
            </w:pPr>
            <w:r>
              <w:rPr>
                <w:rFonts w:hint="eastAsia" w:ascii="仿宋" w:hAnsi="仿宋"/>
                <w:color w:val="auto"/>
                <w:sz w:val="28"/>
              </w:rPr>
              <w:t>水平衡分析</w:t>
            </w:r>
          </w:p>
          <w:p w14:paraId="056C3C5E">
            <w:pPr>
              <w:ind w:firstLine="560"/>
              <w:rPr>
                <w:color w:val="auto"/>
                <w:sz w:val="28"/>
              </w:rPr>
            </w:pPr>
            <w:r>
              <w:rPr>
                <w:rFonts w:hint="eastAsia"/>
                <w:color w:val="auto"/>
                <w:sz w:val="28"/>
              </w:rPr>
              <w:t>本项目用水主要为生活用水、地面清洁用水。</w:t>
            </w:r>
          </w:p>
          <w:p w14:paraId="412C97D5">
            <w:pPr>
              <w:numPr>
                <w:ilvl w:val="0"/>
                <w:numId w:val="13"/>
              </w:numPr>
              <w:ind w:firstLine="560"/>
              <w:rPr>
                <w:color w:val="auto"/>
                <w:sz w:val="28"/>
              </w:rPr>
            </w:pPr>
            <w:r>
              <w:rPr>
                <w:rFonts w:hint="eastAsia"/>
                <w:color w:val="auto"/>
                <w:sz w:val="28"/>
              </w:rPr>
              <w:t>生活用水</w:t>
            </w:r>
          </w:p>
          <w:p w14:paraId="63B998BB">
            <w:pPr>
              <w:ind w:firstLine="560"/>
              <w:rPr>
                <w:i/>
                <w:iCs/>
                <w:color w:val="auto"/>
                <w:sz w:val="28"/>
              </w:rPr>
            </w:pPr>
            <w:r>
              <w:rPr>
                <w:rFonts w:hint="eastAsia"/>
                <w:i/>
                <w:iCs/>
                <w:color w:val="auto"/>
                <w:sz w:val="28"/>
              </w:rPr>
              <w:t>本项目劳动定员</w:t>
            </w:r>
            <w:r>
              <w:rPr>
                <w:rFonts w:hint="eastAsia"/>
                <w:i/>
                <w:iCs/>
                <w:color w:val="auto"/>
                <w:sz w:val="28"/>
                <w:lang w:val="en-US" w:eastAsia="zh-CN"/>
              </w:rPr>
              <w:t>25</w:t>
            </w:r>
            <w:r>
              <w:rPr>
                <w:rFonts w:hint="eastAsia"/>
                <w:i/>
                <w:iCs/>
                <w:color w:val="auto"/>
                <w:sz w:val="28"/>
              </w:rPr>
              <w:t>人</w:t>
            </w:r>
            <w:r>
              <w:rPr>
                <w:rFonts w:hint="eastAsia"/>
                <w:i/>
                <w:iCs/>
                <w:color w:val="auto"/>
                <w:sz w:val="28"/>
                <w:lang w:eastAsia="zh-CN"/>
              </w:rPr>
              <w:t>，</w:t>
            </w:r>
            <w:r>
              <w:rPr>
                <w:rFonts w:hint="eastAsia"/>
                <w:i/>
                <w:iCs/>
                <w:color w:val="auto"/>
                <w:sz w:val="28"/>
                <w:highlight w:val="none"/>
                <w:lang w:eastAsia="zh-CN"/>
              </w:rPr>
              <w:t>年工作天数300d，</w:t>
            </w:r>
            <w:r>
              <w:rPr>
                <w:rFonts w:hint="eastAsia"/>
                <w:i/>
                <w:iCs/>
                <w:color w:val="auto"/>
                <w:sz w:val="28"/>
                <w:lang w:eastAsia="zh-CN"/>
              </w:rPr>
              <w:t>实行白班1班制，每班8h，不提供食宿。</w:t>
            </w:r>
            <w:r>
              <w:rPr>
                <w:i/>
                <w:iCs/>
                <w:color w:val="auto"/>
                <w:sz w:val="28"/>
                <w:szCs w:val="28"/>
              </w:rPr>
              <w:t>根据《建筑给排水设计</w:t>
            </w:r>
            <w:r>
              <w:rPr>
                <w:rFonts w:hint="eastAsia"/>
                <w:i/>
                <w:iCs/>
                <w:color w:val="auto"/>
                <w:sz w:val="28"/>
                <w:szCs w:val="28"/>
                <w:lang w:eastAsia="zh-CN"/>
              </w:rPr>
              <w:t>标准</w:t>
            </w:r>
            <w:r>
              <w:rPr>
                <w:i/>
                <w:iCs/>
                <w:color w:val="auto"/>
                <w:sz w:val="28"/>
                <w:szCs w:val="28"/>
              </w:rPr>
              <w:t>》（GB50015-20</w:t>
            </w:r>
            <w:r>
              <w:rPr>
                <w:rFonts w:hint="eastAsia"/>
                <w:i/>
                <w:iCs/>
                <w:color w:val="auto"/>
                <w:sz w:val="28"/>
                <w:szCs w:val="28"/>
                <w:lang w:val="en-US" w:eastAsia="zh-CN"/>
              </w:rPr>
              <w:t>19</w:t>
            </w:r>
            <w:r>
              <w:rPr>
                <w:i/>
                <w:iCs/>
                <w:color w:val="auto"/>
                <w:sz w:val="28"/>
                <w:szCs w:val="28"/>
              </w:rPr>
              <w:t>）及重庆市水利局、重庆市城市管理委员会关于《关于印发重庆市城市生活用水定额（2017年修订版）的通知</w:t>
            </w:r>
            <w:r>
              <w:rPr>
                <w:rFonts w:hint="eastAsia"/>
                <w:i/>
                <w:iCs/>
                <w:color w:val="auto"/>
                <w:sz w:val="28"/>
                <w:szCs w:val="28"/>
                <w:lang w:eastAsia="zh-CN"/>
              </w:rPr>
              <w:t>》</w:t>
            </w:r>
            <w:r>
              <w:rPr>
                <w:i/>
                <w:iCs/>
                <w:color w:val="auto"/>
                <w:sz w:val="28"/>
                <w:szCs w:val="28"/>
              </w:rPr>
              <w:t>（渝水[2018]66号）等相关规范要求</w:t>
            </w:r>
            <w:r>
              <w:rPr>
                <w:rFonts w:hint="eastAsia"/>
                <w:i/>
                <w:iCs/>
                <w:color w:val="auto"/>
                <w:sz w:val="28"/>
                <w:szCs w:val="28"/>
                <w:lang w:eastAsia="zh-CN"/>
              </w:rPr>
              <w:t>，</w:t>
            </w:r>
            <w:r>
              <w:rPr>
                <w:rFonts w:hint="eastAsia"/>
                <w:i/>
                <w:iCs/>
                <w:color w:val="auto"/>
                <w:sz w:val="28"/>
              </w:rPr>
              <w:t>非住宿员工按50L/人·d计，则员工生活用水量</w:t>
            </w:r>
            <w:r>
              <w:rPr>
                <w:rFonts w:hint="eastAsia"/>
                <w:i/>
                <w:iCs/>
                <w:color w:val="auto"/>
                <w:sz w:val="28"/>
                <w:highlight w:val="none"/>
                <w:lang w:val="en-US" w:eastAsia="zh-CN"/>
              </w:rPr>
              <w:t>1.25</w:t>
            </w:r>
            <w:r>
              <w:rPr>
                <w:rFonts w:hint="eastAsia"/>
                <w:i/>
                <w:iCs/>
                <w:color w:val="auto"/>
                <w:sz w:val="28"/>
                <w:highlight w:val="none"/>
              </w:rPr>
              <w:t>m</w:t>
            </w:r>
            <w:r>
              <w:rPr>
                <w:rFonts w:hint="eastAsia"/>
                <w:i/>
                <w:iCs/>
                <w:color w:val="auto"/>
                <w:sz w:val="28"/>
                <w:highlight w:val="none"/>
                <w:vertAlign w:val="superscript"/>
              </w:rPr>
              <w:t>3</w:t>
            </w:r>
            <w:r>
              <w:rPr>
                <w:rFonts w:hint="eastAsia"/>
                <w:i/>
                <w:iCs/>
                <w:color w:val="auto"/>
                <w:sz w:val="28"/>
                <w:highlight w:val="none"/>
              </w:rPr>
              <w:t>/d（</w:t>
            </w:r>
            <w:r>
              <w:rPr>
                <w:rFonts w:hint="eastAsia"/>
                <w:i/>
                <w:iCs/>
                <w:color w:val="auto"/>
                <w:sz w:val="28"/>
                <w:highlight w:val="none"/>
                <w:lang w:val="en-US" w:eastAsia="zh-CN"/>
              </w:rPr>
              <w:t>375</w:t>
            </w:r>
            <w:r>
              <w:rPr>
                <w:rFonts w:hint="eastAsia"/>
                <w:i/>
                <w:iCs/>
                <w:color w:val="auto"/>
                <w:sz w:val="28"/>
                <w:highlight w:val="none"/>
              </w:rPr>
              <w:t>m</w:t>
            </w:r>
            <w:r>
              <w:rPr>
                <w:rFonts w:hint="eastAsia"/>
                <w:i/>
                <w:iCs/>
                <w:color w:val="auto"/>
                <w:sz w:val="28"/>
                <w:highlight w:val="none"/>
                <w:vertAlign w:val="superscript"/>
              </w:rPr>
              <w:t>3</w:t>
            </w:r>
            <w:r>
              <w:rPr>
                <w:rFonts w:hint="eastAsia"/>
                <w:i/>
                <w:iCs/>
                <w:color w:val="auto"/>
                <w:sz w:val="28"/>
                <w:highlight w:val="none"/>
              </w:rPr>
              <w:t>/a）</w:t>
            </w:r>
            <w:r>
              <w:rPr>
                <w:rFonts w:hint="eastAsia"/>
                <w:i/>
                <w:iCs/>
                <w:color w:val="auto"/>
                <w:sz w:val="28"/>
                <w:highlight w:val="none"/>
                <w:lang w:eastAsia="zh-CN"/>
              </w:rPr>
              <w:t>，</w:t>
            </w:r>
            <w:r>
              <w:rPr>
                <w:rFonts w:hint="eastAsia"/>
                <w:i/>
                <w:iCs/>
                <w:color w:val="auto"/>
                <w:sz w:val="28"/>
                <w:szCs w:val="28"/>
              </w:rPr>
              <w:t>年用水量为</w:t>
            </w:r>
            <w:r>
              <w:rPr>
                <w:rFonts w:hint="eastAsia"/>
                <w:i/>
                <w:iCs/>
                <w:color w:val="auto"/>
                <w:sz w:val="28"/>
                <w:szCs w:val="28"/>
                <w:lang w:val="en-US" w:eastAsia="zh-CN"/>
              </w:rPr>
              <w:t>375</w:t>
            </w:r>
            <w:r>
              <w:rPr>
                <w:i/>
                <w:iCs/>
                <w:color w:val="auto"/>
                <w:sz w:val="28"/>
                <w:szCs w:val="28"/>
              </w:rPr>
              <w:t>m</w:t>
            </w:r>
            <w:r>
              <w:rPr>
                <w:i/>
                <w:iCs/>
                <w:color w:val="auto"/>
                <w:sz w:val="28"/>
                <w:szCs w:val="28"/>
                <w:vertAlign w:val="superscript"/>
              </w:rPr>
              <w:t>3</w:t>
            </w:r>
            <w:r>
              <w:rPr>
                <w:i/>
                <w:iCs/>
                <w:color w:val="auto"/>
                <w:sz w:val="28"/>
                <w:szCs w:val="28"/>
              </w:rPr>
              <w:t>/a</w:t>
            </w:r>
            <w:r>
              <w:rPr>
                <w:rFonts w:hint="eastAsia"/>
                <w:i/>
                <w:iCs/>
                <w:color w:val="auto"/>
                <w:sz w:val="28"/>
                <w:szCs w:val="28"/>
              </w:rPr>
              <w:t>。</w:t>
            </w:r>
            <w:r>
              <w:rPr>
                <w:rFonts w:hint="eastAsia"/>
                <w:i/>
                <w:iCs/>
                <w:color w:val="auto"/>
                <w:sz w:val="28"/>
              </w:rPr>
              <w:t>排污系数按0.9计，则生活污水排放量为</w:t>
            </w:r>
            <w:r>
              <w:rPr>
                <w:rFonts w:hint="eastAsia"/>
                <w:i/>
                <w:iCs/>
                <w:color w:val="auto"/>
                <w:sz w:val="28"/>
                <w:lang w:val="en-US" w:eastAsia="zh-CN"/>
              </w:rPr>
              <w:t>1.125</w:t>
            </w:r>
            <w:r>
              <w:rPr>
                <w:rFonts w:hint="eastAsia"/>
                <w:i/>
                <w:iCs/>
                <w:color w:val="auto"/>
                <w:sz w:val="28"/>
              </w:rPr>
              <w:t>m</w:t>
            </w:r>
            <w:r>
              <w:rPr>
                <w:rFonts w:hint="eastAsia"/>
                <w:i/>
                <w:iCs/>
                <w:color w:val="auto"/>
                <w:sz w:val="28"/>
                <w:vertAlign w:val="superscript"/>
              </w:rPr>
              <w:t>3</w:t>
            </w:r>
            <w:r>
              <w:rPr>
                <w:rFonts w:hint="eastAsia"/>
                <w:i/>
                <w:iCs/>
                <w:color w:val="auto"/>
                <w:sz w:val="28"/>
              </w:rPr>
              <w:t>/d，则年排放量为</w:t>
            </w:r>
            <w:r>
              <w:rPr>
                <w:rFonts w:hint="eastAsia"/>
                <w:i/>
                <w:iCs/>
                <w:color w:val="auto"/>
                <w:sz w:val="28"/>
                <w:lang w:val="en-US" w:eastAsia="zh-CN"/>
              </w:rPr>
              <w:t>337.5</w:t>
            </w:r>
            <w:r>
              <w:rPr>
                <w:rFonts w:hint="eastAsia"/>
                <w:i/>
                <w:iCs/>
                <w:color w:val="auto"/>
                <w:sz w:val="28"/>
              </w:rPr>
              <w:t>m</w:t>
            </w:r>
            <w:r>
              <w:rPr>
                <w:rFonts w:hint="eastAsia"/>
                <w:i/>
                <w:iCs/>
                <w:color w:val="auto"/>
                <w:sz w:val="28"/>
                <w:vertAlign w:val="superscript"/>
              </w:rPr>
              <w:t>3</w:t>
            </w:r>
            <w:r>
              <w:rPr>
                <w:rFonts w:hint="eastAsia"/>
                <w:i/>
                <w:iCs/>
                <w:color w:val="auto"/>
                <w:sz w:val="28"/>
              </w:rPr>
              <w:t>/a。</w:t>
            </w:r>
          </w:p>
          <w:p w14:paraId="4CA37F64">
            <w:pPr>
              <w:ind w:firstLine="560"/>
              <w:rPr>
                <w:color w:val="auto"/>
                <w:sz w:val="28"/>
                <w:szCs w:val="28"/>
              </w:rPr>
            </w:pPr>
            <w:r>
              <w:rPr>
                <w:rFonts w:hint="eastAsia"/>
                <w:color w:val="auto"/>
                <w:sz w:val="28"/>
                <w:szCs w:val="28"/>
              </w:rPr>
              <w:t>（</w:t>
            </w:r>
            <w:r>
              <w:rPr>
                <w:rFonts w:hint="eastAsia"/>
                <w:color w:val="auto"/>
                <w:sz w:val="28"/>
                <w:szCs w:val="28"/>
                <w:lang w:val="en-US" w:eastAsia="zh-CN"/>
              </w:rPr>
              <w:t>2</w:t>
            </w:r>
            <w:r>
              <w:rPr>
                <w:rFonts w:hint="eastAsia"/>
                <w:color w:val="auto"/>
                <w:sz w:val="28"/>
                <w:szCs w:val="28"/>
              </w:rPr>
              <w:t>）</w:t>
            </w:r>
            <w:r>
              <w:rPr>
                <w:color w:val="auto"/>
                <w:sz w:val="28"/>
                <w:szCs w:val="28"/>
              </w:rPr>
              <w:t>其他用水</w:t>
            </w:r>
          </w:p>
          <w:p w14:paraId="1C3ECB2E">
            <w:pPr>
              <w:ind w:firstLine="560"/>
              <w:rPr>
                <w:color w:val="auto"/>
                <w:sz w:val="28"/>
              </w:rPr>
            </w:pPr>
            <w:r>
              <w:rPr>
                <w:color w:val="auto"/>
                <w:sz w:val="28"/>
                <w:szCs w:val="28"/>
              </w:rPr>
              <w:t>本项目车间内地面清洁采用拖</w:t>
            </w:r>
            <w:r>
              <w:rPr>
                <w:rFonts w:hint="eastAsia"/>
                <w:color w:val="auto"/>
                <w:sz w:val="28"/>
                <w:szCs w:val="28"/>
              </w:rPr>
              <w:t>把</w:t>
            </w:r>
            <w:r>
              <w:rPr>
                <w:color w:val="auto"/>
                <w:sz w:val="28"/>
                <w:szCs w:val="28"/>
              </w:rPr>
              <w:t>进行清洁，不涉及地面冲洗，抹布和拖把清洗时产生</w:t>
            </w:r>
            <w:r>
              <w:rPr>
                <w:rFonts w:hint="eastAsia"/>
                <w:color w:val="auto"/>
                <w:sz w:val="28"/>
                <w:szCs w:val="28"/>
              </w:rPr>
              <w:t>地面清洁</w:t>
            </w:r>
            <w:r>
              <w:rPr>
                <w:color w:val="auto"/>
                <w:sz w:val="28"/>
                <w:szCs w:val="28"/>
              </w:rPr>
              <w:t>废水</w:t>
            </w:r>
            <w:r>
              <w:rPr>
                <w:rFonts w:hint="eastAsia"/>
                <w:color w:val="auto"/>
                <w:sz w:val="28"/>
                <w:szCs w:val="28"/>
                <w:lang w:eastAsia="zh-CN"/>
              </w:rPr>
              <w:t>，</w:t>
            </w:r>
            <w:r>
              <w:rPr>
                <w:color w:val="auto"/>
                <w:sz w:val="28"/>
                <w:szCs w:val="28"/>
              </w:rPr>
              <w:t>用水标准</w:t>
            </w:r>
            <w:r>
              <w:rPr>
                <w:rFonts w:hint="eastAsia"/>
                <w:color w:val="auto"/>
                <w:sz w:val="28"/>
                <w:szCs w:val="28"/>
                <w:lang w:eastAsia="zh-CN"/>
              </w:rPr>
              <w:t>按照</w:t>
            </w:r>
            <w:r>
              <w:rPr>
                <w:rFonts w:hint="eastAsia"/>
                <w:color w:val="auto"/>
                <w:sz w:val="28"/>
                <w:szCs w:val="28"/>
                <w:lang w:val="en-US" w:eastAsia="zh-CN"/>
              </w:rPr>
              <w:t>1</w:t>
            </w:r>
            <w:r>
              <w:rPr>
                <w:color w:val="auto"/>
                <w:sz w:val="28"/>
                <w:szCs w:val="28"/>
              </w:rPr>
              <w:t>L/m</w:t>
            </w:r>
            <w:r>
              <w:rPr>
                <w:color w:val="auto"/>
                <w:sz w:val="28"/>
                <w:szCs w:val="28"/>
                <w:vertAlign w:val="superscript"/>
              </w:rPr>
              <w:t>2</w:t>
            </w:r>
            <w:r>
              <w:rPr>
                <w:rFonts w:hint="eastAsia"/>
                <w:color w:val="auto"/>
                <w:sz w:val="28"/>
                <w:szCs w:val="28"/>
                <w:vertAlign w:val="baseline"/>
              </w:rPr>
              <w:t>·次计算</w:t>
            </w:r>
            <w:r>
              <w:rPr>
                <w:color w:val="auto"/>
                <w:sz w:val="28"/>
                <w:szCs w:val="28"/>
              </w:rPr>
              <w:t>，需要清洁的生产车间清洁面积约为</w:t>
            </w:r>
            <w:r>
              <w:rPr>
                <w:rFonts w:hint="eastAsia"/>
                <w:color w:val="auto"/>
                <w:sz w:val="28"/>
                <w:szCs w:val="28"/>
                <w:highlight w:val="none"/>
                <w:lang w:val="en-US" w:eastAsia="zh-CN"/>
              </w:rPr>
              <w:t>3</w:t>
            </w:r>
            <w:r>
              <w:rPr>
                <w:rFonts w:hint="eastAsia"/>
                <w:color w:val="auto"/>
                <w:sz w:val="28"/>
                <w:szCs w:val="28"/>
                <w:highlight w:val="none"/>
              </w:rPr>
              <w:t>000</w:t>
            </w:r>
            <w:r>
              <w:rPr>
                <w:color w:val="auto"/>
                <w:sz w:val="28"/>
                <w:szCs w:val="28"/>
              </w:rPr>
              <w:t>m</w:t>
            </w:r>
            <w:r>
              <w:rPr>
                <w:color w:val="auto"/>
                <w:sz w:val="28"/>
                <w:szCs w:val="28"/>
                <w:vertAlign w:val="superscript"/>
              </w:rPr>
              <w:t>2</w:t>
            </w:r>
            <w:r>
              <w:rPr>
                <w:color w:val="auto"/>
                <w:sz w:val="28"/>
                <w:szCs w:val="28"/>
              </w:rPr>
              <w:t>，则最大用水量约为</w:t>
            </w:r>
            <w:r>
              <w:rPr>
                <w:rFonts w:hint="eastAsia"/>
                <w:color w:val="auto"/>
                <w:sz w:val="28"/>
                <w:szCs w:val="28"/>
                <w:lang w:val="en-US" w:eastAsia="zh-CN"/>
              </w:rPr>
              <w:t>3</w:t>
            </w:r>
            <w:r>
              <w:rPr>
                <w:color w:val="auto"/>
                <w:sz w:val="28"/>
                <w:szCs w:val="28"/>
              </w:rPr>
              <w:t>m</w:t>
            </w:r>
            <w:r>
              <w:rPr>
                <w:color w:val="auto"/>
                <w:sz w:val="28"/>
                <w:szCs w:val="28"/>
                <w:vertAlign w:val="superscript"/>
              </w:rPr>
              <w:t>3</w:t>
            </w:r>
            <w:r>
              <w:rPr>
                <w:color w:val="auto"/>
                <w:sz w:val="28"/>
                <w:szCs w:val="28"/>
              </w:rPr>
              <w:t>/</w:t>
            </w:r>
            <w:r>
              <w:rPr>
                <w:rFonts w:hint="eastAsia"/>
                <w:color w:val="auto"/>
                <w:sz w:val="28"/>
                <w:szCs w:val="28"/>
              </w:rPr>
              <w:t>d</w:t>
            </w:r>
            <w:r>
              <w:rPr>
                <w:color w:val="auto"/>
                <w:sz w:val="28"/>
                <w:szCs w:val="28"/>
              </w:rPr>
              <w:t>，项目全年运营</w:t>
            </w:r>
            <w:r>
              <w:rPr>
                <w:rFonts w:hint="eastAsia"/>
                <w:color w:val="auto"/>
                <w:sz w:val="28"/>
                <w:szCs w:val="28"/>
              </w:rPr>
              <w:t>300</w:t>
            </w:r>
            <w:r>
              <w:rPr>
                <w:color w:val="auto"/>
                <w:sz w:val="28"/>
                <w:szCs w:val="28"/>
              </w:rPr>
              <w:t>天，每5天清洁一次，则年用水量为</w:t>
            </w:r>
            <w:r>
              <w:rPr>
                <w:rFonts w:hint="eastAsia"/>
                <w:color w:val="auto"/>
                <w:sz w:val="28"/>
                <w:szCs w:val="28"/>
                <w:lang w:val="en-US" w:eastAsia="zh-CN"/>
              </w:rPr>
              <w:t>180</w:t>
            </w:r>
            <w:r>
              <w:rPr>
                <w:color w:val="auto"/>
                <w:sz w:val="28"/>
                <w:szCs w:val="28"/>
              </w:rPr>
              <w:t>m</w:t>
            </w:r>
            <w:r>
              <w:rPr>
                <w:color w:val="auto"/>
                <w:sz w:val="28"/>
                <w:szCs w:val="28"/>
                <w:vertAlign w:val="superscript"/>
              </w:rPr>
              <w:t>3</w:t>
            </w:r>
            <w:r>
              <w:rPr>
                <w:color w:val="auto"/>
                <w:sz w:val="28"/>
                <w:szCs w:val="28"/>
              </w:rPr>
              <w:t>/a。</w:t>
            </w:r>
          </w:p>
          <w:p w14:paraId="61377939">
            <w:pPr>
              <w:ind w:firstLine="560"/>
              <w:rPr>
                <w:color w:val="auto"/>
                <w:sz w:val="28"/>
              </w:rPr>
            </w:pPr>
            <w:r>
              <w:rPr>
                <w:rFonts w:hint="eastAsia"/>
                <w:color w:val="auto"/>
                <w:sz w:val="28"/>
              </w:rPr>
              <w:t>项目用水、排水情况见表2-</w:t>
            </w:r>
            <w:r>
              <w:rPr>
                <w:rFonts w:hint="eastAsia"/>
                <w:color w:val="auto"/>
                <w:sz w:val="28"/>
                <w:lang w:val="en-US" w:eastAsia="zh-CN"/>
              </w:rPr>
              <w:t>9</w:t>
            </w:r>
            <w:r>
              <w:rPr>
                <w:rFonts w:hint="eastAsia"/>
                <w:color w:val="auto"/>
                <w:sz w:val="28"/>
              </w:rPr>
              <w:t>。项目水平衡图见图2-2。</w:t>
            </w:r>
          </w:p>
          <w:p w14:paraId="090DBA14">
            <w:pPr>
              <w:pStyle w:val="75"/>
              <w:rPr>
                <w:color w:val="auto"/>
              </w:rPr>
            </w:pPr>
            <w:r>
              <w:rPr>
                <w:rFonts w:hint="eastAsia"/>
                <w:color w:val="auto"/>
                <w:sz w:val="24"/>
              </w:rPr>
              <w:t>表2-</w:t>
            </w:r>
            <w:r>
              <w:rPr>
                <w:rFonts w:hint="eastAsia"/>
                <w:color w:val="auto"/>
                <w:sz w:val="24"/>
                <w:lang w:val="en-US" w:eastAsia="zh-CN"/>
              </w:rPr>
              <w:t>9</w:t>
            </w:r>
            <w:r>
              <w:rPr>
                <w:rFonts w:hint="eastAsia"/>
                <w:color w:val="auto"/>
                <w:sz w:val="24"/>
              </w:rPr>
              <w:t>项目用水、排水情况一览表</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277"/>
              <w:gridCol w:w="1547"/>
              <w:gridCol w:w="1267"/>
              <w:gridCol w:w="1218"/>
              <w:gridCol w:w="1189"/>
              <w:gridCol w:w="1143"/>
              <w:gridCol w:w="1189"/>
            </w:tblGrid>
            <w:tr w14:paraId="4849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0" w:type="pct"/>
                  <w:gridSpan w:val="2"/>
                  <w:vAlign w:val="center"/>
                </w:tcPr>
                <w:p w14:paraId="41C76FAC">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用水类别</w:t>
                  </w:r>
                </w:p>
              </w:tc>
              <w:tc>
                <w:tcPr>
                  <w:tcW w:w="786" w:type="pct"/>
                  <w:vAlign w:val="center"/>
                </w:tcPr>
                <w:p w14:paraId="375FD751">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用水规模</w:t>
                  </w:r>
                </w:p>
              </w:tc>
              <w:tc>
                <w:tcPr>
                  <w:tcW w:w="643" w:type="pct"/>
                  <w:vAlign w:val="center"/>
                </w:tcPr>
                <w:p w14:paraId="79F8C860">
                  <w:pPr>
                    <w:pStyle w:val="48"/>
                    <w:rPr>
                      <w:rFonts w:hint="default" w:ascii="Times New Roman" w:hAnsi="Times New Roman" w:cs="Times New Roman"/>
                      <w:i/>
                      <w:iCs/>
                      <w:color w:val="auto"/>
                      <w:sz w:val="24"/>
                      <w:szCs w:val="18"/>
                    </w:rPr>
                  </w:pPr>
                  <w:r>
                    <w:rPr>
                      <w:rFonts w:hint="default" w:ascii="Times New Roman" w:hAnsi="Times New Roman" w:cs="Times New Roman"/>
                      <w:i/>
                      <w:iCs/>
                      <w:color w:val="auto"/>
                      <w:sz w:val="24"/>
                      <w:szCs w:val="18"/>
                    </w:rPr>
                    <w:t>用水</w:t>
                  </w:r>
                </w:p>
                <w:p w14:paraId="6B4EDAC3">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标准</w:t>
                  </w:r>
                </w:p>
              </w:tc>
              <w:tc>
                <w:tcPr>
                  <w:tcW w:w="619" w:type="pct"/>
                  <w:vAlign w:val="center"/>
                </w:tcPr>
                <w:p w14:paraId="538DC64A">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最大日用水量m</w:t>
                  </w:r>
                  <w:r>
                    <w:rPr>
                      <w:rFonts w:hint="default" w:ascii="Times New Roman" w:hAnsi="Times New Roman" w:cs="Times New Roman"/>
                      <w:i/>
                      <w:iCs/>
                      <w:color w:val="auto"/>
                      <w:sz w:val="24"/>
                      <w:szCs w:val="18"/>
                      <w:vertAlign w:val="superscript"/>
                    </w:rPr>
                    <w:t>3</w:t>
                  </w:r>
                  <w:r>
                    <w:rPr>
                      <w:rFonts w:hint="default" w:ascii="Times New Roman" w:hAnsi="Times New Roman" w:cs="Times New Roman"/>
                      <w:i/>
                      <w:iCs/>
                      <w:color w:val="auto"/>
                      <w:sz w:val="24"/>
                      <w:szCs w:val="18"/>
                    </w:rPr>
                    <w:t>/d</w:t>
                  </w:r>
                </w:p>
              </w:tc>
              <w:tc>
                <w:tcPr>
                  <w:tcW w:w="604" w:type="pct"/>
                  <w:vAlign w:val="center"/>
                </w:tcPr>
                <w:p w14:paraId="03D126E9">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年用水量m</w:t>
                  </w:r>
                  <w:r>
                    <w:rPr>
                      <w:rFonts w:hint="default" w:ascii="Times New Roman" w:hAnsi="Times New Roman" w:cs="Times New Roman"/>
                      <w:i/>
                      <w:iCs/>
                      <w:color w:val="auto"/>
                      <w:sz w:val="24"/>
                      <w:szCs w:val="18"/>
                      <w:vertAlign w:val="superscript"/>
                    </w:rPr>
                    <w:t>3</w:t>
                  </w:r>
                  <w:r>
                    <w:rPr>
                      <w:rFonts w:hint="default" w:ascii="Times New Roman" w:hAnsi="Times New Roman" w:cs="Times New Roman"/>
                      <w:i/>
                      <w:iCs/>
                      <w:color w:val="auto"/>
                      <w:sz w:val="24"/>
                      <w:szCs w:val="18"/>
                    </w:rPr>
                    <w:t>/a</w:t>
                  </w:r>
                </w:p>
              </w:tc>
              <w:tc>
                <w:tcPr>
                  <w:tcW w:w="581" w:type="pct"/>
                  <w:vAlign w:val="center"/>
                </w:tcPr>
                <w:p w14:paraId="78AAB1B2">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最大日排放量m</w:t>
                  </w:r>
                  <w:r>
                    <w:rPr>
                      <w:rFonts w:hint="default" w:ascii="Times New Roman" w:hAnsi="Times New Roman" w:cs="Times New Roman"/>
                      <w:i/>
                      <w:iCs/>
                      <w:color w:val="auto"/>
                      <w:sz w:val="24"/>
                      <w:szCs w:val="18"/>
                      <w:vertAlign w:val="superscript"/>
                    </w:rPr>
                    <w:t>3</w:t>
                  </w:r>
                  <w:r>
                    <w:rPr>
                      <w:rFonts w:hint="default" w:ascii="Times New Roman" w:hAnsi="Times New Roman" w:cs="Times New Roman"/>
                      <w:i/>
                      <w:iCs/>
                      <w:color w:val="auto"/>
                      <w:sz w:val="24"/>
                      <w:szCs w:val="18"/>
                    </w:rPr>
                    <w:t>/d</w:t>
                  </w:r>
                </w:p>
              </w:tc>
              <w:tc>
                <w:tcPr>
                  <w:tcW w:w="604" w:type="pct"/>
                  <w:vAlign w:val="center"/>
                </w:tcPr>
                <w:p w14:paraId="69E7E01E">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年排水量m</w:t>
                  </w:r>
                  <w:r>
                    <w:rPr>
                      <w:rFonts w:hint="default" w:ascii="Times New Roman" w:hAnsi="Times New Roman" w:cs="Times New Roman"/>
                      <w:i/>
                      <w:iCs/>
                      <w:color w:val="auto"/>
                      <w:sz w:val="24"/>
                      <w:szCs w:val="18"/>
                      <w:vertAlign w:val="superscript"/>
                    </w:rPr>
                    <w:t>3</w:t>
                  </w:r>
                  <w:r>
                    <w:rPr>
                      <w:rFonts w:hint="default" w:ascii="Times New Roman" w:hAnsi="Times New Roman" w:cs="Times New Roman"/>
                      <w:i/>
                      <w:iCs/>
                      <w:color w:val="auto"/>
                      <w:sz w:val="24"/>
                      <w:szCs w:val="18"/>
                    </w:rPr>
                    <w:t>/a</w:t>
                  </w:r>
                </w:p>
              </w:tc>
            </w:tr>
            <w:tr w14:paraId="3991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11" w:type="pct"/>
                  <w:vAlign w:val="center"/>
                </w:tcPr>
                <w:p w14:paraId="73762A70">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生活用水</w:t>
                  </w:r>
                </w:p>
              </w:tc>
              <w:tc>
                <w:tcPr>
                  <w:tcW w:w="649" w:type="pct"/>
                  <w:vAlign w:val="center"/>
                </w:tcPr>
                <w:p w14:paraId="29F87C51">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非住宿员工</w:t>
                  </w:r>
                </w:p>
              </w:tc>
              <w:tc>
                <w:tcPr>
                  <w:tcW w:w="786" w:type="pct"/>
                  <w:vAlign w:val="center"/>
                </w:tcPr>
                <w:p w14:paraId="1A99561E">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lang w:val="en-US" w:eastAsia="zh-CN"/>
                    </w:rPr>
                    <w:t>25</w:t>
                  </w:r>
                  <w:r>
                    <w:rPr>
                      <w:rFonts w:hint="default" w:ascii="Times New Roman" w:hAnsi="Times New Roman" w:cs="Times New Roman"/>
                      <w:i/>
                      <w:iCs/>
                      <w:color w:val="auto"/>
                      <w:sz w:val="24"/>
                      <w:szCs w:val="18"/>
                    </w:rPr>
                    <w:t>人</w:t>
                  </w:r>
                </w:p>
              </w:tc>
              <w:tc>
                <w:tcPr>
                  <w:tcW w:w="643" w:type="pct"/>
                  <w:vAlign w:val="center"/>
                </w:tcPr>
                <w:p w14:paraId="236A8A9B">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50L/人·d</w:t>
                  </w:r>
                </w:p>
              </w:tc>
              <w:tc>
                <w:tcPr>
                  <w:tcW w:w="619" w:type="pct"/>
                  <w:vAlign w:val="center"/>
                </w:tcPr>
                <w:p w14:paraId="699BAD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highlight w:val="none"/>
                      <w:lang w:val="en-US" w:eastAsia="zh-CN"/>
                    </w:rPr>
                  </w:pPr>
                  <w:r>
                    <w:rPr>
                      <w:rFonts w:hint="default" w:ascii="Times New Roman" w:hAnsi="Times New Roman" w:eastAsia="仿宋" w:cs="Times New Roman"/>
                      <w:i/>
                      <w:iCs/>
                      <w:color w:val="auto"/>
                      <w:kern w:val="0"/>
                      <w:sz w:val="24"/>
                      <w:szCs w:val="24"/>
                      <w:u w:val="none"/>
                      <w:lang w:val="en-US" w:eastAsia="zh-CN" w:bidi="ar"/>
                    </w:rPr>
                    <w:t>1.25</w:t>
                  </w:r>
                </w:p>
              </w:tc>
              <w:tc>
                <w:tcPr>
                  <w:tcW w:w="604" w:type="pct"/>
                  <w:vAlign w:val="center"/>
                </w:tcPr>
                <w:p w14:paraId="7F37CE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highlight w:val="none"/>
                      <w:lang w:val="en-US" w:eastAsia="zh-CN"/>
                    </w:rPr>
                  </w:pPr>
                  <w:r>
                    <w:rPr>
                      <w:rFonts w:hint="default" w:ascii="Times New Roman" w:hAnsi="Times New Roman" w:eastAsia="仿宋" w:cs="Times New Roman"/>
                      <w:i/>
                      <w:iCs/>
                      <w:color w:val="auto"/>
                      <w:kern w:val="0"/>
                      <w:sz w:val="24"/>
                      <w:szCs w:val="24"/>
                      <w:u w:val="none"/>
                      <w:lang w:val="en-US" w:eastAsia="zh-CN" w:bidi="ar"/>
                    </w:rPr>
                    <w:t>375</w:t>
                  </w:r>
                </w:p>
              </w:tc>
              <w:tc>
                <w:tcPr>
                  <w:tcW w:w="581" w:type="pct"/>
                  <w:vAlign w:val="center"/>
                </w:tcPr>
                <w:p w14:paraId="3D9775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highlight w:val="none"/>
                      <w:lang w:val="en-US" w:eastAsia="zh-CN"/>
                    </w:rPr>
                  </w:pPr>
                  <w:r>
                    <w:rPr>
                      <w:rFonts w:hint="default" w:ascii="Times New Roman" w:hAnsi="Times New Roman" w:eastAsia="仿宋" w:cs="Times New Roman"/>
                      <w:i/>
                      <w:iCs/>
                      <w:color w:val="auto"/>
                      <w:kern w:val="0"/>
                      <w:sz w:val="24"/>
                      <w:szCs w:val="24"/>
                      <w:u w:val="none"/>
                      <w:lang w:val="en-US" w:eastAsia="zh-CN" w:bidi="ar"/>
                    </w:rPr>
                    <w:t>1.125</w:t>
                  </w:r>
                </w:p>
              </w:tc>
              <w:tc>
                <w:tcPr>
                  <w:tcW w:w="604" w:type="pct"/>
                  <w:vAlign w:val="center"/>
                </w:tcPr>
                <w:p w14:paraId="350607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highlight w:val="none"/>
                      <w:lang w:val="en-US" w:eastAsia="zh-CN"/>
                    </w:rPr>
                  </w:pPr>
                  <w:r>
                    <w:rPr>
                      <w:rFonts w:hint="default" w:ascii="Times New Roman" w:hAnsi="Times New Roman" w:eastAsia="仿宋" w:cs="Times New Roman"/>
                      <w:i/>
                      <w:iCs/>
                      <w:color w:val="auto"/>
                      <w:kern w:val="0"/>
                      <w:sz w:val="24"/>
                      <w:szCs w:val="24"/>
                      <w:u w:val="none"/>
                      <w:lang w:val="en-US" w:eastAsia="zh-CN" w:bidi="ar"/>
                    </w:rPr>
                    <w:t>337.5</w:t>
                  </w:r>
                </w:p>
              </w:tc>
            </w:tr>
            <w:tr w14:paraId="2F4C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0" w:type="pct"/>
                  <w:gridSpan w:val="4"/>
                  <w:vAlign w:val="center"/>
                </w:tcPr>
                <w:p w14:paraId="4F9A40AB">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小计</w:t>
                  </w:r>
                </w:p>
              </w:tc>
              <w:tc>
                <w:tcPr>
                  <w:tcW w:w="1218" w:type="dxa"/>
                  <w:vAlign w:val="center"/>
                </w:tcPr>
                <w:p w14:paraId="1A743F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iCs/>
                      <w:color w:val="auto"/>
                      <w:sz w:val="24"/>
                      <w:lang w:val="en-US" w:eastAsia="zh-CN"/>
                    </w:rPr>
                  </w:pPr>
                  <w:r>
                    <w:rPr>
                      <w:rFonts w:hint="default" w:ascii="Times New Roman" w:hAnsi="Times New Roman" w:eastAsia="仿宋" w:cs="Times New Roman"/>
                      <w:i/>
                      <w:iCs/>
                      <w:color w:val="auto"/>
                      <w:kern w:val="0"/>
                      <w:sz w:val="24"/>
                      <w:szCs w:val="24"/>
                      <w:u w:val="none"/>
                      <w:lang w:val="en-US" w:eastAsia="zh-CN" w:bidi="ar"/>
                    </w:rPr>
                    <w:t>1.25</w:t>
                  </w:r>
                </w:p>
              </w:tc>
              <w:tc>
                <w:tcPr>
                  <w:tcW w:w="1189" w:type="dxa"/>
                  <w:vAlign w:val="center"/>
                </w:tcPr>
                <w:p w14:paraId="371C75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iCs/>
                      <w:color w:val="auto"/>
                      <w:sz w:val="24"/>
                      <w:lang w:val="en-US" w:eastAsia="zh-CN"/>
                    </w:rPr>
                  </w:pPr>
                  <w:r>
                    <w:rPr>
                      <w:rFonts w:hint="default" w:ascii="Times New Roman" w:hAnsi="Times New Roman" w:eastAsia="仿宋" w:cs="Times New Roman"/>
                      <w:i/>
                      <w:iCs/>
                      <w:color w:val="auto"/>
                      <w:kern w:val="0"/>
                      <w:sz w:val="24"/>
                      <w:szCs w:val="24"/>
                      <w:u w:val="none"/>
                      <w:lang w:val="en-US" w:eastAsia="zh-CN" w:bidi="ar"/>
                    </w:rPr>
                    <w:t>375</w:t>
                  </w:r>
                </w:p>
              </w:tc>
              <w:tc>
                <w:tcPr>
                  <w:tcW w:w="1143" w:type="dxa"/>
                  <w:vAlign w:val="center"/>
                </w:tcPr>
                <w:p w14:paraId="5E2C09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iCs/>
                      <w:color w:val="auto"/>
                      <w:sz w:val="24"/>
                      <w:lang w:val="en-US" w:eastAsia="zh-CN"/>
                    </w:rPr>
                  </w:pPr>
                  <w:r>
                    <w:rPr>
                      <w:rFonts w:hint="default" w:ascii="Times New Roman" w:hAnsi="Times New Roman" w:eastAsia="仿宋" w:cs="Times New Roman"/>
                      <w:i/>
                      <w:iCs/>
                      <w:color w:val="auto"/>
                      <w:kern w:val="0"/>
                      <w:sz w:val="24"/>
                      <w:szCs w:val="24"/>
                      <w:u w:val="none"/>
                      <w:lang w:val="en-US" w:eastAsia="zh-CN" w:bidi="ar"/>
                    </w:rPr>
                    <w:t>1.125</w:t>
                  </w:r>
                </w:p>
              </w:tc>
              <w:tc>
                <w:tcPr>
                  <w:tcW w:w="1189" w:type="dxa"/>
                  <w:vAlign w:val="center"/>
                </w:tcPr>
                <w:p w14:paraId="392117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iCs/>
                      <w:color w:val="auto"/>
                      <w:sz w:val="24"/>
                      <w:lang w:val="en-US" w:eastAsia="zh-CN"/>
                    </w:rPr>
                  </w:pPr>
                  <w:r>
                    <w:rPr>
                      <w:rFonts w:hint="default" w:ascii="Times New Roman" w:hAnsi="Times New Roman" w:eastAsia="仿宋" w:cs="Times New Roman"/>
                      <w:i/>
                      <w:iCs/>
                      <w:color w:val="auto"/>
                      <w:kern w:val="0"/>
                      <w:sz w:val="24"/>
                      <w:szCs w:val="24"/>
                      <w:u w:val="none"/>
                      <w:lang w:val="en-US" w:eastAsia="zh-CN" w:bidi="ar"/>
                    </w:rPr>
                    <w:t>337.5</w:t>
                  </w:r>
                </w:p>
              </w:tc>
            </w:tr>
            <w:tr w14:paraId="7467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Align w:val="center"/>
                </w:tcPr>
                <w:p w14:paraId="3B4B487F">
                  <w:pPr>
                    <w:pStyle w:val="48"/>
                    <w:rPr>
                      <w:rFonts w:hint="default" w:ascii="Times New Roman" w:hAnsi="Times New Roman" w:cs="Times New Roman"/>
                      <w:i/>
                      <w:iCs/>
                      <w:color w:val="auto"/>
                      <w:sz w:val="24"/>
                      <w:szCs w:val="18"/>
                    </w:rPr>
                  </w:pPr>
                  <w:r>
                    <w:rPr>
                      <w:rFonts w:hint="default" w:ascii="Times New Roman" w:hAnsi="Times New Roman" w:cs="Times New Roman"/>
                      <w:i/>
                      <w:iCs/>
                      <w:color w:val="auto"/>
                      <w:sz w:val="24"/>
                      <w:szCs w:val="18"/>
                    </w:rPr>
                    <w:t>其他用水</w:t>
                  </w:r>
                </w:p>
              </w:tc>
              <w:tc>
                <w:tcPr>
                  <w:tcW w:w="649" w:type="pct"/>
                  <w:vAlign w:val="center"/>
                </w:tcPr>
                <w:p w14:paraId="10C88970">
                  <w:pPr>
                    <w:pStyle w:val="48"/>
                    <w:rPr>
                      <w:rFonts w:hint="default" w:ascii="Times New Roman" w:hAnsi="Times New Roman" w:cs="Times New Roman"/>
                      <w:i/>
                      <w:iCs/>
                      <w:color w:val="auto"/>
                      <w:sz w:val="24"/>
                      <w:szCs w:val="18"/>
                    </w:rPr>
                  </w:pPr>
                  <w:r>
                    <w:rPr>
                      <w:rFonts w:hint="default" w:ascii="Times New Roman" w:hAnsi="Times New Roman" w:cs="Times New Roman"/>
                      <w:i/>
                      <w:iCs/>
                      <w:color w:val="auto"/>
                      <w:sz w:val="24"/>
                      <w:szCs w:val="18"/>
                    </w:rPr>
                    <w:t>地面清洗</w:t>
                  </w:r>
                </w:p>
              </w:tc>
              <w:tc>
                <w:tcPr>
                  <w:tcW w:w="786" w:type="pct"/>
                  <w:vAlign w:val="center"/>
                </w:tcPr>
                <w:p w14:paraId="03FF7B81">
                  <w:pPr>
                    <w:pStyle w:val="48"/>
                    <w:rPr>
                      <w:rFonts w:hint="default" w:ascii="Times New Roman" w:hAnsi="Times New Roman" w:cs="Times New Roman"/>
                      <w:i/>
                      <w:iCs/>
                      <w:color w:val="auto"/>
                      <w:sz w:val="24"/>
                    </w:rPr>
                  </w:pPr>
                  <w:r>
                    <w:rPr>
                      <w:rFonts w:hint="default" w:ascii="Times New Roman" w:hAnsi="Times New Roman" w:cs="Times New Roman"/>
                      <w:i/>
                      <w:iCs/>
                      <w:color w:val="auto"/>
                      <w:sz w:val="24"/>
                      <w:lang w:val="en-US" w:eastAsia="zh-CN"/>
                    </w:rPr>
                    <w:t>300</w:t>
                  </w:r>
                  <w:r>
                    <w:rPr>
                      <w:rFonts w:hint="default" w:ascii="Times New Roman" w:hAnsi="Times New Roman" w:cs="Times New Roman"/>
                      <w:i/>
                      <w:iCs/>
                      <w:color w:val="auto"/>
                      <w:sz w:val="24"/>
                    </w:rPr>
                    <w:t>0m</w:t>
                  </w:r>
                  <w:r>
                    <w:rPr>
                      <w:rFonts w:hint="default" w:ascii="Times New Roman" w:hAnsi="Times New Roman" w:cs="Times New Roman"/>
                      <w:i/>
                      <w:iCs/>
                      <w:color w:val="auto"/>
                      <w:sz w:val="24"/>
                      <w:vertAlign w:val="superscript"/>
                    </w:rPr>
                    <w:t>2</w:t>
                  </w:r>
                </w:p>
              </w:tc>
              <w:tc>
                <w:tcPr>
                  <w:tcW w:w="643" w:type="pct"/>
                  <w:vAlign w:val="center"/>
                </w:tcPr>
                <w:p w14:paraId="4A8ADF68">
                  <w:pPr>
                    <w:pStyle w:val="48"/>
                    <w:rPr>
                      <w:rFonts w:hint="default" w:ascii="Times New Roman" w:hAnsi="Times New Roman" w:cs="Times New Roman"/>
                      <w:i/>
                      <w:iCs/>
                      <w:color w:val="auto"/>
                      <w:sz w:val="24"/>
                    </w:rPr>
                  </w:pPr>
                  <w:r>
                    <w:rPr>
                      <w:rFonts w:hint="default" w:ascii="Times New Roman" w:hAnsi="Times New Roman" w:cs="Times New Roman"/>
                      <w:i/>
                      <w:iCs/>
                      <w:color w:val="auto"/>
                      <w:sz w:val="24"/>
                      <w:lang w:val="en-US" w:eastAsia="zh-CN"/>
                    </w:rPr>
                    <w:t>1</w:t>
                  </w:r>
                  <w:r>
                    <w:rPr>
                      <w:rFonts w:hint="default" w:ascii="Times New Roman" w:hAnsi="Times New Roman" w:cs="Times New Roman"/>
                      <w:i/>
                      <w:iCs/>
                      <w:color w:val="auto"/>
                      <w:sz w:val="24"/>
                    </w:rPr>
                    <w:t>L/m</w:t>
                  </w:r>
                  <w:r>
                    <w:rPr>
                      <w:rFonts w:hint="default" w:ascii="Times New Roman" w:hAnsi="Times New Roman" w:cs="Times New Roman"/>
                      <w:i/>
                      <w:iCs/>
                      <w:color w:val="auto"/>
                      <w:sz w:val="24"/>
                      <w:vertAlign w:val="superscript"/>
                    </w:rPr>
                    <w:t>2</w:t>
                  </w:r>
                </w:p>
              </w:tc>
              <w:tc>
                <w:tcPr>
                  <w:tcW w:w="619" w:type="pct"/>
                  <w:vAlign w:val="center"/>
                </w:tcPr>
                <w:p w14:paraId="0ECD41E4">
                  <w:pPr>
                    <w:pStyle w:val="48"/>
                    <w:rPr>
                      <w:rFonts w:hint="default" w:ascii="Times New Roman" w:hAnsi="Times New Roman" w:eastAsia="仿宋" w:cs="Times New Roman"/>
                      <w:b w:val="0"/>
                      <w:bCs w:val="0"/>
                      <w:i/>
                      <w:iCs/>
                      <w:color w:val="auto"/>
                      <w:sz w:val="24"/>
                      <w:szCs w:val="18"/>
                      <w:lang w:eastAsia="zh-CN"/>
                    </w:rPr>
                  </w:pPr>
                  <w:r>
                    <w:rPr>
                      <w:rFonts w:hint="default" w:ascii="Times New Roman" w:hAnsi="Times New Roman" w:cs="Times New Roman"/>
                      <w:b w:val="0"/>
                      <w:bCs w:val="0"/>
                      <w:i/>
                      <w:iCs/>
                      <w:color w:val="auto"/>
                      <w:sz w:val="24"/>
                      <w:szCs w:val="18"/>
                      <w:lang w:val="en-US" w:eastAsia="zh-CN"/>
                    </w:rPr>
                    <w:t>3</w:t>
                  </w:r>
                </w:p>
              </w:tc>
              <w:tc>
                <w:tcPr>
                  <w:tcW w:w="604" w:type="pct"/>
                  <w:vAlign w:val="center"/>
                </w:tcPr>
                <w:p w14:paraId="6E3E09C9">
                  <w:pPr>
                    <w:pStyle w:val="48"/>
                    <w:rPr>
                      <w:rFonts w:hint="default" w:ascii="Times New Roman" w:hAnsi="Times New Roman" w:cs="Times New Roman"/>
                      <w:b w:val="0"/>
                      <w:bCs w:val="0"/>
                      <w:i/>
                      <w:iCs/>
                      <w:color w:val="auto"/>
                      <w:sz w:val="24"/>
                      <w:szCs w:val="18"/>
                    </w:rPr>
                  </w:pPr>
                  <w:r>
                    <w:rPr>
                      <w:rFonts w:hint="default" w:ascii="Times New Roman" w:hAnsi="Times New Roman" w:cs="Times New Roman"/>
                      <w:b w:val="0"/>
                      <w:bCs w:val="0"/>
                      <w:i/>
                      <w:iCs/>
                      <w:color w:val="auto"/>
                      <w:sz w:val="24"/>
                      <w:szCs w:val="18"/>
                      <w:lang w:val="en-US" w:eastAsia="zh-CN"/>
                    </w:rPr>
                    <w:t>18</w:t>
                  </w:r>
                  <w:r>
                    <w:rPr>
                      <w:rFonts w:hint="default" w:ascii="Times New Roman" w:hAnsi="Times New Roman" w:cs="Times New Roman"/>
                      <w:b w:val="0"/>
                      <w:bCs w:val="0"/>
                      <w:i/>
                      <w:iCs/>
                      <w:color w:val="auto"/>
                      <w:sz w:val="24"/>
                      <w:szCs w:val="18"/>
                    </w:rPr>
                    <w:t>0</w:t>
                  </w:r>
                </w:p>
              </w:tc>
              <w:tc>
                <w:tcPr>
                  <w:tcW w:w="581" w:type="pct"/>
                  <w:vAlign w:val="center"/>
                </w:tcPr>
                <w:p w14:paraId="1718AC5E">
                  <w:pPr>
                    <w:pStyle w:val="48"/>
                    <w:rPr>
                      <w:rFonts w:hint="default" w:ascii="Times New Roman" w:hAnsi="Times New Roman" w:eastAsia="仿宋" w:cs="Times New Roman"/>
                      <w:b w:val="0"/>
                      <w:bCs w:val="0"/>
                      <w:i/>
                      <w:iCs/>
                      <w:color w:val="auto"/>
                      <w:sz w:val="24"/>
                      <w:szCs w:val="18"/>
                      <w:lang w:val="en-US" w:eastAsia="zh-CN"/>
                    </w:rPr>
                  </w:pPr>
                  <w:r>
                    <w:rPr>
                      <w:rFonts w:hint="default" w:ascii="Times New Roman" w:hAnsi="Times New Roman" w:cs="Times New Roman"/>
                      <w:b w:val="0"/>
                      <w:bCs w:val="0"/>
                      <w:i/>
                      <w:iCs/>
                      <w:color w:val="auto"/>
                      <w:sz w:val="24"/>
                      <w:szCs w:val="18"/>
                      <w:lang w:val="en-US" w:eastAsia="zh-CN"/>
                    </w:rPr>
                    <w:t>2.7</w:t>
                  </w:r>
                </w:p>
              </w:tc>
              <w:tc>
                <w:tcPr>
                  <w:tcW w:w="604" w:type="pct"/>
                  <w:vAlign w:val="center"/>
                </w:tcPr>
                <w:p w14:paraId="1FCD64CB">
                  <w:pPr>
                    <w:pStyle w:val="48"/>
                    <w:rPr>
                      <w:rFonts w:hint="default" w:ascii="Times New Roman" w:hAnsi="Times New Roman" w:eastAsia="仿宋" w:cs="Times New Roman"/>
                      <w:b w:val="0"/>
                      <w:bCs w:val="0"/>
                      <w:i/>
                      <w:iCs/>
                      <w:color w:val="auto"/>
                      <w:sz w:val="24"/>
                      <w:szCs w:val="18"/>
                      <w:lang w:val="en-US" w:eastAsia="zh-CN"/>
                    </w:rPr>
                  </w:pPr>
                  <w:r>
                    <w:rPr>
                      <w:rFonts w:hint="default" w:ascii="Times New Roman" w:hAnsi="Times New Roman" w:cs="Times New Roman"/>
                      <w:b w:val="0"/>
                      <w:bCs w:val="0"/>
                      <w:i/>
                      <w:iCs/>
                      <w:color w:val="auto"/>
                      <w:sz w:val="24"/>
                      <w:szCs w:val="18"/>
                      <w:lang w:val="en-US" w:eastAsia="zh-CN"/>
                    </w:rPr>
                    <w:t>162</w:t>
                  </w:r>
                </w:p>
              </w:tc>
            </w:tr>
            <w:tr w14:paraId="334B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0" w:type="pct"/>
                  <w:gridSpan w:val="4"/>
                  <w:vAlign w:val="center"/>
                </w:tcPr>
                <w:p w14:paraId="1998B7E9">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合计</w:t>
                  </w:r>
                </w:p>
              </w:tc>
              <w:tc>
                <w:tcPr>
                  <w:tcW w:w="619" w:type="pct"/>
                  <w:vAlign w:val="center"/>
                </w:tcPr>
                <w:p w14:paraId="4101C9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iCs/>
                      <w:color w:val="auto"/>
                      <w:sz w:val="24"/>
                      <w:lang w:val="en-US" w:eastAsia="zh-CN"/>
                    </w:rPr>
                  </w:pPr>
                  <w:r>
                    <w:rPr>
                      <w:rFonts w:hint="eastAsia" w:ascii="Times New Roman" w:hAnsi="Times New Roman" w:cs="Times New Roman"/>
                      <w:b/>
                      <w:bCs/>
                      <w:i/>
                      <w:iCs/>
                      <w:color w:val="auto"/>
                      <w:sz w:val="24"/>
                      <w:lang w:val="en-US" w:eastAsia="zh-CN"/>
                    </w:rPr>
                    <w:t>4.25</w:t>
                  </w:r>
                </w:p>
              </w:tc>
              <w:tc>
                <w:tcPr>
                  <w:tcW w:w="1189" w:type="dxa"/>
                  <w:vAlign w:val="center"/>
                </w:tcPr>
                <w:p w14:paraId="21D488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iCs/>
                      <w:color w:val="auto"/>
                      <w:sz w:val="24"/>
                      <w:lang w:val="en-US" w:eastAsia="zh-CN"/>
                    </w:rPr>
                  </w:pPr>
                  <w:r>
                    <w:rPr>
                      <w:rFonts w:hint="eastAsia" w:cs="仿宋"/>
                      <w:b/>
                      <w:bCs/>
                      <w:i/>
                      <w:iCs/>
                      <w:color w:val="auto"/>
                      <w:kern w:val="0"/>
                      <w:sz w:val="24"/>
                      <w:szCs w:val="24"/>
                      <w:u w:val="none"/>
                      <w:lang w:val="en-US" w:eastAsia="zh-CN" w:bidi="ar"/>
                    </w:rPr>
                    <w:t>555</w:t>
                  </w:r>
                </w:p>
              </w:tc>
              <w:tc>
                <w:tcPr>
                  <w:tcW w:w="1143" w:type="dxa"/>
                  <w:vAlign w:val="center"/>
                </w:tcPr>
                <w:p w14:paraId="617E00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iCs/>
                      <w:color w:val="auto"/>
                      <w:sz w:val="24"/>
                      <w:lang w:val="en-US" w:eastAsia="zh-CN"/>
                    </w:rPr>
                  </w:pPr>
                  <w:r>
                    <w:rPr>
                      <w:rFonts w:hint="eastAsia" w:ascii="仿宋" w:hAnsi="仿宋" w:eastAsia="仿宋" w:cs="仿宋"/>
                      <w:b/>
                      <w:bCs/>
                      <w:i/>
                      <w:iCs/>
                      <w:color w:val="auto"/>
                      <w:kern w:val="0"/>
                      <w:sz w:val="24"/>
                      <w:szCs w:val="24"/>
                      <w:u w:val="none"/>
                      <w:lang w:val="en-US" w:eastAsia="zh-CN" w:bidi="ar"/>
                    </w:rPr>
                    <w:t>3.825</w:t>
                  </w:r>
                </w:p>
              </w:tc>
              <w:tc>
                <w:tcPr>
                  <w:tcW w:w="1189" w:type="dxa"/>
                  <w:vAlign w:val="center"/>
                </w:tcPr>
                <w:p w14:paraId="7F1999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i/>
                      <w:iCs/>
                      <w:color w:val="auto"/>
                      <w:sz w:val="24"/>
                      <w:lang w:val="en-US" w:eastAsia="zh-CN"/>
                    </w:rPr>
                  </w:pPr>
                  <w:r>
                    <w:rPr>
                      <w:rFonts w:hint="eastAsia" w:ascii="仿宋" w:hAnsi="仿宋" w:eastAsia="仿宋" w:cs="仿宋"/>
                      <w:b/>
                      <w:bCs/>
                      <w:i/>
                      <w:iCs/>
                      <w:color w:val="auto"/>
                      <w:kern w:val="0"/>
                      <w:sz w:val="24"/>
                      <w:szCs w:val="24"/>
                      <w:u w:val="none"/>
                      <w:lang w:val="en-US" w:eastAsia="zh-CN" w:bidi="ar"/>
                    </w:rPr>
                    <w:t>499.5</w:t>
                  </w:r>
                </w:p>
              </w:tc>
            </w:tr>
          </w:tbl>
          <w:p w14:paraId="1BE1504A">
            <w:pPr>
              <w:spacing w:before="120" w:beforeLines="50"/>
              <w:ind w:firstLine="560"/>
              <w:rPr>
                <w:color w:val="auto"/>
                <w:sz w:val="28"/>
              </w:rPr>
            </w:pPr>
            <w:r>
              <w:rPr>
                <w:rFonts w:hint="eastAsia"/>
                <w:color w:val="auto"/>
                <w:sz w:val="28"/>
              </w:rPr>
              <w:t>项目水平衡图：</w:t>
            </w:r>
          </w:p>
          <w:p w14:paraId="3BDF82EC">
            <w:pPr>
              <w:pStyle w:val="46"/>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textAlignment w:val="auto"/>
              <w:rPr>
                <w:color w:val="auto"/>
                <w:sz w:val="28"/>
              </w:rPr>
            </w:pPr>
            <w:r>
              <w:rPr>
                <w:color w:val="auto"/>
                <w:sz w:val="28"/>
              </w:rPr>
              <mc:AlternateContent>
                <mc:Choice Requires="wpc">
                  <w:drawing>
                    <wp:inline distT="0" distB="0" distL="114300" distR="114300">
                      <wp:extent cx="5123815" cy="2851785"/>
                      <wp:effectExtent l="0" t="0" r="0" b="0"/>
                      <wp:docPr id="82" name="画布 82"/>
                      <wp:cNvGraphicFramePr/>
                      <a:graphic xmlns:a="http://schemas.openxmlformats.org/drawingml/2006/main">
                        <a:graphicData uri="http://schemas.microsoft.com/office/word/2010/wordprocessingCanvas">
                          <wpc:wpc>
                            <wpc:bg/>
                            <wpc:whole/>
                            <wps:wsp>
                              <wps:cNvPr id="84" name="直接箭头连接符 84"/>
                              <wps:cNvCnPr/>
                              <wps:spPr>
                                <a:xfrm>
                                  <a:off x="0" y="1362710"/>
                                  <a:ext cx="6667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7" name="肘形连接符 87"/>
                              <wps:cNvCnPr>
                                <a:stCxn id="66" idx="1"/>
                                <a:endCxn id="94" idx="1"/>
                              </wps:cNvCnPr>
                              <wps:spPr>
                                <a:xfrm rot="10800000" flipH="1" flipV="1">
                                  <a:off x="1348105" y="1003300"/>
                                  <a:ext cx="62230" cy="1097915"/>
                                </a:xfrm>
                                <a:prstGeom prst="bentConnector3">
                                  <a:avLst>
                                    <a:gd name="adj1" fmla="val -1086734"/>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 name="直接箭头连接符 93"/>
                              <wps:cNvCnPr>
                                <a:stCxn id="94" idx="3"/>
                                <a:endCxn id="99" idx="1"/>
                              </wps:cNvCnPr>
                              <wps:spPr>
                                <a:xfrm>
                                  <a:off x="2484120" y="2101850"/>
                                  <a:ext cx="583565" cy="1206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 name="文本框 94"/>
                              <wps:cNvSpPr txBox="1"/>
                              <wps:spPr>
                                <a:xfrm>
                                  <a:off x="1410335" y="1950720"/>
                                  <a:ext cx="1073785" cy="301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B38633">
                                    <w:pPr>
                                      <w:ind w:firstLine="0" w:firstLineChars="0"/>
                                    </w:pPr>
                                    <w:r>
                                      <w:rPr>
                                        <w:rFonts w:hint="eastAsia"/>
                                      </w:rPr>
                                      <w:t>员工生活用水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99"/>
                              <wps:cNvSpPr txBox="1"/>
                              <wps:spPr>
                                <a:xfrm>
                                  <a:off x="3067685" y="1953260"/>
                                  <a:ext cx="715645" cy="320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4146B2">
                                    <w:pPr>
                                      <w:ind w:firstLine="0" w:firstLineChars="0"/>
                                    </w:pPr>
                                    <w:r>
                                      <w:rPr>
                                        <w:rFonts w:hint="eastAsia"/>
                                      </w:rPr>
                                      <w:t>生化池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直接箭头连接符 100"/>
                              <wps:cNvCnPr>
                                <a:endCxn id="101" idx="1"/>
                              </wps:cNvCnPr>
                              <wps:spPr>
                                <a:xfrm>
                                  <a:off x="3769995" y="2120265"/>
                                  <a:ext cx="554355" cy="698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1" name="文本框 101"/>
                              <wps:cNvSpPr txBox="1"/>
                              <wps:spPr>
                                <a:xfrm>
                                  <a:off x="4324350" y="1821180"/>
                                  <a:ext cx="674370" cy="612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B10592">
                                    <w:pPr>
                                      <w:spacing w:line="240" w:lineRule="auto"/>
                                      <w:ind w:firstLine="0" w:firstLineChars="0"/>
                                    </w:pPr>
                                    <w:r>
                                      <w:rPr>
                                        <w:rFonts w:hint="eastAsia"/>
                                      </w:rPr>
                                      <w:t>园区污水处理厂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544320" y="1693545"/>
                                  <a:ext cx="83375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16982">
                                    <w:pPr>
                                      <w:ind w:firstLine="0" w:firstLineChars="0"/>
                                      <w:jc w:val="center"/>
                                      <w:rPr>
                                        <w:rFonts w:hint="default" w:eastAsia="仿宋"/>
                                        <w:sz w:val="18"/>
                                        <w:szCs w:val="18"/>
                                        <w:lang w:val="en-US" w:eastAsia="zh-CN"/>
                                      </w:rPr>
                                    </w:pPr>
                                    <w:r>
                                      <w:rPr>
                                        <w:rFonts w:hint="eastAsia"/>
                                        <w:sz w:val="18"/>
                                        <w:szCs w:val="18"/>
                                      </w:rPr>
                                      <w:t>损耗</w:t>
                                    </w:r>
                                    <w:r>
                                      <w:rPr>
                                        <w:rFonts w:hint="eastAsia"/>
                                        <w:sz w:val="18"/>
                                        <w:szCs w:val="18"/>
                                        <w:lang w:val="en-US" w:eastAsia="zh-CN"/>
                                      </w:rPr>
                                      <w:t>0.105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直接箭头连接符 5"/>
                              <wps:cNvCnPr/>
                              <wps:spPr>
                                <a:xfrm flipV="1">
                                  <a:off x="1471295" y="1740535"/>
                                  <a:ext cx="281940" cy="19621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3" name="文本框 13"/>
                              <wps:cNvSpPr txBox="1"/>
                              <wps:spPr>
                                <a:xfrm>
                                  <a:off x="715645" y="1821815"/>
                                  <a:ext cx="65595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113560">
                                    <w:pPr>
                                      <w:ind w:firstLine="0" w:firstLineChars="0"/>
                                      <w:jc w:val="center"/>
                                      <w:rPr>
                                        <w:rFonts w:hint="default" w:eastAsia="仿宋"/>
                                        <w:color w:val="auto"/>
                                        <w:sz w:val="18"/>
                                        <w:szCs w:val="18"/>
                                        <w:lang w:val="en-US" w:eastAsia="zh-CN"/>
                                      </w:rPr>
                                    </w:pPr>
                                    <w:r>
                                      <w:rPr>
                                        <w:rFonts w:hint="eastAsia"/>
                                        <w:color w:val="auto"/>
                                        <w:sz w:val="18"/>
                                        <w:szCs w:val="18"/>
                                        <w:lang w:val="en-US" w:eastAsia="zh-CN"/>
                                      </w:rPr>
                                      <w:t>1.25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2451735" y="1767205"/>
                                  <a:ext cx="65595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E0DC77">
                                    <w:pPr>
                                      <w:ind w:firstLine="0" w:firstLineChars="0"/>
                                      <w:jc w:val="center"/>
                                      <w:rPr>
                                        <w:rFonts w:hint="default" w:eastAsia="仿宋"/>
                                        <w:sz w:val="18"/>
                                        <w:szCs w:val="18"/>
                                        <w:lang w:val="en-US" w:eastAsia="zh-CN"/>
                                      </w:rPr>
                                    </w:pPr>
                                    <w:r>
                                      <w:rPr>
                                        <w:rFonts w:hint="eastAsia"/>
                                        <w:sz w:val="18"/>
                                        <w:szCs w:val="18"/>
                                        <w:lang w:val="en-US" w:eastAsia="zh-CN"/>
                                      </w:rPr>
                                      <w:t>1.125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79375" y="1358265"/>
                                  <a:ext cx="65595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17083">
                                    <w:pPr>
                                      <w:ind w:firstLine="0" w:firstLineChars="0"/>
                                      <w:jc w:val="center"/>
                                      <w:rPr>
                                        <w:rFonts w:hint="default" w:eastAsia="仿宋"/>
                                        <w:sz w:val="18"/>
                                        <w:szCs w:val="18"/>
                                        <w:lang w:val="en-US" w:eastAsia="zh-CN"/>
                                      </w:rPr>
                                    </w:pPr>
                                    <w:r>
                                      <w:rPr>
                                        <w:rFonts w:hint="eastAsia"/>
                                        <w:sz w:val="18"/>
                                        <w:szCs w:val="18"/>
                                        <w:lang w:val="en-US" w:eastAsia="zh-CN"/>
                                      </w:rPr>
                                      <w:t>4.25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65405" y="1080770"/>
                                  <a:ext cx="65595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9F6411">
                                    <w:pPr>
                                      <w:ind w:firstLine="0" w:firstLineChars="0"/>
                                      <w:jc w:val="center"/>
                                      <w:rPr>
                                        <w:sz w:val="18"/>
                                        <w:szCs w:val="18"/>
                                      </w:rPr>
                                    </w:pPr>
                                    <w:r>
                                      <w:rPr>
                                        <w:rFonts w:hint="eastAsia"/>
                                        <w:sz w:val="18"/>
                                        <w:szCs w:val="18"/>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8"/>
                              <wps:cNvSpPr txBox="1"/>
                              <wps:spPr>
                                <a:xfrm>
                                  <a:off x="3770630" y="1737360"/>
                                  <a:ext cx="487680"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A4418">
                                    <w:pPr>
                                      <w:ind w:firstLine="0" w:firstLineChars="0"/>
                                      <w:jc w:val="center"/>
                                      <w:rPr>
                                        <w:rFonts w:hint="default" w:eastAsia="仿宋"/>
                                        <w:color w:val="auto"/>
                                        <w:sz w:val="18"/>
                                        <w:szCs w:val="18"/>
                                        <w:lang w:val="en-US" w:eastAsia="zh-CN"/>
                                      </w:rPr>
                                    </w:pPr>
                                    <w:r>
                                      <w:rPr>
                                        <w:rFonts w:hint="eastAsia"/>
                                        <w:color w:val="auto"/>
                                        <w:sz w:val="18"/>
                                        <w:szCs w:val="18"/>
                                        <w:lang w:val="en-US" w:eastAsia="zh-CN"/>
                                      </w:rPr>
                                      <w:t>3.825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66"/>
                              <wps:cNvSpPr txBox="1"/>
                              <wps:spPr>
                                <a:xfrm>
                                  <a:off x="1348105" y="847725"/>
                                  <a:ext cx="1035685" cy="3117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0D82A9">
                                    <w:pPr>
                                      <w:spacing w:line="240" w:lineRule="auto"/>
                                      <w:ind w:firstLine="0" w:firstLineChars="0"/>
                                    </w:pPr>
                                    <w:r>
                                      <w:rPr>
                                        <w:rFonts w:hint="eastAsia"/>
                                      </w:rPr>
                                      <w:t>地面清洁用水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109"/>
                              <wps:cNvSpPr txBox="1"/>
                              <wps:spPr>
                                <a:xfrm>
                                  <a:off x="723265" y="692150"/>
                                  <a:ext cx="65595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71641">
                                    <w:pPr>
                                      <w:ind w:firstLine="0" w:firstLineChars="0"/>
                                      <w:jc w:val="center"/>
                                      <w:rPr>
                                        <w:rFonts w:hint="eastAsia" w:eastAsia="仿宋"/>
                                        <w:color w:val="auto"/>
                                        <w:sz w:val="18"/>
                                        <w:szCs w:val="18"/>
                                        <w:lang w:val="en-US" w:eastAsia="zh-CN"/>
                                      </w:rPr>
                                    </w:pPr>
                                    <w:r>
                                      <w:rPr>
                                        <w:rFonts w:hint="eastAsia"/>
                                        <w:color w:val="auto"/>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2353310" y="675640"/>
                                  <a:ext cx="65595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00BE9">
                                    <w:pPr>
                                      <w:ind w:firstLine="0" w:firstLineChars="0"/>
                                      <w:jc w:val="center"/>
                                      <w:rPr>
                                        <w:rFonts w:hint="default" w:eastAsia="仿宋"/>
                                        <w:sz w:val="18"/>
                                        <w:szCs w:val="18"/>
                                        <w:lang w:val="en-US" w:eastAsia="zh-CN"/>
                                      </w:rPr>
                                    </w:pPr>
                                    <w:r>
                                      <w:rPr>
                                        <w:rFonts w:hint="eastAsia"/>
                                        <w:sz w:val="18"/>
                                        <w:szCs w:val="18"/>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直接箭头连接符 111"/>
                              <wps:cNvCnPr/>
                              <wps:spPr>
                                <a:xfrm flipV="1">
                                  <a:off x="1545590" y="674370"/>
                                  <a:ext cx="295275" cy="14668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12" name="文本框 112"/>
                              <wps:cNvSpPr txBox="1"/>
                              <wps:spPr>
                                <a:xfrm>
                                  <a:off x="1805940" y="570865"/>
                                  <a:ext cx="702310"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A41C6">
                                    <w:pPr>
                                      <w:ind w:firstLine="0" w:firstLineChars="0"/>
                                      <w:jc w:val="center"/>
                                      <w:rPr>
                                        <w:rFonts w:hint="eastAsia" w:eastAsia="仿宋"/>
                                        <w:sz w:val="18"/>
                                        <w:szCs w:val="18"/>
                                        <w:lang w:val="en-US" w:eastAsia="zh-CN"/>
                                      </w:rPr>
                                    </w:pPr>
                                    <w:r>
                                      <w:rPr>
                                        <w:rFonts w:hint="eastAsia"/>
                                        <w:sz w:val="18"/>
                                        <w:szCs w:val="18"/>
                                      </w:rPr>
                                      <w:t>损耗0.</w:t>
                                    </w:r>
                                    <w:r>
                                      <w:rPr>
                                        <w:rFonts w:hint="eastAsia"/>
                                        <w:sz w:val="18"/>
                                        <w:szCs w:val="1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肘形连接符 2"/>
                              <wps:cNvCnPr>
                                <a:endCxn id="99" idx="0"/>
                              </wps:cNvCnPr>
                              <wps:spPr>
                                <a:xfrm>
                                  <a:off x="2320290" y="951230"/>
                                  <a:ext cx="1105535" cy="1002030"/>
                                </a:xfrm>
                                <a:prstGeom prst="bentConnector2">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 name="直接连接符 4"/>
                              <wps:cNvCnPr/>
                              <wps:spPr>
                                <a:prstGeom prst="line">
                                  <a:avLst/>
                                </a:prstGeom>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224.55pt;width:403.45pt;" coordsize="5123815,2851785" editas="canvas" o:gfxdata="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bqORktcA&#10;AAAFAQAADwAAAAAAAAABACAAAAAiAAAAZHJzL2Rvd25yZXYueG1sUEsBAhQAFAAAAAgAh07iQE0Q&#10;HlmxBwAA8TcAAA4AAAAAAAAAAQAgAAAAJgEAAGRycy9lMm9Eb2MueG1sUEsFBgAAAAAGAAYAWQEA&#10;AEkLAAAAAA==&#10;">
                      <o:lock v:ext="edit" aspectratio="f"/>
                      <v:shape id="_x0000_s1026" o:spid="_x0000_s1026" style="position:absolute;left:0;top:0;height:2851785;width:5123815;" filled="f" stroked="f" coordsize="21600,21600" o:gfxdata="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">
                        <v:fill on="f" focussize="0,0"/>
                        <v:stroke on="f"/>
                        <v:imagedata o:title=""/>
                        <o:lock v:ext="edit" aspectratio="f"/>
                      </v:shape>
                      <v:shape id="_x0000_s1026" o:spid="_x0000_s1026" o:spt="32" type="#_x0000_t32" style="position:absolute;left:0;top:1362710;height:0;width:666750;" filled="f" stroked="t" coordsize="21600,21600" o:gfxdata="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WasmDUAAAABQEA&#10;AA8AAAAAAAAAAQAgAAAAIgAAAGRycy9kb3ducmV2LnhtbFBLAQIUABQAAAAIAIdO4kCh8wyYHgIA&#10;ABIEAAAOAAAAAAAAAAEAIAAAACMBAABkcnMvZTJvRG9jLnhtbFBLBQYAAAAABgAGAFkBAACzBQAA&#10;AAA=&#10;">
                        <v:fill on="f" focussize="0,0"/>
                        <v:stroke weight="0.5pt" color="#000000 [3213]" miterlimit="8" joinstyle="miter" endarrow="block"/>
                        <v:imagedata o:title=""/>
                        <o:lock v:ext="edit" aspectratio="f"/>
                      </v:shape>
                      <v:shape id="_x0000_s1026" o:spid="_x0000_s1026" o:spt="34" type="#_x0000_t34" style="position:absolute;left:1348105;top:1003300;flip:x y;height:1097915;width:62230;rotation:11796480f;" filled="f" stroked="t" coordsize="21600,21600" o:gfxdata="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mputUAAAAFAQAADwAAAAAAAAABACAAAAAiAAAAZHJzL2Rvd25yZXYueG1sUEsBAhQA&#10;FAAAAAgAh07iQHDLadBnAgAAvgQAAA4AAAAAAAAAAQAgAAAAJAEAAGRycy9lMm9Eb2MueG1sUEsF&#10;BgAAAAAGAAYAWQEAAP0FAAAAAA==&#10;" adj="-234735">
                        <v:fill on="f" focussize="0,0"/>
                        <v:stroke weight="0.5pt" color="#000000 [3213]" miterlimit="8" joinstyle="miter" startarrow="block" endarrow="block"/>
                        <v:imagedata o:title=""/>
                        <o:lock v:ext="edit" aspectratio="f"/>
                      </v:shape>
                      <v:shape id="_x0000_s1026" o:spid="_x0000_s1026" o:spt="32" type="#_x0000_t32" style="position:absolute;left:2484120;top:2101850;height:12065;width:583565;" filled="f" stroked="t" coordsize="21600,21600" o:gfxdata="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&#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FmrJg1AAAAAUBAAAPAAAAAAAAAAEAIAAAACIAAABk&#10;cnMvZG93bnJldi54bWxQSwECFAAUAAAACACHTuJA+0V0OkMCAABeBAAADgAAAAAAAAABACAAAAAj&#10;AQAAZHJzL2Uyb0RvYy54bWxQSwUGAAAAAAYABgBZAQAA2AUAAAAA&#10;">
                        <v:fill on="f" focussize="0,0"/>
                        <v:stroke weight="0.5pt" color="#000000 [3213]" miterlimit="8" joinstyle="miter" endarrow="block"/>
                        <v:imagedata o:title=""/>
                        <o:lock v:ext="edit" aspectratio="f"/>
                      </v:shape>
                      <v:shape id="_x0000_s1026" o:spid="_x0000_s1026" o:spt="202" type="#_x0000_t202" style="position:absolute;left:1410335;top:1950720;height:301625;width:1073785;" fillcolor="#FFFFFF [3201]" filled="t" stroked="t" coordsize="21600,21600" o:gfxdata="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obvQrUAAAABQEAAA8AAAAAAAAAAQAgAAAAIgAAAGRycy9kb3ducmV2LnhtbFBLAQIUABQAAAAI&#10;AIdO4kBdYK8MYwIAAMUEAAAOAAAAAAAAAAEAIAAAACMBAABkcnMvZTJvRG9jLnhtbFBLBQYAAAAA&#10;BgAGAFkBAAD4BQAAAAA=&#10;">
                        <v:fill on="t" focussize="0,0"/>
                        <v:stroke weight="0.5pt" color="#000000 [3204]" joinstyle="round"/>
                        <v:imagedata o:title=""/>
                        <o:lock v:ext="edit" aspectratio="f"/>
                        <v:textbox>
                          <w:txbxContent>
                            <w:p w14:paraId="7AB38633">
                              <w:pPr>
                                <w:ind w:firstLine="0" w:firstLineChars="0"/>
                              </w:pPr>
                              <w:r>
                                <w:rPr>
                                  <w:rFonts w:hint="eastAsia"/>
                                </w:rPr>
                                <w:t>员工生活用水</w:t>
                              </w:r>
                            </w:p>
                          </w:txbxContent>
                        </v:textbox>
                      </v:shape>
                      <v:shape id="_x0000_s1026" o:spid="_x0000_s1026" o:spt="202" type="#_x0000_t202" style="position:absolute;left:3067685;top:1953260;height:320675;width:715645;" fillcolor="#FFFFFF [3201]" filled="t" stroked="t" coordsize="21600,21600" o:gfxdata="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hu9CtQAAAAFAQAADwAAAAAAAAABACAAAAAiAAAAZHJzL2Rvd25yZXYueG1sUEsBAhQAFAAAAAgA&#10;h07iQKJNjkNiAgAAxAQAAA4AAAAAAAAAAQAgAAAAIwEAAGRycy9lMm9Eb2MueG1sUEsFBgAAAAAG&#10;AAYAWQEAAPcFAAAAAA==&#10;">
                        <v:fill on="t" focussize="0,0"/>
                        <v:stroke weight="0.5pt" color="#000000 [3204]" joinstyle="round"/>
                        <v:imagedata o:title=""/>
                        <o:lock v:ext="edit" aspectratio="f"/>
                        <v:textbox>
                          <w:txbxContent>
                            <w:p w14:paraId="484146B2">
                              <w:pPr>
                                <w:ind w:firstLine="0" w:firstLineChars="0"/>
                              </w:pPr>
                              <w:r>
                                <w:rPr>
                                  <w:rFonts w:hint="eastAsia"/>
                                </w:rPr>
                                <w:t>生化池</w:t>
                              </w:r>
                            </w:p>
                          </w:txbxContent>
                        </v:textbox>
                      </v:shape>
                      <v:shape id="_x0000_s1026" o:spid="_x0000_s1026" o:spt="32" type="#_x0000_t32" style="position:absolute;left:3769995;top:2120265;height:6985;width:554355;" filled="f" stroked="t" coordsize="21600,21600" o:gfxdata="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ZqyYNQAAAAFAQAADwAAAAAAAAABACAAAAAiAAAAZHJzL2Rvd25y&#10;ZXYueG1sUEsBAhQAFAAAAAgAh07iQEqhh/c7AgAARgQAAA4AAAAAAAAAAQAgAAAAIwEAAGRycy9l&#10;Mm9Eb2MueG1sUEsFBgAAAAAGAAYAWQEAANAFAAAAAA==&#10;">
                        <v:fill on="f" focussize="0,0"/>
                        <v:stroke weight="0.5pt" color="#000000 [3213]" miterlimit="8" joinstyle="miter" endarrow="block"/>
                        <v:imagedata o:title=""/>
                        <o:lock v:ext="edit" aspectratio="f"/>
                      </v:shape>
                      <v:shape id="_x0000_s1026" o:spid="_x0000_s1026" o:spt="202" type="#_x0000_t202" style="position:absolute;left:4324350;top:1821180;height:612140;width:674370;" fillcolor="#FFFFFF [3201]" filled="t" stroked="f" coordsize="21600,21600" o:gfxdata="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A799nSAAAABQEA&#10;AA8AAAAAAAAAAQAgAAAAIgAAAGRycy9kb3ducmV2LnhtbFBLAQIUABQAAAAIAIdO4kAAc/JIWQIA&#10;AJ4EAAAOAAAAAAAAAAEAIAAAACEBAABkcnMvZTJvRG9jLnhtbFBLBQYAAAAABgAGAFkBAADsBQAA&#10;AAA=&#10;">
                        <v:fill on="t" focussize="0,0"/>
                        <v:stroke on="f" weight="0.5pt"/>
                        <v:imagedata o:title=""/>
                        <o:lock v:ext="edit" aspectratio="f"/>
                        <v:textbox>
                          <w:txbxContent>
                            <w:p w14:paraId="53B10592">
                              <w:pPr>
                                <w:spacing w:line="240" w:lineRule="auto"/>
                                <w:ind w:firstLine="0" w:firstLineChars="0"/>
                              </w:pPr>
                              <w:r>
                                <w:rPr>
                                  <w:rFonts w:hint="eastAsia"/>
                                </w:rPr>
                                <w:t>园区污水处理厂</w:t>
                              </w:r>
                            </w:p>
                          </w:txbxContent>
                        </v:textbox>
                      </v:shape>
                      <v:shape id="_x0000_s1026" o:spid="_x0000_s1026" o:spt="202" type="#_x0000_t202" style="position:absolute;left:1544320;top:1693545;height:254635;width:833755;" filled="f" stroked="f" coordsize="21600,21600" o:gfxdata="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Q1UHNgAAAAFAQAADwAAAAAAAAABACAA&#10;AAAiAAAAZHJzL2Rvd25yZXYueG1sUEsBAhQAFAAAAAgAh07iQEDFxTFGAgAAcwQAAA4AAAAAAAAA&#10;AQAgAAAAJwEAAGRycy9lMm9Eb2MueG1sUEsFBgAAAAAGAAYAWQEAAN8FAAAAAA==&#10;">
                        <v:fill on="f" focussize="0,0"/>
                        <v:stroke on="f" weight="0.5pt"/>
                        <v:imagedata o:title=""/>
                        <o:lock v:ext="edit" aspectratio="f"/>
                        <v:textbox>
                          <w:txbxContent>
                            <w:p w14:paraId="33416982">
                              <w:pPr>
                                <w:ind w:firstLine="0" w:firstLineChars="0"/>
                                <w:jc w:val="center"/>
                                <w:rPr>
                                  <w:rFonts w:hint="default" w:eastAsia="仿宋"/>
                                  <w:sz w:val="18"/>
                                  <w:szCs w:val="18"/>
                                  <w:lang w:val="en-US" w:eastAsia="zh-CN"/>
                                </w:rPr>
                              </w:pPr>
                              <w:r>
                                <w:rPr>
                                  <w:rFonts w:hint="eastAsia"/>
                                  <w:sz w:val="18"/>
                                  <w:szCs w:val="18"/>
                                </w:rPr>
                                <w:t>损耗</w:t>
                              </w:r>
                              <w:r>
                                <w:rPr>
                                  <w:rFonts w:hint="eastAsia"/>
                                  <w:sz w:val="18"/>
                                  <w:szCs w:val="18"/>
                                  <w:lang w:val="en-US" w:eastAsia="zh-CN"/>
                                </w:rPr>
                                <w:t>0.105</w:t>
                              </w:r>
                            </w:p>
                          </w:txbxContent>
                        </v:textbox>
                      </v:shape>
                      <v:shape id="_x0000_s1026" o:spid="_x0000_s1026" o:spt="32" type="#_x0000_t32" style="position:absolute;left:1471295;top:1740535;flip:y;height:196215;width:281940;" filled="f" stroked="t" coordsize="21600,21600" o:gfxdata="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D/5q1gAAAAUB&#10;AAAPAAAAAAAAAAEAIAAAACIAAABkcnMvZG93bnJldi54bWxQSwECFAAUAAAACACHTuJAQfgHbB0C&#10;AAD6AwAADgAAAAAAAAABACAAAAAlAQAAZHJzL2Uyb0RvYy54bWxQSwUGAAAAAAYABgBZAQAAtAUA&#10;AAAA&#10;">
                        <v:fill on="f" focussize="0,0"/>
                        <v:stroke weight="0.5pt" color="#000000 [3213]" miterlimit="8" joinstyle="miter" dashstyle="dash" endarrow="block"/>
                        <v:imagedata o:title=""/>
                        <o:lock v:ext="edit" aspectratio="f"/>
                      </v:shape>
                      <v:shape id="_x0000_s1026" o:spid="_x0000_s1026" o:spt="202" type="#_x0000_t202" style="position:absolute;left:715645;top:1821815;height:254635;width:655955;" filled="f" stroked="f" coordsize="21600,21600" o:gfxdata="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kNVBzYAAAABQEAAA8AAAAAAAAAAQAg&#10;AAAAIgAAAGRycy9kb3ducmV2LnhtbFBLAQIUABQAAAAIAIdO4kBjJ46IRwIAAHIEAAAOAAAAAAAA&#10;AAEAIAAAACcBAABkcnMvZTJvRG9jLnhtbFBLBQYAAAAABgAGAFkBAADgBQAAAAA=&#10;">
                        <v:fill on="f" focussize="0,0"/>
                        <v:stroke on="f" weight="0.5pt"/>
                        <v:imagedata o:title=""/>
                        <o:lock v:ext="edit" aspectratio="f"/>
                        <v:textbox>
                          <w:txbxContent>
                            <w:p w14:paraId="7A113560">
                              <w:pPr>
                                <w:ind w:firstLine="0" w:firstLineChars="0"/>
                                <w:jc w:val="center"/>
                                <w:rPr>
                                  <w:rFonts w:hint="default" w:eastAsia="仿宋"/>
                                  <w:color w:val="auto"/>
                                  <w:sz w:val="18"/>
                                  <w:szCs w:val="18"/>
                                  <w:lang w:val="en-US" w:eastAsia="zh-CN"/>
                                </w:rPr>
                              </w:pPr>
                              <w:r>
                                <w:rPr>
                                  <w:rFonts w:hint="eastAsia"/>
                                  <w:color w:val="auto"/>
                                  <w:sz w:val="18"/>
                                  <w:szCs w:val="18"/>
                                  <w:lang w:val="en-US" w:eastAsia="zh-CN"/>
                                </w:rPr>
                                <w:t>1.25</w:t>
                              </w:r>
                            </w:p>
                          </w:txbxContent>
                        </v:textbox>
                      </v:shape>
                      <v:shape id="_x0000_s1026" o:spid="_x0000_s1026" o:spt="202" type="#_x0000_t202" style="position:absolute;left:2451735;top:1767205;height:254635;width:655955;" filled="f" stroked="f" coordsize="21600,21600" o:gfxdata="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Q1UHNgAAAAFAQAADwAAAAAAAAABACAA&#10;AAAiAAAAZHJzL2Rvd25yZXYueG1sUEsBAhQAFAAAAAgAh07iQPr2A/xGAgAAcwQAAA4AAAAAAAAA&#10;AQAgAAAAJwEAAGRycy9lMm9Eb2MueG1sUEsFBgAAAAAGAAYAWQEAAN8FAAAAAA==&#10;">
                        <v:fill on="f" focussize="0,0"/>
                        <v:stroke on="f" weight="0.5pt"/>
                        <v:imagedata o:title=""/>
                        <o:lock v:ext="edit" aspectratio="f"/>
                        <v:textbox>
                          <w:txbxContent>
                            <w:p w14:paraId="27E0DC77">
                              <w:pPr>
                                <w:ind w:firstLine="0" w:firstLineChars="0"/>
                                <w:jc w:val="center"/>
                                <w:rPr>
                                  <w:rFonts w:hint="default" w:eastAsia="仿宋"/>
                                  <w:sz w:val="18"/>
                                  <w:szCs w:val="18"/>
                                  <w:lang w:val="en-US" w:eastAsia="zh-CN"/>
                                </w:rPr>
                              </w:pPr>
                              <w:r>
                                <w:rPr>
                                  <w:rFonts w:hint="eastAsia"/>
                                  <w:sz w:val="18"/>
                                  <w:szCs w:val="18"/>
                                  <w:lang w:val="en-US" w:eastAsia="zh-CN"/>
                                </w:rPr>
                                <w:t>1.125</w:t>
                              </w:r>
                            </w:p>
                          </w:txbxContent>
                        </v:textbox>
                      </v:shape>
                      <v:shape id="_x0000_s1026" o:spid="_x0000_s1026" o:spt="202" type="#_x0000_t202" style="position:absolute;left:79375;top:1358265;height:254635;width:655955;" filled="f" stroked="f" coordsize="21600,21600" o:gfxdata="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kNVBzYAAAABQEAAA8AAAAAAAAAAQAgAAAA&#10;IgAAAGRycy9kb3ducmV2LnhtbFBLAQIUABQAAAAIAIdO4kDhosMaRAIAAHEEAAAOAAAAAAAAAAEA&#10;IAAAACcBAABkcnMvZTJvRG9jLnhtbFBLBQYAAAAABgAGAFkBAADdBQAAAAA=&#10;">
                        <v:fill on="f" focussize="0,0"/>
                        <v:stroke on="f" weight="0.5pt"/>
                        <v:imagedata o:title=""/>
                        <o:lock v:ext="edit" aspectratio="f"/>
                        <v:textbox>
                          <w:txbxContent>
                            <w:p w14:paraId="60117083">
                              <w:pPr>
                                <w:ind w:firstLine="0" w:firstLineChars="0"/>
                                <w:jc w:val="center"/>
                                <w:rPr>
                                  <w:rFonts w:hint="default" w:eastAsia="仿宋"/>
                                  <w:sz w:val="18"/>
                                  <w:szCs w:val="18"/>
                                  <w:lang w:val="en-US" w:eastAsia="zh-CN"/>
                                </w:rPr>
                              </w:pPr>
                              <w:r>
                                <w:rPr>
                                  <w:rFonts w:hint="eastAsia"/>
                                  <w:sz w:val="18"/>
                                  <w:szCs w:val="18"/>
                                  <w:lang w:val="en-US" w:eastAsia="zh-CN"/>
                                </w:rPr>
                                <w:t>4.25</w:t>
                              </w:r>
                            </w:p>
                          </w:txbxContent>
                        </v:textbox>
                      </v:shape>
                      <v:shape id="_x0000_s1026" o:spid="_x0000_s1026" o:spt="202" type="#_x0000_t202" style="position:absolute;left:65405;top:1080770;height:254635;width:655955;" filled="f" stroked="f" coordsize="21600,21600" o:gfxdata="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JDVQc2AAAAAUBAAAPAAAAAAAAAAEAIAAAACIA&#10;AABkcnMvZG93bnJldi54bWxQSwECFAAUAAAACACHTuJAYbitvEICAABxBAAADgAAAAAAAAABACAA&#10;AAAnAQAAZHJzL2Uyb0RvYy54bWxQSwUGAAAAAAYABgBZAQAA2wUAAAAA&#10;">
                        <v:fill on="f" focussize="0,0"/>
                        <v:stroke on="f" weight="0.5pt"/>
                        <v:imagedata o:title=""/>
                        <o:lock v:ext="edit" aspectratio="f"/>
                        <v:textbox>
                          <w:txbxContent>
                            <w:p w14:paraId="4A9F6411">
                              <w:pPr>
                                <w:ind w:firstLine="0" w:firstLineChars="0"/>
                                <w:jc w:val="center"/>
                                <w:rPr>
                                  <w:sz w:val="18"/>
                                  <w:szCs w:val="18"/>
                                </w:rPr>
                              </w:pPr>
                              <w:r>
                                <w:rPr>
                                  <w:rFonts w:hint="eastAsia"/>
                                  <w:sz w:val="18"/>
                                  <w:szCs w:val="18"/>
                                </w:rPr>
                                <w:t>新鲜水</w:t>
                              </w:r>
                            </w:p>
                          </w:txbxContent>
                        </v:textbox>
                      </v:shape>
                      <v:shape id="_x0000_s1026" o:spid="_x0000_s1026" o:spt="202" type="#_x0000_t202" style="position:absolute;left:3770630;top:1737360;height:254635;width:487680;" filled="f" stroked="f" coordsize="21600,21600" o:gfxdata="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Q1UHNgAAAAFAQAADwAAAAAAAAABACAAAAAi&#10;AAAAZHJzL2Rvd25yZXYueG1sUEsBAhQAFAAAAAgAh07iQJPhaiNDAgAAcQQAAA4AAAAAAAAAAQAg&#10;AAAAJwEAAGRycy9lMm9Eb2MueG1sUEsFBgAAAAAGAAYAWQEAANwFAAAAAA==&#10;">
                        <v:fill on="f" focussize="0,0"/>
                        <v:stroke on="f" weight="0.5pt"/>
                        <v:imagedata o:title=""/>
                        <o:lock v:ext="edit" aspectratio="f"/>
                        <v:textbox>
                          <w:txbxContent>
                            <w:p w14:paraId="1E7A4418">
                              <w:pPr>
                                <w:ind w:firstLine="0" w:firstLineChars="0"/>
                                <w:jc w:val="center"/>
                                <w:rPr>
                                  <w:rFonts w:hint="default" w:eastAsia="仿宋"/>
                                  <w:color w:val="auto"/>
                                  <w:sz w:val="18"/>
                                  <w:szCs w:val="18"/>
                                  <w:lang w:val="en-US" w:eastAsia="zh-CN"/>
                                </w:rPr>
                              </w:pPr>
                              <w:r>
                                <w:rPr>
                                  <w:rFonts w:hint="eastAsia"/>
                                  <w:color w:val="auto"/>
                                  <w:sz w:val="18"/>
                                  <w:szCs w:val="18"/>
                                  <w:lang w:val="en-US" w:eastAsia="zh-CN"/>
                                </w:rPr>
                                <w:t>3.825</w:t>
                              </w:r>
                            </w:p>
                          </w:txbxContent>
                        </v:textbox>
                      </v:shape>
                      <v:shape id="_x0000_s1026" o:spid="_x0000_s1026" o:spt="202" type="#_x0000_t202" style="position:absolute;left:1348105;top:847725;height:311785;width:1035685;" fillcolor="#FFFFFF [3201]" filled="t" stroked="t" coordsize="21600,21600" o:gfxdata="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hu9CtQAAAAFAQAADwAAAAAAAAABACAAAAAiAAAAZHJzL2Rvd25yZXYueG1sUEsBAhQAFAAAAAgA&#10;h07iQGnEfXZiAgAAxAQAAA4AAAAAAAAAAQAgAAAAIwEAAGRycy9lMm9Eb2MueG1sUEsFBgAAAAAG&#10;AAYAWQEAAPcFAAAAAA==&#10;">
                        <v:fill on="t" focussize="0,0"/>
                        <v:stroke weight="0.5pt" color="#000000 [3204]" joinstyle="round"/>
                        <v:imagedata o:title=""/>
                        <o:lock v:ext="edit" aspectratio="f"/>
                        <v:textbox>
                          <w:txbxContent>
                            <w:p w14:paraId="3A0D82A9">
                              <w:pPr>
                                <w:spacing w:line="240" w:lineRule="auto"/>
                                <w:ind w:firstLine="0" w:firstLineChars="0"/>
                              </w:pPr>
                              <w:r>
                                <w:rPr>
                                  <w:rFonts w:hint="eastAsia"/>
                                </w:rPr>
                                <w:t>地面清洁用水</w:t>
                              </w:r>
                            </w:p>
                          </w:txbxContent>
                        </v:textbox>
                      </v:shape>
                      <v:shape id="_x0000_s1026" o:spid="_x0000_s1026" o:spt="202" type="#_x0000_t202" style="position:absolute;left:723265;top:692150;height:254635;width:655955;" filled="f" stroked="f" coordsize="21600,21600" o:gfxdata="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kNVBzYAAAABQEAAA8AAAAAAAAAAQAgAAAA&#10;IgAAAGRycy9kb3ducmV2LnhtbFBLAQIUABQAAAAIAIdO4kDt0xtoRAIAAHMEAAAOAAAAAAAAAAEA&#10;IAAAACcBAABkcnMvZTJvRG9jLnhtbFBLBQYAAAAABgAGAFkBAADdBQAAAAA=&#10;">
                        <v:fill on="f" focussize="0,0"/>
                        <v:stroke on="f" weight="0.5pt"/>
                        <v:imagedata o:title=""/>
                        <o:lock v:ext="edit" aspectratio="f"/>
                        <v:textbox>
                          <w:txbxContent>
                            <w:p w14:paraId="5E171641">
                              <w:pPr>
                                <w:ind w:firstLine="0" w:firstLineChars="0"/>
                                <w:jc w:val="center"/>
                                <w:rPr>
                                  <w:rFonts w:hint="eastAsia" w:eastAsia="仿宋"/>
                                  <w:color w:val="auto"/>
                                  <w:sz w:val="18"/>
                                  <w:szCs w:val="18"/>
                                  <w:lang w:val="en-US" w:eastAsia="zh-CN"/>
                                </w:rPr>
                              </w:pPr>
                              <w:r>
                                <w:rPr>
                                  <w:rFonts w:hint="eastAsia"/>
                                  <w:color w:val="auto"/>
                                  <w:sz w:val="18"/>
                                  <w:szCs w:val="18"/>
                                  <w:lang w:val="en-US" w:eastAsia="zh-CN"/>
                                </w:rPr>
                                <w:t>3</w:t>
                              </w:r>
                            </w:p>
                          </w:txbxContent>
                        </v:textbox>
                      </v:shape>
                      <v:shape id="_x0000_s1026" o:spid="_x0000_s1026" o:spt="202" type="#_x0000_t202" style="position:absolute;left:2353310;top:675640;height:254635;width:655955;" filled="f" stroked="f" coordsize="21600,21600" o:gfxdata="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DVQc2AAAAAUBAAAPAAAAAAAAAAEAIAAA&#10;ACIAAABkcnMvZG93bnJldi54bWxQSwECFAAUAAAACACHTuJAoEvMUkUCAAB0BAAADgAAAAAAAAAB&#10;ACAAAAAnAQAAZHJzL2Uyb0RvYy54bWxQSwUGAAAAAAYABgBZAQAA3gUAAAAA&#10;">
                        <v:fill on="f" focussize="0,0"/>
                        <v:stroke on="f" weight="0.5pt"/>
                        <v:imagedata o:title=""/>
                        <o:lock v:ext="edit" aspectratio="f"/>
                        <v:textbox>
                          <w:txbxContent>
                            <w:p w14:paraId="2ED00BE9">
                              <w:pPr>
                                <w:ind w:firstLine="0" w:firstLineChars="0"/>
                                <w:jc w:val="center"/>
                                <w:rPr>
                                  <w:rFonts w:hint="default" w:eastAsia="仿宋"/>
                                  <w:sz w:val="18"/>
                                  <w:szCs w:val="18"/>
                                  <w:lang w:val="en-US" w:eastAsia="zh-CN"/>
                                </w:rPr>
                              </w:pPr>
                              <w:r>
                                <w:rPr>
                                  <w:rFonts w:hint="eastAsia"/>
                                  <w:sz w:val="18"/>
                                  <w:szCs w:val="18"/>
                                  <w:lang w:val="en-US" w:eastAsia="zh-CN"/>
                                </w:rPr>
                                <w:t>2.7</w:t>
                              </w:r>
                            </w:p>
                          </w:txbxContent>
                        </v:textbox>
                      </v:shape>
                      <v:shape id="_x0000_s1026" o:spid="_x0000_s1026" o:spt="32" type="#_x0000_t32" style="position:absolute;left:1545590;top:674370;flip:y;height:146685;width:295275;" filled="f" stroked="t" coordsize="21600,21600" o:gfxdata="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8P/mrWAAAA&#10;BQEAAA8AAAAAAAAAAQAgAAAAIgAAAGRycy9kb3ducmV2LnhtbFBLAQIUABQAAAAIAIdO4kAlJ3ZI&#10;HwIAAP0DAAAOAAAAAAAAAAEAIAAAACUBAABkcnMvZTJvRG9jLnhtbFBLBQYAAAAABgAGAFkBAAC2&#10;BQAAAAA=&#10;">
                        <v:fill on="f" focussize="0,0"/>
                        <v:stroke weight="0.5pt" color="#000000 [3213]" miterlimit="8" joinstyle="miter" dashstyle="dash" endarrow="block"/>
                        <v:imagedata o:title=""/>
                        <o:lock v:ext="edit" aspectratio="f"/>
                      </v:shape>
                      <v:shape id="_x0000_s1026" o:spid="_x0000_s1026" o:spt="202" type="#_x0000_t202" style="position:absolute;left:1805940;top:570865;height:254635;width:702310;" filled="f" stroked="f" coordsize="21600,21600" o:gfxdata="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kNVBzYAAAABQEAAA8AAAAAAAAAAQAg&#10;AAAAIgAAAGRycy9kb3ducmV2LnhtbFBLAQIUABQAAAAIAIdO4kBRSz9MRwIAAHQEAAAOAAAAAAAA&#10;AAEAIAAAACcBAABkcnMvZTJvRG9jLnhtbFBLBQYAAAAABgAGAFkBAADgBQAAAAA=&#10;">
                        <v:fill on="f" focussize="0,0"/>
                        <v:stroke on="f" weight="0.5pt"/>
                        <v:imagedata o:title=""/>
                        <o:lock v:ext="edit" aspectratio="f"/>
                        <v:textbox>
                          <w:txbxContent>
                            <w:p w14:paraId="18EA41C6">
                              <w:pPr>
                                <w:ind w:firstLine="0" w:firstLineChars="0"/>
                                <w:jc w:val="center"/>
                                <w:rPr>
                                  <w:rFonts w:hint="eastAsia" w:eastAsia="仿宋"/>
                                  <w:sz w:val="18"/>
                                  <w:szCs w:val="18"/>
                                  <w:lang w:val="en-US" w:eastAsia="zh-CN"/>
                                </w:rPr>
                              </w:pPr>
                              <w:r>
                                <w:rPr>
                                  <w:rFonts w:hint="eastAsia"/>
                                  <w:sz w:val="18"/>
                                  <w:szCs w:val="18"/>
                                </w:rPr>
                                <w:t>损耗0.</w:t>
                              </w:r>
                              <w:r>
                                <w:rPr>
                                  <w:rFonts w:hint="eastAsia"/>
                                  <w:sz w:val="18"/>
                                  <w:szCs w:val="18"/>
                                  <w:lang w:val="en-US" w:eastAsia="zh-CN"/>
                                </w:rPr>
                                <w:t>3</w:t>
                              </w:r>
                            </w:p>
                          </w:txbxContent>
                        </v:textbox>
                      </v:shape>
                      <v:shape id="_x0000_s1026" o:spid="_x0000_s1026" o:spt="33" type="#_x0000_t33" style="position:absolute;left:2320290;top:951230;height:1002030;width:1105535;" filled="f" stroked="t" coordsize="21600,21600" o:gfxdata="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QQRn1gAA&#10;AAUBAAAPAAAAAAAAAAEAIAAAACIAAABkcnMvZG93bnJldi54bWxQSwECFAAUAAAACACHTuJA06WB&#10;AiACAAAOBAAADgAAAAAAAAABACAAAAAlAQAAZHJzL2Uyb0RvYy54bWxQSwUGAAAAAAYABgBZAQAA&#10;twUAAAAA&#10;">
                        <v:fill on="f" focussize="0,0"/>
                        <v:stroke weight="1pt" color="#000000 [3213]" miterlimit="8" joinstyle="miter" endarrow="open"/>
                        <v:imagedata o:title=""/>
                        <o:lock v:ext="edit" aspectratio="f"/>
                      </v:shape>
                      <v:line id="_x0000_s1026" o:spid="_x0000_s1026" o:spt="20" style="position:absolute;left:0;top:0;height:0;width:0;" filled="f" stroked="t" coordsize="21600,21600" o:gfxdata="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W0fqa1wAAAAUB&#10;AAAPAAAAAAAAAAEAIAAAACIAAABkcnMvZG93bnJldi54bWxQSwECFAAUAAAACACHTuJAaG0YCOMB&#10;AACsAwAADgAAAAAAAAABACAAAAAmAQAAZHJzL2Uyb0RvYy54bWxQSwUGAAAAAAYABgBZAQAAewUA&#10;AAAA&#10;">
                        <v:fill on="f" focussize="0,0"/>
                        <v:stroke weight="1pt" color="#5B9BD5 [3204]" miterlimit="8" joinstyle="miter"/>
                        <v:imagedata o:title=""/>
                        <o:lock v:ext="edit" aspectratio="f"/>
                      </v:line>
                      <w10:wrap type="none"/>
                      <w10:anchorlock/>
                    </v:group>
                  </w:pict>
                </mc:Fallback>
              </mc:AlternateContent>
            </w:r>
          </w:p>
          <w:p w14:paraId="2D517658">
            <w:pPr>
              <w:ind w:firstLine="0" w:firstLineChars="0"/>
              <w:jc w:val="center"/>
              <w:rPr>
                <w:rFonts w:hint="eastAsia"/>
                <w:i/>
                <w:iCs/>
                <w:color w:val="auto"/>
                <w:sz w:val="24"/>
                <w:highlight w:val="none"/>
              </w:rPr>
            </w:pPr>
            <w:r>
              <w:rPr>
                <w:rFonts w:hint="eastAsia"/>
                <w:i/>
                <w:iCs/>
                <w:color w:val="auto"/>
                <w:sz w:val="24"/>
                <w:highlight w:val="none"/>
              </w:rPr>
              <w:t>图2-2项目最大</w:t>
            </w:r>
            <w:r>
              <w:rPr>
                <w:i/>
                <w:iCs/>
                <w:color w:val="auto"/>
                <w:sz w:val="24"/>
                <w:highlight w:val="none"/>
              </w:rPr>
              <w:t>日</w:t>
            </w:r>
            <w:r>
              <w:rPr>
                <w:rFonts w:hint="eastAsia"/>
                <w:i/>
                <w:iCs/>
                <w:color w:val="auto"/>
                <w:sz w:val="24"/>
                <w:highlight w:val="none"/>
              </w:rPr>
              <w:t>用水平衡图（m</w:t>
            </w:r>
            <w:r>
              <w:rPr>
                <w:rFonts w:hint="eastAsia"/>
                <w:i/>
                <w:iCs/>
                <w:color w:val="auto"/>
                <w:sz w:val="24"/>
                <w:highlight w:val="none"/>
                <w:vertAlign w:val="superscript"/>
              </w:rPr>
              <w:t>3</w:t>
            </w:r>
            <w:r>
              <w:rPr>
                <w:rFonts w:hint="eastAsia"/>
                <w:i/>
                <w:iCs/>
                <w:color w:val="auto"/>
                <w:sz w:val="24"/>
                <w:highlight w:val="none"/>
              </w:rPr>
              <w:t>/d）</w:t>
            </w:r>
          </w:p>
          <w:p w14:paraId="60CF5A45">
            <w:pPr>
              <w:pStyle w:val="56"/>
              <w:ind w:left="0" w:leftChars="0" w:firstLine="560" w:firstLineChars="200"/>
              <w:rPr>
                <w:rFonts w:hint="eastAsia" w:eastAsia="仿宋"/>
                <w:color w:val="auto"/>
                <w:sz w:val="28"/>
                <w:szCs w:val="21"/>
                <w:lang w:eastAsia="zh-CN"/>
              </w:rPr>
            </w:pPr>
            <w:r>
              <w:rPr>
                <w:rFonts w:hint="eastAsia"/>
                <w:color w:val="auto"/>
                <w:sz w:val="28"/>
                <w:szCs w:val="21"/>
                <w:highlight w:val="none"/>
                <w:lang w:eastAsia="zh-CN"/>
              </w:rPr>
              <w:t>项目物料平衡图：</w:t>
            </w:r>
          </w:p>
          <w:p w14:paraId="6E92253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olor w:val="auto"/>
                <w:kern w:val="0"/>
                <w:sz w:val="24"/>
                <w:lang w:val="en-US" w:eastAsia="zh-CN"/>
              </w:rPr>
            </w:pPr>
            <w:r>
              <w:rPr>
                <w:rFonts w:hint="eastAsia"/>
                <w:color w:val="auto"/>
                <w:kern w:val="0"/>
                <w:sz w:val="24"/>
                <w:lang w:val="en-US" w:eastAsia="zh-CN"/>
              </w:rPr>
              <w:object>
                <v:shape id="_x0000_i1025" o:spt="75" type="#_x0000_t75" style="height:181.85pt;width:380.35pt;" o:ole="t" filled="f" o:preferrelative="t" stroked="f" coordsize="21600,21600">
                  <v:path/>
                  <v:fill on="f" focussize="0,0"/>
                  <v:stroke on="f"/>
                  <v:imagedata r:id="rId22" o:title=""/>
                  <o:lock v:ext="edit" aspectratio="f"/>
                  <w10:wrap type="none"/>
                  <w10:anchorlock/>
                </v:shape>
                <o:OLEObject Type="Embed" ProgID="Visio.Drawing.15" ShapeID="_x0000_i1025" DrawAspect="Content" ObjectID="_1468075725" r:id="rId21">
                  <o:LockedField>false</o:LockedField>
                </o:OLEObject>
              </w:object>
            </w:r>
          </w:p>
          <w:p w14:paraId="649B727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i/>
                <w:iCs/>
                <w:color w:val="auto"/>
                <w:kern w:val="0"/>
                <w:sz w:val="24"/>
                <w:highlight w:val="none"/>
                <w:lang w:val="en-US" w:eastAsia="zh-CN"/>
              </w:rPr>
            </w:pPr>
            <w:r>
              <w:rPr>
                <w:rFonts w:hint="eastAsia"/>
                <w:i/>
                <w:iCs/>
                <w:color w:val="auto"/>
                <w:kern w:val="0"/>
                <w:sz w:val="24"/>
                <w:highlight w:val="none"/>
                <w:lang w:val="en-US" w:eastAsia="zh-CN"/>
              </w:rPr>
              <w:t>图2-3物料平衡图t/a</w:t>
            </w:r>
          </w:p>
          <w:p w14:paraId="3B43F91E">
            <w:pPr>
              <w:pStyle w:val="56"/>
              <w:rPr>
                <w:color w:val="auto"/>
              </w:rPr>
            </w:pPr>
          </w:p>
          <w:p w14:paraId="5F1472A7">
            <w:pPr>
              <w:pStyle w:val="53"/>
              <w:spacing w:before="120"/>
              <w:rPr>
                <w:rFonts w:ascii="仿宋" w:hAnsi="仿宋"/>
                <w:color w:val="auto"/>
                <w:sz w:val="28"/>
              </w:rPr>
            </w:pPr>
            <w:r>
              <w:rPr>
                <w:rFonts w:hint="eastAsia" w:ascii="仿宋" w:hAnsi="仿宋"/>
                <w:color w:val="auto"/>
                <w:sz w:val="28"/>
                <w:lang w:val="en-US"/>
              </w:rPr>
              <w:t>8.</w:t>
            </w:r>
            <w:r>
              <w:rPr>
                <w:rFonts w:hint="eastAsia" w:ascii="仿宋" w:hAnsi="仿宋"/>
                <w:color w:val="auto"/>
                <w:sz w:val="28"/>
              </w:rPr>
              <w:t>劳动定员及工作制度</w:t>
            </w:r>
          </w:p>
          <w:p w14:paraId="7282435D">
            <w:pPr>
              <w:ind w:firstLine="560"/>
              <w:rPr>
                <w:color w:val="auto"/>
                <w:sz w:val="28"/>
              </w:rPr>
            </w:pPr>
            <w:r>
              <w:rPr>
                <w:rFonts w:hint="eastAsia"/>
                <w:color w:val="auto"/>
                <w:sz w:val="28"/>
              </w:rPr>
              <w:t>劳动定员：劳动定员</w:t>
            </w:r>
            <w:r>
              <w:rPr>
                <w:rFonts w:hint="eastAsia"/>
                <w:color w:val="auto"/>
                <w:sz w:val="28"/>
                <w:lang w:val="en-US" w:eastAsia="zh-CN"/>
              </w:rPr>
              <w:t>25</w:t>
            </w:r>
            <w:r>
              <w:rPr>
                <w:rFonts w:hint="eastAsia"/>
                <w:color w:val="auto"/>
                <w:sz w:val="28"/>
              </w:rPr>
              <w:t>人，其中</w:t>
            </w:r>
            <w:r>
              <w:rPr>
                <w:rFonts w:hint="eastAsia"/>
                <w:color w:val="auto"/>
                <w:sz w:val="28"/>
                <w:highlight w:val="none"/>
              </w:rPr>
              <w:t>管理</w:t>
            </w:r>
            <w:r>
              <w:rPr>
                <w:rFonts w:hint="eastAsia"/>
                <w:color w:val="auto"/>
                <w:sz w:val="28"/>
                <w:highlight w:val="none"/>
                <w:lang w:val="en-US" w:eastAsia="zh-CN"/>
              </w:rPr>
              <w:t>/</w:t>
            </w:r>
            <w:r>
              <w:rPr>
                <w:rFonts w:hint="eastAsia"/>
                <w:color w:val="auto"/>
                <w:sz w:val="28"/>
                <w:highlight w:val="none"/>
              </w:rPr>
              <w:t>技术人员</w:t>
            </w:r>
            <w:r>
              <w:rPr>
                <w:rFonts w:hint="eastAsia"/>
                <w:color w:val="auto"/>
                <w:sz w:val="28"/>
                <w:highlight w:val="none"/>
                <w:lang w:val="en-US" w:eastAsia="zh-CN"/>
              </w:rPr>
              <w:t>5</w:t>
            </w:r>
            <w:r>
              <w:rPr>
                <w:rFonts w:hint="eastAsia"/>
                <w:color w:val="auto"/>
                <w:sz w:val="28"/>
                <w:highlight w:val="none"/>
              </w:rPr>
              <w:t>人，工人</w:t>
            </w:r>
            <w:r>
              <w:rPr>
                <w:rFonts w:hint="eastAsia"/>
                <w:color w:val="auto"/>
                <w:sz w:val="28"/>
                <w:highlight w:val="none"/>
                <w:lang w:val="en-US" w:eastAsia="zh-CN"/>
              </w:rPr>
              <w:t>20</w:t>
            </w:r>
            <w:r>
              <w:rPr>
                <w:rFonts w:hint="eastAsia"/>
                <w:color w:val="auto"/>
                <w:sz w:val="28"/>
                <w:highlight w:val="none"/>
              </w:rPr>
              <w:t>人</w:t>
            </w:r>
            <w:r>
              <w:rPr>
                <w:rFonts w:hint="eastAsia"/>
                <w:color w:val="auto"/>
                <w:sz w:val="28"/>
              </w:rPr>
              <w:t>。</w:t>
            </w:r>
          </w:p>
          <w:p w14:paraId="2EFBC192">
            <w:pPr>
              <w:ind w:firstLine="560"/>
              <w:rPr>
                <w:color w:val="auto"/>
                <w:sz w:val="28"/>
              </w:rPr>
            </w:pPr>
            <w:r>
              <w:rPr>
                <w:rFonts w:hint="eastAsia"/>
                <w:color w:val="auto"/>
                <w:sz w:val="28"/>
              </w:rPr>
              <w:t>工作制度：</w:t>
            </w:r>
            <w:r>
              <w:rPr>
                <w:rFonts w:hint="eastAsia"/>
                <w:color w:val="auto"/>
                <w:sz w:val="28"/>
                <w:highlight w:val="none"/>
              </w:rPr>
              <w:t>年工作时间300天</w:t>
            </w:r>
            <w:r>
              <w:rPr>
                <w:rFonts w:hint="eastAsia"/>
                <w:color w:val="auto"/>
                <w:sz w:val="28"/>
              </w:rPr>
              <w:t>，</w:t>
            </w:r>
            <w:r>
              <w:rPr>
                <w:rFonts w:hint="eastAsia"/>
                <w:color w:val="auto"/>
                <w:sz w:val="28"/>
                <w:highlight w:val="none"/>
              </w:rPr>
              <w:t>实行</w:t>
            </w:r>
            <w:r>
              <w:rPr>
                <w:rFonts w:hint="eastAsia"/>
                <w:color w:val="auto"/>
                <w:sz w:val="28"/>
                <w:highlight w:val="none"/>
                <w:lang w:val="en-US" w:eastAsia="zh-CN"/>
              </w:rPr>
              <w:t>1</w:t>
            </w:r>
            <w:r>
              <w:rPr>
                <w:rFonts w:hint="eastAsia"/>
                <w:color w:val="auto"/>
                <w:sz w:val="28"/>
                <w:highlight w:val="none"/>
              </w:rPr>
              <w:t>班制，每班</w:t>
            </w:r>
            <w:r>
              <w:rPr>
                <w:rFonts w:hint="eastAsia"/>
                <w:color w:val="auto"/>
                <w:sz w:val="28"/>
                <w:highlight w:val="none"/>
                <w:lang w:val="en-US" w:eastAsia="zh-CN"/>
              </w:rPr>
              <w:t>8</w:t>
            </w:r>
            <w:r>
              <w:rPr>
                <w:rFonts w:hint="eastAsia"/>
                <w:color w:val="auto"/>
                <w:sz w:val="28"/>
                <w:highlight w:val="none"/>
              </w:rPr>
              <w:t>小时</w:t>
            </w:r>
            <w:r>
              <w:rPr>
                <w:rFonts w:hint="eastAsia"/>
                <w:color w:val="auto"/>
                <w:sz w:val="28"/>
              </w:rPr>
              <w:t>。项目不设食堂和宿舍。</w:t>
            </w:r>
          </w:p>
          <w:p w14:paraId="5DB5074C">
            <w:pPr>
              <w:pStyle w:val="53"/>
              <w:spacing w:before="120"/>
              <w:rPr>
                <w:rFonts w:ascii="仿宋" w:hAnsi="仿宋"/>
                <w:color w:val="auto"/>
                <w:sz w:val="28"/>
              </w:rPr>
            </w:pPr>
            <w:r>
              <w:rPr>
                <w:rFonts w:hint="eastAsia" w:ascii="仿宋" w:hAnsi="仿宋"/>
                <w:color w:val="auto"/>
                <w:sz w:val="28"/>
                <w:lang w:val="en-US"/>
              </w:rPr>
              <w:t>9</w:t>
            </w:r>
            <w:r>
              <w:rPr>
                <w:rFonts w:ascii="仿宋" w:hAnsi="仿宋"/>
                <w:color w:val="auto"/>
                <w:sz w:val="28"/>
              </w:rPr>
              <w:t>.</w:t>
            </w:r>
            <w:r>
              <w:rPr>
                <w:rFonts w:hint="eastAsia" w:ascii="仿宋" w:hAnsi="仿宋"/>
                <w:color w:val="auto"/>
                <w:sz w:val="28"/>
              </w:rPr>
              <w:t>厂区平面布置</w:t>
            </w:r>
          </w:p>
          <w:p w14:paraId="0254DA43">
            <w:pPr>
              <w:ind w:firstLine="560"/>
              <w:rPr>
                <w:color w:val="auto"/>
                <w:sz w:val="28"/>
              </w:rPr>
            </w:pPr>
            <w:r>
              <w:rPr>
                <w:color w:val="auto"/>
                <w:sz w:val="28"/>
              </w:rPr>
              <w:t>（1）</w:t>
            </w:r>
            <w:r>
              <w:rPr>
                <w:rFonts w:hint="eastAsia"/>
                <w:color w:val="auto"/>
                <w:sz w:val="28"/>
              </w:rPr>
              <w:t>厂区总体布置</w:t>
            </w:r>
          </w:p>
          <w:p w14:paraId="718AF71D">
            <w:pPr>
              <w:ind w:firstLine="560"/>
              <w:rPr>
                <w:color w:val="auto"/>
                <w:sz w:val="28"/>
              </w:rPr>
            </w:pPr>
            <w:r>
              <w:rPr>
                <w:rFonts w:hint="eastAsia"/>
                <w:color w:val="auto"/>
                <w:sz w:val="28"/>
              </w:rPr>
              <w:t>本项目位于</w:t>
            </w:r>
            <w:r>
              <w:rPr>
                <w:rFonts w:hint="eastAsia"/>
                <w:color w:val="auto"/>
                <w:sz w:val="28"/>
                <w:szCs w:val="28"/>
              </w:rPr>
              <w:t>重庆市九龙坡区西彭镇森迪大道139号</w:t>
            </w:r>
            <w:r>
              <w:rPr>
                <w:rFonts w:hint="eastAsia"/>
                <w:color w:val="auto"/>
                <w:sz w:val="28"/>
              </w:rPr>
              <w:t>3号楼2层和3层，租用园区厂房进行建设，厂房共2层</w:t>
            </w:r>
            <w:r>
              <w:rPr>
                <w:rFonts w:hint="eastAsia"/>
                <w:color w:val="auto"/>
                <w:sz w:val="28"/>
                <w:lang w:eastAsia="zh-CN"/>
              </w:rPr>
              <w:t>（</w:t>
            </w:r>
            <w:r>
              <w:rPr>
                <w:rFonts w:hint="eastAsia"/>
                <w:color w:val="auto"/>
                <w:sz w:val="28"/>
                <w:lang w:val="en-US" w:eastAsia="zh-CN"/>
              </w:rPr>
              <w:t>2F、3F</w:t>
            </w:r>
            <w:r>
              <w:rPr>
                <w:rFonts w:hint="eastAsia"/>
                <w:color w:val="auto"/>
                <w:sz w:val="28"/>
                <w:lang w:eastAsia="zh-CN"/>
              </w:rPr>
              <w:t>）</w:t>
            </w:r>
            <w:r>
              <w:rPr>
                <w:rFonts w:hint="eastAsia"/>
                <w:color w:val="auto"/>
                <w:sz w:val="28"/>
              </w:rPr>
              <w:t>，</w:t>
            </w:r>
            <w:r>
              <w:rPr>
                <w:rFonts w:hint="eastAsia"/>
                <w:color w:val="auto"/>
                <w:sz w:val="28"/>
                <w:lang w:eastAsia="zh-CN"/>
              </w:rPr>
              <w:t>二</w:t>
            </w:r>
            <w:r>
              <w:rPr>
                <w:rFonts w:hint="eastAsia"/>
                <w:color w:val="auto"/>
                <w:sz w:val="28"/>
              </w:rPr>
              <w:t>楼分布有</w:t>
            </w:r>
            <w:r>
              <w:rPr>
                <w:rFonts w:hint="eastAsia"/>
                <w:color w:val="auto"/>
                <w:sz w:val="28"/>
                <w:lang w:eastAsia="zh-CN"/>
              </w:rPr>
              <w:t>裁切</w:t>
            </w:r>
            <w:r>
              <w:rPr>
                <w:rFonts w:hint="eastAsia"/>
                <w:color w:val="auto"/>
                <w:sz w:val="28"/>
              </w:rPr>
              <w:t>、</w:t>
            </w:r>
            <w:r>
              <w:rPr>
                <w:rFonts w:hint="eastAsia"/>
                <w:color w:val="auto"/>
                <w:sz w:val="28"/>
                <w:lang w:eastAsia="zh-CN"/>
              </w:rPr>
              <w:t>冲压</w:t>
            </w:r>
            <w:r>
              <w:rPr>
                <w:rFonts w:hint="eastAsia"/>
                <w:color w:val="auto"/>
                <w:sz w:val="28"/>
              </w:rPr>
              <w:t>、</w:t>
            </w:r>
            <w:r>
              <w:rPr>
                <w:rFonts w:hint="eastAsia"/>
                <w:color w:val="auto"/>
                <w:sz w:val="28"/>
                <w:lang w:eastAsia="zh-CN"/>
              </w:rPr>
              <w:t>成品</w:t>
            </w:r>
            <w:r>
              <w:rPr>
                <w:rFonts w:hint="eastAsia"/>
                <w:color w:val="auto"/>
                <w:sz w:val="28"/>
              </w:rPr>
              <w:t>区</w:t>
            </w:r>
            <w:r>
              <w:rPr>
                <w:rFonts w:hint="eastAsia"/>
                <w:color w:val="auto"/>
                <w:sz w:val="28"/>
                <w:lang w:eastAsia="zh-CN"/>
              </w:rPr>
              <w:t>、原材料区</w:t>
            </w:r>
            <w:r>
              <w:rPr>
                <w:rFonts w:hint="eastAsia"/>
                <w:color w:val="auto"/>
                <w:sz w:val="28"/>
              </w:rPr>
              <w:t>等</w:t>
            </w:r>
            <w:r>
              <w:rPr>
                <w:rFonts w:hint="eastAsia"/>
                <w:color w:val="auto"/>
                <w:sz w:val="28"/>
                <w:lang w:eastAsia="zh-CN"/>
              </w:rPr>
              <w:t>，三</w:t>
            </w:r>
            <w:r>
              <w:rPr>
                <w:rFonts w:hint="eastAsia"/>
                <w:color w:val="auto"/>
                <w:sz w:val="28"/>
              </w:rPr>
              <w:t>楼分布有</w:t>
            </w:r>
            <w:r>
              <w:rPr>
                <w:rFonts w:hint="eastAsia"/>
                <w:color w:val="auto"/>
                <w:sz w:val="28"/>
                <w:lang w:eastAsia="zh-CN"/>
              </w:rPr>
              <w:t>原材料堆放区、成品堆放区、涂胶区、贴合区、周转区等</w:t>
            </w:r>
            <w:r>
              <w:rPr>
                <w:rFonts w:hint="eastAsia"/>
                <w:color w:val="auto"/>
                <w:sz w:val="28"/>
              </w:rPr>
              <w:t>。</w:t>
            </w:r>
            <w:r>
              <w:rPr>
                <w:rFonts w:hint="eastAsia"/>
                <w:color w:val="auto"/>
                <w:sz w:val="28"/>
                <w:lang w:eastAsia="zh-CN"/>
              </w:rPr>
              <w:t>本项目依托重庆盛德佳工贸有限公司现有生化池</w:t>
            </w:r>
            <w:r>
              <w:rPr>
                <w:rFonts w:hint="eastAsia"/>
                <w:color w:val="auto"/>
                <w:sz w:val="28"/>
              </w:rPr>
              <w:t>用于处理生活污水，</w:t>
            </w:r>
            <w:r>
              <w:rPr>
                <w:rFonts w:hint="eastAsia"/>
                <w:color w:val="auto"/>
                <w:sz w:val="28"/>
                <w:highlight w:val="none"/>
              </w:rPr>
              <w:t>生化池（处理能力</w:t>
            </w:r>
            <w:r>
              <w:rPr>
                <w:rFonts w:hint="eastAsia"/>
                <w:color w:val="auto"/>
                <w:sz w:val="28"/>
                <w:highlight w:val="none"/>
                <w:lang w:val="en-US" w:eastAsia="zh-CN"/>
              </w:rPr>
              <w:t>90</w:t>
            </w:r>
            <w:r>
              <w:rPr>
                <w:rFonts w:hint="eastAsia"/>
                <w:color w:val="auto"/>
                <w:sz w:val="28"/>
                <w:highlight w:val="none"/>
              </w:rPr>
              <w:t>m³/d）设置在厂房东</w:t>
            </w:r>
            <w:r>
              <w:rPr>
                <w:rFonts w:hint="eastAsia"/>
                <w:color w:val="auto"/>
                <w:sz w:val="28"/>
                <w:highlight w:val="none"/>
                <w:lang w:eastAsia="zh-CN"/>
              </w:rPr>
              <w:t>北</w:t>
            </w:r>
            <w:r>
              <w:rPr>
                <w:rFonts w:hint="eastAsia"/>
                <w:color w:val="auto"/>
                <w:sz w:val="28"/>
                <w:highlight w:val="none"/>
              </w:rPr>
              <w:t>侧</w:t>
            </w:r>
            <w:r>
              <w:rPr>
                <w:rFonts w:hint="eastAsia"/>
                <w:color w:val="auto"/>
                <w:sz w:val="28"/>
              </w:rPr>
              <w:t>，一般固废暂存</w:t>
            </w:r>
            <w:r>
              <w:rPr>
                <w:rFonts w:hint="eastAsia"/>
                <w:color w:val="auto"/>
                <w:sz w:val="28"/>
                <w:lang w:eastAsia="zh-CN"/>
              </w:rPr>
              <w:t>点</w:t>
            </w:r>
            <w:r>
              <w:rPr>
                <w:rFonts w:hint="eastAsia"/>
                <w:color w:val="auto"/>
                <w:sz w:val="28"/>
              </w:rPr>
              <w:t>位于厂房</w:t>
            </w:r>
            <w:r>
              <w:rPr>
                <w:rFonts w:hint="eastAsia"/>
                <w:color w:val="auto"/>
                <w:sz w:val="28"/>
                <w:lang w:val="en-US" w:eastAsia="zh-CN"/>
              </w:rPr>
              <w:t>2F</w:t>
            </w:r>
            <w:r>
              <w:rPr>
                <w:rFonts w:hint="eastAsia"/>
                <w:color w:val="auto"/>
                <w:sz w:val="28"/>
              </w:rPr>
              <w:t>西</w:t>
            </w:r>
            <w:r>
              <w:rPr>
                <w:rFonts w:hint="eastAsia"/>
                <w:color w:val="auto"/>
                <w:sz w:val="28"/>
                <w:lang w:eastAsia="zh-CN"/>
              </w:rPr>
              <w:t>南</w:t>
            </w:r>
            <w:r>
              <w:rPr>
                <w:rFonts w:hint="eastAsia"/>
                <w:color w:val="auto"/>
                <w:sz w:val="28"/>
              </w:rPr>
              <w:t>侧，</w:t>
            </w:r>
            <w:r>
              <w:rPr>
                <w:rFonts w:hint="eastAsia"/>
                <w:color w:val="auto"/>
                <w:sz w:val="28"/>
                <w:lang w:val="en-US" w:eastAsia="zh-CN"/>
              </w:rPr>
              <w:t>3F东南侧，</w:t>
            </w:r>
            <w:r>
              <w:rPr>
                <w:rFonts w:hint="eastAsia"/>
                <w:color w:val="auto"/>
                <w:sz w:val="28"/>
              </w:rPr>
              <w:t>面积</w:t>
            </w:r>
            <w:r>
              <w:rPr>
                <w:rFonts w:hint="eastAsia"/>
                <w:color w:val="auto"/>
                <w:sz w:val="28"/>
                <w:lang w:eastAsia="zh-CN"/>
              </w:rPr>
              <w:t>各</w:t>
            </w:r>
            <w:r>
              <w:rPr>
                <w:rFonts w:hint="eastAsia"/>
                <w:color w:val="auto"/>
                <w:sz w:val="28"/>
              </w:rPr>
              <w:t>约</w:t>
            </w:r>
            <w:r>
              <w:rPr>
                <w:rFonts w:hint="eastAsia"/>
                <w:color w:val="auto"/>
                <w:sz w:val="28"/>
                <w:lang w:val="en-US" w:eastAsia="zh-CN"/>
              </w:rPr>
              <w:t>5</w:t>
            </w:r>
            <w:r>
              <w:rPr>
                <w:rFonts w:hint="eastAsia"/>
                <w:color w:val="auto"/>
                <w:sz w:val="28"/>
              </w:rPr>
              <w:t>0㎡。</w:t>
            </w:r>
          </w:p>
          <w:p w14:paraId="5CF1EECE">
            <w:pPr>
              <w:ind w:firstLine="560"/>
              <w:rPr>
                <w:color w:val="auto"/>
                <w:sz w:val="28"/>
                <w:highlight w:val="yellow"/>
              </w:rPr>
            </w:pPr>
            <w:r>
              <w:rPr>
                <w:rFonts w:hint="eastAsia"/>
                <w:color w:val="auto"/>
                <w:sz w:val="28"/>
                <w:lang w:eastAsia="zh-CN"/>
              </w:rPr>
              <w:t>危废贮存点</w:t>
            </w:r>
            <w:r>
              <w:rPr>
                <w:rFonts w:hint="eastAsia"/>
                <w:color w:val="auto"/>
                <w:sz w:val="28"/>
              </w:rPr>
              <w:t>位于厂房</w:t>
            </w:r>
            <w:r>
              <w:rPr>
                <w:rFonts w:hint="eastAsia"/>
                <w:color w:val="auto"/>
                <w:sz w:val="28"/>
                <w:highlight w:val="none"/>
                <w:lang w:val="en-US" w:eastAsia="zh-CN"/>
              </w:rPr>
              <w:t>2</w:t>
            </w:r>
            <w:r>
              <w:rPr>
                <w:rFonts w:hint="eastAsia"/>
                <w:color w:val="auto"/>
                <w:sz w:val="28"/>
                <w:highlight w:val="none"/>
              </w:rPr>
              <w:t>F</w:t>
            </w:r>
            <w:r>
              <w:rPr>
                <w:rFonts w:hint="eastAsia"/>
                <w:color w:val="auto"/>
                <w:sz w:val="28"/>
                <w:highlight w:val="none"/>
                <w:lang w:eastAsia="zh-CN"/>
              </w:rPr>
              <w:t>西</w:t>
            </w:r>
            <w:r>
              <w:rPr>
                <w:rFonts w:hint="eastAsia"/>
                <w:color w:val="auto"/>
                <w:sz w:val="28"/>
                <w:highlight w:val="none"/>
              </w:rPr>
              <w:t>侧，</w:t>
            </w:r>
            <w:r>
              <w:rPr>
                <w:rFonts w:hint="eastAsia"/>
                <w:color w:val="auto"/>
                <w:sz w:val="28"/>
                <w:highlight w:val="none"/>
                <w:lang w:eastAsia="zh-CN"/>
              </w:rPr>
              <w:t>面积约</w:t>
            </w:r>
            <w:r>
              <w:rPr>
                <w:rFonts w:hint="eastAsia"/>
                <w:color w:val="auto"/>
                <w:sz w:val="28"/>
                <w:highlight w:val="none"/>
                <w:lang w:val="en-US" w:eastAsia="zh-CN"/>
              </w:rPr>
              <w:t>10m</w:t>
            </w:r>
            <w:r>
              <w:rPr>
                <w:rFonts w:hint="eastAsia"/>
                <w:color w:val="auto"/>
                <w:sz w:val="28"/>
                <w:highlight w:val="none"/>
                <w:vertAlign w:val="superscript"/>
                <w:lang w:val="en-US" w:eastAsia="zh-CN"/>
              </w:rPr>
              <w:t>2</w:t>
            </w:r>
            <w:r>
              <w:rPr>
                <w:rFonts w:hint="eastAsia"/>
                <w:color w:val="auto"/>
                <w:sz w:val="28"/>
                <w:highlight w:val="none"/>
                <w:lang w:val="en-US" w:eastAsia="zh-CN"/>
              </w:rPr>
              <w:t>，</w:t>
            </w:r>
            <w:r>
              <w:rPr>
                <w:rFonts w:hint="eastAsia"/>
                <w:color w:val="auto"/>
                <w:sz w:val="28"/>
              </w:rPr>
              <w:t>厂区</w:t>
            </w:r>
            <w:r>
              <w:rPr>
                <w:rFonts w:hint="eastAsia"/>
                <w:color w:val="auto"/>
                <w:sz w:val="28"/>
                <w:lang w:eastAsia="zh-CN"/>
              </w:rPr>
              <w:t>电梯、楼梯</w:t>
            </w:r>
            <w:r>
              <w:rPr>
                <w:rFonts w:hint="eastAsia"/>
                <w:color w:val="auto"/>
                <w:sz w:val="28"/>
              </w:rPr>
              <w:t>出入口位于西侧，供人员、车辆出入。</w:t>
            </w:r>
          </w:p>
          <w:p w14:paraId="5F294B5C">
            <w:pPr>
              <w:ind w:firstLine="560"/>
              <w:rPr>
                <w:color w:val="auto"/>
                <w:sz w:val="28"/>
              </w:rPr>
            </w:pPr>
            <w:r>
              <w:rPr>
                <w:rFonts w:hint="eastAsia"/>
                <w:color w:val="auto"/>
                <w:sz w:val="28"/>
              </w:rPr>
              <w:t>（2）车间总体布置</w:t>
            </w:r>
          </w:p>
          <w:bookmarkEnd w:id="1"/>
          <w:bookmarkEnd w:id="2"/>
          <w:bookmarkEnd w:id="3"/>
          <w:bookmarkEnd w:id="4"/>
          <w:p w14:paraId="6AA81A11">
            <w:pPr>
              <w:ind w:firstLine="560"/>
              <w:rPr>
                <w:rFonts w:hint="eastAsia" w:eastAsia="仿宋"/>
                <w:color w:val="auto"/>
                <w:sz w:val="28"/>
                <w:lang w:eastAsia="zh-CN"/>
              </w:rPr>
            </w:pPr>
            <w:r>
              <w:rPr>
                <w:rFonts w:hint="eastAsia"/>
                <w:color w:val="auto"/>
                <w:sz w:val="28"/>
                <w:szCs w:val="18"/>
              </w:rPr>
              <w:t>生产车间</w:t>
            </w:r>
            <w:r>
              <w:rPr>
                <w:rFonts w:hint="eastAsia"/>
                <w:color w:val="auto"/>
                <w:sz w:val="28"/>
              </w:rPr>
              <w:t>：总建筑面积</w:t>
            </w:r>
            <w:r>
              <w:rPr>
                <w:rFonts w:hint="eastAsia"/>
                <w:color w:val="auto"/>
                <w:sz w:val="28"/>
                <w:highlight w:val="none"/>
              </w:rPr>
              <w:t>约</w:t>
            </w:r>
            <w:r>
              <w:rPr>
                <w:rFonts w:hint="eastAsia"/>
                <w:color w:val="auto"/>
                <w:sz w:val="28"/>
                <w:highlight w:val="none"/>
                <w:lang w:val="en-US" w:eastAsia="zh-CN"/>
              </w:rPr>
              <w:t>49</w:t>
            </w:r>
            <w:r>
              <w:rPr>
                <w:rFonts w:hint="eastAsia"/>
                <w:color w:val="auto"/>
                <w:sz w:val="28"/>
                <w:highlight w:val="none"/>
              </w:rPr>
              <w:t>00m</w:t>
            </w:r>
            <w:r>
              <w:rPr>
                <w:rFonts w:hint="eastAsia"/>
                <w:color w:val="auto"/>
                <w:sz w:val="28"/>
                <w:vertAlign w:val="superscript"/>
              </w:rPr>
              <w:t>2</w:t>
            </w:r>
            <w:r>
              <w:rPr>
                <w:rFonts w:hint="eastAsia"/>
                <w:color w:val="auto"/>
                <w:sz w:val="28"/>
                <w:vertAlign w:val="baseline"/>
                <w:lang w:eastAsia="zh-CN"/>
              </w:rPr>
              <w:t>，</w:t>
            </w:r>
            <w:r>
              <w:rPr>
                <w:rFonts w:hint="eastAsia"/>
                <w:color w:val="auto"/>
                <w:sz w:val="28"/>
                <w:lang w:eastAsia="zh-CN"/>
              </w:rPr>
              <w:t>二</w:t>
            </w:r>
            <w:r>
              <w:rPr>
                <w:rFonts w:hint="eastAsia"/>
                <w:color w:val="auto"/>
                <w:sz w:val="28"/>
              </w:rPr>
              <w:t>楼建筑面积约2</w:t>
            </w:r>
            <w:r>
              <w:rPr>
                <w:rFonts w:hint="eastAsia"/>
                <w:color w:val="auto"/>
                <w:sz w:val="28"/>
                <w:lang w:val="en-US" w:eastAsia="zh-CN"/>
              </w:rPr>
              <w:t>45</w:t>
            </w:r>
            <w:r>
              <w:rPr>
                <w:rFonts w:hint="eastAsia"/>
                <w:color w:val="auto"/>
                <w:sz w:val="28"/>
              </w:rPr>
              <w:t>0m</w:t>
            </w:r>
            <w:r>
              <w:rPr>
                <w:rFonts w:hint="eastAsia"/>
                <w:color w:val="auto"/>
                <w:sz w:val="28"/>
                <w:vertAlign w:val="superscript"/>
              </w:rPr>
              <w:t>2</w:t>
            </w:r>
            <w:r>
              <w:rPr>
                <w:rFonts w:hint="eastAsia"/>
                <w:color w:val="auto"/>
                <w:sz w:val="28"/>
              </w:rPr>
              <w:t>，</w:t>
            </w:r>
            <w:r>
              <w:rPr>
                <w:rFonts w:hint="eastAsia"/>
                <w:color w:val="auto"/>
                <w:sz w:val="28"/>
                <w:lang w:eastAsia="zh-CN"/>
              </w:rPr>
              <w:t>二</w:t>
            </w:r>
            <w:r>
              <w:rPr>
                <w:rFonts w:hint="eastAsia"/>
                <w:color w:val="auto"/>
                <w:sz w:val="28"/>
              </w:rPr>
              <w:t>楼分布有</w:t>
            </w:r>
            <w:r>
              <w:rPr>
                <w:rFonts w:hint="eastAsia"/>
                <w:color w:val="auto"/>
                <w:sz w:val="28"/>
                <w:lang w:eastAsia="zh-CN"/>
              </w:rPr>
              <w:t>裁切</w:t>
            </w:r>
            <w:r>
              <w:rPr>
                <w:rFonts w:hint="eastAsia"/>
                <w:color w:val="auto"/>
                <w:sz w:val="28"/>
              </w:rPr>
              <w:t>、</w:t>
            </w:r>
            <w:r>
              <w:rPr>
                <w:rFonts w:hint="eastAsia"/>
                <w:color w:val="auto"/>
                <w:sz w:val="28"/>
                <w:lang w:eastAsia="zh-CN"/>
              </w:rPr>
              <w:t>冲压</w:t>
            </w:r>
            <w:r>
              <w:rPr>
                <w:rFonts w:hint="eastAsia"/>
                <w:color w:val="auto"/>
                <w:sz w:val="28"/>
              </w:rPr>
              <w:t>、</w:t>
            </w:r>
            <w:r>
              <w:rPr>
                <w:rFonts w:hint="eastAsia"/>
                <w:color w:val="auto"/>
                <w:sz w:val="28"/>
                <w:lang w:eastAsia="zh-CN"/>
              </w:rPr>
              <w:t>成品</w:t>
            </w:r>
            <w:r>
              <w:rPr>
                <w:rFonts w:hint="eastAsia"/>
                <w:color w:val="auto"/>
                <w:sz w:val="28"/>
              </w:rPr>
              <w:t>区</w:t>
            </w:r>
            <w:r>
              <w:rPr>
                <w:rFonts w:hint="eastAsia"/>
                <w:color w:val="auto"/>
                <w:sz w:val="28"/>
                <w:lang w:eastAsia="zh-CN"/>
              </w:rPr>
              <w:t>、原材料区</w:t>
            </w:r>
            <w:r>
              <w:rPr>
                <w:rFonts w:hint="eastAsia"/>
                <w:color w:val="auto"/>
                <w:sz w:val="28"/>
              </w:rPr>
              <w:t>等</w:t>
            </w:r>
            <w:r>
              <w:rPr>
                <w:rFonts w:hint="eastAsia"/>
                <w:color w:val="auto"/>
                <w:sz w:val="28"/>
                <w:lang w:eastAsia="zh-CN"/>
              </w:rPr>
              <w:t>，三</w:t>
            </w:r>
            <w:r>
              <w:rPr>
                <w:rFonts w:hint="eastAsia"/>
                <w:color w:val="auto"/>
                <w:sz w:val="28"/>
              </w:rPr>
              <w:t>楼分布有</w:t>
            </w:r>
            <w:r>
              <w:rPr>
                <w:rFonts w:hint="eastAsia"/>
                <w:color w:val="auto"/>
                <w:sz w:val="28"/>
                <w:lang w:eastAsia="zh-CN"/>
              </w:rPr>
              <w:t>原材料堆放区、成品堆放区、涂胶区、周转区等。</w:t>
            </w:r>
          </w:p>
          <w:p w14:paraId="5AB775B4">
            <w:pPr>
              <w:ind w:firstLine="560"/>
              <w:rPr>
                <w:color w:val="auto"/>
                <w:sz w:val="28"/>
              </w:rPr>
            </w:pPr>
            <w:r>
              <w:rPr>
                <w:color w:val="auto"/>
                <w:sz w:val="28"/>
              </w:rPr>
              <w:t>（</w:t>
            </w:r>
            <w:r>
              <w:rPr>
                <w:rFonts w:hint="eastAsia"/>
                <w:color w:val="auto"/>
                <w:sz w:val="28"/>
              </w:rPr>
              <w:t>3</w:t>
            </w:r>
            <w:r>
              <w:rPr>
                <w:color w:val="auto"/>
                <w:sz w:val="28"/>
              </w:rPr>
              <w:t>）</w:t>
            </w:r>
            <w:r>
              <w:rPr>
                <w:rFonts w:hint="eastAsia"/>
                <w:color w:val="auto"/>
                <w:sz w:val="28"/>
                <w:highlight w:val="none"/>
              </w:rPr>
              <w:t>环保设施布局</w:t>
            </w:r>
          </w:p>
          <w:p w14:paraId="5644E4CB">
            <w:pPr>
              <w:ind w:firstLine="560"/>
              <w:rPr>
                <w:rFonts w:hint="eastAsia" w:eastAsia="仿宋"/>
                <w:color w:val="auto"/>
                <w:sz w:val="28"/>
                <w:lang w:eastAsia="zh-CN"/>
              </w:rPr>
            </w:pPr>
            <w:r>
              <w:rPr>
                <w:rFonts w:hint="eastAsia"/>
                <w:color w:val="auto"/>
                <w:sz w:val="28"/>
              </w:rPr>
              <w:t>废气设施：本项目</w:t>
            </w:r>
            <w:r>
              <w:rPr>
                <w:rFonts w:hint="eastAsia"/>
                <w:color w:val="auto"/>
                <w:sz w:val="28"/>
                <w:lang w:eastAsia="zh-CN"/>
              </w:rPr>
              <w:t>涂布、烘干废气通过</w:t>
            </w:r>
            <w:r>
              <w:rPr>
                <w:rFonts w:hint="eastAsia"/>
                <w:color w:val="auto"/>
                <w:sz w:val="28"/>
                <w:highlight w:val="none"/>
              </w:rPr>
              <w:t>集气罩</w:t>
            </w:r>
            <w:r>
              <w:rPr>
                <w:rFonts w:hint="eastAsia"/>
                <w:color w:val="auto"/>
                <w:sz w:val="28"/>
              </w:rPr>
              <w:t>收集经</w:t>
            </w:r>
            <w:r>
              <w:rPr>
                <w:rFonts w:hint="eastAsia"/>
                <w:color w:val="auto"/>
                <w:sz w:val="28"/>
                <w:lang w:eastAsia="zh-CN"/>
              </w:rPr>
              <w:t>过滤棉</w:t>
            </w:r>
            <w:r>
              <w:rPr>
                <w:rFonts w:hint="eastAsia"/>
                <w:color w:val="auto"/>
                <w:sz w:val="28"/>
                <w:lang w:val="en-US" w:eastAsia="zh-CN"/>
              </w:rPr>
              <w:t>+</w:t>
            </w:r>
            <w:r>
              <w:rPr>
                <w:rFonts w:hint="eastAsia"/>
                <w:color w:val="auto"/>
                <w:sz w:val="28"/>
                <w:lang w:eastAsia="zh-CN"/>
              </w:rPr>
              <w:t>二</w:t>
            </w:r>
            <w:r>
              <w:rPr>
                <w:rFonts w:hint="eastAsia"/>
                <w:color w:val="auto"/>
                <w:sz w:val="28"/>
              </w:rPr>
              <w:t>级活性炭处理装置处理后通过DA00</w:t>
            </w:r>
            <w:r>
              <w:rPr>
                <w:rFonts w:hint="eastAsia"/>
                <w:color w:val="auto"/>
                <w:sz w:val="28"/>
                <w:lang w:val="en-US" w:eastAsia="zh-CN"/>
              </w:rPr>
              <w:t>1</w:t>
            </w:r>
            <w:r>
              <w:rPr>
                <w:rFonts w:hint="eastAsia"/>
                <w:color w:val="auto"/>
                <w:sz w:val="28"/>
              </w:rPr>
              <w:t>排气筒排放</w:t>
            </w:r>
            <w:r>
              <w:rPr>
                <w:rFonts w:hint="eastAsia"/>
                <w:color w:val="auto"/>
                <w:sz w:val="28"/>
                <w:lang w:eastAsia="zh-CN"/>
              </w:rPr>
              <w:t>。</w:t>
            </w:r>
          </w:p>
          <w:p w14:paraId="18EB7CF2">
            <w:pPr>
              <w:ind w:firstLine="560"/>
              <w:rPr>
                <w:color w:val="auto"/>
                <w:sz w:val="28"/>
              </w:rPr>
            </w:pPr>
            <w:r>
              <w:rPr>
                <w:rFonts w:hint="eastAsia"/>
                <w:color w:val="auto"/>
                <w:sz w:val="28"/>
              </w:rPr>
              <w:t>废水设施：本项目主要为生活污水、地面清洁废水</w:t>
            </w:r>
            <w:r>
              <w:rPr>
                <w:rFonts w:hint="eastAsia"/>
                <w:color w:val="auto"/>
                <w:sz w:val="28"/>
                <w:lang w:eastAsia="zh-CN"/>
              </w:rPr>
              <w:t>，</w:t>
            </w:r>
            <w:r>
              <w:rPr>
                <w:rFonts w:hint="eastAsia"/>
                <w:color w:val="auto"/>
                <w:sz w:val="28"/>
              </w:rPr>
              <w:t>排入厂区生化池处理，生化池</w:t>
            </w:r>
            <w:r>
              <w:rPr>
                <w:rFonts w:hint="eastAsia"/>
                <w:color w:val="auto"/>
                <w:sz w:val="28"/>
                <w:lang w:eastAsia="zh-CN"/>
              </w:rPr>
              <w:t>依托现有生化池，</w:t>
            </w:r>
            <w:r>
              <w:rPr>
                <w:rFonts w:hint="eastAsia"/>
                <w:color w:val="auto"/>
                <w:sz w:val="28"/>
              </w:rPr>
              <w:t>位</w:t>
            </w:r>
            <w:r>
              <w:rPr>
                <w:rFonts w:hint="eastAsia"/>
                <w:color w:val="auto"/>
                <w:sz w:val="28"/>
                <w:highlight w:val="none"/>
              </w:rPr>
              <w:t>于厂区东</w:t>
            </w:r>
            <w:r>
              <w:rPr>
                <w:rFonts w:hint="eastAsia"/>
                <w:color w:val="auto"/>
                <w:sz w:val="28"/>
                <w:highlight w:val="none"/>
                <w:lang w:eastAsia="zh-CN"/>
              </w:rPr>
              <w:t>北</w:t>
            </w:r>
            <w:r>
              <w:rPr>
                <w:rFonts w:hint="eastAsia"/>
                <w:color w:val="auto"/>
                <w:sz w:val="28"/>
                <w:highlight w:val="none"/>
              </w:rPr>
              <w:t>侧</w:t>
            </w:r>
            <w:r>
              <w:rPr>
                <w:rFonts w:hint="eastAsia"/>
                <w:color w:val="auto"/>
                <w:sz w:val="28"/>
              </w:rPr>
              <w:t>，处</w:t>
            </w:r>
            <w:r>
              <w:rPr>
                <w:rFonts w:hint="eastAsia"/>
                <w:color w:val="auto"/>
                <w:sz w:val="28"/>
                <w:highlight w:val="none"/>
              </w:rPr>
              <w:t>理能力</w:t>
            </w:r>
            <w:r>
              <w:rPr>
                <w:rFonts w:hint="eastAsia"/>
                <w:color w:val="auto"/>
                <w:sz w:val="28"/>
                <w:highlight w:val="none"/>
                <w:lang w:val="en-US" w:eastAsia="zh-CN"/>
              </w:rPr>
              <w:t>9</w:t>
            </w:r>
            <w:r>
              <w:rPr>
                <w:rFonts w:hint="eastAsia"/>
                <w:color w:val="auto"/>
                <w:sz w:val="28"/>
                <w:highlight w:val="none"/>
              </w:rPr>
              <w:t>0m</w:t>
            </w:r>
            <w:r>
              <w:rPr>
                <w:rFonts w:hint="eastAsia"/>
                <w:color w:val="auto"/>
                <w:sz w:val="28"/>
                <w:highlight w:val="none"/>
                <w:vertAlign w:val="superscript"/>
              </w:rPr>
              <w:t>3</w:t>
            </w:r>
            <w:r>
              <w:rPr>
                <w:rFonts w:hint="eastAsia"/>
                <w:color w:val="auto"/>
                <w:sz w:val="28"/>
                <w:highlight w:val="none"/>
              </w:rPr>
              <w:t>/d。</w:t>
            </w:r>
          </w:p>
          <w:p w14:paraId="29CC76C3">
            <w:pPr>
              <w:ind w:firstLine="560"/>
              <w:rPr>
                <w:color w:val="auto"/>
                <w:sz w:val="28"/>
              </w:rPr>
            </w:pPr>
            <w:r>
              <w:rPr>
                <w:rFonts w:hint="eastAsia"/>
                <w:color w:val="auto"/>
                <w:sz w:val="28"/>
              </w:rPr>
              <w:t>一般固废</w:t>
            </w:r>
            <w:r>
              <w:rPr>
                <w:rFonts w:hint="eastAsia"/>
                <w:color w:val="auto"/>
                <w:sz w:val="28"/>
                <w:lang w:eastAsia="zh-CN"/>
              </w:rPr>
              <w:t>暂存点</w:t>
            </w:r>
            <w:r>
              <w:rPr>
                <w:rFonts w:hint="eastAsia"/>
                <w:color w:val="auto"/>
                <w:sz w:val="28"/>
              </w:rPr>
              <w:t>：本项目设置</w:t>
            </w:r>
            <w:r>
              <w:rPr>
                <w:rFonts w:hint="eastAsia"/>
                <w:color w:val="auto"/>
                <w:sz w:val="28"/>
                <w:lang w:val="en-US" w:eastAsia="zh-CN"/>
              </w:rPr>
              <w:t>2</w:t>
            </w:r>
            <w:r>
              <w:rPr>
                <w:rFonts w:hint="eastAsia"/>
                <w:color w:val="auto"/>
                <w:sz w:val="28"/>
              </w:rPr>
              <w:t>处一般工业固废暂存</w:t>
            </w:r>
            <w:r>
              <w:rPr>
                <w:rFonts w:hint="eastAsia"/>
                <w:color w:val="auto"/>
                <w:sz w:val="28"/>
                <w:lang w:eastAsia="zh-CN"/>
              </w:rPr>
              <w:t>点</w:t>
            </w:r>
            <w:r>
              <w:rPr>
                <w:rFonts w:hint="eastAsia"/>
                <w:color w:val="auto"/>
                <w:sz w:val="28"/>
              </w:rPr>
              <w:t>，位于厂房</w:t>
            </w:r>
            <w:r>
              <w:rPr>
                <w:rFonts w:hint="eastAsia"/>
                <w:color w:val="auto"/>
                <w:sz w:val="28"/>
                <w:lang w:val="en-US" w:eastAsia="zh-CN"/>
              </w:rPr>
              <w:t>2</w:t>
            </w:r>
            <w:r>
              <w:rPr>
                <w:rFonts w:hint="eastAsia"/>
                <w:color w:val="auto"/>
                <w:sz w:val="28"/>
              </w:rPr>
              <w:t>F西</w:t>
            </w:r>
            <w:r>
              <w:rPr>
                <w:rFonts w:hint="eastAsia"/>
                <w:color w:val="auto"/>
                <w:sz w:val="28"/>
                <w:lang w:eastAsia="zh-CN"/>
              </w:rPr>
              <w:t>南</w:t>
            </w:r>
            <w:r>
              <w:rPr>
                <w:rFonts w:hint="eastAsia"/>
                <w:color w:val="auto"/>
                <w:sz w:val="28"/>
              </w:rPr>
              <w:t>侧</w:t>
            </w:r>
            <w:r>
              <w:rPr>
                <w:rFonts w:hint="eastAsia"/>
                <w:color w:val="auto"/>
                <w:sz w:val="28"/>
                <w:lang w:eastAsia="zh-CN"/>
              </w:rPr>
              <w:t>和</w:t>
            </w:r>
            <w:r>
              <w:rPr>
                <w:rFonts w:hint="eastAsia"/>
                <w:color w:val="auto"/>
                <w:sz w:val="28"/>
                <w:lang w:val="en-US" w:eastAsia="zh-CN"/>
              </w:rPr>
              <w:t>3F东南</w:t>
            </w:r>
            <w:r>
              <w:rPr>
                <w:rFonts w:hint="eastAsia"/>
                <w:color w:val="auto"/>
                <w:sz w:val="28"/>
              </w:rPr>
              <w:t>，面积</w:t>
            </w:r>
            <w:r>
              <w:rPr>
                <w:rFonts w:hint="eastAsia"/>
                <w:color w:val="auto"/>
                <w:sz w:val="28"/>
                <w:lang w:eastAsia="zh-CN"/>
              </w:rPr>
              <w:t>各</w:t>
            </w:r>
            <w:r>
              <w:rPr>
                <w:rFonts w:hint="eastAsia"/>
                <w:color w:val="auto"/>
                <w:sz w:val="28"/>
              </w:rPr>
              <w:t>约</w:t>
            </w:r>
            <w:r>
              <w:rPr>
                <w:rFonts w:hint="eastAsia"/>
                <w:color w:val="auto"/>
                <w:sz w:val="28"/>
                <w:lang w:val="en-US" w:eastAsia="zh-CN"/>
              </w:rPr>
              <w:t>5</w:t>
            </w:r>
            <w:r>
              <w:rPr>
                <w:rFonts w:hint="eastAsia"/>
                <w:color w:val="auto"/>
                <w:sz w:val="28"/>
              </w:rPr>
              <w:t>0m</w:t>
            </w:r>
            <w:r>
              <w:rPr>
                <w:rFonts w:hint="eastAsia"/>
                <w:color w:val="auto"/>
                <w:sz w:val="28"/>
                <w:vertAlign w:val="superscript"/>
              </w:rPr>
              <w:t>2</w:t>
            </w:r>
            <w:r>
              <w:rPr>
                <w:rFonts w:hint="eastAsia"/>
                <w:color w:val="auto"/>
                <w:sz w:val="28"/>
              </w:rPr>
              <w:t>，产生的一般废物分类暂存，最后交废品回收站回收利用。</w:t>
            </w:r>
          </w:p>
          <w:p w14:paraId="5C800469">
            <w:pPr>
              <w:ind w:firstLine="560"/>
              <w:rPr>
                <w:color w:val="auto"/>
                <w:sz w:val="28"/>
              </w:rPr>
            </w:pPr>
            <w:r>
              <w:rPr>
                <w:rFonts w:hint="eastAsia"/>
                <w:color w:val="auto"/>
                <w:sz w:val="28"/>
              </w:rPr>
              <w:t>危废贮存</w:t>
            </w:r>
            <w:r>
              <w:rPr>
                <w:rFonts w:hint="eastAsia"/>
                <w:color w:val="auto"/>
                <w:sz w:val="28"/>
                <w:lang w:eastAsia="zh-CN"/>
              </w:rPr>
              <w:t>点</w:t>
            </w:r>
            <w:r>
              <w:rPr>
                <w:rFonts w:hint="eastAsia"/>
                <w:color w:val="auto"/>
                <w:sz w:val="28"/>
              </w:rPr>
              <w:t>：本项目设置一处危废贮存</w:t>
            </w:r>
            <w:r>
              <w:rPr>
                <w:rFonts w:hint="eastAsia"/>
                <w:color w:val="auto"/>
                <w:sz w:val="28"/>
                <w:highlight w:val="none"/>
                <w:lang w:eastAsia="zh-CN"/>
              </w:rPr>
              <w:t>点</w:t>
            </w:r>
            <w:r>
              <w:rPr>
                <w:rFonts w:hint="eastAsia"/>
                <w:color w:val="auto"/>
                <w:sz w:val="28"/>
                <w:highlight w:val="none"/>
              </w:rPr>
              <w:t>，位于厂房</w:t>
            </w:r>
            <w:r>
              <w:rPr>
                <w:rFonts w:hint="eastAsia"/>
                <w:color w:val="auto"/>
                <w:sz w:val="28"/>
                <w:highlight w:val="none"/>
                <w:lang w:eastAsia="zh-CN"/>
              </w:rPr>
              <w:t>二</w:t>
            </w:r>
            <w:r>
              <w:rPr>
                <w:rFonts w:hint="eastAsia"/>
                <w:color w:val="auto"/>
                <w:sz w:val="28"/>
                <w:highlight w:val="none"/>
              </w:rPr>
              <w:t>层</w:t>
            </w:r>
            <w:r>
              <w:rPr>
                <w:rFonts w:hint="eastAsia"/>
                <w:color w:val="auto"/>
                <w:sz w:val="28"/>
                <w:highlight w:val="none"/>
                <w:lang w:eastAsia="zh-CN"/>
              </w:rPr>
              <w:t>西</w:t>
            </w:r>
            <w:r>
              <w:rPr>
                <w:rFonts w:hint="eastAsia"/>
                <w:color w:val="auto"/>
                <w:sz w:val="28"/>
                <w:highlight w:val="none"/>
              </w:rPr>
              <w:t>侧，面积约</w:t>
            </w:r>
            <w:r>
              <w:rPr>
                <w:rFonts w:hint="eastAsia"/>
                <w:color w:val="auto"/>
                <w:sz w:val="28"/>
                <w:highlight w:val="none"/>
                <w:lang w:val="en-US" w:eastAsia="zh-CN"/>
              </w:rPr>
              <w:t>1</w:t>
            </w:r>
            <w:r>
              <w:rPr>
                <w:rFonts w:hint="eastAsia"/>
                <w:color w:val="auto"/>
                <w:sz w:val="28"/>
                <w:highlight w:val="none"/>
              </w:rPr>
              <w:t>0m</w:t>
            </w:r>
            <w:r>
              <w:rPr>
                <w:rFonts w:hint="eastAsia"/>
                <w:color w:val="auto"/>
                <w:sz w:val="28"/>
                <w:highlight w:val="none"/>
                <w:vertAlign w:val="superscript"/>
              </w:rPr>
              <w:t>2</w:t>
            </w:r>
            <w:r>
              <w:rPr>
                <w:rFonts w:hint="eastAsia"/>
                <w:color w:val="auto"/>
                <w:sz w:val="28"/>
              </w:rPr>
              <w:t>，采取“六防”措施，危险废物定期交具有危废处理资质的单位处理。</w:t>
            </w:r>
          </w:p>
          <w:p w14:paraId="29AB3952">
            <w:pPr>
              <w:ind w:firstLine="560"/>
              <w:rPr>
                <w:color w:val="auto"/>
                <w:sz w:val="28"/>
              </w:rPr>
            </w:pPr>
            <w:r>
              <w:rPr>
                <w:rFonts w:hint="eastAsia"/>
                <w:color w:val="auto"/>
                <w:sz w:val="28"/>
              </w:rPr>
              <w:t>生活垃圾：厂区设置生活垃圾收集点，将厂区生活垃圾分类后交当地环卫统一收运处置。</w:t>
            </w:r>
          </w:p>
          <w:p w14:paraId="4FD88B4F">
            <w:pPr>
              <w:ind w:firstLine="560"/>
              <w:rPr>
                <w:color w:val="auto"/>
              </w:rPr>
            </w:pPr>
            <w:r>
              <w:rPr>
                <w:rFonts w:hint="eastAsia"/>
                <w:color w:val="auto"/>
                <w:sz w:val="28"/>
              </w:rPr>
              <w:t>厂区总平面布置图和车间平面布置图见附图。</w:t>
            </w:r>
          </w:p>
        </w:tc>
      </w:tr>
      <w:tr w14:paraId="5260E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72" w:hRule="atLeast"/>
          <w:jc w:val="center"/>
        </w:trPr>
        <w:tc>
          <w:tcPr>
            <w:tcW w:w="700" w:type="dxa"/>
            <w:vAlign w:val="center"/>
          </w:tcPr>
          <w:p w14:paraId="231D445B">
            <w:pPr>
              <w:pStyle w:val="49"/>
              <w:rPr>
                <w:color w:val="auto"/>
              </w:rPr>
            </w:pPr>
            <w:r>
              <w:rPr>
                <w:rFonts w:hint="eastAsia"/>
                <w:color w:val="auto"/>
                <w:sz w:val="28"/>
              </w:rPr>
              <w:t>工艺流程和产排污环节</w:t>
            </w:r>
          </w:p>
        </w:tc>
        <w:tc>
          <w:tcPr>
            <w:tcW w:w="8208" w:type="dxa"/>
          </w:tcPr>
          <w:p w14:paraId="48300020">
            <w:pPr>
              <w:pStyle w:val="53"/>
              <w:spacing w:before="120"/>
              <w:rPr>
                <w:rFonts w:ascii="仿宋" w:hAnsi="仿宋"/>
                <w:color w:val="auto"/>
                <w:sz w:val="28"/>
              </w:rPr>
            </w:pPr>
            <w:r>
              <w:rPr>
                <w:rFonts w:ascii="仿宋" w:hAnsi="仿宋"/>
                <w:color w:val="auto"/>
                <w:sz w:val="28"/>
              </w:rPr>
              <w:t>1</w:t>
            </w:r>
            <w:r>
              <w:rPr>
                <w:rFonts w:hint="eastAsia" w:ascii="仿宋" w:hAnsi="仿宋"/>
                <w:color w:val="auto"/>
                <w:sz w:val="28"/>
              </w:rPr>
              <w:t>.施工期</w:t>
            </w:r>
          </w:p>
          <w:p w14:paraId="1F35EF6D">
            <w:pPr>
              <w:ind w:firstLine="560"/>
              <w:rPr>
                <w:color w:val="auto"/>
                <w:sz w:val="28"/>
              </w:rPr>
            </w:pPr>
            <w:r>
              <w:rPr>
                <w:rFonts w:hint="eastAsia"/>
                <w:color w:val="auto"/>
                <w:sz w:val="28"/>
              </w:rPr>
              <w:t>（1）施工期工艺流程</w:t>
            </w:r>
          </w:p>
          <w:p w14:paraId="031DEF43">
            <w:pPr>
              <w:ind w:firstLine="560"/>
              <w:rPr>
                <w:color w:val="auto"/>
                <w:sz w:val="28"/>
              </w:rPr>
            </w:pPr>
            <w:r>
              <w:rPr>
                <w:rFonts w:hint="eastAsia"/>
                <w:color w:val="auto"/>
                <w:sz w:val="28"/>
              </w:rPr>
              <w:t>由于本项目租用厂房，因此施工期仅涉及设备安装等工序，新购入设备，施工期工艺流程及产排污环节见下图：</w:t>
            </w:r>
          </w:p>
          <w:p w14:paraId="0CB9B622">
            <w:pPr>
              <w:pStyle w:val="46"/>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textAlignment w:val="auto"/>
              <w:rPr>
                <w:color w:val="auto"/>
              </w:rPr>
            </w:pPr>
            <w:r>
              <w:rPr>
                <w:color w:val="auto"/>
              </w:rPr>
              <mc:AlternateContent>
                <mc:Choice Requires="wpc">
                  <w:drawing>
                    <wp:inline distT="0" distB="0" distL="114300" distR="114300">
                      <wp:extent cx="4618990" cy="2310130"/>
                      <wp:effectExtent l="0" t="0" r="239395" b="0"/>
                      <wp:docPr id="133" name="画布 133"/>
                      <wp:cNvGraphicFramePr/>
                      <a:graphic xmlns:a="http://schemas.openxmlformats.org/drawingml/2006/main">
                        <a:graphicData uri="http://schemas.microsoft.com/office/word/2010/wordprocessingCanvas">
                          <wpc:wpc>
                            <wpc:bg/>
                            <wpc:whole/>
                            <wps:wsp>
                              <wps:cNvPr id="146" name="文本框 146"/>
                              <wps:cNvSpPr txBox="1"/>
                              <wps:spPr>
                                <a:xfrm>
                                  <a:off x="1998345" y="621665"/>
                                  <a:ext cx="1003935" cy="303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B13D6F">
                                    <w:pPr>
                                      <w:ind w:firstLine="0" w:firstLineChars="0"/>
                                    </w:pPr>
                                    <w:r>
                                      <w:rPr>
                                        <w:rFonts w:hint="eastAsia"/>
                                      </w:rPr>
                                      <w:t>设备安装调试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直接箭头连接符 147"/>
                              <wps:cNvCnPr/>
                              <wps:spPr>
                                <a:xfrm flipV="1">
                                  <a:off x="3011805" y="768350"/>
                                  <a:ext cx="692785" cy="44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9" name="文本框 149"/>
                              <wps:cNvSpPr txBox="1"/>
                              <wps:spPr>
                                <a:xfrm>
                                  <a:off x="3703955" y="612775"/>
                                  <a:ext cx="892175" cy="303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2DA0D8">
                                    <w:pPr>
                                      <w:ind w:firstLine="0" w:firstLineChars="0"/>
                                    </w:pPr>
                                    <w:r>
                                      <w:rPr>
                                        <w:rFonts w:hint="eastAsia"/>
                                      </w:rPr>
                                      <w:t>竣工验收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肘形连接符 150"/>
                              <wps:cNvCnPr>
                                <a:stCxn id="149" idx="3"/>
                                <a:endCxn id="151" idx="3"/>
                              </wps:cNvCnPr>
                              <wps:spPr>
                                <a:xfrm flipH="1">
                                  <a:off x="4055110" y="764540"/>
                                  <a:ext cx="541020" cy="1073150"/>
                                </a:xfrm>
                                <a:prstGeom prst="bentConnector3">
                                  <a:avLst>
                                    <a:gd name="adj1" fmla="val -44014"/>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51" name="文本框 151"/>
                              <wps:cNvSpPr txBox="1"/>
                              <wps:spPr>
                                <a:xfrm>
                                  <a:off x="3214370" y="1681480"/>
                                  <a:ext cx="840740" cy="312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A5CA9C">
                                    <w:pPr>
                                      <w:ind w:firstLine="0" w:firstLineChars="0"/>
                                    </w:pPr>
                                    <w:r>
                                      <w:rPr>
                                        <w:rFonts w:hint="eastAsia"/>
                                      </w:rPr>
                                      <w:t>投入使用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直接箭头连接符 153"/>
                              <wps:cNvCnPr/>
                              <wps:spPr>
                                <a:xfrm flipV="1">
                                  <a:off x="2508885" y="344170"/>
                                  <a:ext cx="0" cy="250825"/>
                                </a:xfrm>
                                <a:prstGeom prst="straightConnector1">
                                  <a:avLst/>
                                </a:prstGeom>
                                <a:ln>
                                  <a:solidFill>
                                    <a:schemeClr val="tx1"/>
                                  </a:solidFill>
                                  <a:prstDash val="sysDash"/>
                                  <a:tailEnd type="arrow"/>
                                </a:ln>
                              </wps:spPr>
                              <wps:style>
                                <a:lnRef idx="2">
                                  <a:schemeClr val="accent1"/>
                                </a:lnRef>
                                <a:fillRef idx="0">
                                  <a:srgbClr val="FFFFFF"/>
                                </a:fillRef>
                                <a:effectRef idx="0">
                                  <a:srgbClr val="FFFFFF"/>
                                </a:effectRef>
                                <a:fontRef idx="minor">
                                  <a:schemeClr val="tx1"/>
                                </a:fontRef>
                              </wps:style>
                              <wps:bodyPr/>
                            </wps:wsp>
                            <wps:wsp>
                              <wps:cNvPr id="155" name="文本框 155"/>
                              <wps:cNvSpPr txBox="1"/>
                              <wps:spPr>
                                <a:xfrm>
                                  <a:off x="1911350" y="67310"/>
                                  <a:ext cx="1212850" cy="313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3176F">
                                    <w:pPr>
                                      <w:spacing w:line="240" w:lineRule="auto"/>
                                      <w:ind w:firstLine="0" w:firstLineChars="0"/>
                                    </w:pPr>
                                    <w:r>
                                      <w:rPr>
                                        <w:rFonts w:hint="eastAsia"/>
                                      </w:rPr>
                                      <w:t>固废、废水、噪声</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81.9pt;width:363.7pt;" coordsize="4618990,2310130" editas="canvas" o:gfxdata="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">
                      <o:lock v:ext="edit" aspectratio="f"/>
                      <v:shape id="_x0000_s1026" o:spid="_x0000_s1026" style="position:absolute;left:0;top:0;height:2310130;width:4618990;" filled="f" stroked="f" coordsize="21600,21600" o:gfxdata="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">
                        <v:fill on="f" focussize="0,0"/>
                        <v:stroke on="f"/>
                        <v:imagedata o:title=""/>
                        <o:lock v:ext="edit" aspectratio="f"/>
                      </v:shape>
                      <v:shape id="_x0000_s1026" o:spid="_x0000_s1026" o:spt="202" type="#_x0000_t202" style="position:absolute;left:1998345;top:621665;height:303530;width:1003935;" fillcolor="#FFFFFF [3201]" filled="t" stroked="t" coordsize="21600,21600" o:gfxdata="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47dUzUAAAABQEAAA8AAAAAAAAAAQAgAAAAIgAAAGRycy9kb3ducmV2LnhtbFBLAQIUABQA&#10;AAAIAIdO4kBQ+bMyZgIAAMYEAAAOAAAAAAAAAAEAIAAAACMBAABkcnMvZTJvRG9jLnhtbFBLBQYA&#10;AAAABgAGAFkBAAD7BQAAAAA=&#10;">
                        <v:fill on="t" focussize="0,0"/>
                        <v:stroke weight="0.5pt" color="#000000 [3204]" joinstyle="round"/>
                        <v:imagedata o:title=""/>
                        <o:lock v:ext="edit" aspectratio="f"/>
                        <v:textbox>
                          <w:txbxContent>
                            <w:p w14:paraId="26B13D6F">
                              <w:pPr>
                                <w:ind w:firstLine="0" w:firstLineChars="0"/>
                              </w:pPr>
                              <w:r>
                                <w:rPr>
                                  <w:rFonts w:hint="eastAsia"/>
                                </w:rPr>
                                <w:t>设备安装调试</w:t>
                              </w:r>
                            </w:p>
                          </w:txbxContent>
                        </v:textbox>
                      </v:shape>
                      <v:shape id="_x0000_s1026" o:spid="_x0000_s1026" o:spt="32" type="#_x0000_t32" style="position:absolute;left:3011805;top:768350;flip:y;height:4445;width:692785;" filled="f" stroked="t" coordsize="21600,21600" o:gfxdata="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gLyvdgAAAAF&#10;AQAADwAAAAAAAAABACAAAAAiAAAAZHJzL2Rvd25yZXYueG1sUEsBAhQAFAAAAAgAh07iQH6ORm0c&#10;AgAA+gMAAA4AAAAAAAAAAQAgAAAAJwEAAGRycy9lMm9Eb2MueG1sUEsFBgAAAAAGAAYAWQEAALUF&#10;AAAAAA==&#10;">
                        <v:fill on="f" focussize="0,0"/>
                        <v:stroke weight="1pt" color="#000000 [3213]" miterlimit="8" joinstyle="miter" endarrow="open"/>
                        <v:imagedata o:title=""/>
                        <o:lock v:ext="edit" aspectratio="f"/>
                      </v:shape>
                      <v:shape id="_x0000_s1026" o:spid="_x0000_s1026" o:spt="202" type="#_x0000_t202" style="position:absolute;left:3703955;top:612775;height:303530;width:892175;" fillcolor="#FFFFFF [3201]" filled="t" stroked="t" coordsize="21600,21600" o:gfxdata="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jt1TNQAAAAFAQAADwAAAAAAAAABACAAAAAiAAAAZHJzL2Rvd25yZXYueG1sUEsBAhQAFAAA&#10;AAgAh07iQPcnq7RlAgAAxQQAAA4AAAAAAAAAAQAgAAAAIwEAAGRycy9lMm9Eb2MueG1sUEsFBgAA&#10;AAAGAAYAWQEAAPoFAAAAAA==&#10;">
                        <v:fill on="t" focussize="0,0"/>
                        <v:stroke weight="0.5pt" color="#000000 [3204]" joinstyle="round"/>
                        <v:imagedata o:title=""/>
                        <o:lock v:ext="edit" aspectratio="f"/>
                        <v:textbox>
                          <w:txbxContent>
                            <w:p w14:paraId="662DA0D8">
                              <w:pPr>
                                <w:ind w:firstLine="0" w:firstLineChars="0"/>
                              </w:pPr>
                              <w:r>
                                <w:rPr>
                                  <w:rFonts w:hint="eastAsia"/>
                                </w:rPr>
                                <w:t>竣工验收</w:t>
                              </w:r>
                            </w:p>
                          </w:txbxContent>
                        </v:textbox>
                      </v:shape>
                      <v:shape id="_x0000_s1026" o:spid="_x0000_s1026" o:spt="34" type="#_x0000_t34" style="position:absolute;left:4055110;top:764540;flip:x;height:1073150;width:541020;" filled="f" stroked="t" coordsize="21600,21600" o:gfxdata="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4HfdvXAAAABQEAAA8AAAAAAAAAAQAg&#10;AAAAIgAAAGRycy9kb3ducmV2LnhtbFBLAQIUABQAAAAIAIdO4kA6giAhSAIAAGUEAAAOAAAAAAAA&#10;AAEAIAAAACYBAABkcnMvZTJvRG9jLnhtbFBLBQYAAAAABgAGAFkBAADgBQAAAAA=&#10;" adj="-9507">
                        <v:fill on="f" focussize="0,0"/>
                        <v:stroke weight="1pt" color="#000000 [3213]" miterlimit="8" joinstyle="miter" endarrow="open"/>
                        <v:imagedata o:title=""/>
                        <o:lock v:ext="edit" aspectratio="f"/>
                      </v:shape>
                      <v:shape id="_x0000_s1026" o:spid="_x0000_s1026" o:spt="202" type="#_x0000_t202" style="position:absolute;left:3214370;top:1681480;height:312420;width:840740;" fillcolor="#FFFFFF [3201]" filled="t" stroked="t" coordsize="21600,21600" o:gfxdata="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jt1TNQAAAAFAQAADwAAAAAAAAABACAAAAAiAAAAZHJzL2Rvd25yZXYueG1sUEsBAhQAFAAA&#10;AAgAh07iQEdtNZZlAgAAxgQAAA4AAAAAAAAAAQAgAAAAIwEAAGRycy9lMm9Eb2MueG1sUEsFBgAA&#10;AAAGAAYAWQEAAPoFAAAAAA==&#10;">
                        <v:fill on="t" focussize="0,0"/>
                        <v:stroke weight="0.5pt" color="#000000 [3204]" joinstyle="round"/>
                        <v:imagedata o:title=""/>
                        <o:lock v:ext="edit" aspectratio="f"/>
                        <v:textbox>
                          <w:txbxContent>
                            <w:p w14:paraId="01A5CA9C">
                              <w:pPr>
                                <w:ind w:firstLine="0" w:firstLineChars="0"/>
                              </w:pPr>
                              <w:r>
                                <w:rPr>
                                  <w:rFonts w:hint="eastAsia"/>
                                </w:rPr>
                                <w:t>投入使用</w:t>
                              </w:r>
                            </w:p>
                          </w:txbxContent>
                        </v:textbox>
                      </v:shape>
                      <v:shape id="_x0000_s1026" o:spid="_x0000_s1026" o:spt="32" type="#_x0000_t32" style="position:absolute;left:2508885;top:344170;flip:y;height:250825;width:0;" filled="f" stroked="t" coordsize="21600,21600" o:gfxdata="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ASLhPTAAAABQEAAA8AAAAA&#10;AAAAAQAgAAAAIgAAAGRycy9kb3ducmV2LnhtbFBLAQIUABQAAAAIAIdO4kDzf4xDGQIAAPkDAAAO&#10;AAAAAAAAAAEAIAAAACIBAABkcnMvZTJvRG9jLnhtbFBLBQYAAAAABgAGAFkBAACtBQAAAAA=&#10;">
                        <v:fill on="f" focussize="0,0"/>
                        <v:stroke weight="1pt" color="#000000 [3213]" miterlimit="8" joinstyle="miter" dashstyle="3 1" endarrow="open"/>
                        <v:imagedata o:title=""/>
                        <o:lock v:ext="edit" aspectratio="f"/>
                      </v:shape>
                      <v:shape id="_x0000_s1026" o:spid="_x0000_s1026" o:spt="202" type="#_x0000_t202" style="position:absolute;left:1911350;top:67310;height:313690;width:1212850;" filled="f" stroked="f" coordsize="21600,21600" o:gfxdata="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3S2cWtgAAAAFAQAADwAAAAAAAAABACAAAAAi&#10;AAAAZHJzL2Rvd25yZXYueG1sUEsBAhQAFAAAAAgAh07iQMUQbqNDAgAAdAQAAA4AAAAAAAAAAQAg&#10;AAAAJwEAAGRycy9lMm9Eb2MueG1sUEsFBgAAAAAGAAYAWQEAANwFAAAAAA==&#10;">
                        <v:fill on="f" focussize="0,0"/>
                        <v:stroke on="f" weight="0.5pt"/>
                        <v:imagedata o:title=""/>
                        <o:lock v:ext="edit" aspectratio="f"/>
                        <v:textbox>
                          <w:txbxContent>
                            <w:p w14:paraId="2433176F">
                              <w:pPr>
                                <w:spacing w:line="240" w:lineRule="auto"/>
                                <w:ind w:firstLine="0" w:firstLineChars="0"/>
                              </w:pPr>
                              <w:r>
                                <w:rPr>
                                  <w:rFonts w:hint="eastAsia"/>
                                </w:rPr>
                                <w:t>固废、废水、噪声</w:t>
                              </w:r>
                            </w:p>
                          </w:txbxContent>
                        </v:textbox>
                      </v:shape>
                      <w10:wrap type="none"/>
                      <w10:anchorlock/>
                    </v:group>
                  </w:pict>
                </mc:Fallback>
              </mc:AlternateContent>
            </w:r>
          </w:p>
          <w:p w14:paraId="4121B9D4">
            <w:pPr>
              <w:pStyle w:val="46"/>
              <w:ind w:firstLine="480"/>
              <w:jc w:val="center"/>
              <w:rPr>
                <w:rFonts w:ascii="仿宋" w:hAnsi="仿宋" w:eastAsia="仿宋" w:cs="仿宋"/>
                <w:color w:val="auto"/>
              </w:rPr>
            </w:pPr>
            <w:r>
              <w:rPr>
                <w:rFonts w:hint="eastAsia" w:ascii="仿宋" w:hAnsi="仿宋" w:eastAsia="仿宋" w:cs="仿宋"/>
                <w:color w:val="auto"/>
              </w:rPr>
              <w:t>图2-3施工期工艺流程及产排污环节图</w:t>
            </w:r>
          </w:p>
          <w:p w14:paraId="04DCD097">
            <w:pPr>
              <w:numPr>
                <w:ilvl w:val="0"/>
                <w:numId w:val="13"/>
              </w:numPr>
              <w:ind w:firstLine="560"/>
              <w:rPr>
                <w:color w:val="auto"/>
                <w:sz w:val="28"/>
              </w:rPr>
            </w:pPr>
            <w:r>
              <w:rPr>
                <w:rFonts w:hint="eastAsia"/>
                <w:color w:val="auto"/>
                <w:sz w:val="28"/>
              </w:rPr>
              <w:t>施工期产排污</w:t>
            </w:r>
          </w:p>
          <w:p w14:paraId="6E3981EF">
            <w:pPr>
              <w:ind w:left="420" w:leftChars="200" w:firstLine="0" w:firstLineChars="0"/>
              <w:rPr>
                <w:color w:val="auto"/>
                <w:sz w:val="28"/>
              </w:rPr>
            </w:pPr>
            <w:r>
              <w:rPr>
                <w:rFonts w:hint="eastAsia"/>
                <w:color w:val="auto"/>
                <w:sz w:val="28"/>
              </w:rPr>
              <w:t>项目施工期产排污环节见下表。</w:t>
            </w:r>
          </w:p>
          <w:p w14:paraId="126886DD">
            <w:pPr>
              <w:pStyle w:val="46"/>
              <w:ind w:firstLine="480"/>
              <w:jc w:val="center"/>
              <w:rPr>
                <w:rFonts w:ascii="仿宋" w:hAnsi="仿宋" w:eastAsia="仿宋" w:cs="仿宋"/>
                <w:color w:val="auto"/>
                <w:szCs w:val="22"/>
              </w:rPr>
            </w:pPr>
            <w:r>
              <w:rPr>
                <w:rFonts w:hint="eastAsia" w:ascii="仿宋" w:hAnsi="仿宋" w:eastAsia="仿宋" w:cs="仿宋"/>
                <w:color w:val="auto"/>
                <w:szCs w:val="22"/>
              </w:rPr>
              <w:t>表2-12施工期产污环节表</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8"/>
              <w:gridCol w:w="5535"/>
            </w:tblGrid>
            <w:tr w14:paraId="77DC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vAlign w:val="center"/>
                </w:tcPr>
                <w:p w14:paraId="77F76810">
                  <w:pPr>
                    <w:pStyle w:val="46"/>
                    <w:spacing w:line="240" w:lineRule="auto"/>
                    <w:ind w:firstLine="0" w:firstLineChars="0"/>
                    <w:jc w:val="center"/>
                    <w:rPr>
                      <w:rFonts w:ascii="仿宋" w:hAnsi="仿宋" w:eastAsia="仿宋" w:cs="仿宋"/>
                      <w:b w:val="0"/>
                      <w:bCs/>
                      <w:color w:val="auto"/>
                      <w:szCs w:val="22"/>
                    </w:rPr>
                  </w:pPr>
                  <w:r>
                    <w:rPr>
                      <w:rFonts w:hint="eastAsia" w:ascii="仿宋" w:hAnsi="仿宋" w:eastAsia="仿宋" w:cs="仿宋"/>
                      <w:b w:val="0"/>
                      <w:bCs/>
                      <w:color w:val="auto"/>
                      <w:szCs w:val="22"/>
                    </w:rPr>
                    <w:t>污染物类别</w:t>
                  </w:r>
                </w:p>
              </w:tc>
              <w:tc>
                <w:tcPr>
                  <w:tcW w:w="2811" w:type="pct"/>
                  <w:vAlign w:val="center"/>
                </w:tcPr>
                <w:p w14:paraId="00E43BCC">
                  <w:pPr>
                    <w:pStyle w:val="46"/>
                    <w:spacing w:line="240" w:lineRule="auto"/>
                    <w:ind w:firstLine="0" w:firstLineChars="0"/>
                    <w:jc w:val="center"/>
                    <w:rPr>
                      <w:rFonts w:ascii="仿宋" w:hAnsi="仿宋" w:eastAsia="仿宋" w:cs="仿宋"/>
                      <w:b w:val="0"/>
                      <w:bCs/>
                      <w:color w:val="auto"/>
                      <w:szCs w:val="22"/>
                    </w:rPr>
                  </w:pPr>
                  <w:r>
                    <w:rPr>
                      <w:rFonts w:hint="eastAsia" w:ascii="仿宋" w:hAnsi="仿宋" w:eastAsia="仿宋" w:cs="仿宋"/>
                      <w:b w:val="0"/>
                      <w:bCs/>
                      <w:color w:val="auto"/>
                      <w:szCs w:val="22"/>
                    </w:rPr>
                    <w:t>污染物名称</w:t>
                  </w:r>
                </w:p>
              </w:tc>
            </w:tr>
            <w:tr w14:paraId="58A8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vAlign w:val="center"/>
                </w:tcPr>
                <w:p w14:paraId="4F26FB86">
                  <w:pPr>
                    <w:pStyle w:val="46"/>
                    <w:spacing w:line="240" w:lineRule="auto"/>
                    <w:ind w:firstLine="0" w:firstLineChars="0"/>
                    <w:jc w:val="center"/>
                    <w:rPr>
                      <w:rFonts w:ascii="仿宋" w:hAnsi="仿宋" w:eastAsia="仿宋" w:cs="仿宋"/>
                      <w:b w:val="0"/>
                      <w:bCs/>
                      <w:color w:val="auto"/>
                      <w:szCs w:val="22"/>
                    </w:rPr>
                  </w:pPr>
                  <w:r>
                    <w:rPr>
                      <w:rFonts w:hint="eastAsia" w:ascii="仿宋" w:hAnsi="仿宋" w:eastAsia="仿宋" w:cs="仿宋"/>
                      <w:b w:val="0"/>
                      <w:bCs/>
                      <w:color w:val="auto"/>
                      <w:szCs w:val="22"/>
                    </w:rPr>
                    <w:t>废气</w:t>
                  </w:r>
                </w:p>
              </w:tc>
              <w:tc>
                <w:tcPr>
                  <w:tcW w:w="2811" w:type="pct"/>
                  <w:vAlign w:val="center"/>
                </w:tcPr>
                <w:p w14:paraId="5896FF57">
                  <w:pPr>
                    <w:pStyle w:val="46"/>
                    <w:spacing w:line="240" w:lineRule="auto"/>
                    <w:ind w:firstLine="0" w:firstLineChars="0"/>
                    <w:jc w:val="center"/>
                    <w:rPr>
                      <w:rFonts w:ascii="仿宋" w:hAnsi="仿宋" w:eastAsia="仿宋" w:cs="仿宋"/>
                      <w:b w:val="0"/>
                      <w:bCs/>
                      <w:color w:val="auto"/>
                      <w:szCs w:val="22"/>
                    </w:rPr>
                  </w:pPr>
                  <w:r>
                    <w:rPr>
                      <w:rFonts w:hint="eastAsia" w:ascii="仿宋" w:hAnsi="仿宋" w:eastAsia="仿宋" w:cs="仿宋"/>
                      <w:b w:val="0"/>
                      <w:bCs/>
                      <w:color w:val="auto"/>
                      <w:szCs w:val="22"/>
                    </w:rPr>
                    <w:t>装饰废气</w:t>
                  </w:r>
                </w:p>
              </w:tc>
            </w:tr>
            <w:tr w14:paraId="3A14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vAlign w:val="center"/>
                </w:tcPr>
                <w:p w14:paraId="72EBE0C9">
                  <w:pPr>
                    <w:pStyle w:val="46"/>
                    <w:spacing w:line="240" w:lineRule="auto"/>
                    <w:ind w:firstLine="0" w:firstLineChars="0"/>
                    <w:jc w:val="center"/>
                    <w:rPr>
                      <w:rFonts w:ascii="仿宋" w:hAnsi="仿宋" w:eastAsia="仿宋" w:cs="仿宋"/>
                      <w:b w:val="0"/>
                      <w:bCs/>
                      <w:color w:val="auto"/>
                      <w:szCs w:val="22"/>
                    </w:rPr>
                  </w:pPr>
                  <w:r>
                    <w:rPr>
                      <w:rFonts w:hint="eastAsia" w:ascii="仿宋" w:hAnsi="仿宋" w:eastAsia="仿宋" w:cs="仿宋"/>
                      <w:b w:val="0"/>
                      <w:bCs/>
                      <w:color w:val="auto"/>
                      <w:szCs w:val="22"/>
                    </w:rPr>
                    <w:t>废水</w:t>
                  </w:r>
                </w:p>
              </w:tc>
              <w:tc>
                <w:tcPr>
                  <w:tcW w:w="2811" w:type="pct"/>
                  <w:vAlign w:val="center"/>
                </w:tcPr>
                <w:p w14:paraId="2D1185EF">
                  <w:pPr>
                    <w:pStyle w:val="46"/>
                    <w:spacing w:line="240" w:lineRule="auto"/>
                    <w:ind w:firstLine="0" w:firstLineChars="0"/>
                    <w:jc w:val="center"/>
                    <w:rPr>
                      <w:rFonts w:ascii="仿宋" w:hAnsi="仿宋" w:eastAsia="仿宋" w:cs="仿宋"/>
                      <w:b w:val="0"/>
                      <w:bCs/>
                      <w:color w:val="auto"/>
                      <w:szCs w:val="22"/>
                    </w:rPr>
                  </w:pPr>
                  <w:r>
                    <w:rPr>
                      <w:rFonts w:hint="eastAsia" w:ascii="仿宋" w:hAnsi="仿宋" w:eastAsia="仿宋" w:cs="仿宋"/>
                      <w:b w:val="0"/>
                      <w:bCs/>
                      <w:color w:val="auto"/>
                      <w:szCs w:val="22"/>
                    </w:rPr>
                    <w:t>员工生活污水</w:t>
                  </w:r>
                </w:p>
              </w:tc>
            </w:tr>
            <w:tr w14:paraId="3CD9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vAlign w:val="center"/>
                </w:tcPr>
                <w:p w14:paraId="038B2A4F">
                  <w:pPr>
                    <w:pStyle w:val="46"/>
                    <w:spacing w:line="240" w:lineRule="auto"/>
                    <w:ind w:firstLine="0" w:firstLineChars="0"/>
                    <w:jc w:val="center"/>
                    <w:rPr>
                      <w:rFonts w:ascii="仿宋" w:hAnsi="仿宋" w:eastAsia="仿宋" w:cs="仿宋"/>
                      <w:b w:val="0"/>
                      <w:bCs/>
                      <w:color w:val="auto"/>
                      <w:szCs w:val="22"/>
                    </w:rPr>
                  </w:pPr>
                  <w:r>
                    <w:rPr>
                      <w:rFonts w:hint="eastAsia" w:ascii="仿宋" w:hAnsi="仿宋" w:eastAsia="仿宋" w:cs="仿宋"/>
                      <w:b w:val="0"/>
                      <w:bCs/>
                      <w:color w:val="auto"/>
                      <w:szCs w:val="22"/>
                    </w:rPr>
                    <w:t>噪声</w:t>
                  </w:r>
                </w:p>
              </w:tc>
              <w:tc>
                <w:tcPr>
                  <w:tcW w:w="2811" w:type="pct"/>
                  <w:vAlign w:val="center"/>
                </w:tcPr>
                <w:p w14:paraId="32057ABB">
                  <w:pPr>
                    <w:pStyle w:val="46"/>
                    <w:spacing w:line="240" w:lineRule="auto"/>
                    <w:ind w:firstLine="0" w:firstLineChars="0"/>
                    <w:jc w:val="center"/>
                    <w:rPr>
                      <w:rFonts w:ascii="仿宋" w:hAnsi="仿宋" w:eastAsia="仿宋" w:cs="仿宋"/>
                      <w:b w:val="0"/>
                      <w:bCs/>
                      <w:color w:val="auto"/>
                      <w:szCs w:val="22"/>
                    </w:rPr>
                  </w:pPr>
                  <w:r>
                    <w:rPr>
                      <w:rFonts w:hint="eastAsia" w:ascii="仿宋" w:hAnsi="仿宋" w:eastAsia="仿宋" w:cs="仿宋"/>
                      <w:b w:val="0"/>
                      <w:bCs/>
                      <w:color w:val="auto"/>
                      <w:szCs w:val="22"/>
                    </w:rPr>
                    <w:t>设备噪声</w:t>
                  </w:r>
                </w:p>
              </w:tc>
            </w:tr>
            <w:tr w14:paraId="01B6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vAlign w:val="center"/>
                </w:tcPr>
                <w:p w14:paraId="5488478F">
                  <w:pPr>
                    <w:pStyle w:val="46"/>
                    <w:spacing w:line="240" w:lineRule="auto"/>
                    <w:ind w:firstLine="0" w:firstLineChars="0"/>
                    <w:jc w:val="center"/>
                    <w:rPr>
                      <w:rFonts w:ascii="仿宋" w:hAnsi="仿宋" w:eastAsia="仿宋" w:cs="仿宋"/>
                      <w:b w:val="0"/>
                      <w:bCs/>
                      <w:color w:val="auto"/>
                      <w:szCs w:val="22"/>
                    </w:rPr>
                  </w:pPr>
                  <w:r>
                    <w:rPr>
                      <w:rFonts w:hint="eastAsia" w:ascii="仿宋" w:hAnsi="仿宋" w:eastAsia="仿宋" w:cs="仿宋"/>
                      <w:b w:val="0"/>
                      <w:bCs/>
                      <w:color w:val="auto"/>
                      <w:szCs w:val="22"/>
                    </w:rPr>
                    <w:t>固废</w:t>
                  </w:r>
                </w:p>
              </w:tc>
              <w:tc>
                <w:tcPr>
                  <w:tcW w:w="2811" w:type="pct"/>
                  <w:vAlign w:val="center"/>
                </w:tcPr>
                <w:p w14:paraId="38DAE668">
                  <w:pPr>
                    <w:pStyle w:val="46"/>
                    <w:spacing w:line="240" w:lineRule="auto"/>
                    <w:ind w:firstLine="0" w:firstLineChars="0"/>
                    <w:jc w:val="center"/>
                    <w:rPr>
                      <w:rFonts w:ascii="仿宋" w:hAnsi="仿宋" w:eastAsia="仿宋" w:cs="仿宋"/>
                      <w:b w:val="0"/>
                      <w:bCs/>
                      <w:color w:val="auto"/>
                      <w:szCs w:val="22"/>
                    </w:rPr>
                  </w:pPr>
                  <w:r>
                    <w:rPr>
                      <w:rFonts w:hint="eastAsia" w:ascii="仿宋" w:hAnsi="仿宋" w:eastAsia="仿宋" w:cs="仿宋"/>
                      <w:b w:val="0"/>
                      <w:bCs/>
                      <w:color w:val="auto"/>
                      <w:szCs w:val="22"/>
                    </w:rPr>
                    <w:t>员工生活垃圾、废包装和废材料</w:t>
                  </w:r>
                </w:p>
              </w:tc>
            </w:tr>
          </w:tbl>
          <w:p w14:paraId="47500B76">
            <w:pPr>
              <w:pStyle w:val="46"/>
              <w:ind w:firstLine="560"/>
              <w:rPr>
                <w:color w:val="auto"/>
                <w:sz w:val="28"/>
              </w:rPr>
            </w:pPr>
          </w:p>
          <w:p w14:paraId="66DFA4AF">
            <w:pPr>
              <w:pStyle w:val="53"/>
              <w:spacing w:before="120"/>
              <w:rPr>
                <w:rFonts w:ascii="仿宋" w:hAnsi="仿宋"/>
                <w:color w:val="auto"/>
                <w:sz w:val="28"/>
              </w:rPr>
            </w:pPr>
            <w:r>
              <w:rPr>
                <w:rFonts w:ascii="仿宋" w:hAnsi="仿宋"/>
                <w:color w:val="auto"/>
                <w:sz w:val="28"/>
              </w:rPr>
              <w:t>2.</w:t>
            </w:r>
            <w:r>
              <w:rPr>
                <w:rFonts w:hint="eastAsia" w:ascii="仿宋" w:hAnsi="仿宋"/>
                <w:color w:val="auto"/>
                <w:sz w:val="28"/>
              </w:rPr>
              <w:t>运营期</w:t>
            </w:r>
          </w:p>
          <w:p w14:paraId="5A6F5485">
            <w:pPr>
              <w:ind w:firstLine="560"/>
              <w:rPr>
                <w:color w:val="auto"/>
                <w:sz w:val="28"/>
              </w:rPr>
            </w:pPr>
            <w:r>
              <w:rPr>
                <w:rFonts w:hint="eastAsia"/>
                <w:color w:val="auto"/>
                <w:sz w:val="28"/>
              </w:rPr>
              <w:t>本项目位于</w:t>
            </w:r>
            <w:r>
              <w:rPr>
                <w:rFonts w:hint="eastAsia"/>
                <w:color w:val="auto"/>
                <w:sz w:val="28"/>
                <w:szCs w:val="28"/>
                <w:highlight w:val="none"/>
              </w:rPr>
              <w:t>重庆市九龙坡区西彭镇森迪大道139号3号楼2层和3层</w:t>
            </w:r>
            <w:r>
              <w:rPr>
                <w:rFonts w:hint="eastAsia"/>
                <w:color w:val="auto"/>
                <w:sz w:val="28"/>
                <w:highlight w:val="none"/>
              </w:rPr>
              <w:t>，使用园区已建厂房进行建设。本项目主要产品为</w:t>
            </w:r>
            <w:r>
              <w:rPr>
                <w:rFonts w:hint="eastAsia"/>
                <w:color w:val="auto"/>
                <w:sz w:val="28"/>
                <w:highlight w:val="none"/>
                <w:lang w:eastAsia="zh-CN"/>
              </w:rPr>
              <w:t>隔音、隔热棉</w:t>
            </w:r>
            <w:r>
              <w:rPr>
                <w:color w:val="auto"/>
                <w:sz w:val="28"/>
                <w:highlight w:val="none"/>
              </w:rPr>
              <w:t>。</w:t>
            </w:r>
          </w:p>
          <w:p w14:paraId="12E6A8B1">
            <w:pPr>
              <w:numPr>
                <w:ilvl w:val="0"/>
                <w:numId w:val="14"/>
              </w:numPr>
              <w:ind w:firstLine="560"/>
              <w:rPr>
                <w:color w:val="auto"/>
                <w:sz w:val="28"/>
              </w:rPr>
            </w:pPr>
            <w:r>
              <w:rPr>
                <w:rFonts w:hint="eastAsia"/>
                <w:color w:val="auto"/>
                <w:sz w:val="28"/>
                <w:lang w:eastAsia="zh-CN"/>
              </w:rPr>
              <w:t>隔音、隔热棉</w:t>
            </w:r>
            <w:r>
              <w:rPr>
                <w:rFonts w:hint="eastAsia"/>
                <w:color w:val="auto"/>
                <w:sz w:val="28"/>
              </w:rPr>
              <w:t>生产工艺流程及产污环节</w:t>
            </w:r>
          </w:p>
          <w:p w14:paraId="15E429BA">
            <w:pPr>
              <w:ind w:left="420" w:leftChars="200" w:firstLine="0" w:firstLineChars="0"/>
              <w:rPr>
                <w:color w:val="auto"/>
                <w:sz w:val="24"/>
              </w:rPr>
            </w:pPr>
            <w:r>
              <w:rPr>
                <w:rFonts w:hint="eastAsia"/>
                <w:color w:val="auto"/>
                <w:sz w:val="28"/>
                <w:lang w:eastAsia="zh-CN"/>
              </w:rPr>
              <w:t>隔音、隔热棉（不贴胶）</w:t>
            </w:r>
            <w:r>
              <w:rPr>
                <w:rFonts w:hint="eastAsia"/>
                <w:color w:val="auto"/>
                <w:sz w:val="28"/>
              </w:rPr>
              <w:t>生产工艺流程及产污环节见图2-4。</w:t>
            </w:r>
          </w:p>
          <w:p w14:paraId="2E9325EB">
            <w:pPr>
              <w:pStyle w:val="75"/>
              <w:rPr>
                <w:color w:val="auto"/>
                <w:sz w:val="24"/>
              </w:rPr>
            </w:pPr>
            <w:r>
              <w:rPr>
                <w:color w:val="auto"/>
                <w:sz w:val="24"/>
              </w:rPr>
              <w:object>
                <v:shape id="_x0000_i1026" o:spt="75" type="#_x0000_t75" style="height:360.25pt;width:249.7pt;" o:ole="t" filled="f" o:preferrelative="t" stroked="f" coordsize="21600,21600">
                  <v:path/>
                  <v:fill on="f" focussize="0,0"/>
                  <v:stroke on="f"/>
                  <v:imagedata r:id="rId24" croptop="6181f" cropbottom="8577f" o:title=""/>
                  <o:lock v:ext="edit" aspectratio="f"/>
                  <w10:wrap type="none"/>
                  <w10:anchorlock/>
                </v:shape>
                <o:OLEObject Type="Embed" ProgID="Visio.Drawing.15" ShapeID="_x0000_i1026" DrawAspect="Content" ObjectID="_1468075726" r:id="rId23">
                  <o:LockedField>false</o:LockedField>
                </o:OLEObject>
              </w:object>
            </w:r>
          </w:p>
          <w:p w14:paraId="529454C3">
            <w:pPr>
              <w:jc w:val="center"/>
              <w:rPr>
                <w:rFonts w:hint="eastAsia"/>
                <w:color w:val="auto"/>
                <w:sz w:val="24"/>
                <w:lang w:val="en-US" w:eastAsia="zh-CN"/>
              </w:rPr>
            </w:pPr>
            <w:r>
              <w:rPr>
                <w:rFonts w:hint="eastAsia"/>
                <w:color w:val="auto"/>
                <w:sz w:val="24"/>
                <w:lang w:eastAsia="zh-CN"/>
              </w:rPr>
              <w:t>图</w:t>
            </w:r>
            <w:r>
              <w:rPr>
                <w:rFonts w:hint="eastAsia"/>
                <w:color w:val="auto"/>
                <w:sz w:val="24"/>
                <w:lang w:val="en-US" w:eastAsia="zh-CN"/>
              </w:rPr>
              <w:t>2-4</w:t>
            </w:r>
            <w:r>
              <w:rPr>
                <w:rFonts w:hint="eastAsia"/>
                <w:color w:val="auto"/>
                <w:sz w:val="24"/>
                <w:szCs w:val="22"/>
                <w:highlight w:val="none"/>
                <w:lang w:eastAsia="zh-CN"/>
              </w:rPr>
              <w:t>隔音、隔热</w:t>
            </w:r>
            <w:r>
              <w:rPr>
                <w:rFonts w:hint="eastAsia"/>
                <w:color w:val="auto"/>
                <w:sz w:val="24"/>
                <w:lang w:val="en-US" w:eastAsia="zh-CN"/>
              </w:rPr>
              <w:t>棉（不贴胶）生产工艺流程图</w:t>
            </w:r>
          </w:p>
          <w:p w14:paraId="59FC4392">
            <w:pPr>
              <w:ind w:firstLine="562"/>
              <w:rPr>
                <w:rFonts w:ascii="Times New Roman" w:hAnsi="Times New Roman"/>
                <w:b/>
                <w:color w:val="auto"/>
                <w:sz w:val="28"/>
              </w:rPr>
            </w:pPr>
            <w:r>
              <w:rPr>
                <w:rFonts w:hint="eastAsia"/>
                <w:b/>
                <w:bCs/>
                <w:color w:val="auto"/>
                <w:sz w:val="28"/>
              </w:rPr>
              <w:t>工艺流程简介：</w:t>
            </w:r>
          </w:p>
          <w:p w14:paraId="770EFE6D">
            <w:pPr>
              <w:pStyle w:val="56"/>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eastAsia="仿宋" w:cs="仿宋"/>
                <w:i/>
                <w:iCs/>
                <w:color w:val="auto"/>
                <w:sz w:val="28"/>
                <w:szCs w:val="28"/>
                <w:lang w:val="en-US" w:eastAsia="zh-CN"/>
              </w:rPr>
            </w:pPr>
            <w:r>
              <w:rPr>
                <w:rFonts w:hint="eastAsia" w:cs="仿宋"/>
                <w:i/>
                <w:iCs/>
                <w:color w:val="auto"/>
                <w:sz w:val="28"/>
                <w:szCs w:val="28"/>
                <w:lang w:val="en-US" w:eastAsia="zh-CN"/>
              </w:rPr>
              <w:t>约1%的产品为不贴胶，不贴胶产品生产工艺流程如下：</w:t>
            </w:r>
          </w:p>
          <w:p w14:paraId="4EF96C14">
            <w:pPr>
              <w:pStyle w:val="56"/>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color w:val="auto"/>
                <w:sz w:val="28"/>
                <w:szCs w:val="21"/>
                <w:lang w:val="en-US" w:eastAsia="zh-CN"/>
              </w:rPr>
            </w:pPr>
            <w:r>
              <w:rPr>
                <w:rFonts w:hint="eastAsia"/>
                <w:i/>
                <w:iCs/>
                <w:color w:val="auto"/>
                <w:sz w:val="28"/>
                <w:szCs w:val="21"/>
                <w:lang w:val="en-US" w:eastAsia="zh-CN"/>
              </w:rPr>
              <w:t>机裁：原料（PU、PE、EVA、植绒布）通过</w:t>
            </w:r>
            <w:r>
              <w:rPr>
                <w:rFonts w:hint="eastAsia"/>
                <w:i/>
                <w:iCs/>
                <w:color w:val="auto"/>
                <w:sz w:val="28"/>
                <w:szCs w:val="21"/>
                <w:highlight w:val="none"/>
                <w:lang w:val="en-US" w:eastAsia="zh-CN"/>
              </w:rPr>
              <w:t>下料机、立切机</w:t>
            </w:r>
            <w:r>
              <w:rPr>
                <w:rFonts w:hint="eastAsia"/>
                <w:i/>
                <w:iCs/>
                <w:color w:val="auto"/>
                <w:sz w:val="28"/>
                <w:szCs w:val="21"/>
                <w:lang w:val="en-US" w:eastAsia="zh-CN"/>
              </w:rPr>
              <w:t>等设备，按产品尺寸进行机械裁切，分为分条（长条状基材）、冲压（异形隔音棉件）两条并行加工线，合格原料通过机械裁切，完成初步尺寸加工，此过程会产生废边角料S1。</w:t>
            </w:r>
          </w:p>
          <w:p w14:paraId="5FD86A8B">
            <w:pPr>
              <w:pStyle w:val="56"/>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eastAsia"/>
                <w:color w:val="auto"/>
                <w:sz w:val="28"/>
                <w:szCs w:val="21"/>
                <w:lang w:val="en-US" w:eastAsia="zh-CN"/>
              </w:rPr>
            </w:pPr>
            <w:r>
              <w:rPr>
                <w:rFonts w:hint="eastAsia"/>
                <w:color w:val="auto"/>
                <w:sz w:val="28"/>
                <w:szCs w:val="21"/>
                <w:lang w:val="en-US" w:eastAsia="zh-CN"/>
              </w:rPr>
              <w:t>分条：分</w:t>
            </w:r>
            <w:r>
              <w:rPr>
                <w:rFonts w:hint="eastAsia"/>
                <w:color w:val="auto"/>
                <w:sz w:val="28"/>
                <w:szCs w:val="21"/>
                <w:highlight w:val="none"/>
                <w:lang w:val="en-US" w:eastAsia="zh-CN"/>
              </w:rPr>
              <w:t>条海绵占比约40%，</w:t>
            </w:r>
            <w:r>
              <w:rPr>
                <w:rFonts w:hint="eastAsia"/>
                <w:color w:val="auto"/>
                <w:sz w:val="28"/>
                <w:szCs w:val="21"/>
                <w:lang w:val="en-US" w:eastAsia="zh-CN"/>
              </w:rPr>
              <w:t>主要针对规则的海绵，对海绵基材进行纵剪分条，加工成隔音棉所需的长条状半成品，此过程产生噪声N。</w:t>
            </w:r>
          </w:p>
          <w:p w14:paraId="1DCC2C21">
            <w:pPr>
              <w:pStyle w:val="56"/>
              <w:keepNext w:val="0"/>
              <w:keepLines w:val="0"/>
              <w:pageBreakBefore w:val="0"/>
              <w:widowControl w:val="0"/>
              <w:kinsoku/>
              <w:wordWrap/>
              <w:overflowPunct/>
              <w:topLinePunct w:val="0"/>
              <w:autoSpaceDE/>
              <w:autoSpaceDN/>
              <w:bidi w:val="0"/>
              <w:adjustRightInd w:val="0"/>
              <w:snapToGrid w:val="0"/>
              <w:ind w:firstLine="546" w:firstLineChars="195"/>
              <w:textAlignment w:val="auto"/>
              <w:rPr>
                <w:rFonts w:hint="default"/>
                <w:color w:val="auto"/>
                <w:sz w:val="28"/>
                <w:szCs w:val="21"/>
                <w:lang w:val="en-US" w:eastAsia="zh-CN"/>
              </w:rPr>
            </w:pPr>
            <w:r>
              <w:rPr>
                <w:rFonts w:hint="eastAsia"/>
                <w:color w:val="auto"/>
                <w:sz w:val="28"/>
                <w:szCs w:val="21"/>
                <w:lang w:val="en-US" w:eastAsia="zh-CN"/>
              </w:rPr>
              <w:t>冲压：冲压</w:t>
            </w:r>
            <w:r>
              <w:rPr>
                <w:rFonts w:hint="eastAsia"/>
                <w:color w:val="auto"/>
                <w:sz w:val="28"/>
                <w:szCs w:val="21"/>
                <w:highlight w:val="none"/>
                <w:lang w:val="en-US" w:eastAsia="zh-CN"/>
              </w:rPr>
              <w:t>海绵占比约60%，主要针对不规则海绵，</w:t>
            </w:r>
            <w:r>
              <w:rPr>
                <w:rFonts w:hint="default"/>
                <w:color w:val="auto"/>
                <w:sz w:val="28"/>
                <w:szCs w:val="21"/>
                <w:lang w:val="en-US" w:eastAsia="zh-CN"/>
              </w:rPr>
              <w:t>通过冲压机、模切机，将海绵加工成</w:t>
            </w:r>
            <w:r>
              <w:rPr>
                <w:rFonts w:hint="eastAsia"/>
                <w:color w:val="auto"/>
                <w:sz w:val="28"/>
                <w:szCs w:val="21"/>
                <w:lang w:val="en-US" w:eastAsia="zh-CN"/>
              </w:rPr>
              <w:t>吸</w:t>
            </w:r>
            <w:r>
              <w:rPr>
                <w:rFonts w:hint="default"/>
                <w:color w:val="auto"/>
                <w:sz w:val="28"/>
                <w:szCs w:val="21"/>
                <w:lang w:val="en-US" w:eastAsia="zh-CN"/>
              </w:rPr>
              <w:t>音棉件</w:t>
            </w:r>
            <w:r>
              <w:rPr>
                <w:rFonts w:hint="eastAsia"/>
                <w:color w:val="auto"/>
                <w:sz w:val="28"/>
                <w:szCs w:val="21"/>
                <w:lang w:val="en-US" w:eastAsia="zh-CN"/>
              </w:rPr>
              <w:t>，此过程产生噪声N。</w:t>
            </w:r>
          </w:p>
          <w:p w14:paraId="431CF3B1">
            <w:pPr>
              <w:pStyle w:val="56"/>
              <w:keepNext w:val="0"/>
              <w:keepLines w:val="0"/>
              <w:pageBreakBefore w:val="0"/>
              <w:widowControl w:val="0"/>
              <w:kinsoku/>
              <w:wordWrap/>
              <w:overflowPunct/>
              <w:topLinePunct w:val="0"/>
              <w:autoSpaceDE/>
              <w:autoSpaceDN/>
              <w:bidi w:val="0"/>
              <w:adjustRightInd w:val="0"/>
              <w:snapToGrid w:val="0"/>
              <w:ind w:firstLine="546" w:firstLineChars="195"/>
              <w:textAlignment w:val="auto"/>
              <w:rPr>
                <w:rFonts w:hint="eastAsia"/>
                <w:color w:val="auto"/>
                <w:sz w:val="28"/>
                <w:szCs w:val="21"/>
                <w:lang w:val="en-US" w:eastAsia="zh-CN"/>
              </w:rPr>
            </w:pPr>
            <w:r>
              <w:rPr>
                <w:rFonts w:hint="eastAsia"/>
                <w:color w:val="auto"/>
                <w:sz w:val="28"/>
                <w:szCs w:val="21"/>
                <w:lang w:val="en-US" w:eastAsia="zh-CN"/>
              </w:rPr>
              <w:t>检验：检验分条半成品的尺寸、厚度、外观，检验冲压件的尺寸、成型精度、外观，此过程会</w:t>
            </w:r>
            <w:r>
              <w:rPr>
                <w:rFonts w:hint="default"/>
                <w:color w:val="auto"/>
                <w:sz w:val="28"/>
                <w:szCs w:val="21"/>
                <w:lang w:val="en-US" w:eastAsia="zh-CN"/>
              </w:rPr>
              <w:t>产生</w:t>
            </w:r>
            <w:r>
              <w:rPr>
                <w:rFonts w:hint="eastAsia"/>
                <w:color w:val="auto"/>
                <w:sz w:val="28"/>
                <w:szCs w:val="21"/>
                <w:lang w:val="en-US" w:eastAsia="zh-CN"/>
              </w:rPr>
              <w:t>不合格品</w:t>
            </w:r>
            <w:r>
              <w:rPr>
                <w:rFonts w:hint="default"/>
                <w:color w:val="auto"/>
                <w:sz w:val="28"/>
                <w:szCs w:val="21"/>
                <w:lang w:val="en-US" w:eastAsia="zh-CN"/>
              </w:rPr>
              <w:t>S</w:t>
            </w:r>
            <w:r>
              <w:rPr>
                <w:rFonts w:hint="eastAsia"/>
                <w:color w:val="auto"/>
                <w:sz w:val="28"/>
                <w:szCs w:val="21"/>
                <w:lang w:val="en-US" w:eastAsia="zh-CN"/>
              </w:rPr>
              <w:t>2。</w:t>
            </w:r>
          </w:p>
          <w:p w14:paraId="55394220">
            <w:pPr>
              <w:pStyle w:val="56"/>
              <w:keepNext w:val="0"/>
              <w:keepLines w:val="0"/>
              <w:pageBreakBefore w:val="0"/>
              <w:widowControl w:val="0"/>
              <w:kinsoku/>
              <w:wordWrap/>
              <w:overflowPunct/>
              <w:topLinePunct w:val="0"/>
              <w:autoSpaceDE/>
              <w:autoSpaceDN/>
              <w:bidi w:val="0"/>
              <w:adjustRightInd w:val="0"/>
              <w:snapToGrid w:val="0"/>
              <w:ind w:firstLine="546" w:firstLineChars="195"/>
              <w:textAlignment w:val="auto"/>
              <w:rPr>
                <w:rFonts w:hint="eastAsia"/>
                <w:color w:val="auto"/>
                <w:sz w:val="28"/>
                <w:szCs w:val="21"/>
                <w:lang w:val="en-US" w:eastAsia="zh-CN"/>
              </w:rPr>
            </w:pPr>
            <w:r>
              <w:rPr>
                <w:rFonts w:hint="eastAsia"/>
                <w:color w:val="auto"/>
                <w:sz w:val="28"/>
                <w:szCs w:val="21"/>
                <w:lang w:val="en-US" w:eastAsia="zh-CN"/>
              </w:rPr>
              <w:t>包装入库：合格的隔音隔热棉成品（含返工修复品），进行</w:t>
            </w:r>
            <w:r>
              <w:rPr>
                <w:rFonts w:hint="eastAsia"/>
                <w:color w:val="auto"/>
                <w:sz w:val="28"/>
                <w:szCs w:val="21"/>
                <w:highlight w:val="none"/>
                <w:lang w:val="en-US" w:eastAsia="zh-CN"/>
              </w:rPr>
              <w:t>人工</w:t>
            </w:r>
            <w:r>
              <w:rPr>
                <w:rFonts w:hint="eastAsia"/>
                <w:color w:val="auto"/>
                <w:sz w:val="28"/>
                <w:szCs w:val="21"/>
                <w:lang w:val="en-US" w:eastAsia="zh-CN"/>
              </w:rPr>
              <w:t>包装入库，装入纸箱、缠绕膜，待出厂，此过程会产生废包装材料S3。</w:t>
            </w:r>
          </w:p>
          <w:p w14:paraId="0992B019">
            <w:pPr>
              <w:ind w:left="420" w:leftChars="200" w:firstLine="0" w:firstLineChars="0"/>
              <w:rPr>
                <w:color w:val="auto"/>
                <w:sz w:val="24"/>
              </w:rPr>
            </w:pPr>
            <w:r>
              <w:rPr>
                <w:rFonts w:hint="eastAsia"/>
                <w:color w:val="auto"/>
                <w:sz w:val="28"/>
                <w:lang w:eastAsia="zh-CN"/>
              </w:rPr>
              <w:t>隔音、隔热棉（贴胶）</w:t>
            </w:r>
            <w:r>
              <w:rPr>
                <w:rFonts w:hint="eastAsia"/>
                <w:color w:val="auto"/>
                <w:sz w:val="28"/>
              </w:rPr>
              <w:t>生产工艺流程及产污环节见</w:t>
            </w:r>
            <w:r>
              <w:rPr>
                <w:rFonts w:hint="eastAsia"/>
                <w:color w:val="auto"/>
                <w:sz w:val="28"/>
                <w:lang w:eastAsia="zh-CN"/>
              </w:rPr>
              <w:t>下</w:t>
            </w:r>
            <w:r>
              <w:rPr>
                <w:rFonts w:hint="eastAsia"/>
                <w:color w:val="auto"/>
                <w:sz w:val="28"/>
              </w:rPr>
              <w:t>图2-</w:t>
            </w:r>
            <w:r>
              <w:rPr>
                <w:rFonts w:hint="eastAsia"/>
                <w:color w:val="auto"/>
                <w:sz w:val="28"/>
                <w:lang w:val="en-US" w:eastAsia="zh-CN"/>
              </w:rPr>
              <w:t>5、2-6</w:t>
            </w:r>
            <w:r>
              <w:rPr>
                <w:rFonts w:hint="eastAsia"/>
                <w:color w:val="auto"/>
                <w:sz w:val="28"/>
              </w:rPr>
              <w:t>。</w:t>
            </w:r>
          </w:p>
          <w:p w14:paraId="3A56722F">
            <w:pPr>
              <w:pStyle w:val="56"/>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olor w:val="auto"/>
                <w:sz w:val="28"/>
                <w:szCs w:val="21"/>
                <w:lang w:val="en-US" w:eastAsia="zh-CN"/>
              </w:rPr>
            </w:pPr>
          </w:p>
          <w:p w14:paraId="4EC56347">
            <w:pPr>
              <w:ind w:left="0" w:leftChars="0" w:firstLine="0" w:firstLineChars="0"/>
              <w:rPr>
                <w:color w:val="auto"/>
              </w:rPr>
            </w:pPr>
            <w:r>
              <w:rPr>
                <w:rFonts w:hint="eastAsia"/>
                <w:b/>
                <w:bCs/>
                <w:smallCaps/>
                <w:color w:val="auto"/>
                <w:spacing w:val="5"/>
                <w:sz w:val="28"/>
                <w:szCs w:val="28"/>
                <w:lang w:bidi="en-US"/>
              </w:rPr>
              <mc:AlternateContent>
                <mc:Choice Requires="wpc">
                  <w:drawing>
                    <wp:inline distT="0" distB="0" distL="114300" distR="114300">
                      <wp:extent cx="5052060" cy="6457950"/>
                      <wp:effectExtent l="0" t="0" r="0" b="0"/>
                      <wp:docPr id="97" name="画布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直接箭头连接符 3"/>
                              <wps:cNvCnPr/>
                              <wps:spPr>
                                <a:xfrm>
                                  <a:off x="327107" y="1389653"/>
                                  <a:ext cx="635" cy="635"/>
                                </a:xfrm>
                                <a:prstGeom prst="straightConnector1">
                                  <a:avLst/>
                                </a:prstGeom>
                                <a:ln w="9525" cap="flat" cmpd="sng">
                                  <a:solidFill>
                                    <a:srgbClr val="000000"/>
                                  </a:solidFill>
                                  <a:prstDash val="solid"/>
                                  <a:headEnd type="none" w="med" len="med"/>
                                  <a:tailEnd type="none" w="med" len="med"/>
                                </a:ln>
                              </wps:spPr>
                              <wps:bodyPr/>
                            </wps:wsp>
                            <wps:wsp>
                              <wps:cNvPr id="33" name="直接箭头连接符 33"/>
                              <wps:cNvCnPr/>
                              <wps:spPr>
                                <a:xfrm>
                                  <a:off x="327107" y="1389653"/>
                                  <a:ext cx="635" cy="635"/>
                                </a:xfrm>
                                <a:prstGeom prst="straightConnector1">
                                  <a:avLst/>
                                </a:prstGeom>
                                <a:ln w="9525" cap="flat" cmpd="sng">
                                  <a:solidFill>
                                    <a:srgbClr val="000000"/>
                                  </a:solidFill>
                                  <a:prstDash val="solid"/>
                                  <a:headEnd type="none" w="med" len="med"/>
                                  <a:tailEnd type="none" w="med" len="med"/>
                                </a:ln>
                              </wps:spPr>
                              <wps:bodyPr/>
                            </wps:wsp>
                            <wps:wsp>
                              <wps:cNvPr id="36" name="直接箭头连接符 36"/>
                              <wps:cNvCnPr/>
                              <wps:spPr>
                                <a:xfrm>
                                  <a:off x="327107" y="1389653"/>
                                  <a:ext cx="635" cy="635"/>
                                </a:xfrm>
                                <a:prstGeom prst="straightConnector1">
                                  <a:avLst/>
                                </a:prstGeom>
                                <a:ln w="9525" cap="flat" cmpd="sng">
                                  <a:solidFill>
                                    <a:srgbClr val="000000"/>
                                  </a:solidFill>
                                  <a:prstDash val="solid"/>
                                  <a:headEnd type="none" w="med" len="med"/>
                                  <a:tailEnd type="none" w="med" len="med"/>
                                </a:ln>
                              </wps:spPr>
                              <wps:bodyPr/>
                            </wps:wsp>
                            <wps:wsp>
                              <wps:cNvPr id="41" name="直接箭头连接符 41"/>
                              <wps:cNvCnPr/>
                              <wps:spPr>
                                <a:xfrm>
                                  <a:off x="327107" y="1389653"/>
                                  <a:ext cx="635" cy="635"/>
                                </a:xfrm>
                                <a:prstGeom prst="straightConnector1">
                                  <a:avLst/>
                                </a:prstGeom>
                                <a:ln w="9525" cap="flat" cmpd="sng">
                                  <a:solidFill>
                                    <a:srgbClr val="000000"/>
                                  </a:solidFill>
                                  <a:prstDash val="solid"/>
                                  <a:headEnd type="none" w="med" len="med"/>
                                  <a:tailEnd type="none" w="med" len="med"/>
                                </a:ln>
                              </wps:spPr>
                              <wps:bodyPr/>
                            </wps:wsp>
                            <wps:wsp>
                              <wps:cNvPr id="43" name="文本框 43"/>
                              <wps:cNvSpPr txBox="1"/>
                              <wps:spPr>
                                <a:xfrm>
                                  <a:off x="2425065" y="113665"/>
                                  <a:ext cx="1418590" cy="294640"/>
                                </a:xfrm>
                                <a:prstGeom prst="rect">
                                  <a:avLst/>
                                </a:prstGeom>
                                <a:solidFill>
                                  <a:srgbClr val="FFFFFF"/>
                                </a:solidFill>
                                <a:ln>
                                  <a:noFill/>
                                </a:ln>
                              </wps:spPr>
                              <wps:txbx>
                                <w:txbxContent>
                                  <w:p w14:paraId="443D3FBE">
                                    <w:pPr>
                                      <w:ind w:left="0" w:leftChars="0" w:firstLine="0" w:firstLineChars="0"/>
                                      <w:jc w:val="center"/>
                                      <w:rPr>
                                        <w:rFonts w:hint="eastAsia" w:eastAsia="仿宋"/>
                                        <w:color w:val="000000" w:themeColor="text1"/>
                                        <w:sz w:val="21"/>
                                        <w:szCs w:val="2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牛皮纸</w:t>
                                    </w: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/白棉纸</w:t>
                                    </w:r>
                                  </w:p>
                                </w:txbxContent>
                              </wps:txbx>
                              <wps:bodyPr upright="1"/>
                            </wps:wsp>
                            <wps:wsp>
                              <wps:cNvPr id="44" name="直接连接符 44"/>
                              <wps:cNvCnPr/>
                              <wps:spPr>
                                <a:xfrm>
                                  <a:off x="2970642" y="459195"/>
                                  <a:ext cx="635" cy="346778"/>
                                </a:xfrm>
                                <a:prstGeom prst="line">
                                  <a:avLst/>
                                </a:prstGeom>
                                <a:ln w="9525" cap="flat" cmpd="sng">
                                  <a:solidFill>
                                    <a:srgbClr val="000000"/>
                                  </a:solidFill>
                                  <a:prstDash val="solid"/>
                                  <a:headEnd type="none" w="med" len="med"/>
                                  <a:tailEnd type="triangle" w="med" len="med"/>
                                </a:ln>
                              </wps:spPr>
                              <wps:bodyPr upright="1"/>
                            </wps:wsp>
                            <wps:wsp>
                              <wps:cNvPr id="45" name="文本框 45"/>
                              <wps:cNvSpPr txBox="1"/>
                              <wps:spPr>
                                <a:xfrm>
                                  <a:off x="2509516" y="812325"/>
                                  <a:ext cx="901927" cy="279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939200">
                                    <w:pPr>
                                      <w:ind w:left="0" w:leftChars="0" w:firstLine="0" w:firstLineChars="0"/>
                                      <w:jc w:val="center"/>
                                    </w:pPr>
                                    <w:r>
                                      <w:rPr>
                                        <w:rFonts w:hint="eastAsia"/>
                                      </w:rPr>
                                      <w:t>放卷</w:t>
                                    </w:r>
                                  </w:p>
                                </w:txbxContent>
                              </wps:txbx>
                              <wps:bodyPr upright="1"/>
                            </wps:wsp>
                            <wps:wsp>
                              <wps:cNvPr id="46" name="直接连接符 46"/>
                              <wps:cNvCnPr/>
                              <wps:spPr>
                                <a:xfrm>
                                  <a:off x="2976993" y="1089239"/>
                                  <a:ext cx="0" cy="342967"/>
                                </a:xfrm>
                                <a:prstGeom prst="line">
                                  <a:avLst/>
                                </a:prstGeom>
                                <a:ln w="9525" cap="flat" cmpd="sng">
                                  <a:solidFill>
                                    <a:srgbClr val="000000"/>
                                  </a:solidFill>
                                  <a:prstDash val="solid"/>
                                  <a:headEnd type="none" w="med" len="med"/>
                                  <a:tailEnd type="triangle" w="med" len="med"/>
                                </a:ln>
                              </wps:spPr>
                              <wps:bodyPr upright="1"/>
                            </wps:wsp>
                            <wps:wsp>
                              <wps:cNvPr id="47" name="文本框 47"/>
                              <wps:cNvSpPr txBox="1"/>
                              <wps:spPr>
                                <a:xfrm>
                                  <a:off x="2526665" y="1417955"/>
                                  <a:ext cx="901700" cy="300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25FADC">
                                    <w:pPr>
                                      <w:ind w:left="0" w:leftChars="0" w:firstLine="0" w:firstLineChars="0"/>
                                      <w:jc w:val="center"/>
                                      <w:rPr>
                                        <w:rFonts w:hint="eastAsia"/>
                                      </w:rPr>
                                    </w:pPr>
                                    <w:r>
                                      <w:rPr>
                                        <w:rFonts w:hint="eastAsia"/>
                                      </w:rPr>
                                      <w:t>涂布</w:t>
                                    </w:r>
                                  </w:p>
                                  <w:p w14:paraId="70446000">
                                    <w:pPr>
                                      <w:ind w:left="0" w:leftChars="0" w:firstLine="0" w:firstLineChars="0"/>
                                      <w:jc w:val="center"/>
                                      <w:rPr>
                                        <w:rFonts w:hint="eastAsia"/>
                                      </w:rPr>
                                    </w:pPr>
                                  </w:p>
                                </w:txbxContent>
                              </wps:txbx>
                              <wps:bodyPr upright="1"/>
                            </wps:wsp>
                            <wps:wsp>
                              <wps:cNvPr id="49" name="文本框 49"/>
                              <wps:cNvSpPr txBox="1"/>
                              <wps:spPr>
                                <a:xfrm>
                                  <a:off x="2529206" y="3932058"/>
                                  <a:ext cx="901927" cy="279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FD10A0">
                                    <w:pPr>
                                      <w:ind w:left="0" w:leftChars="0" w:firstLine="0" w:firstLineChars="0"/>
                                      <w:jc w:val="center"/>
                                      <w:rPr>
                                        <w:rFonts w:hint="eastAsia"/>
                                      </w:rPr>
                                    </w:pPr>
                                    <w:r>
                                      <w:rPr>
                                        <w:rFonts w:hint="eastAsia"/>
                                        <w:lang w:eastAsia="zh-CN"/>
                                      </w:rPr>
                                      <w:t>裁</w:t>
                                    </w:r>
                                    <w:r>
                                      <w:rPr>
                                        <w:rFonts w:hint="eastAsia"/>
                                      </w:rPr>
                                      <w:t>切</w:t>
                                    </w:r>
                                  </w:p>
                                </w:txbxContent>
                              </wps:txbx>
                              <wps:bodyPr upright="1"/>
                            </wps:wsp>
                            <wps:wsp>
                              <wps:cNvPr id="50" name="文本框 50"/>
                              <wps:cNvSpPr txBox="1"/>
                              <wps:spPr>
                                <a:xfrm>
                                  <a:off x="2525395" y="3295663"/>
                                  <a:ext cx="901927" cy="279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1845C8">
                                    <w:pPr>
                                      <w:ind w:left="0" w:leftChars="0" w:firstLine="0" w:firstLineChars="0"/>
                                      <w:jc w:val="center"/>
                                    </w:pPr>
                                    <w:r>
                                      <w:rPr>
                                        <w:rFonts w:hint="eastAsia"/>
                                      </w:rPr>
                                      <w:t>成品收卷</w:t>
                                    </w:r>
                                  </w:p>
                                </w:txbxContent>
                              </wps:txbx>
                              <wps:bodyPr upright="1"/>
                            </wps:wsp>
                            <wps:wsp>
                              <wps:cNvPr id="51" name="文本框 51"/>
                              <wps:cNvSpPr txBox="1"/>
                              <wps:spPr>
                                <a:xfrm>
                                  <a:off x="2512692" y="2668795"/>
                                  <a:ext cx="901927" cy="279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0500D6">
                                    <w:pPr>
                                      <w:ind w:left="0" w:leftChars="0" w:firstLine="0" w:firstLineChars="0"/>
                                      <w:jc w:val="center"/>
                                      <w:rPr>
                                        <w:rFonts w:hint="eastAsia"/>
                                      </w:rPr>
                                    </w:pPr>
                                    <w:r>
                                      <w:rPr>
                                        <w:rFonts w:hint="eastAsia"/>
                                      </w:rPr>
                                      <w:t>贴合</w:t>
                                    </w:r>
                                  </w:p>
                                </w:txbxContent>
                              </wps:txbx>
                              <wps:bodyPr upright="1"/>
                            </wps:wsp>
                            <wps:wsp>
                              <wps:cNvPr id="52" name="文本框 52"/>
                              <wps:cNvSpPr txBox="1"/>
                              <wps:spPr>
                                <a:xfrm>
                                  <a:off x="2534920" y="2064385"/>
                                  <a:ext cx="90170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4FCBB8">
                                    <w:pPr>
                                      <w:ind w:left="0" w:leftChars="0" w:firstLine="0" w:firstLineChars="0"/>
                                      <w:jc w:val="center"/>
                                    </w:pPr>
                                    <w:r>
                                      <w:rPr>
                                        <w:rFonts w:hint="eastAsia"/>
                                      </w:rPr>
                                      <w:t>烘干</w:t>
                                    </w:r>
                                  </w:p>
                                </w:txbxContent>
                              </wps:txbx>
                              <wps:bodyPr upright="1"/>
                            </wps:wsp>
                            <wps:wsp>
                              <wps:cNvPr id="54" name="直接连接符 54"/>
                              <wps:cNvCnPr/>
                              <wps:spPr>
                                <a:xfrm>
                                  <a:off x="2975088" y="4214689"/>
                                  <a:ext cx="0" cy="342967"/>
                                </a:xfrm>
                                <a:prstGeom prst="line">
                                  <a:avLst/>
                                </a:prstGeom>
                                <a:ln w="9525" cap="flat" cmpd="sng">
                                  <a:solidFill>
                                    <a:srgbClr val="000000"/>
                                  </a:solidFill>
                                  <a:prstDash val="solid"/>
                                  <a:headEnd type="none" w="med" len="med"/>
                                  <a:tailEnd type="triangle" w="med" len="med"/>
                                </a:ln>
                              </wps:spPr>
                              <wps:bodyPr upright="1"/>
                            </wps:wsp>
                            <wps:wsp>
                              <wps:cNvPr id="55" name="直接连接符 55"/>
                              <wps:cNvCnPr/>
                              <wps:spPr>
                                <a:xfrm>
                                  <a:off x="2980804" y="3586550"/>
                                  <a:ext cx="0" cy="342967"/>
                                </a:xfrm>
                                <a:prstGeom prst="line">
                                  <a:avLst/>
                                </a:prstGeom>
                                <a:ln w="9525" cap="flat" cmpd="sng">
                                  <a:solidFill>
                                    <a:srgbClr val="000000"/>
                                  </a:solidFill>
                                  <a:prstDash val="solid"/>
                                  <a:headEnd type="none" w="med" len="med"/>
                                  <a:tailEnd type="triangle" w="med" len="med"/>
                                </a:ln>
                              </wps:spPr>
                              <wps:bodyPr upright="1"/>
                            </wps:wsp>
                            <wps:wsp>
                              <wps:cNvPr id="56" name="直接连接符 56"/>
                              <wps:cNvCnPr/>
                              <wps:spPr>
                                <a:xfrm>
                                  <a:off x="2976993" y="2951425"/>
                                  <a:ext cx="0" cy="342967"/>
                                </a:xfrm>
                                <a:prstGeom prst="line">
                                  <a:avLst/>
                                </a:prstGeom>
                                <a:ln w="9525" cap="flat" cmpd="sng">
                                  <a:solidFill>
                                    <a:srgbClr val="000000"/>
                                  </a:solidFill>
                                  <a:prstDash val="solid"/>
                                  <a:headEnd type="none" w="med" len="med"/>
                                  <a:tailEnd type="triangle" w="med" len="med"/>
                                </a:ln>
                              </wps:spPr>
                              <wps:bodyPr upright="1"/>
                            </wps:wsp>
                            <wps:wsp>
                              <wps:cNvPr id="57" name="直接连接符 57"/>
                              <wps:cNvCnPr/>
                              <wps:spPr>
                                <a:xfrm>
                                  <a:off x="2973818" y="2332814"/>
                                  <a:ext cx="0" cy="342967"/>
                                </a:xfrm>
                                <a:prstGeom prst="line">
                                  <a:avLst/>
                                </a:prstGeom>
                                <a:ln w="9525" cap="flat" cmpd="sng">
                                  <a:solidFill>
                                    <a:srgbClr val="000000"/>
                                  </a:solidFill>
                                  <a:prstDash val="solid"/>
                                  <a:headEnd type="none" w="med" len="med"/>
                                  <a:tailEnd type="triangle" w="med" len="med"/>
                                </a:ln>
                              </wps:spPr>
                              <wps:bodyPr upright="1"/>
                            </wps:wsp>
                            <wps:wsp>
                              <wps:cNvPr id="58" name="直接连接符 58"/>
                              <wps:cNvCnPr/>
                              <wps:spPr>
                                <a:xfrm>
                                  <a:off x="2979420" y="1719580"/>
                                  <a:ext cx="635" cy="364490"/>
                                </a:xfrm>
                                <a:prstGeom prst="line">
                                  <a:avLst/>
                                </a:prstGeom>
                                <a:ln w="9525" cap="flat" cmpd="sng">
                                  <a:solidFill>
                                    <a:srgbClr val="000000"/>
                                  </a:solidFill>
                                  <a:prstDash val="solid"/>
                                  <a:headEnd type="none" w="med" len="med"/>
                                  <a:tailEnd type="triangle" w="med" len="med"/>
                                </a:ln>
                              </wps:spPr>
                              <wps:bodyPr upright="1"/>
                            </wps:wsp>
                            <wps:wsp>
                              <wps:cNvPr id="59" name="文本框 59"/>
                              <wps:cNvSpPr txBox="1"/>
                              <wps:spPr>
                                <a:xfrm>
                                  <a:off x="1500505" y="1419225"/>
                                  <a:ext cx="615950" cy="309880"/>
                                </a:xfrm>
                                <a:prstGeom prst="rect">
                                  <a:avLst/>
                                </a:prstGeom>
                                <a:solidFill>
                                  <a:srgbClr val="FFFFFF"/>
                                </a:solidFill>
                                <a:ln>
                                  <a:noFill/>
                                </a:ln>
                              </wps:spPr>
                              <wps:txbx>
                                <w:txbxContent>
                                  <w:p w14:paraId="141BABC0">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both"/>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胶水</w:t>
                                    </w:r>
                                  </w:p>
                                </w:txbxContent>
                              </wps:txbx>
                              <wps:bodyPr upright="1"/>
                            </wps:wsp>
                            <wps:wsp>
                              <wps:cNvPr id="60" name="直接连接符 60"/>
                              <wps:cNvCnPr/>
                              <wps:spPr>
                                <a:xfrm rot="240000" flipV="1">
                                  <a:off x="2115185" y="1571625"/>
                                  <a:ext cx="447675" cy="26670"/>
                                </a:xfrm>
                                <a:prstGeom prst="line">
                                  <a:avLst/>
                                </a:prstGeom>
                                <a:ln w="9525" cap="flat" cmpd="sng">
                                  <a:solidFill>
                                    <a:srgbClr val="000000"/>
                                  </a:solidFill>
                                  <a:prstDash val="solid"/>
                                  <a:headEnd type="none" w="med" len="med"/>
                                  <a:tailEnd type="triangle" w="med" len="med"/>
                                </a:ln>
                              </wps:spPr>
                              <wps:bodyPr upright="1"/>
                            </wps:wsp>
                            <wps:wsp>
                              <wps:cNvPr id="62" name="文本框 62"/>
                              <wps:cNvSpPr txBox="1"/>
                              <wps:spPr>
                                <a:xfrm>
                                  <a:off x="3255010" y="4201795"/>
                                  <a:ext cx="391160" cy="243840"/>
                                </a:xfrm>
                                <a:prstGeom prst="rect">
                                  <a:avLst/>
                                </a:prstGeom>
                                <a:solidFill>
                                  <a:srgbClr val="FFFFFF"/>
                                </a:solidFill>
                                <a:ln>
                                  <a:noFill/>
                                </a:ln>
                              </wps:spPr>
                              <wps:txbx>
                                <w:txbxContent>
                                  <w:p w14:paraId="3F65C4D3">
                                    <w:pPr>
                                      <w:ind w:left="0" w:leftChars="0" w:firstLine="0" w:firstLineChars="0"/>
                                      <w:rPr>
                                        <w:rFonts w:hint="default" w:eastAsia="仿宋"/>
                                        <w:lang w:val="en-US" w:eastAsia="zh-CN"/>
                                      </w:rPr>
                                    </w:pPr>
                                    <w:r>
                                      <w:rPr>
                                        <w:rFonts w:hint="eastAsia"/>
                                      </w:rPr>
                                      <w:t>S</w:t>
                                    </w:r>
                                    <w:r>
                                      <w:rPr>
                                        <w:rFonts w:hint="eastAsia"/>
                                        <w:lang w:val="en-US" w:eastAsia="zh-CN"/>
                                      </w:rPr>
                                      <w:t>7</w:t>
                                    </w:r>
                                  </w:p>
                                </w:txbxContent>
                              </wps:txbx>
                              <wps:bodyPr upright="1"/>
                            </wps:wsp>
                            <wps:wsp>
                              <wps:cNvPr id="64" name="文本框 64"/>
                              <wps:cNvSpPr txBox="1"/>
                              <wps:spPr>
                                <a:xfrm>
                                  <a:off x="3242310" y="1015365"/>
                                  <a:ext cx="998855" cy="236855"/>
                                </a:xfrm>
                                <a:prstGeom prst="rect">
                                  <a:avLst/>
                                </a:prstGeom>
                                <a:solidFill>
                                  <a:srgbClr val="FFFFFF"/>
                                </a:solidFill>
                                <a:ln>
                                  <a:noFill/>
                                </a:ln>
                              </wps:spPr>
                              <wps:txbx>
                                <w:txbxContent>
                                  <w:p w14:paraId="36993F9F">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eastAsia="仿宋"/>
                                        <w:lang w:val="en-US" w:eastAsia="zh-CN"/>
                                      </w:rPr>
                                    </w:pPr>
                                    <w:r>
                                      <w:rPr>
                                        <w:rFonts w:hint="eastAsia"/>
                                      </w:rPr>
                                      <w:t>G</w:t>
                                    </w:r>
                                    <w:r>
                                      <w:rPr>
                                        <w:rFonts w:hint="eastAsia"/>
                                        <w:lang w:val="en-US" w:eastAsia="zh-CN"/>
                                      </w:rPr>
                                      <w:t>2-1、G3-1</w:t>
                                    </w:r>
                                  </w:p>
                                  <w:p w14:paraId="1235197C">
                                    <w:pPr>
                                      <w:ind w:left="0" w:leftChars="0" w:firstLine="0" w:firstLineChars="0"/>
                                      <w:rPr>
                                        <w:rFonts w:hint="default" w:eastAsia="宋体"/>
                                        <w:lang w:val="en-US" w:eastAsia="zh-CN"/>
                                      </w:rPr>
                                    </w:pPr>
                                  </w:p>
                                </w:txbxContent>
                              </wps:txbx>
                              <wps:bodyPr upright="1"/>
                            </wps:wsp>
                            <wps:wsp>
                              <wps:cNvPr id="69" name="文本框 69"/>
                              <wps:cNvSpPr txBox="1"/>
                              <wps:spPr>
                                <a:xfrm>
                                  <a:off x="1869440" y="1746885"/>
                                  <a:ext cx="854075" cy="248285"/>
                                </a:xfrm>
                                <a:prstGeom prst="rect">
                                  <a:avLst/>
                                </a:prstGeom>
                                <a:solidFill>
                                  <a:srgbClr val="FFFFFF"/>
                                </a:solidFill>
                                <a:ln>
                                  <a:noFill/>
                                </a:ln>
                              </wps:spPr>
                              <wps:txbx>
                                <w:txbxContent>
                                  <w:p w14:paraId="0E00CCD3">
                                    <w:pPr>
                                      <w:ind w:left="0" w:leftChars="0" w:firstLine="0" w:firstLineChars="0"/>
                                      <w:rPr>
                                        <w:rFonts w:hint="default" w:eastAsia="仿宋"/>
                                        <w:lang w:val="en-US" w:eastAsia="zh-CN"/>
                                      </w:rPr>
                                    </w:pPr>
                                    <w:r>
                                      <w:rPr>
                                        <w:rFonts w:hint="eastAsia"/>
                                      </w:rPr>
                                      <w:t>G</w:t>
                                    </w:r>
                                    <w:r>
                                      <w:rPr>
                                        <w:rFonts w:hint="eastAsia"/>
                                        <w:lang w:val="en-US" w:eastAsia="zh-CN"/>
                                      </w:rPr>
                                      <w:t>2-2、G3-2</w:t>
                                    </w:r>
                                  </w:p>
                                </w:txbxContent>
                              </wps:txbx>
                              <wps:bodyPr upright="1"/>
                            </wps:wsp>
                            <wps:wsp>
                              <wps:cNvPr id="74" name="文本框 74"/>
                              <wps:cNvSpPr txBox="1"/>
                              <wps:spPr>
                                <a:xfrm>
                                  <a:off x="2537463" y="4569724"/>
                                  <a:ext cx="900021" cy="279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04FD99">
                                    <w:pPr>
                                      <w:ind w:left="0" w:leftChars="0" w:firstLine="0" w:firstLineChars="0"/>
                                      <w:jc w:val="center"/>
                                    </w:pPr>
                                    <w:r>
                                      <w:rPr>
                                        <w:rFonts w:hint="eastAsia"/>
                                      </w:rPr>
                                      <w:t>检验</w:t>
                                    </w:r>
                                  </w:p>
                                </w:txbxContent>
                              </wps:txbx>
                              <wps:bodyPr upright="1"/>
                            </wps:wsp>
                            <wps:wsp>
                              <wps:cNvPr id="75" name="直接连接符 75"/>
                              <wps:cNvCnPr/>
                              <wps:spPr>
                                <a:xfrm>
                                  <a:off x="2989697" y="4854895"/>
                                  <a:ext cx="0" cy="342967"/>
                                </a:xfrm>
                                <a:prstGeom prst="line">
                                  <a:avLst/>
                                </a:prstGeom>
                                <a:ln w="9525" cap="flat" cmpd="sng">
                                  <a:solidFill>
                                    <a:srgbClr val="000000"/>
                                  </a:solidFill>
                                  <a:prstDash val="solid"/>
                                  <a:headEnd type="none" w="med" len="med"/>
                                  <a:tailEnd type="triangle" w="med" len="med"/>
                                </a:ln>
                              </wps:spPr>
                              <wps:bodyPr upright="1"/>
                            </wps:wsp>
                            <wps:wsp>
                              <wps:cNvPr id="79" name="文本框 79"/>
                              <wps:cNvSpPr txBox="1"/>
                              <wps:spPr>
                                <a:xfrm>
                                  <a:off x="3210560" y="4864100"/>
                                  <a:ext cx="494665" cy="287655"/>
                                </a:xfrm>
                                <a:prstGeom prst="rect">
                                  <a:avLst/>
                                </a:prstGeom>
                                <a:solidFill>
                                  <a:srgbClr val="FFFFFF"/>
                                </a:solidFill>
                                <a:ln>
                                  <a:noFill/>
                                </a:ln>
                              </wps:spPr>
                              <wps:txbx>
                                <w:txbxContent>
                                  <w:p w14:paraId="28EC6452">
                                    <w:pPr>
                                      <w:ind w:left="0" w:leftChars="0" w:firstLine="0" w:firstLineChars="0"/>
                                      <w:rPr>
                                        <w:rFonts w:hint="default" w:eastAsia="宋体"/>
                                        <w:lang w:val="en-US" w:eastAsia="zh-CN"/>
                                      </w:rPr>
                                    </w:pPr>
                                    <w:r>
                                      <w:rPr>
                                        <w:rFonts w:hint="eastAsia"/>
                                      </w:rPr>
                                      <w:t>S</w:t>
                                    </w:r>
                                    <w:r>
                                      <w:rPr>
                                        <w:rFonts w:hint="eastAsia"/>
                                        <w:lang w:val="en-US" w:eastAsia="zh-CN"/>
                                      </w:rPr>
                                      <w:t>8</w:t>
                                    </w:r>
                                  </w:p>
                                </w:txbxContent>
                              </wps:txbx>
                              <wps:bodyPr upright="1"/>
                            </wps:wsp>
                            <wps:wsp>
                              <wps:cNvPr id="81" name="直接连接符 81"/>
                              <wps:cNvCnPr/>
                              <wps:spPr>
                                <a:xfrm flipV="1">
                                  <a:off x="2142394" y="2837103"/>
                                  <a:ext cx="367757" cy="0"/>
                                </a:xfrm>
                                <a:prstGeom prst="line">
                                  <a:avLst/>
                                </a:prstGeom>
                                <a:ln w="9525" cap="flat" cmpd="sng">
                                  <a:solidFill>
                                    <a:srgbClr val="000000"/>
                                  </a:solidFill>
                                  <a:prstDash val="solid"/>
                                  <a:headEnd type="none" w="med" len="med"/>
                                  <a:tailEnd type="triangle" w="med" len="med"/>
                                </a:ln>
                              </wps:spPr>
                              <wps:bodyPr upright="1"/>
                            </wps:wsp>
                            <wps:wsp>
                              <wps:cNvPr id="83" name="文本框 83"/>
                              <wps:cNvSpPr txBox="1"/>
                              <wps:spPr>
                                <a:xfrm>
                                  <a:off x="1068070" y="2600325"/>
                                  <a:ext cx="1093470" cy="607060"/>
                                </a:xfrm>
                                <a:prstGeom prst="rect">
                                  <a:avLst/>
                                </a:prstGeom>
                                <a:solidFill>
                                  <a:srgbClr val="FFFFFF"/>
                                </a:solidFill>
                                <a:ln>
                                  <a:noFill/>
                                </a:ln>
                              </wps:spPr>
                              <wps:txbx>
                                <w:txbxContent>
                                  <w:p w14:paraId="2E796FF4">
                                    <w:pPr>
                                      <w:ind w:left="0" w:leftChars="0" w:firstLine="0" w:firstLineChars="0"/>
                                      <w:rPr>
                                        <w:rFonts w:hint="default" w:eastAsia="仿宋"/>
                                        <w:i/>
                                        <w:iCs/>
                                        <w:color w:val="auto"/>
                                        <w:highlight w:val="none"/>
                                        <w:lang w:val="en-US" w:eastAsia="zh-CN"/>
                                      </w:rPr>
                                    </w:pPr>
                                    <w:r>
                                      <w:rPr>
                                        <w:rFonts w:hint="eastAsia"/>
                                        <w:i/>
                                        <w:iCs/>
                                        <w:color w:val="auto"/>
                                        <w:highlight w:val="none"/>
                                      </w:rPr>
                                      <w:t>P</w:t>
                                    </w:r>
                                    <w:r>
                                      <w:rPr>
                                        <w:i/>
                                        <w:iCs/>
                                        <w:color w:val="auto"/>
                                        <w:highlight w:val="none"/>
                                      </w:rPr>
                                      <w:t>E</w:t>
                                    </w:r>
                                    <w:r>
                                      <w:rPr>
                                        <w:rFonts w:hint="eastAsia"/>
                                        <w:i/>
                                        <w:iCs/>
                                        <w:color w:val="auto"/>
                                        <w:highlight w:val="none"/>
                                        <w:lang w:eastAsia="zh-CN"/>
                                      </w:rPr>
                                      <w:t>、</w:t>
                                    </w:r>
                                    <w:r>
                                      <w:rPr>
                                        <w:rFonts w:hint="eastAsia"/>
                                        <w:i/>
                                        <w:iCs/>
                                        <w:color w:val="auto"/>
                                        <w:highlight w:val="none"/>
                                        <w:lang w:val="en-US" w:eastAsia="zh-CN"/>
                                      </w:rPr>
                                      <w:t>PU、植绒布、EVA（牛皮纸）</w:t>
                                    </w:r>
                                  </w:p>
                                </w:txbxContent>
                              </wps:txbx>
                              <wps:bodyPr upright="1"/>
                            </wps:wsp>
                            <wps:wsp>
                              <wps:cNvPr id="96" name="文本框 96"/>
                              <wps:cNvSpPr txBox="1"/>
                              <wps:spPr>
                                <a:xfrm>
                                  <a:off x="3286760" y="1737360"/>
                                  <a:ext cx="859790" cy="264160"/>
                                </a:xfrm>
                                <a:prstGeom prst="rect">
                                  <a:avLst/>
                                </a:prstGeom>
                                <a:solidFill>
                                  <a:srgbClr val="FFFFFF"/>
                                </a:solidFill>
                                <a:ln>
                                  <a:noFill/>
                                </a:ln>
                              </wps:spPr>
                              <wps:txbx>
                                <w:txbxContent>
                                  <w:p w14:paraId="55735D7C">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lang w:val="en-US" w:eastAsia="zh-CN"/>
                                      </w:rPr>
                                    </w:pPr>
                                    <w:r>
                                      <w:rPr>
                                        <w:rFonts w:hint="eastAsia"/>
                                        <w:lang w:val="en-US" w:eastAsia="zh-CN"/>
                                      </w:rPr>
                                      <w:t>S6、S4、S5</w:t>
                                    </w:r>
                                  </w:p>
                                </w:txbxContent>
                              </wps:txbx>
                              <wps:bodyPr upright="1"/>
                            </wps:wsp>
                            <wps:wsp>
                              <wps:cNvPr id="103" name="直接箭头连接符 103"/>
                              <wps:cNvCnPr/>
                              <wps:spPr>
                                <a:xfrm flipV="1">
                                  <a:off x="3150235" y="1153795"/>
                                  <a:ext cx="0" cy="29337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06" name="直接箭头连接符 106"/>
                              <wps:cNvCnPr/>
                              <wps:spPr>
                                <a:xfrm>
                                  <a:off x="3128010" y="1718310"/>
                                  <a:ext cx="6985" cy="25654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13" name="直接箭头连接符 113"/>
                              <wps:cNvCnPr/>
                              <wps:spPr>
                                <a:xfrm flipH="1" flipV="1">
                                  <a:off x="2790825" y="1791335"/>
                                  <a:ext cx="6985" cy="271145"/>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17" name="直接箭头连接符 117"/>
                              <wps:cNvCnPr/>
                              <wps:spPr>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121" name="直接箭头连接符 121"/>
                              <wps:cNvCnPr/>
                              <wps:spPr>
                                <a:xfrm>
                                  <a:off x="3142615" y="4207510"/>
                                  <a:ext cx="0" cy="28575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3" name="直接箭头连接符 123"/>
                              <wps:cNvCnPr/>
                              <wps:spPr>
                                <a:xfrm>
                                  <a:off x="3149600" y="4852035"/>
                                  <a:ext cx="0" cy="241935"/>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3" name="文本框 23"/>
                              <wps:cNvSpPr txBox="1"/>
                              <wps:spPr>
                                <a:xfrm>
                                  <a:off x="2549525" y="5198110"/>
                                  <a:ext cx="909320" cy="313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C480AA">
                                    <w:pPr>
                                      <w:ind w:left="0" w:leftChars="0" w:firstLine="0" w:firstLineChars="0"/>
                                      <w:rPr>
                                        <w:rFonts w:hint="eastAsia" w:eastAsia="仿宋"/>
                                        <w:lang w:eastAsia="zh-CN"/>
                                      </w:rPr>
                                    </w:pPr>
                                    <w:r>
                                      <w:rPr>
                                        <w:rFonts w:hint="eastAsia"/>
                                        <w:lang w:eastAsia="zh-CN"/>
                                      </w:rPr>
                                      <w:t>包装入库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直接箭头连接符 9"/>
                              <wps:cNvCnPr>
                                <a:stCxn id="23" idx="2"/>
                              </wps:cNvCnPr>
                              <wps:spPr>
                                <a:xfrm flipH="1">
                                  <a:off x="3003550" y="5511165"/>
                                  <a:ext cx="635" cy="273685"/>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 name="文本框 12"/>
                              <wps:cNvSpPr txBox="1"/>
                              <wps:spPr>
                                <a:xfrm>
                                  <a:off x="3146425" y="5600065"/>
                                  <a:ext cx="412115" cy="287655"/>
                                </a:xfrm>
                                <a:prstGeom prst="rect">
                                  <a:avLst/>
                                </a:prstGeom>
                                <a:solidFill>
                                  <a:srgbClr val="FFFFFF"/>
                                </a:solidFill>
                                <a:ln>
                                  <a:noFill/>
                                </a:ln>
                              </wps:spPr>
                              <wps:txbx>
                                <w:txbxContent>
                                  <w:p w14:paraId="5C9274F8">
                                    <w:pPr>
                                      <w:ind w:left="0" w:leftChars="0" w:firstLine="0" w:firstLineChars="0"/>
                                      <w:rPr>
                                        <w:rFonts w:hint="default" w:eastAsia="宋体"/>
                                        <w:lang w:val="en-US" w:eastAsia="zh-CN"/>
                                      </w:rPr>
                                    </w:pPr>
                                    <w:r>
                                      <w:rPr>
                                        <w:rFonts w:hint="eastAsia"/>
                                      </w:rPr>
                                      <w:t>S</w:t>
                                    </w:r>
                                    <w:r>
                                      <w:rPr>
                                        <w:rFonts w:hint="eastAsia"/>
                                        <w:lang w:val="en-US" w:eastAsia="zh-CN"/>
                                      </w:rPr>
                                      <w:t>9</w:t>
                                    </w:r>
                                  </w:p>
                                </w:txbxContent>
                              </wps:txbx>
                              <wps:bodyPr upright="1"/>
                            </wps:wsp>
                            <wps:wsp>
                              <wps:cNvPr id="31" name="直接箭头连接符 31"/>
                              <wps:cNvCnPr/>
                              <wps:spPr>
                                <a:xfrm flipV="1">
                                  <a:off x="3166745" y="3669665"/>
                                  <a:ext cx="0" cy="29337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2" name="文本框 32"/>
                              <wps:cNvSpPr txBox="1"/>
                              <wps:spPr>
                                <a:xfrm>
                                  <a:off x="3227705" y="3539490"/>
                                  <a:ext cx="391160" cy="243840"/>
                                </a:xfrm>
                                <a:prstGeom prst="rect">
                                  <a:avLst/>
                                </a:prstGeom>
                                <a:solidFill>
                                  <a:srgbClr val="FFFFFF"/>
                                </a:solidFill>
                                <a:ln>
                                  <a:noFill/>
                                </a:ln>
                              </wps:spPr>
                              <wps:txbx>
                                <w:txbxContent>
                                  <w:p w14:paraId="7BC56433">
                                    <w:pPr>
                                      <w:ind w:left="0" w:leftChars="0" w:firstLine="0" w:firstLineChars="0"/>
                                      <w:rPr>
                                        <w:rFonts w:hint="eastAsia" w:eastAsia="仿宋"/>
                                        <w:lang w:val="en-US" w:eastAsia="zh-CN"/>
                                      </w:rPr>
                                    </w:pPr>
                                    <w:r>
                                      <w:rPr>
                                        <w:rFonts w:hint="eastAsia"/>
                                        <w:lang w:val="en-US" w:eastAsia="zh-CN"/>
                                      </w:rPr>
                                      <w:t>N</w:t>
                                    </w:r>
                                  </w:p>
                                </w:txbxContent>
                              </wps:txbx>
                              <wps:bodyPr upright="1"/>
                            </wps:wsp>
                            <wps:wsp>
                              <wps:cNvPr id="138" name="直接连接符 138"/>
                              <wps:cNvCnPr>
                                <a:endCxn id="51" idx="3"/>
                              </wps:cNvCnPr>
                              <wps:spPr>
                                <a:xfrm flipH="1" flipV="1">
                                  <a:off x="3414395" y="2808605"/>
                                  <a:ext cx="384810" cy="9525"/>
                                </a:xfrm>
                                <a:prstGeom prst="line">
                                  <a:avLst/>
                                </a:prstGeom>
                                <a:ln w="9525" cap="flat" cmpd="sng">
                                  <a:solidFill>
                                    <a:srgbClr val="000000"/>
                                  </a:solidFill>
                                  <a:prstDash val="solid"/>
                                  <a:headEnd type="none" w="med" len="med"/>
                                  <a:tailEnd type="triangle" w="med" len="med"/>
                                </a:ln>
                              </wps:spPr>
                              <wps:bodyPr upright="1"/>
                            </wps:wsp>
                            <wps:wsp>
                              <wps:cNvPr id="139" name="文本框 139"/>
                              <wps:cNvSpPr txBox="1"/>
                              <wps:spPr>
                                <a:xfrm>
                                  <a:off x="3837305" y="2484755"/>
                                  <a:ext cx="1093470" cy="644525"/>
                                </a:xfrm>
                                <a:prstGeom prst="rect">
                                  <a:avLst/>
                                </a:prstGeom>
                                <a:solidFill>
                                  <a:srgbClr val="FFFFFF"/>
                                </a:solidFill>
                                <a:ln>
                                  <a:noFill/>
                                </a:ln>
                              </wps:spPr>
                              <wps:txbx>
                                <w:txbxContent>
                                  <w:p w14:paraId="5EEA8BB8">
                                    <w:pPr>
                                      <w:ind w:left="0" w:leftChars="0" w:firstLine="0" w:firstLineChars="0"/>
                                      <w:rPr>
                                        <w:rFonts w:hint="default" w:eastAsia="仿宋"/>
                                        <w:i/>
                                        <w:iCs/>
                                        <w:color w:val="auto"/>
                                        <w:highlight w:val="none"/>
                                        <w:lang w:val="en-US" w:eastAsia="zh-CN"/>
                                      </w:rPr>
                                    </w:pPr>
                                    <w:r>
                                      <w:rPr>
                                        <w:rFonts w:hint="eastAsia"/>
                                        <w:i/>
                                        <w:iCs/>
                                        <w:color w:val="auto"/>
                                        <w:highlight w:val="none"/>
                                      </w:rPr>
                                      <w:t>P</w:t>
                                    </w:r>
                                    <w:r>
                                      <w:rPr>
                                        <w:i/>
                                        <w:iCs/>
                                        <w:color w:val="auto"/>
                                        <w:highlight w:val="none"/>
                                      </w:rPr>
                                      <w:t>E</w:t>
                                    </w:r>
                                    <w:r>
                                      <w:rPr>
                                        <w:rFonts w:hint="eastAsia"/>
                                        <w:i/>
                                        <w:iCs/>
                                        <w:color w:val="auto"/>
                                        <w:highlight w:val="none"/>
                                        <w:lang w:eastAsia="zh-CN"/>
                                      </w:rPr>
                                      <w:t>、</w:t>
                                    </w:r>
                                    <w:r>
                                      <w:rPr>
                                        <w:rFonts w:hint="eastAsia"/>
                                        <w:i/>
                                        <w:iCs/>
                                        <w:color w:val="auto"/>
                                        <w:highlight w:val="none"/>
                                        <w:lang w:val="en-US" w:eastAsia="zh-CN"/>
                                      </w:rPr>
                                      <w:t>PU、牛皮纸（白棉纸）</w:t>
                                    </w:r>
                                  </w:p>
                                </w:txbxContent>
                              </wps:txbx>
                              <wps:bodyPr upright="1"/>
                            </wps:wsp>
                          </wpc:wpc>
                        </a:graphicData>
                      </a:graphic>
                    </wp:inline>
                  </w:drawing>
                </mc:Choice>
                <mc:Fallback>
                  <w:pict>
                    <v:group id="_x0000_s1026" o:spid="_x0000_s1026" o:spt="203" style="height:508.5pt;width:397.8pt;" coordsize="5052060,6457950" editas="canvas" o:gfxdata="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">
                      <o:lock v:ext="edit" aspectratio="f"/>
                      <v:shape id="_x0000_s1026" o:spid="_x0000_s1026" style="position:absolute;left:0;top:0;height:6457950;width:5052060;" filled="f" stroked="f" coordsize="21600,21600" o:gfxdata="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">
                        <v:fill on="f" focussize="0,0"/>
                        <v:stroke on="f"/>
                        <v:imagedata o:title=""/>
                        <o:lock v:ext="edit" aspectratio="t"/>
                      </v:shape>
                      <v:shape id="_x0000_s1026" o:spid="_x0000_s1026" o:spt="32" type="#_x0000_t32" style="position:absolute;left:327107;top:1389653;height:635;width:635;" filled="f" stroked="t" coordsize="21600,21600" o:gfxdata="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hRM1QAAAAYBAAAPAAAAAAAAAAEAIAAAACIAAABkcnMv&#10;ZG93bnJldi54bWxQSwECFAAUAAAACACHTuJALQLvvAYCAAD1AwAADgAAAAAAAAABACAAAAAkAQAA&#10;ZHJzL2Uyb0RvYy54bWxQSwUGAAAAAAYABgBZAQAAnAUAAAAA&#10;">
                        <v:fill on="f" focussize="0,0"/>
                        <v:stroke color="#000000" joinstyle="round"/>
                        <v:imagedata o:title=""/>
                        <o:lock v:ext="edit" aspectratio="f"/>
                      </v:shape>
                      <v:shape id="_x0000_s1026" o:spid="_x0000_s1026" o:spt="32" type="#_x0000_t32" style="position:absolute;left:327107;top:1389653;height:635;width:635;" filled="f" stroked="t" coordsize="21600,21600" o:gfxdata="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UTNUAAAAGAQAADwAAAAAAAAABACAAAAAiAAAAZHJz&#10;L2Rvd25yZXYueG1sUEsBAhQAFAAAAAgAh07iQCZXxn4HAgAA9wMAAA4AAAAAAAAAAQAgAAAAJAEA&#10;AGRycy9lMm9Eb2MueG1sUEsFBgAAAAAGAAYAWQEAAJ0FAAAAAA==&#10;">
                        <v:fill on="f" focussize="0,0"/>
                        <v:stroke color="#000000" joinstyle="round"/>
                        <v:imagedata o:title=""/>
                        <o:lock v:ext="edit" aspectratio="f"/>
                      </v:shape>
                      <v:shape id="_x0000_s1026" o:spid="_x0000_s1026" o:spt="32" type="#_x0000_t32" style="position:absolute;left:327107;top:1389653;height:635;width:635;" filled="f" stroked="t" coordsize="21600,21600" o:gfxdata="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UTNUAAAAGAQAADwAAAAAAAAABACAAAAAiAAAAZHJz&#10;L2Rvd25yZXYueG1sUEsBAhQAFAAAAAgAh07iQD2fER4HAgAA9wMAAA4AAAAAAAAAAQAgAAAAJAEA&#10;AGRycy9lMm9Eb2MueG1sUEsFBgAAAAAGAAYAWQEAAJ0FAAAAAA==&#10;">
                        <v:fill on="f" focussize="0,0"/>
                        <v:stroke color="#000000" joinstyle="round"/>
                        <v:imagedata o:title=""/>
                        <o:lock v:ext="edit" aspectratio="f"/>
                      </v:shape>
                      <v:shape id="_x0000_s1026" o:spid="_x0000_s1026" o:spt="32" type="#_x0000_t32" style="position:absolute;left:327107;top:1389653;height:635;width:635;" filled="f" stroked="t" coordsize="21600,21600" o:gfxdata="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hRM1QAAAAYBAAAPAAAAAAAAAAEAIAAAACIAAABk&#10;cnMvZG93bnJldi54bWxQSwECFAAUAAAACACHTuJA22jNLAkCAAD3AwAADgAAAAAAAAABACAAAAAk&#10;AQAAZHJzL2Uyb0RvYy54bWxQSwUGAAAAAAYABgBZAQAAnwUAAAAA&#10;">
                        <v:fill on="f" focussize="0,0"/>
                        <v:stroke color="#000000" joinstyle="round"/>
                        <v:imagedata o:title=""/>
                        <o:lock v:ext="edit" aspectratio="f"/>
                      </v:shape>
                      <v:shape id="_x0000_s1026" o:spid="_x0000_s1026" o:spt="202" type="#_x0000_t202" style="position:absolute;left:2425065;top:113665;height:294640;width:1418590;" fillcolor="#FFFFFF" filled="t" stroked="f" coordsize="21600,21600" o:gfxdata="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AB/vLUAAAABgEAAA8AAAAAAAAAAQAgAAAAIgAAAGRy&#10;cy9kb3ducmV2LnhtbFBLAQIUABQAAAAIAIdO4kD32goY0AEAAIQDAAAOAAAAAAAAAAEAIAAAACMB&#10;AABkcnMvZTJvRG9jLnhtbFBLBQYAAAAABgAGAFkBAABlBQAAAAA=&#10;">
                        <v:fill on="t" focussize="0,0"/>
                        <v:stroke on="f"/>
                        <v:imagedata o:title=""/>
                        <o:lock v:ext="edit" aspectratio="f"/>
                        <v:textbox>
                          <w:txbxContent>
                            <w:p w14:paraId="443D3FBE">
                              <w:pPr>
                                <w:ind w:left="0" w:leftChars="0" w:firstLine="0" w:firstLineChars="0"/>
                                <w:jc w:val="center"/>
                                <w:rPr>
                                  <w:rFonts w:hint="eastAsia" w:eastAsia="仿宋"/>
                                  <w:color w:val="000000" w:themeColor="text1"/>
                                  <w:sz w:val="21"/>
                                  <w:szCs w:val="2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牛皮纸</w:t>
                              </w: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/白棉纸</w:t>
                              </w:r>
                            </w:p>
                          </w:txbxContent>
                        </v:textbox>
                      </v:shape>
                      <v:line id="_x0000_s1026" o:spid="_x0000_s1026" o:spt="20" style="position:absolute;left:2970642;top:459195;height:346778;width:635;" filled="f" stroked="t" coordsize="21600,21600" o:gfxdata="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hgzH3XAAAABgEAAA8AAAAAAAAAAQAgAAAA&#10;IgAAAGRycy9kb3ducmV2LnhtbFBLAQIUABQAAAAIAIdO4kA5xB7JDAIAAPYDAAAOAAAAAAAAAAEA&#10;IAAAACYBAABkcnMvZTJvRG9jLnhtbFBLBQYAAAAABgAGAFkBAACkBQAAAAA=&#10;">
                        <v:fill on="f" focussize="0,0"/>
                        <v:stroke color="#000000" joinstyle="round" endarrow="block"/>
                        <v:imagedata o:title=""/>
                        <o:lock v:ext="edit" aspectratio="f"/>
                      </v:line>
                      <v:shape id="_x0000_s1026" o:spid="_x0000_s1026" o:spt="202" type="#_x0000_t202" style="position:absolute;left:2509516;top:812325;height:279455;width:901927;" fillcolor="#FFFFFF" filled="t" stroked="t" coordsize="21600,21600" o:gfxdata="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GtxFdYAAAAGAQAADwAA&#10;AAAAAAABACAAAAAiAAAAZHJzL2Rvd25yZXYueG1sUEsBAhQAFAAAAAgAh07iQGTya/4YAgAAQgQA&#10;AA4AAAAAAAAAAQAgAAAAJQEAAGRycy9lMm9Eb2MueG1sUEsFBgAAAAAGAAYAWQEAAK8FAAAAAA==&#10;">
                        <v:fill on="t" focussize="0,0"/>
                        <v:stroke color="#000000" joinstyle="miter"/>
                        <v:imagedata o:title=""/>
                        <o:lock v:ext="edit" aspectratio="f"/>
                        <v:textbox>
                          <w:txbxContent>
                            <w:p w14:paraId="6A939200">
                              <w:pPr>
                                <w:ind w:left="0" w:leftChars="0" w:firstLine="0" w:firstLineChars="0"/>
                                <w:jc w:val="center"/>
                              </w:pPr>
                              <w:r>
                                <w:rPr>
                                  <w:rFonts w:hint="eastAsia"/>
                                </w:rPr>
                                <w:t>放卷</w:t>
                              </w:r>
                            </w:p>
                          </w:txbxContent>
                        </v:textbox>
                      </v:shape>
                      <v:line id="_x0000_s1026" o:spid="_x0000_s1026" o:spt="20" style="position:absolute;left:2976993;top:1089239;height:342967;width:0;" filled="f" stroked="t" coordsize="21600,21600" o:gfxdata="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GDMfdcAAAAGAQAADwAAAAAAAAABACAAAAAi&#10;AAAAZHJzL2Rvd25yZXYueG1sUEsBAhQAFAAAAAgAh07iQEfROaMLAgAA9QMAAA4AAAAAAAAAAQAg&#10;AAAAJgEAAGRycy9lMm9Eb2MueG1sUEsFBgAAAAAGAAYAWQEAAKMFAAAAAA==&#10;">
                        <v:fill on="f" focussize="0,0"/>
                        <v:stroke color="#000000" joinstyle="round" endarrow="block"/>
                        <v:imagedata o:title=""/>
                        <o:lock v:ext="edit" aspectratio="f"/>
                      </v:line>
                      <v:shape id="_x0000_s1026" o:spid="_x0000_s1026" o:spt="202" type="#_x0000_t202" style="position:absolute;left:2526665;top:1417955;height:300990;width:901700;" fillcolor="#FFFFFF" filled="t" stroked="t" coordsize="21600,21600" o:gfxdata="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GtxFdYAAAAGAQAADwAA&#10;AAAAAAABACAAAAAiAAAAZHJzL2Rvd25yZXYueG1sUEsBAhQAFAAAAAgAh07iQJYuFlsYAgAAQwQA&#10;AA4AAAAAAAAAAQAgAAAAJQEAAGRycy9lMm9Eb2MueG1sUEsFBgAAAAAGAAYAWQEAAK8FAAAAAA==&#10;">
                        <v:fill on="t" focussize="0,0"/>
                        <v:stroke color="#000000" joinstyle="miter"/>
                        <v:imagedata o:title=""/>
                        <o:lock v:ext="edit" aspectratio="f"/>
                        <v:textbox>
                          <w:txbxContent>
                            <w:p w14:paraId="4025FADC">
                              <w:pPr>
                                <w:ind w:left="0" w:leftChars="0" w:firstLine="0" w:firstLineChars="0"/>
                                <w:jc w:val="center"/>
                                <w:rPr>
                                  <w:rFonts w:hint="eastAsia"/>
                                </w:rPr>
                              </w:pPr>
                              <w:r>
                                <w:rPr>
                                  <w:rFonts w:hint="eastAsia"/>
                                </w:rPr>
                                <w:t>涂布</w:t>
                              </w:r>
                            </w:p>
                            <w:p w14:paraId="70446000">
                              <w:pPr>
                                <w:ind w:left="0" w:leftChars="0" w:firstLine="0" w:firstLineChars="0"/>
                                <w:jc w:val="center"/>
                                <w:rPr>
                                  <w:rFonts w:hint="eastAsia"/>
                                </w:rPr>
                              </w:pPr>
                            </w:p>
                          </w:txbxContent>
                        </v:textbox>
                      </v:shape>
                      <v:shape id="_x0000_s1026" o:spid="_x0000_s1026" o:spt="202" type="#_x0000_t202" style="position:absolute;left:2529206;top:3932058;height:279455;width:901927;" fillcolor="#FFFFFF" filled="t" stroked="t" coordsize="21600,21600" o:gfxdata="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GtxFdYAAAAGAQAADwAA&#10;AAAAAAABACAAAAAiAAAAZHJzL2Rvd25yZXYueG1sUEsBAhQAFAAAAAgAh07iQO7HKZMYAgAAQwQA&#10;AA4AAAAAAAAAAQAgAAAAJQEAAGRycy9lMm9Eb2MueG1sUEsFBgAAAAAGAAYAWQEAAK8FAAAAAA==&#10;">
                        <v:fill on="t" focussize="0,0"/>
                        <v:stroke color="#000000" joinstyle="miter"/>
                        <v:imagedata o:title=""/>
                        <o:lock v:ext="edit" aspectratio="f"/>
                        <v:textbox>
                          <w:txbxContent>
                            <w:p w14:paraId="2EFD10A0">
                              <w:pPr>
                                <w:ind w:left="0" w:leftChars="0" w:firstLine="0" w:firstLineChars="0"/>
                                <w:jc w:val="center"/>
                                <w:rPr>
                                  <w:rFonts w:hint="eastAsia"/>
                                </w:rPr>
                              </w:pPr>
                              <w:r>
                                <w:rPr>
                                  <w:rFonts w:hint="eastAsia"/>
                                  <w:lang w:eastAsia="zh-CN"/>
                                </w:rPr>
                                <w:t>裁</w:t>
                              </w:r>
                              <w:r>
                                <w:rPr>
                                  <w:rFonts w:hint="eastAsia"/>
                                </w:rPr>
                                <w:t>切</w:t>
                              </w:r>
                            </w:p>
                          </w:txbxContent>
                        </v:textbox>
                      </v:shape>
                      <v:shape id="_x0000_s1026" o:spid="_x0000_s1026" o:spt="202" type="#_x0000_t202" style="position:absolute;left:2525395;top:3295663;height:279455;width:901927;" fillcolor="#FFFFFF" filled="t" stroked="t" coordsize="21600,21600" o:gfxdata="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xrcRXWAAAABgEAAA8AAAAA&#10;AAAAAQAgAAAAIgAAAGRycy9kb3ducmV2LnhtbFBLAQIUABQAAAAIAIdO4kD46NTyFgIAAEMEAAAO&#10;AAAAAAAAAAEAIAAAACUBAABkcnMvZTJvRG9jLnhtbFBLBQYAAAAABgAGAFkBAACtBQAAAAA=&#10;">
                        <v:fill on="t" focussize="0,0"/>
                        <v:stroke color="#000000" joinstyle="miter"/>
                        <v:imagedata o:title=""/>
                        <o:lock v:ext="edit" aspectratio="f"/>
                        <v:textbox>
                          <w:txbxContent>
                            <w:p w14:paraId="0D1845C8">
                              <w:pPr>
                                <w:ind w:left="0" w:leftChars="0" w:firstLine="0" w:firstLineChars="0"/>
                                <w:jc w:val="center"/>
                              </w:pPr>
                              <w:r>
                                <w:rPr>
                                  <w:rFonts w:hint="eastAsia"/>
                                </w:rPr>
                                <w:t>成品收卷</w:t>
                              </w:r>
                            </w:p>
                          </w:txbxContent>
                        </v:textbox>
                      </v:shape>
                      <v:shape id="_x0000_s1026" o:spid="_x0000_s1026" o:spt="202" type="#_x0000_t202" style="position:absolute;left:2512692;top:2668795;height:279455;width:901927;" fillcolor="#FFFFFF" filled="t" stroked="t" coordsize="21600,21600" o:gfxdata="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GtxFdYAAAAGAQAADwAA&#10;AAAAAAABACAAAAAiAAAAZHJzL2Rvd25yZXYueG1sUEsBAhQAFAAAAAgAh07iQH4QvfMYAgAAQwQA&#10;AA4AAAAAAAAAAQAgAAAAJQEAAGRycy9lMm9Eb2MueG1sUEsFBgAAAAAGAAYAWQEAAK8FAAAAAA==&#10;">
                        <v:fill on="t" focussize="0,0"/>
                        <v:stroke color="#000000" joinstyle="miter"/>
                        <v:imagedata o:title=""/>
                        <o:lock v:ext="edit" aspectratio="f"/>
                        <v:textbox>
                          <w:txbxContent>
                            <w:p w14:paraId="1D0500D6">
                              <w:pPr>
                                <w:ind w:left="0" w:leftChars="0" w:firstLine="0" w:firstLineChars="0"/>
                                <w:jc w:val="center"/>
                                <w:rPr>
                                  <w:rFonts w:hint="eastAsia"/>
                                </w:rPr>
                              </w:pPr>
                              <w:r>
                                <w:rPr>
                                  <w:rFonts w:hint="eastAsia"/>
                                </w:rPr>
                                <w:t>贴合</w:t>
                              </w:r>
                            </w:p>
                          </w:txbxContent>
                        </v:textbox>
                      </v:shape>
                      <v:shape id="_x0000_s1026" o:spid="_x0000_s1026" o:spt="202" type="#_x0000_t202" style="position:absolute;left:2534920;top:2064385;height:279400;width:901700;" fillcolor="#FFFFFF" filled="t" stroked="t" coordsize="21600,21600" o:gfxdata="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GtxFdYAAAAGAQAADwAAAAAA&#10;AAABACAAAAAiAAAAZHJzL2Rvd25yZXYueG1sUEsBAhQAFAAAAAgAh07iQGR1XckVAgAAQwQAAA4A&#10;AAAAAAAAAQAgAAAAJQEAAGRycy9lMm9Eb2MueG1sUEsFBgAAAAAGAAYAWQEAAKwFAAAAAA==&#10;">
                        <v:fill on="t" focussize="0,0"/>
                        <v:stroke color="#000000" joinstyle="miter"/>
                        <v:imagedata o:title=""/>
                        <o:lock v:ext="edit" aspectratio="f"/>
                        <v:textbox>
                          <w:txbxContent>
                            <w:p w14:paraId="2A4FCBB8">
                              <w:pPr>
                                <w:ind w:left="0" w:leftChars="0" w:firstLine="0" w:firstLineChars="0"/>
                                <w:jc w:val="center"/>
                              </w:pPr>
                              <w:r>
                                <w:rPr>
                                  <w:rFonts w:hint="eastAsia"/>
                                </w:rPr>
                                <w:t>烘干</w:t>
                              </w:r>
                            </w:p>
                          </w:txbxContent>
                        </v:textbox>
                      </v:shape>
                      <v:line id="_x0000_s1026" o:spid="_x0000_s1026" o:spt="20" style="position:absolute;left:2975088;top:4214689;height:342967;width:0;" filled="f" stroked="t" coordsize="21600,21600" o:gfxdata="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GDMfdcAAAAGAQAADwAAAAAAAAABACAAAAAi&#10;AAAAZHJzL2Rvd25yZXYueG1sUEsBAhQAFAAAAAgAh07iQGyompgLAgAA9QMAAA4AAAAAAAAAAQAg&#10;AAAAJgEAAGRycy9lMm9Eb2MueG1sUEsFBgAAAAAGAAYAWQEAAKMFAAAAAA==&#10;">
                        <v:fill on="f" focussize="0,0"/>
                        <v:stroke color="#000000" joinstyle="round" endarrow="block"/>
                        <v:imagedata o:title=""/>
                        <o:lock v:ext="edit" aspectratio="f"/>
                      </v:line>
                      <v:line id="_x0000_s1026" o:spid="_x0000_s1026" o:spt="20" style="position:absolute;left:2980804;top:3586550;height:342967;width:0;" filled="f" stroked="t" coordsize="21600,21600" o:gfxdata="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gzH3XAAAABgEAAA8AAAAAAAAAAQAgAAAAIgAA&#10;AGRycy9kb3ducmV2LnhtbFBLAQIUABQAAAAIAIdO4kCUmVJhCQIAAPUDAAAOAAAAAAAAAAEAIAAA&#10;ACYBAABkcnMvZTJvRG9jLnhtbFBLBQYAAAAABgAGAFkBAAChBQAAAAA=&#10;">
                        <v:fill on="f" focussize="0,0"/>
                        <v:stroke color="#000000" joinstyle="round" endarrow="block"/>
                        <v:imagedata o:title=""/>
                        <o:lock v:ext="edit" aspectratio="f"/>
                      </v:line>
                      <v:line id="_x0000_s1026" o:spid="_x0000_s1026" o:spt="20" style="position:absolute;left:2976993;top:2951425;height:342967;width:0;" filled="f" stroked="t" coordsize="21600,21600" o:gfxdata="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hgzH3XAAAABgEAAA8AAAAAAAAAAQAgAAAAIgAA&#10;AGRycy9kb3ducmV2LnhtbFBLAQIUABQAAAAIAIdO4kD/WisrCQIAAPUDAAAOAAAAAAAAAAEAIAAA&#10;ACYBAABkcnMvZTJvRG9jLnhtbFBLBQYAAAAABgAGAFkBAAChBQAAAAA=&#10;">
                        <v:fill on="f" focussize="0,0"/>
                        <v:stroke color="#000000" joinstyle="round" endarrow="block"/>
                        <v:imagedata o:title=""/>
                        <o:lock v:ext="edit" aspectratio="f"/>
                      </v:line>
                      <v:line id="_x0000_s1026" o:spid="_x0000_s1026" o:spt="20" style="position:absolute;left:2973818;top:2332814;height:342967;width:0;" filled="f" stroked="t" coordsize="21600,21600" o:gfxdata="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hgzH3XAAAABgEAAA8AAAAAAAAAAQAgAAAA&#10;IgAAAGRycy9kb3ducmV2LnhtbFBLAQIUABQAAAAIAIdO4kAtpEmvDAIAAPUDAAAOAAAAAAAAAAEA&#10;IAAAACYBAABkcnMvZTJvRG9jLnhtbFBLBQYAAAAABgAGAFkBAACkBQAAAAA=&#10;">
                        <v:fill on="f" focussize="0,0"/>
                        <v:stroke color="#000000" joinstyle="round" endarrow="block"/>
                        <v:imagedata o:title=""/>
                        <o:lock v:ext="edit" aspectratio="f"/>
                      </v:line>
                      <v:line id="_x0000_s1026" o:spid="_x0000_s1026" o:spt="20" style="position:absolute;left:2979420;top:1719580;height:364490;width:635;" filled="f" stroked="t" coordsize="21600,21600" o:gfxdata="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YMx91wAAAAYBAAAPAAAAAAAAAAEAIAAA&#10;ACIAAABkcnMvZG93bnJldi54bWxQSwECFAAUAAAACACHTuJAYkWknA0CAAD3AwAADgAAAAAAAAAB&#10;ACAAAAAmAQAAZHJzL2Uyb0RvYy54bWxQSwUGAAAAAAYABgBZAQAApQUAAAAA&#10;">
                        <v:fill on="f" focussize="0,0"/>
                        <v:stroke color="#000000" joinstyle="round" endarrow="block"/>
                        <v:imagedata o:title=""/>
                        <o:lock v:ext="edit" aspectratio="f"/>
                      </v:line>
                      <v:shape id="_x0000_s1026" o:spid="_x0000_s1026" o:spt="202" type="#_x0000_t202" style="position:absolute;left:1500505;top:1419225;height:309880;width:615950;" fillcolor="#FFFFFF" filled="t" stroked="f" coordsize="21600,21600" o:gfxdata="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AH+8tQAAAAGAQAADwAAAAAAAAABACAAAAAiAAAAZHJz&#10;L2Rvd25yZXYueG1sUEsBAhQAFAAAAAgAh07iQOMPtILPAQAAhAMAAA4AAAAAAAAAAQAgAAAAIwEA&#10;AGRycy9lMm9Eb2MueG1sUEsFBgAAAAAGAAYAWQEAAGQFAAAAAA==&#10;">
                        <v:fill on="t" focussize="0,0"/>
                        <v:stroke on="f"/>
                        <v:imagedata o:title=""/>
                        <o:lock v:ext="edit" aspectratio="f"/>
                        <v:textbox>
                          <w:txbxContent>
                            <w:p w14:paraId="141BABC0">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both"/>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胶水</w:t>
                              </w:r>
                            </w:p>
                          </w:txbxContent>
                        </v:textbox>
                      </v:shape>
                      <v:line id="_x0000_s1026" o:spid="_x0000_s1026" o:spt="20" style="position:absolute;left:2115185;top:1571625;flip:y;height:26670;width:447675;rotation:-262144f;" filled="f" stroked="t" coordsize="21600,21600" o:gfxdata="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gyijdQAAAAGAQAA&#10;DwAAAAAAAAABACAAAAAiAAAAZHJzL2Rvd25yZXYueG1sUEsBAhQAFAAAAAgAh07iQN4TPIUdAgAA&#10;EAQAAA4AAAAAAAAAAQAgAAAAIwEAAGRycy9lMm9Eb2MueG1sUEsFBgAAAAAGAAYAWQEAALIFAAAA&#10;AA==&#10;">
                        <v:fill on="f" focussize="0,0"/>
                        <v:stroke color="#000000" joinstyle="round" endarrow="block"/>
                        <v:imagedata o:title=""/>
                        <o:lock v:ext="edit" aspectratio="f"/>
                      </v:line>
                      <v:shape id="_x0000_s1026" o:spid="_x0000_s1026" o:spt="202" type="#_x0000_t202" style="position:absolute;left:3255010;top:4201795;height:243840;width:391160;" fillcolor="#FFFFFF" filled="t" stroked="f" coordsize="21600,21600" o:gfxdata="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Af7y1AAAAAYBAAAPAAAAAAAAAAEAIAAAACIAAABkcnMv&#10;ZG93bnJldi54bWxQSwECFAAUAAAACACHTuJAZnRNA84BAACEAwAADgAAAAAAAAABACAAAAAjAQAA&#10;ZHJzL2Uyb0RvYy54bWxQSwUGAAAAAAYABgBZAQAAYwUAAAAA&#10;">
                        <v:fill on="t" focussize="0,0"/>
                        <v:stroke on="f"/>
                        <v:imagedata o:title=""/>
                        <o:lock v:ext="edit" aspectratio="f"/>
                        <v:textbox>
                          <w:txbxContent>
                            <w:p w14:paraId="3F65C4D3">
                              <w:pPr>
                                <w:ind w:left="0" w:leftChars="0" w:firstLine="0" w:firstLineChars="0"/>
                                <w:rPr>
                                  <w:rFonts w:hint="default" w:eastAsia="仿宋"/>
                                  <w:lang w:val="en-US" w:eastAsia="zh-CN"/>
                                </w:rPr>
                              </w:pPr>
                              <w:r>
                                <w:rPr>
                                  <w:rFonts w:hint="eastAsia"/>
                                </w:rPr>
                                <w:t>S</w:t>
                              </w:r>
                              <w:r>
                                <w:rPr>
                                  <w:rFonts w:hint="eastAsia"/>
                                  <w:lang w:val="en-US" w:eastAsia="zh-CN"/>
                                </w:rPr>
                                <w:t>7</w:t>
                              </w:r>
                            </w:p>
                          </w:txbxContent>
                        </v:textbox>
                      </v:shape>
                      <v:shape id="_x0000_s1026" o:spid="_x0000_s1026" o:spt="202" type="#_x0000_t202" style="position:absolute;left:3242310;top:1015365;height:236855;width:998855;" fillcolor="#FFFFFF" filled="t" stroked="f" coordsize="21600,21600" o:gfxdata="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AB/vLUAAAABgEAAA8AAAAAAAAAAQAgAAAAIgAAAGRycy9k&#10;b3ducmV2LnhtbFBLAQIUABQAAAAIAIdO4kCIHxadzQEAAIQDAAAOAAAAAAAAAAEAIAAAACMBAABk&#10;cnMvZTJvRG9jLnhtbFBLBQYAAAAABgAGAFkBAABiBQAAAAA=&#10;">
                        <v:fill on="t" focussize="0,0"/>
                        <v:stroke on="f"/>
                        <v:imagedata o:title=""/>
                        <o:lock v:ext="edit" aspectratio="f"/>
                        <v:textbox>
                          <w:txbxContent>
                            <w:p w14:paraId="36993F9F">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eastAsia="仿宋"/>
                                  <w:lang w:val="en-US" w:eastAsia="zh-CN"/>
                                </w:rPr>
                              </w:pPr>
                              <w:r>
                                <w:rPr>
                                  <w:rFonts w:hint="eastAsia"/>
                                </w:rPr>
                                <w:t>G</w:t>
                              </w:r>
                              <w:r>
                                <w:rPr>
                                  <w:rFonts w:hint="eastAsia"/>
                                  <w:lang w:val="en-US" w:eastAsia="zh-CN"/>
                                </w:rPr>
                                <w:t>2-1、G3-1</w:t>
                              </w:r>
                            </w:p>
                            <w:p w14:paraId="1235197C">
                              <w:pPr>
                                <w:ind w:left="0" w:leftChars="0" w:firstLine="0" w:firstLineChars="0"/>
                                <w:rPr>
                                  <w:rFonts w:hint="default" w:eastAsia="宋体"/>
                                  <w:lang w:val="en-US" w:eastAsia="zh-CN"/>
                                </w:rPr>
                              </w:pPr>
                            </w:p>
                          </w:txbxContent>
                        </v:textbox>
                      </v:shape>
                      <v:shape id="_x0000_s1026" o:spid="_x0000_s1026" o:spt="202" type="#_x0000_t202" style="position:absolute;left:1869440;top:1746885;height:248285;width:854075;" fillcolor="#FFFFFF" filled="t" stroked="f" coordsize="21600,21600" o:gfxdata="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Af7y1AAAAAYBAAAPAAAAAAAAAAEAIAAAACIAAABkcnMv&#10;ZG93bnJldi54bWxQSwECFAAUAAAACACHTuJAvx5eTs4BAACEAwAADgAAAAAAAAABACAAAAAjAQAA&#10;ZHJzL2Uyb0RvYy54bWxQSwUGAAAAAAYABgBZAQAAYwUAAAAA&#10;">
                        <v:fill on="t" focussize="0,0"/>
                        <v:stroke on="f"/>
                        <v:imagedata o:title=""/>
                        <o:lock v:ext="edit" aspectratio="f"/>
                        <v:textbox>
                          <w:txbxContent>
                            <w:p w14:paraId="0E00CCD3">
                              <w:pPr>
                                <w:ind w:left="0" w:leftChars="0" w:firstLine="0" w:firstLineChars="0"/>
                                <w:rPr>
                                  <w:rFonts w:hint="default" w:eastAsia="仿宋"/>
                                  <w:lang w:val="en-US" w:eastAsia="zh-CN"/>
                                </w:rPr>
                              </w:pPr>
                              <w:r>
                                <w:rPr>
                                  <w:rFonts w:hint="eastAsia"/>
                                </w:rPr>
                                <w:t>G</w:t>
                              </w:r>
                              <w:r>
                                <w:rPr>
                                  <w:rFonts w:hint="eastAsia"/>
                                  <w:lang w:val="en-US" w:eastAsia="zh-CN"/>
                                </w:rPr>
                                <w:t>2-2、G3-2</w:t>
                              </w:r>
                            </w:p>
                          </w:txbxContent>
                        </v:textbox>
                      </v:shape>
                      <v:shape id="_x0000_s1026" o:spid="_x0000_s1026" o:spt="202" type="#_x0000_t202" style="position:absolute;left:2537463;top:4569724;height:279455;width:900021;" fillcolor="#FFFFFF" filled="t" stroked="t" coordsize="21600,21600" o:gfxdata="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xrcRXWAAAABgEAAA8A&#10;AAAAAAAAAQAgAAAAIgAAAGRycy9kb3ducmV2LnhtbFBLAQIUABQAAAAIAIdO4kCOTueFGQIAAEME&#10;AAAOAAAAAAAAAAEAIAAAACUBAABkcnMvZTJvRG9jLnhtbFBLBQYAAAAABgAGAFkBAACwBQAAAAA=&#10;">
                        <v:fill on="t" focussize="0,0"/>
                        <v:stroke color="#000000" joinstyle="miter"/>
                        <v:imagedata o:title=""/>
                        <o:lock v:ext="edit" aspectratio="f"/>
                        <v:textbox>
                          <w:txbxContent>
                            <w:p w14:paraId="3304FD99">
                              <w:pPr>
                                <w:ind w:left="0" w:leftChars="0" w:firstLine="0" w:firstLineChars="0"/>
                                <w:jc w:val="center"/>
                              </w:pPr>
                              <w:r>
                                <w:rPr>
                                  <w:rFonts w:hint="eastAsia"/>
                                </w:rPr>
                                <w:t>检验</w:t>
                              </w:r>
                            </w:p>
                          </w:txbxContent>
                        </v:textbox>
                      </v:shape>
                      <v:line id="_x0000_s1026" o:spid="_x0000_s1026" o:spt="20" style="position:absolute;left:2989697;top:4854895;height:342967;width:0;" filled="f" stroked="t" coordsize="21600,21600" o:gfxdata="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YMx91wAAAAYBAAAPAAAAAAAAAAEAIAAAACIA&#10;AABkcnMvZG93bnJldi54bWxQSwECFAAUAAAACACHTuJAhv+fZQoCAAD1AwAADgAAAAAAAAABACAA&#10;AAAmAQAAZHJzL2Uyb0RvYy54bWxQSwUGAAAAAAYABgBZAQAAogUAAAAA&#10;">
                        <v:fill on="f" focussize="0,0"/>
                        <v:stroke color="#000000" joinstyle="round" endarrow="block"/>
                        <v:imagedata o:title=""/>
                        <o:lock v:ext="edit" aspectratio="f"/>
                      </v:line>
                      <v:shape id="_x0000_s1026" o:spid="_x0000_s1026" o:spt="202" type="#_x0000_t202" style="position:absolute;left:3210560;top:4864100;height:287655;width:494665;" fillcolor="#FFFFFF" filled="t" stroked="f" coordsize="21600,21600" o:gfxdata="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Af7y1AAAAAYBAAAPAAAAAAAAAAEAIAAAACIAAABkcnMv&#10;ZG93bnJldi54bWxQSwECFAAUAAAACACHTuJApti7R84BAACEAwAADgAAAAAAAAABACAAAAAjAQAA&#10;ZHJzL2Uyb0RvYy54bWxQSwUGAAAAAAYABgBZAQAAYwUAAAAA&#10;">
                        <v:fill on="t" focussize="0,0"/>
                        <v:stroke on="f"/>
                        <v:imagedata o:title=""/>
                        <o:lock v:ext="edit" aspectratio="f"/>
                        <v:textbox>
                          <w:txbxContent>
                            <w:p w14:paraId="28EC6452">
                              <w:pPr>
                                <w:ind w:left="0" w:leftChars="0" w:firstLine="0" w:firstLineChars="0"/>
                                <w:rPr>
                                  <w:rFonts w:hint="default" w:eastAsia="宋体"/>
                                  <w:lang w:val="en-US" w:eastAsia="zh-CN"/>
                                </w:rPr>
                              </w:pPr>
                              <w:r>
                                <w:rPr>
                                  <w:rFonts w:hint="eastAsia"/>
                                </w:rPr>
                                <w:t>S</w:t>
                              </w:r>
                              <w:r>
                                <w:rPr>
                                  <w:rFonts w:hint="eastAsia"/>
                                  <w:lang w:val="en-US" w:eastAsia="zh-CN"/>
                                </w:rPr>
                                <w:t>8</w:t>
                              </w:r>
                            </w:p>
                          </w:txbxContent>
                        </v:textbox>
                      </v:shape>
                      <v:line id="_x0000_s1026" o:spid="_x0000_s1026" o:spt="20" style="position:absolute;left:2142394;top:2837103;flip:y;height:0;width:367757;" filled="f" stroked="t" coordsize="21600,21600" o:gfxdata="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K/IOjXAAAABgEAAA8AAAAA&#10;AAAAAQAgAAAAIgAAAGRycy9kb3ducmV2LnhtbFBLAQIUABQAAAAIAIdO4kBnmvMvFQIAAP8DAAAO&#10;AAAAAAAAAAEAIAAAACYBAABkcnMvZTJvRG9jLnhtbFBLBQYAAAAABgAGAFkBAACtBQAAAAA=&#10;">
                        <v:fill on="f" focussize="0,0"/>
                        <v:stroke color="#000000" joinstyle="round" endarrow="block"/>
                        <v:imagedata o:title=""/>
                        <o:lock v:ext="edit" aspectratio="f"/>
                      </v:line>
                      <v:shape id="_x0000_s1026" o:spid="_x0000_s1026" o:spt="202" type="#_x0000_t202" style="position:absolute;left:1068070;top:2600325;height:607060;width:1093470;" fillcolor="#FFFFFF" filled="t" stroked="f" coordsize="21600,21600" o:gfxdata="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AH+8tQAAAAGAQAADwAAAAAAAAABACAAAAAiAAAAZHJzL2Rv&#10;d25yZXYueG1sUEsBAhQAFAAAAAgAh07iQKhAj+fMAQAAhQMAAA4AAAAAAAAAAQAgAAAAIwEAAGRy&#10;cy9lMm9Eb2MueG1sUEsFBgAAAAAGAAYAWQEAAGEFAAAAAA==&#10;">
                        <v:fill on="t" focussize="0,0"/>
                        <v:stroke on="f"/>
                        <v:imagedata o:title=""/>
                        <o:lock v:ext="edit" aspectratio="f"/>
                        <v:textbox>
                          <w:txbxContent>
                            <w:p w14:paraId="2E796FF4">
                              <w:pPr>
                                <w:ind w:left="0" w:leftChars="0" w:firstLine="0" w:firstLineChars="0"/>
                                <w:rPr>
                                  <w:rFonts w:hint="default" w:eastAsia="仿宋"/>
                                  <w:i/>
                                  <w:iCs/>
                                  <w:color w:val="auto"/>
                                  <w:highlight w:val="none"/>
                                  <w:lang w:val="en-US" w:eastAsia="zh-CN"/>
                                </w:rPr>
                              </w:pPr>
                              <w:r>
                                <w:rPr>
                                  <w:rFonts w:hint="eastAsia"/>
                                  <w:i/>
                                  <w:iCs/>
                                  <w:color w:val="auto"/>
                                  <w:highlight w:val="none"/>
                                </w:rPr>
                                <w:t>P</w:t>
                              </w:r>
                              <w:r>
                                <w:rPr>
                                  <w:i/>
                                  <w:iCs/>
                                  <w:color w:val="auto"/>
                                  <w:highlight w:val="none"/>
                                </w:rPr>
                                <w:t>E</w:t>
                              </w:r>
                              <w:r>
                                <w:rPr>
                                  <w:rFonts w:hint="eastAsia"/>
                                  <w:i/>
                                  <w:iCs/>
                                  <w:color w:val="auto"/>
                                  <w:highlight w:val="none"/>
                                  <w:lang w:eastAsia="zh-CN"/>
                                </w:rPr>
                                <w:t>、</w:t>
                              </w:r>
                              <w:r>
                                <w:rPr>
                                  <w:rFonts w:hint="eastAsia"/>
                                  <w:i/>
                                  <w:iCs/>
                                  <w:color w:val="auto"/>
                                  <w:highlight w:val="none"/>
                                  <w:lang w:val="en-US" w:eastAsia="zh-CN"/>
                                </w:rPr>
                                <w:t>PU、植绒布、EVA（牛皮纸）</w:t>
                              </w:r>
                            </w:p>
                          </w:txbxContent>
                        </v:textbox>
                      </v:shape>
                      <v:shape id="_x0000_s1026" o:spid="_x0000_s1026" o:spt="202" type="#_x0000_t202" style="position:absolute;left:3286760;top:1737360;height:264160;width:859790;" fillcolor="#FFFFFF" filled="t" stroked="f" coordsize="21600,21600" o:gfxdata="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Af7y1AAAAAYBAAAPAAAAAAAAAAEAIAAAACIAAABkcnMv&#10;ZG93bnJldi54bWxQSwECFAAUAAAACACHTuJAe84kTM4BAACEAwAADgAAAAAAAAABACAAAAAjAQAA&#10;ZHJzL2Uyb0RvYy54bWxQSwUGAAAAAAYABgBZAQAAYwUAAAAA&#10;">
                        <v:fill on="t" focussize="0,0"/>
                        <v:stroke on="f"/>
                        <v:imagedata o:title=""/>
                        <o:lock v:ext="edit" aspectratio="f"/>
                        <v:textbox>
                          <w:txbxContent>
                            <w:p w14:paraId="55735D7C">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lang w:val="en-US" w:eastAsia="zh-CN"/>
                                </w:rPr>
                              </w:pPr>
                              <w:r>
                                <w:rPr>
                                  <w:rFonts w:hint="eastAsia"/>
                                  <w:lang w:val="en-US" w:eastAsia="zh-CN"/>
                                </w:rPr>
                                <w:t>S6、S4、S5</w:t>
                              </w:r>
                            </w:p>
                          </w:txbxContent>
                        </v:textbox>
                      </v:shape>
                      <v:shape id="_x0000_s1026" o:spid="_x0000_s1026" o:spt="32" type="#_x0000_t32" style="position:absolute;left:3150235;top:1153795;flip:y;height:293370;width:0;" filled="f" stroked="t" coordsize="21600,21600" o:gfxdata="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ur+R0wAAAAYBAAAPAAAAAAAAAAEAIAAAACIAAABkcnMvZG93bnJldi54bWxQSwECFAAU&#10;AAAACACHTuJA1Uphpi8CAAAlBAAADgAAAAAAAAABACAAAAAiAQAAZHJzL2Uyb0RvYy54bWxQSwUG&#10;AAAAAAYABgBZAQAAwwUAAAAA&#10;">
                        <v:fill on="f" focussize="0,0"/>
                        <v:stroke weight="1pt" color="#000000 [3213]" miterlimit="8" joinstyle="miter" endarrow="block"/>
                        <v:imagedata o:title=""/>
                        <o:lock v:ext="edit" aspectratio="f"/>
                      </v:shape>
                      <v:shape id="_x0000_s1026" o:spid="_x0000_s1026" o:spt="32" type="#_x0000_t32" style="position:absolute;left:3128010;top:1718310;height:256540;width:6985;" filled="f" stroked="t" coordsize="21600,21600" o:gfxdata="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zdTWc1QAAAAYBAAAPAAAAAAAAAAEAIAAAACIAAABkcnMvZG93bnJldi54bWxQSwECFAAUAAAA&#10;CACHTuJANcoq2SoCAAAeBAAADgAAAAAAAAABACAAAAAkAQAAZHJzL2Uyb0RvYy54bWxQSwUGAAAA&#10;AAYABgBZAQAAwAUAAAAA&#10;">
                        <v:fill on="f" focussize="0,0"/>
                        <v:stroke weight="1pt" color="#000000 [3213]" miterlimit="8" joinstyle="miter" endarrow="block"/>
                        <v:imagedata o:title=""/>
                        <o:lock v:ext="edit" aspectratio="f"/>
                      </v:shape>
                      <v:shape id="_x0000_s1026" o:spid="_x0000_s1026" o:spt="32" type="#_x0000_t32" style="position:absolute;left:2790825;top:1791335;flip:x y;height:271145;width:6985;" filled="f" stroked="t" coordsize="21600,21600" o:gfxdata="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0Uvgz9cAAAAGAQAADwAAAAAAAAABACAAAAAiAAAAZHJzL2Rvd25y&#10;ZXYueG1sUEsBAhQAFAAAAAgAh07iQEoK1R44AgAAMgQAAA4AAAAAAAAAAQAgAAAAJgEAAGRycy9l&#10;Mm9Eb2MueG1sUEsFBgAAAAAGAAYAWQEAANAFAAAAAA==&#10;">
                        <v:fill on="f" focussize="0,0"/>
                        <v:stroke weight="1pt" color="#000000 [3213]" miterlimit="8" joinstyle="miter" endarrow="block"/>
                        <v:imagedata o:title=""/>
                        <o:lock v:ext="edit" aspectratio="f"/>
                      </v:shape>
                      <v:shape id="_x0000_s1026" o:spid="_x0000_s1026" o:spt="32" type="#_x0000_t32" style="position:absolute;left:0;top:0;height:0;width:0;" filled="f" stroked="t" coordsize="21600,21600" o:gfxdata="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tLDYtIAAAAGAQAADwAAAAAAAAABACAAAAAiAAAAZHJzL2Rvd25y&#10;ZXYueG1sUEsBAhQAFAAAAAgAh07iQAosw+sEAgAA3QMAAA4AAAAAAAAAAQAgAAAAIQEAAGRycy9l&#10;Mm9Eb2MueG1sUEsFBgAAAAAGAAYAWQEAAJcFAAAAAA==&#10;">
                        <v:fill on="f" focussize="0,0"/>
                        <v:stroke weight="1pt" color="#5B9BD5 [3204]" miterlimit="8" joinstyle="miter" endarrow="open"/>
                        <v:imagedata o:title=""/>
                        <o:lock v:ext="edit" aspectratio="f"/>
                      </v:shape>
                      <v:shape id="_x0000_s1026" o:spid="_x0000_s1026" o:spt="32" type="#_x0000_t32" style="position:absolute;left:3142615;top:4207510;height:285750;width:0;" filled="f" stroked="t" coordsize="21600,21600" o:gfxdata="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3U1nNUAAAAGAQAADwAAAAAAAAABACAAAAAiAAAAZHJzL2Rvd25yZXYueG1sUEsBAhQAFAAAAAgA&#10;h07iQJwfR+ooAgAAGwQAAA4AAAAAAAAAAQAgAAAAJAEAAGRycy9lMm9Eb2MueG1sUEsFBgAAAAAG&#10;AAYAWQEAAL4FAAAAAA==&#10;">
                        <v:fill on="f" focussize="0,0"/>
                        <v:stroke weight="1pt" color="#000000 [3213]" miterlimit="8" joinstyle="miter" endarrow="block"/>
                        <v:imagedata o:title=""/>
                        <o:lock v:ext="edit" aspectratio="f"/>
                      </v:shape>
                      <v:shape id="_x0000_s1026" o:spid="_x0000_s1026" o:spt="32" type="#_x0000_t32" style="position:absolute;left:3149600;top:4852035;height:241935;width:0;" filled="f" stroked="t" coordsize="21600,21600" o:gfxdata="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3U1nNUAAAAGAQAADwAAAAAAAAABACAAAAAiAAAAZHJzL2Rvd25yZXYueG1sUEsBAhQAFAAAAAgA&#10;h07iQKKxEn4oAgAAGwQAAA4AAAAAAAAAAQAgAAAAJAEAAGRycy9lMm9Eb2MueG1sUEsFBgAAAAAG&#10;AAYAWQEAAL4FAAAAAA==&#10;">
                        <v:fill on="f" focussize="0,0"/>
                        <v:stroke weight="1pt" color="#000000 [3213]" miterlimit="8" joinstyle="miter" endarrow="block"/>
                        <v:imagedata o:title=""/>
                        <o:lock v:ext="edit" aspectratio="f"/>
                      </v:shape>
                      <v:shape id="_x0000_s1026" o:spid="_x0000_s1026" o:spt="202" type="#_x0000_t202" style="position:absolute;left:2549525;top:5198110;height:313055;width:909320;" fillcolor="#FFFFFF [3201]" filled="t" stroked="t" coordsize="21600,21600" o:gfxdata="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JsqudQAAAAGAQAADwAAAAAAAAABACAAAAAiAAAAZHJzL2Rvd25yZXYueG1sUEsBAhQAFAAA&#10;AAgAh07iQPMuNuNlAgAAxAQAAA4AAAAAAAAAAQAgAAAAIwEAAGRycy9lMm9Eb2MueG1sUEsFBgAA&#10;AAAGAAYAWQEAAPoFAAAAAA==&#10;">
                        <v:fill on="t" focussize="0,0"/>
                        <v:stroke weight="0.5pt" color="#000000 [3204]" joinstyle="round"/>
                        <v:imagedata o:title=""/>
                        <o:lock v:ext="edit" aspectratio="f"/>
                        <v:textbox>
                          <w:txbxContent>
                            <w:p w14:paraId="75C480AA">
                              <w:pPr>
                                <w:ind w:left="0" w:leftChars="0" w:firstLine="0" w:firstLineChars="0"/>
                                <w:rPr>
                                  <w:rFonts w:hint="eastAsia" w:eastAsia="仿宋"/>
                                  <w:lang w:eastAsia="zh-CN"/>
                                </w:rPr>
                              </w:pPr>
                              <w:r>
                                <w:rPr>
                                  <w:rFonts w:hint="eastAsia"/>
                                  <w:lang w:eastAsia="zh-CN"/>
                                </w:rPr>
                                <w:t>包装入库</w:t>
                              </w:r>
                            </w:p>
                          </w:txbxContent>
                        </v:textbox>
                      </v:shape>
                      <v:shape id="_x0000_s1026" o:spid="_x0000_s1026" o:spt="32" type="#_x0000_t32" style="position:absolute;left:3003550;top:5511165;flip:x;height:273685;width:635;" filled="f" stroked="t" coordsize="21600,21600" o:gfxdata="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bq/kdMAAAAGAQAADwAAAAAAAAABACAAAAAiAAAAZHJz&#10;L2Rvd25yZXYueG1sUEsBAhQAFAAAAAgAh07iQJFxHRtCAgAASgQAAA4AAAAAAAAAAQAgAAAAIgEA&#10;AGRycy9lMm9Eb2MueG1sUEsFBgAAAAAGAAYAWQEAANYFAAAAAA==&#10;">
                        <v:fill on="f" focussize="0,0"/>
                        <v:stroke weight="1pt" color="#000000 [3213]" miterlimit="8" joinstyle="miter" endarrow="block"/>
                        <v:imagedata o:title=""/>
                        <o:lock v:ext="edit" aspectratio="f"/>
                      </v:shape>
                      <v:shape id="_x0000_s1026" o:spid="_x0000_s1026" o:spt="202" type="#_x0000_t202" style="position:absolute;left:3146425;top:5600065;height:287655;width:412115;" fillcolor="#FFFFFF" filled="t" stroked="f" coordsize="21600,21600" o:gfxdata="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AH+8tQAAAAGAQAADwAAAAAAAAABACAAAAAiAAAAZHJz&#10;L2Rvd25yZXYueG1sUEsBAhQAFAAAAAgAh07iQJjNTvXPAQAAhAMAAA4AAAAAAAAAAQAgAAAAIwEA&#10;AGRycy9lMm9Eb2MueG1sUEsFBgAAAAAGAAYAWQEAAGQFAAAAAA==&#10;">
                        <v:fill on="t" focussize="0,0"/>
                        <v:stroke on="f"/>
                        <v:imagedata o:title=""/>
                        <o:lock v:ext="edit" aspectratio="f"/>
                        <v:textbox>
                          <w:txbxContent>
                            <w:p w14:paraId="5C9274F8">
                              <w:pPr>
                                <w:ind w:left="0" w:leftChars="0" w:firstLine="0" w:firstLineChars="0"/>
                                <w:rPr>
                                  <w:rFonts w:hint="default" w:eastAsia="宋体"/>
                                  <w:lang w:val="en-US" w:eastAsia="zh-CN"/>
                                </w:rPr>
                              </w:pPr>
                              <w:r>
                                <w:rPr>
                                  <w:rFonts w:hint="eastAsia"/>
                                </w:rPr>
                                <w:t>S</w:t>
                              </w:r>
                              <w:r>
                                <w:rPr>
                                  <w:rFonts w:hint="eastAsia"/>
                                  <w:lang w:val="en-US" w:eastAsia="zh-CN"/>
                                </w:rPr>
                                <w:t>9</w:t>
                              </w:r>
                            </w:p>
                          </w:txbxContent>
                        </v:textbox>
                      </v:shape>
                      <v:shape id="_x0000_s1026" o:spid="_x0000_s1026" o:spt="32" type="#_x0000_t32" style="position:absolute;left:3166745;top:3669665;flip:y;height:293370;width:0;" filled="f" stroked="t" coordsize="21600,21600" o:gfxdata="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bq/kdMAAAAGAQAADwAAAAAAAAABACAAAAAiAAAAZHJzL2Rvd25yZXYueG1sUEsBAhQAFAAA&#10;AAgAh07iQFsIdkotAgAAIwQAAA4AAAAAAAAAAQAgAAAAIgEAAGRycy9lMm9Eb2MueG1sUEsFBgAA&#10;AAAGAAYAWQEAAMEFAAAAAA==&#10;">
                        <v:fill on="f" focussize="0,0"/>
                        <v:stroke weight="1pt" color="#000000 [3213]" miterlimit="8" joinstyle="miter" endarrow="block"/>
                        <v:imagedata o:title=""/>
                        <o:lock v:ext="edit" aspectratio="f"/>
                      </v:shape>
                      <v:shape id="_x0000_s1026" o:spid="_x0000_s1026" o:spt="202" type="#_x0000_t202" style="position:absolute;left:3227705;top:3539490;height:243840;width:391160;" fillcolor="#FFFFFF" filled="t" stroked="f" coordsize="21600,21600" o:gfxdata="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AH+8tQAAAAGAQAADwAAAAAAAAABACAAAAAiAAAAZHJz&#10;L2Rvd25yZXYueG1sUEsBAhQAFAAAAAgAh07iQBp2kKHPAQAAhAMAAA4AAAAAAAAAAQAgAAAAIwEA&#10;AGRycy9lMm9Eb2MueG1sUEsFBgAAAAAGAAYAWQEAAGQFAAAAAA==&#10;">
                        <v:fill on="t" focussize="0,0"/>
                        <v:stroke on="f"/>
                        <v:imagedata o:title=""/>
                        <o:lock v:ext="edit" aspectratio="f"/>
                        <v:textbox>
                          <w:txbxContent>
                            <w:p w14:paraId="7BC56433">
                              <w:pPr>
                                <w:ind w:left="0" w:leftChars="0" w:firstLine="0" w:firstLineChars="0"/>
                                <w:rPr>
                                  <w:rFonts w:hint="eastAsia" w:eastAsia="仿宋"/>
                                  <w:lang w:val="en-US" w:eastAsia="zh-CN"/>
                                </w:rPr>
                              </w:pPr>
                              <w:r>
                                <w:rPr>
                                  <w:rFonts w:hint="eastAsia"/>
                                  <w:lang w:val="en-US" w:eastAsia="zh-CN"/>
                                </w:rPr>
                                <w:t>N</w:t>
                              </w:r>
                            </w:p>
                          </w:txbxContent>
                        </v:textbox>
                      </v:shape>
                      <v:line id="_x0000_s1026" o:spid="_x0000_s1026" o:spt="20" style="position:absolute;left:3414395;top:2808605;flip:x y;height:9525;width:384810;" filled="f" stroked="t" coordsize="21600,21600" o:gfxdata="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glkr9YAAAAGAQAADwAAAAAAAAABACAAAAAiAAAAZHJzL2Rvd25yZXYueG1sUEsBAhQAFAAAAAgA&#10;h07iQCmrM44nAgAANgQAAA4AAAAAAAAAAQAgAAAAJQEAAGRycy9lMm9Eb2MueG1sUEsFBgAAAAAG&#10;AAYAWQEAAL4FAAAAAA==&#10;">
                        <v:fill on="f" focussize="0,0"/>
                        <v:stroke color="#000000" joinstyle="round" endarrow="block"/>
                        <v:imagedata o:title=""/>
                        <o:lock v:ext="edit" aspectratio="f"/>
                      </v:line>
                      <v:shape id="_x0000_s1026" o:spid="_x0000_s1026" o:spt="202" type="#_x0000_t202" style="position:absolute;left:3837305;top:2484755;height:644525;width:1093470;" fillcolor="#FFFFFF" filled="t" stroked="f" coordsize="21600,21600" o:gfxdata="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AH+8tQAAAAGAQAADwAAAAAAAAABACAAAAAiAAAA&#10;ZHJzL2Rvd25yZXYueG1sUEsBAhQAFAAAAAgAh07iQFHeE3fSAQAAhwMAAA4AAAAAAAAAAQAgAAAA&#10;IwEAAGRycy9lMm9Eb2MueG1sUEsFBgAAAAAGAAYAWQEAAGcFAAAAAA==&#10;">
                        <v:fill on="t" focussize="0,0"/>
                        <v:stroke on="f"/>
                        <v:imagedata o:title=""/>
                        <o:lock v:ext="edit" aspectratio="f"/>
                        <v:textbox>
                          <w:txbxContent>
                            <w:p w14:paraId="5EEA8BB8">
                              <w:pPr>
                                <w:ind w:left="0" w:leftChars="0" w:firstLine="0" w:firstLineChars="0"/>
                                <w:rPr>
                                  <w:rFonts w:hint="default" w:eastAsia="仿宋"/>
                                  <w:i/>
                                  <w:iCs/>
                                  <w:color w:val="auto"/>
                                  <w:highlight w:val="none"/>
                                  <w:lang w:val="en-US" w:eastAsia="zh-CN"/>
                                </w:rPr>
                              </w:pPr>
                              <w:r>
                                <w:rPr>
                                  <w:rFonts w:hint="eastAsia"/>
                                  <w:i/>
                                  <w:iCs/>
                                  <w:color w:val="auto"/>
                                  <w:highlight w:val="none"/>
                                </w:rPr>
                                <w:t>P</w:t>
                              </w:r>
                              <w:r>
                                <w:rPr>
                                  <w:i/>
                                  <w:iCs/>
                                  <w:color w:val="auto"/>
                                  <w:highlight w:val="none"/>
                                </w:rPr>
                                <w:t>E</w:t>
                              </w:r>
                              <w:r>
                                <w:rPr>
                                  <w:rFonts w:hint="eastAsia"/>
                                  <w:i/>
                                  <w:iCs/>
                                  <w:color w:val="auto"/>
                                  <w:highlight w:val="none"/>
                                  <w:lang w:eastAsia="zh-CN"/>
                                </w:rPr>
                                <w:t>、</w:t>
                              </w:r>
                              <w:r>
                                <w:rPr>
                                  <w:rFonts w:hint="eastAsia"/>
                                  <w:i/>
                                  <w:iCs/>
                                  <w:color w:val="auto"/>
                                  <w:highlight w:val="none"/>
                                  <w:lang w:val="en-US" w:eastAsia="zh-CN"/>
                                </w:rPr>
                                <w:t>PU、牛皮纸（白棉纸）</w:t>
                              </w:r>
                            </w:p>
                          </w:txbxContent>
                        </v:textbox>
                      </v:shape>
                      <w10:wrap type="none"/>
                      <w10:anchorlock/>
                    </v:group>
                  </w:pict>
                </mc:Fallback>
              </mc:AlternateContent>
            </w:r>
          </w:p>
          <w:p w14:paraId="20619787">
            <w:pPr>
              <w:pStyle w:val="75"/>
              <w:rPr>
                <w:b/>
                <w:bCs/>
                <w:color w:val="auto"/>
                <w:sz w:val="28"/>
              </w:rPr>
            </w:pPr>
            <w:r>
              <w:rPr>
                <w:rFonts w:hint="eastAsia"/>
                <w:color w:val="auto"/>
                <w:sz w:val="24"/>
              </w:rPr>
              <w:t>图2</w:t>
            </w:r>
            <w:r>
              <w:rPr>
                <w:color w:val="auto"/>
                <w:sz w:val="24"/>
              </w:rPr>
              <w:t>-</w:t>
            </w:r>
            <w:r>
              <w:rPr>
                <w:rFonts w:hint="eastAsia"/>
                <w:color w:val="auto"/>
                <w:sz w:val="24"/>
                <w:lang w:val="en-US" w:eastAsia="zh-CN"/>
              </w:rPr>
              <w:t>5涂布烘干一体机隔音、隔热</w:t>
            </w:r>
            <w:r>
              <w:rPr>
                <w:rFonts w:hint="eastAsia"/>
                <w:color w:val="auto"/>
                <w:sz w:val="24"/>
                <w:highlight w:val="none"/>
                <w:lang w:eastAsia="zh-CN"/>
              </w:rPr>
              <w:t>棉</w:t>
            </w:r>
            <w:r>
              <w:rPr>
                <w:rFonts w:hint="eastAsia"/>
                <w:color w:val="auto"/>
                <w:sz w:val="24"/>
              </w:rPr>
              <w:t>生产工艺流程及产污环节图</w:t>
            </w:r>
          </w:p>
          <w:p w14:paraId="23A0A30D">
            <w:pPr>
              <w:ind w:firstLine="562"/>
              <w:rPr>
                <w:rFonts w:hint="eastAsia"/>
                <w:b/>
                <w:bCs/>
                <w:color w:val="auto"/>
                <w:sz w:val="28"/>
              </w:rPr>
            </w:pPr>
          </w:p>
          <w:p w14:paraId="188724F1">
            <w:pPr>
              <w:ind w:firstLine="562"/>
              <w:rPr>
                <w:rFonts w:hint="eastAsia" w:ascii="仿宋" w:hAnsi="仿宋" w:eastAsia="仿宋" w:cs="仿宋"/>
                <w:color w:val="auto"/>
                <w:sz w:val="28"/>
                <w:szCs w:val="36"/>
              </w:rPr>
            </w:pPr>
            <w:r>
              <w:rPr>
                <w:rFonts w:hint="eastAsia"/>
                <w:b/>
                <w:bCs/>
                <w:color w:val="auto"/>
                <w:sz w:val="28"/>
              </w:rPr>
              <w:t>工艺流程简介：</w:t>
            </w:r>
          </w:p>
          <w:p w14:paraId="508F7E00">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yellow"/>
                <w:lang w:val="en-US" w:eastAsia="zh-CN"/>
              </w:rPr>
            </w:pPr>
            <w:r>
              <w:rPr>
                <w:rFonts w:hint="eastAsia" w:cs="仿宋"/>
                <w:color w:val="auto"/>
                <w:sz w:val="28"/>
                <w:szCs w:val="28"/>
                <w:lang w:eastAsia="zh-CN"/>
              </w:rPr>
              <w:t>人工</w:t>
            </w:r>
            <w:r>
              <w:rPr>
                <w:rFonts w:hint="eastAsia" w:ascii="仿宋" w:hAnsi="仿宋" w:eastAsia="仿宋" w:cs="仿宋"/>
                <w:color w:val="auto"/>
                <w:sz w:val="28"/>
                <w:szCs w:val="28"/>
              </w:rPr>
              <w:t>放卷</w:t>
            </w:r>
            <w:r>
              <w:rPr>
                <w:rFonts w:hint="eastAsia" w:cs="仿宋"/>
                <w:color w:val="auto"/>
                <w:sz w:val="28"/>
                <w:szCs w:val="28"/>
                <w:lang w:eastAsia="zh-CN"/>
              </w:rPr>
              <w:t>：</w:t>
            </w:r>
            <w:r>
              <w:rPr>
                <w:rFonts w:hint="eastAsia" w:ascii="仿宋" w:hAnsi="仿宋" w:eastAsia="仿宋" w:cs="仿宋"/>
                <w:color w:val="auto"/>
                <w:sz w:val="28"/>
                <w:szCs w:val="28"/>
                <w:highlight w:val="none"/>
                <w:lang w:val="en-US" w:eastAsia="zh-CN"/>
              </w:rPr>
              <w:t>人工将外购的</w:t>
            </w:r>
            <w:r>
              <w:rPr>
                <w:rFonts w:hint="eastAsia" w:cs="仿宋"/>
                <w:color w:val="auto"/>
                <w:sz w:val="28"/>
                <w:szCs w:val="28"/>
                <w:highlight w:val="none"/>
                <w:lang w:val="en-US" w:eastAsia="zh-CN"/>
              </w:rPr>
              <w:t>牛皮纸</w:t>
            </w:r>
            <w:r>
              <w:rPr>
                <w:rFonts w:hint="eastAsia" w:ascii="仿宋" w:hAnsi="仿宋" w:eastAsia="仿宋" w:cs="仿宋"/>
                <w:b w:val="0"/>
                <w:bCs w:val="0"/>
                <w:color w:val="auto"/>
                <w:sz w:val="28"/>
                <w:szCs w:val="28"/>
                <w:highlight w:val="none"/>
                <w:lang w:val="en-US" w:eastAsia="zh-CN"/>
              </w:rPr>
              <w:t>/白棉纸</w:t>
            </w:r>
            <w:r>
              <w:rPr>
                <w:rFonts w:hint="eastAsia" w:ascii="仿宋" w:hAnsi="仿宋" w:eastAsia="仿宋" w:cs="仿宋"/>
                <w:color w:val="auto"/>
                <w:sz w:val="28"/>
                <w:szCs w:val="28"/>
                <w:highlight w:val="none"/>
                <w:lang w:val="en-US" w:eastAsia="zh-CN"/>
              </w:rPr>
              <w:t>安放到</w:t>
            </w:r>
            <w:r>
              <w:rPr>
                <w:rFonts w:hint="eastAsia" w:cs="仿宋"/>
                <w:color w:val="auto"/>
                <w:sz w:val="28"/>
                <w:szCs w:val="28"/>
                <w:highlight w:val="none"/>
                <w:lang w:val="en-US" w:eastAsia="zh-CN"/>
              </w:rPr>
              <w:t>涂布辊</w:t>
            </w:r>
            <w:r>
              <w:rPr>
                <w:rFonts w:hint="eastAsia" w:ascii="仿宋" w:hAnsi="仿宋" w:eastAsia="仿宋" w:cs="仿宋"/>
                <w:color w:val="auto"/>
                <w:sz w:val="28"/>
                <w:szCs w:val="28"/>
                <w:highlight w:val="none"/>
                <w:lang w:val="en-US" w:eastAsia="zh-CN"/>
              </w:rPr>
              <w:t>上</w:t>
            </w:r>
            <w:r>
              <w:rPr>
                <w:rFonts w:hint="eastAsia" w:cs="仿宋"/>
                <w:color w:val="auto"/>
                <w:sz w:val="28"/>
                <w:szCs w:val="28"/>
                <w:highlight w:val="none"/>
                <w:lang w:val="en-US" w:eastAsia="zh-CN"/>
              </w:rPr>
              <w:t>，</w:t>
            </w:r>
            <w:r>
              <w:rPr>
                <w:rFonts w:hint="eastAsia" w:ascii="仿宋" w:hAnsi="仿宋" w:eastAsia="仿宋" w:cs="仿宋"/>
                <w:color w:val="auto"/>
                <w:sz w:val="28"/>
                <w:szCs w:val="28"/>
                <w:highlight w:val="none"/>
                <w:lang w:val="en-US" w:eastAsia="zh-CN"/>
              </w:rPr>
              <w:t>该工序无污染物产生。</w:t>
            </w:r>
          </w:p>
          <w:p w14:paraId="73E4112B">
            <w:pPr>
              <w:autoSpaceDE w:val="0"/>
              <w:autoSpaceDN w:val="0"/>
              <w:adjustRightInd w:val="0"/>
              <w:spacing w:line="360" w:lineRule="auto"/>
              <w:ind w:firstLine="560" w:firstLineChars="200"/>
              <w:jc w:val="left"/>
              <w:rPr>
                <w:rFonts w:hint="default" w:cs="仿宋"/>
                <w:color w:val="auto"/>
                <w:sz w:val="28"/>
                <w:szCs w:val="28"/>
                <w:lang w:val="en-US" w:eastAsia="zh-CN"/>
              </w:rPr>
            </w:pPr>
            <w:r>
              <w:rPr>
                <w:rFonts w:hint="eastAsia" w:ascii="仿宋" w:hAnsi="仿宋" w:eastAsia="仿宋" w:cs="仿宋"/>
                <w:color w:val="auto"/>
                <w:sz w:val="28"/>
                <w:szCs w:val="28"/>
              </w:rPr>
              <w:t>涂布</w:t>
            </w:r>
            <w:r>
              <w:rPr>
                <w:rFonts w:hint="eastAsia" w:cs="仿宋"/>
                <w:color w:val="auto"/>
                <w:sz w:val="28"/>
                <w:szCs w:val="28"/>
                <w:lang w:eastAsia="zh-CN"/>
              </w:rPr>
              <w:t>：</w:t>
            </w:r>
            <w:r>
              <w:rPr>
                <w:rFonts w:hint="eastAsia" w:ascii="仿宋" w:hAnsi="仿宋" w:eastAsia="仿宋" w:cs="仿宋"/>
                <w:color w:val="auto"/>
                <w:sz w:val="28"/>
                <w:szCs w:val="28"/>
              </w:rPr>
              <w:t>涂胶辊连续旋转，</w:t>
            </w:r>
            <w:r>
              <w:rPr>
                <w:rFonts w:hint="eastAsia" w:ascii="仿宋" w:hAnsi="仿宋" w:eastAsia="仿宋" w:cs="仿宋"/>
                <w:color w:val="auto"/>
                <w:sz w:val="28"/>
                <w:szCs w:val="28"/>
                <w:highlight w:val="none"/>
              </w:rPr>
              <w:t>下部浸入胶水槽</w:t>
            </w:r>
            <w:r>
              <w:rPr>
                <w:rFonts w:hint="eastAsia" w:ascii="仿宋" w:hAnsi="仿宋" w:eastAsia="仿宋" w:cs="仿宋"/>
                <w:color w:val="auto"/>
                <w:sz w:val="28"/>
                <w:szCs w:val="28"/>
              </w:rPr>
              <w:t>，表面均匀沾附胶水并带出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highlight w:val="none"/>
              </w:rPr>
              <w:t>刮刀</w:t>
            </w:r>
            <w:r>
              <w:rPr>
                <w:rFonts w:hint="eastAsia" w:ascii="仿宋" w:hAnsi="仿宋" w:eastAsia="仿宋" w:cs="仿宋"/>
                <w:color w:val="auto"/>
                <w:sz w:val="28"/>
                <w:szCs w:val="28"/>
              </w:rPr>
              <w:t>紧贴涂胶辊（或背辊），刮去辊面多余胶水，刮落的胶水回流至胶槽循环使用</w:t>
            </w:r>
            <w:r>
              <w:rPr>
                <w:rFonts w:hint="eastAsia" w:cs="仿宋"/>
                <w:color w:val="auto"/>
                <w:sz w:val="28"/>
                <w:szCs w:val="28"/>
                <w:lang w:eastAsia="zh-CN"/>
              </w:rPr>
              <w:t>；</w:t>
            </w:r>
            <w:r>
              <w:rPr>
                <w:rFonts w:hint="eastAsia" w:ascii="仿宋" w:hAnsi="仿宋" w:eastAsia="仿宋" w:cs="仿宋"/>
                <w:color w:val="auto"/>
                <w:sz w:val="28"/>
                <w:szCs w:val="28"/>
              </w:rPr>
              <w:t>涂胶辊与基材在压合区接触，胶膜从辊面转移到基材表面，形成连续均匀湿胶层</w:t>
            </w:r>
            <w:r>
              <w:rPr>
                <w:rFonts w:hint="eastAsia" w:ascii="仿宋" w:hAnsi="仿宋" w:eastAsia="仿宋" w:cs="仿宋"/>
                <w:color w:val="auto"/>
                <w:sz w:val="28"/>
                <w:szCs w:val="28"/>
                <w:lang w:eastAsia="zh-CN"/>
              </w:rPr>
              <w:t>，</w:t>
            </w:r>
            <w:r>
              <w:rPr>
                <w:rFonts w:hint="eastAsia" w:cs="仿宋"/>
                <w:color w:val="auto"/>
                <w:sz w:val="28"/>
                <w:szCs w:val="28"/>
                <w:lang w:val="en-US" w:eastAsia="zh-CN"/>
              </w:rPr>
              <w:t>涂布机将胶水均匀附着于外购的各类的</w:t>
            </w:r>
            <w:r>
              <w:rPr>
                <w:rFonts w:hint="eastAsia" w:cs="仿宋"/>
                <w:color w:val="auto"/>
                <w:sz w:val="28"/>
                <w:szCs w:val="28"/>
                <w:highlight w:val="none"/>
                <w:lang w:val="en-US" w:eastAsia="zh-CN"/>
              </w:rPr>
              <w:t>牛皮纸</w:t>
            </w:r>
            <w:r>
              <w:rPr>
                <w:rFonts w:hint="eastAsia" w:ascii="仿宋" w:hAnsi="仿宋" w:eastAsia="仿宋" w:cs="仿宋"/>
                <w:b w:val="0"/>
                <w:bCs w:val="0"/>
                <w:color w:val="auto"/>
                <w:sz w:val="28"/>
                <w:szCs w:val="28"/>
                <w:highlight w:val="none"/>
                <w:lang w:val="en-US" w:eastAsia="zh-CN"/>
              </w:rPr>
              <w:t>/白棉纸</w:t>
            </w:r>
            <w:r>
              <w:rPr>
                <w:rFonts w:hint="eastAsia" w:cs="仿宋"/>
                <w:color w:val="auto"/>
                <w:sz w:val="28"/>
                <w:szCs w:val="28"/>
                <w:highlight w:val="none"/>
                <w:lang w:val="en-US" w:eastAsia="zh-CN"/>
              </w:rPr>
              <w:t>上</w:t>
            </w:r>
            <w:r>
              <w:rPr>
                <w:rFonts w:hint="eastAsia" w:cs="仿宋"/>
                <w:color w:val="auto"/>
                <w:sz w:val="28"/>
                <w:szCs w:val="28"/>
                <w:lang w:val="en-US" w:eastAsia="zh-CN"/>
              </w:rPr>
              <w:t>，</w:t>
            </w:r>
            <w:r>
              <w:rPr>
                <w:rFonts w:hint="eastAsia" w:ascii="仿宋" w:hAnsi="仿宋" w:eastAsia="仿宋" w:cs="仿宋"/>
                <w:color w:val="auto"/>
                <w:sz w:val="28"/>
                <w:szCs w:val="28"/>
                <w:highlight w:val="none"/>
              </w:rPr>
              <w:t>采用单侧涂布</w:t>
            </w:r>
            <w:r>
              <w:rPr>
                <w:rFonts w:hint="eastAsia" w:cs="仿宋"/>
                <w:color w:val="auto"/>
                <w:sz w:val="28"/>
                <w:szCs w:val="28"/>
                <w:highlight w:val="none"/>
                <w:lang w:eastAsia="zh-CN"/>
              </w:rPr>
              <w:t>，</w:t>
            </w:r>
            <w:r>
              <w:rPr>
                <w:rFonts w:hint="eastAsia" w:cs="仿宋"/>
                <w:color w:val="auto"/>
                <w:sz w:val="28"/>
                <w:szCs w:val="28"/>
                <w:lang w:val="en-US" w:eastAsia="zh-CN"/>
              </w:rPr>
              <w:t>随后进入下一步工序。涂布采用设备</w:t>
            </w:r>
            <w:r>
              <w:rPr>
                <w:rFonts w:hint="eastAsia" w:cs="仿宋"/>
                <w:color w:val="auto"/>
                <w:sz w:val="28"/>
                <w:szCs w:val="28"/>
                <w:highlight w:val="none"/>
                <w:lang w:val="en-US" w:eastAsia="zh-CN"/>
              </w:rPr>
              <w:t>自动操</w:t>
            </w:r>
            <w:r>
              <w:rPr>
                <w:rFonts w:hint="eastAsia" w:cs="仿宋"/>
                <w:color w:val="auto"/>
                <w:sz w:val="28"/>
                <w:szCs w:val="28"/>
                <w:lang w:val="en-US" w:eastAsia="zh-CN"/>
              </w:rPr>
              <w:t>作的方式进行。此过程会产生少量的</w:t>
            </w:r>
            <w:r>
              <w:rPr>
                <w:rFonts w:hint="eastAsia" w:cs="仿宋"/>
                <w:color w:val="auto"/>
                <w:sz w:val="28"/>
                <w:szCs w:val="28"/>
                <w:highlight w:val="none"/>
                <w:lang w:val="en-US" w:eastAsia="zh-CN"/>
              </w:rPr>
              <w:t>涂布废</w:t>
            </w:r>
            <w:r>
              <w:rPr>
                <w:rFonts w:hint="eastAsia" w:cs="仿宋"/>
                <w:color w:val="auto"/>
                <w:sz w:val="28"/>
                <w:szCs w:val="28"/>
                <w:lang w:val="en-US" w:eastAsia="zh-CN"/>
              </w:rPr>
              <w:t>气（G2-1）、废纸（S4）</w:t>
            </w:r>
            <w:r>
              <w:rPr>
                <w:rFonts w:hint="eastAsia" w:cs="仿宋"/>
                <w:color w:val="auto"/>
                <w:sz w:val="28"/>
                <w:szCs w:val="28"/>
                <w:lang w:eastAsia="zh-CN"/>
              </w:rPr>
              <w:t>、</w:t>
            </w:r>
            <w:r>
              <w:rPr>
                <w:rFonts w:hint="eastAsia" w:cs="仿宋"/>
                <w:color w:val="auto"/>
                <w:sz w:val="28"/>
                <w:szCs w:val="28"/>
                <w:lang w:val="en-US" w:eastAsia="zh-CN"/>
              </w:rPr>
              <w:t>废胶桶（</w:t>
            </w:r>
            <w:r>
              <w:rPr>
                <w:rFonts w:hint="eastAsia" w:cs="仿宋"/>
                <w:color w:val="auto"/>
                <w:sz w:val="28"/>
                <w:szCs w:val="28"/>
                <w:highlight w:val="none"/>
                <w:lang w:val="en-US" w:eastAsia="zh-CN"/>
              </w:rPr>
              <w:t>S5）</w:t>
            </w:r>
            <w:r>
              <w:rPr>
                <w:rFonts w:hint="eastAsia" w:cs="仿宋"/>
                <w:color w:val="auto"/>
                <w:sz w:val="28"/>
                <w:szCs w:val="28"/>
                <w:lang w:val="en-US" w:eastAsia="zh-CN"/>
              </w:rPr>
              <w:t>。</w:t>
            </w:r>
          </w:p>
          <w:p w14:paraId="24AD0AED">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cs="仿宋"/>
                <w:color w:val="auto"/>
                <w:sz w:val="28"/>
                <w:szCs w:val="28"/>
                <w:highlight w:val="none"/>
                <w:lang w:eastAsia="zh-CN"/>
              </w:rPr>
              <w:t>涂布机每日完成涂布后</w:t>
            </w:r>
            <w:r>
              <w:rPr>
                <w:rFonts w:hint="eastAsia" w:ascii="仿宋" w:hAnsi="仿宋" w:eastAsia="仿宋" w:cs="仿宋"/>
                <w:color w:val="auto"/>
                <w:sz w:val="28"/>
                <w:szCs w:val="28"/>
                <w:highlight w:val="none"/>
              </w:rPr>
              <w:t>，需</w:t>
            </w:r>
            <w:r>
              <w:rPr>
                <w:rFonts w:hint="eastAsia" w:cs="仿宋"/>
                <w:color w:val="auto"/>
                <w:sz w:val="28"/>
                <w:szCs w:val="28"/>
                <w:highlight w:val="none"/>
                <w:lang w:eastAsia="zh-CN"/>
              </w:rPr>
              <w:t>人工</w:t>
            </w:r>
            <w:r>
              <w:rPr>
                <w:rFonts w:hint="eastAsia" w:ascii="仿宋" w:hAnsi="仿宋" w:eastAsia="仿宋" w:cs="仿宋"/>
                <w:color w:val="auto"/>
                <w:sz w:val="28"/>
                <w:szCs w:val="28"/>
                <w:highlight w:val="none"/>
              </w:rPr>
              <w:t>用</w:t>
            </w:r>
            <w:r>
              <w:rPr>
                <w:rFonts w:hint="eastAsia" w:cs="仿宋"/>
                <w:color w:val="auto"/>
                <w:sz w:val="28"/>
                <w:szCs w:val="28"/>
                <w:highlight w:val="none"/>
                <w:lang w:eastAsia="zh-CN"/>
              </w:rPr>
              <w:t>抹布擦</w:t>
            </w:r>
            <w:r>
              <w:rPr>
                <w:rFonts w:hint="eastAsia" w:ascii="仿宋" w:hAnsi="仿宋" w:eastAsia="仿宋" w:cs="仿宋"/>
                <w:color w:val="auto"/>
                <w:sz w:val="28"/>
                <w:szCs w:val="28"/>
                <w:highlight w:val="none"/>
              </w:rPr>
              <w:t>洗涂布机，</w:t>
            </w:r>
            <w:r>
              <w:rPr>
                <w:rFonts w:hint="eastAsia" w:cs="仿宋"/>
                <w:color w:val="auto"/>
                <w:sz w:val="28"/>
                <w:szCs w:val="28"/>
                <w:highlight w:val="none"/>
                <w:lang w:eastAsia="zh-CN"/>
              </w:rPr>
              <w:t>擦</w:t>
            </w:r>
            <w:r>
              <w:rPr>
                <w:rFonts w:hint="eastAsia" w:ascii="仿宋" w:hAnsi="仿宋" w:eastAsia="仿宋" w:cs="仿宋"/>
                <w:color w:val="auto"/>
                <w:sz w:val="28"/>
                <w:szCs w:val="28"/>
                <w:highlight w:val="none"/>
              </w:rPr>
              <w:t>洗过程产生的废</w:t>
            </w:r>
            <w:r>
              <w:rPr>
                <w:rFonts w:hint="eastAsia" w:cs="仿宋"/>
                <w:color w:val="auto"/>
                <w:sz w:val="28"/>
                <w:szCs w:val="28"/>
                <w:highlight w:val="none"/>
                <w:lang w:eastAsia="zh-CN"/>
              </w:rPr>
              <w:t>抹布</w:t>
            </w:r>
            <w:r>
              <w:rPr>
                <w:rFonts w:hint="eastAsia" w:cs="仿宋"/>
                <w:color w:val="auto"/>
                <w:sz w:val="28"/>
                <w:szCs w:val="28"/>
                <w:highlight w:val="none"/>
                <w:lang w:val="en-US" w:eastAsia="zh-CN"/>
              </w:rPr>
              <w:t>S8，</w:t>
            </w:r>
            <w:r>
              <w:rPr>
                <w:rFonts w:hint="eastAsia" w:ascii="仿宋" w:hAnsi="仿宋" w:eastAsia="仿宋" w:cs="仿宋"/>
                <w:color w:val="auto"/>
                <w:sz w:val="28"/>
                <w:szCs w:val="28"/>
                <w:highlight w:val="none"/>
              </w:rPr>
              <w:t>经收集后</w:t>
            </w:r>
            <w:r>
              <w:rPr>
                <w:rFonts w:hint="eastAsia" w:cs="仿宋"/>
                <w:color w:val="auto"/>
                <w:sz w:val="28"/>
                <w:szCs w:val="28"/>
                <w:highlight w:val="none"/>
                <w:lang w:eastAsia="zh-CN"/>
              </w:rPr>
              <w:t>交由物资回收单位</w:t>
            </w:r>
            <w:r>
              <w:rPr>
                <w:rFonts w:hint="eastAsia" w:ascii="仿宋" w:hAnsi="仿宋" w:eastAsia="仿宋" w:cs="仿宋"/>
                <w:color w:val="auto"/>
                <w:sz w:val="28"/>
                <w:szCs w:val="28"/>
                <w:highlight w:val="none"/>
              </w:rPr>
              <w:t>处理。</w:t>
            </w:r>
          </w:p>
          <w:p w14:paraId="7C726C54">
            <w:pPr>
              <w:pStyle w:val="46"/>
              <w:keepNext w:val="0"/>
              <w:keepLines w:val="0"/>
              <w:pageBreakBefore w:val="0"/>
              <w:widowControl w:val="0"/>
              <w:kinsoku/>
              <w:wordWrap/>
              <w:overflowPunct/>
              <w:topLinePunct w:val="0"/>
              <w:autoSpaceDE w:val="0"/>
              <w:autoSpaceDN w:val="0"/>
              <w:bidi w:val="0"/>
              <w:adjustRightInd w:val="0"/>
              <w:snapToGrid/>
              <w:spacing w:line="360" w:lineRule="auto"/>
              <w:ind w:right="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b w:val="0"/>
                <w:bCs/>
                <w:color w:val="auto"/>
                <w:sz w:val="28"/>
                <w:szCs w:val="28"/>
              </w:rPr>
              <w:t>烘</w:t>
            </w:r>
            <w:r>
              <w:rPr>
                <w:rFonts w:hint="eastAsia" w:ascii="仿宋" w:hAnsi="仿宋" w:eastAsia="仿宋" w:cs="仿宋"/>
                <w:b w:val="0"/>
                <w:bCs/>
                <w:color w:val="auto"/>
                <w:sz w:val="28"/>
                <w:szCs w:val="28"/>
                <w:lang w:eastAsia="zh-CN"/>
              </w:rPr>
              <w:t>烤</w:t>
            </w:r>
            <w:r>
              <w:rPr>
                <w:rFonts w:hint="eastAsia" w:ascii="仿宋" w:hAnsi="仿宋" w:eastAsia="仿宋" w:cs="仿宋"/>
                <w:b w:val="0"/>
                <w:bCs/>
                <w:color w:val="auto"/>
                <w:sz w:val="28"/>
                <w:szCs w:val="28"/>
                <w:lang w:val="en-US" w:eastAsia="zh-CN"/>
              </w:rPr>
              <w:t>：</w:t>
            </w:r>
            <w:r>
              <w:rPr>
                <w:rFonts w:hint="eastAsia" w:ascii="仿宋" w:hAnsi="仿宋" w:eastAsia="仿宋" w:cs="仿宋"/>
                <w:b w:val="0"/>
                <w:bCs w:val="0"/>
                <w:color w:val="auto"/>
                <w:sz w:val="28"/>
                <w:szCs w:val="28"/>
                <w:lang w:val="en-US" w:eastAsia="zh-CN"/>
              </w:rPr>
              <w:t>将涂布后</w:t>
            </w:r>
            <w:r>
              <w:rPr>
                <w:rFonts w:hint="eastAsia" w:ascii="仿宋" w:hAnsi="仿宋" w:eastAsia="仿宋" w:cs="仿宋"/>
                <w:b w:val="0"/>
                <w:bCs w:val="0"/>
                <w:color w:val="auto"/>
                <w:sz w:val="28"/>
                <w:szCs w:val="28"/>
                <w:highlight w:val="none"/>
                <w:lang w:val="en-US" w:eastAsia="zh-CN"/>
              </w:rPr>
              <w:t>牛皮纸/白棉纸</w:t>
            </w:r>
            <w:r>
              <w:rPr>
                <w:rFonts w:hint="eastAsia" w:ascii="仿宋" w:hAnsi="仿宋" w:eastAsia="仿宋" w:cs="仿宋"/>
                <w:b w:val="0"/>
                <w:bCs w:val="0"/>
                <w:color w:val="auto"/>
                <w:sz w:val="28"/>
                <w:szCs w:val="28"/>
                <w:lang w:val="en-US" w:eastAsia="zh-CN"/>
              </w:rPr>
              <w:t>的半成品经导辊送入</w:t>
            </w:r>
            <w:r>
              <w:rPr>
                <w:rFonts w:hint="eastAsia" w:ascii="仿宋" w:hAnsi="仿宋" w:eastAsia="仿宋" w:cs="仿宋"/>
                <w:b w:val="0"/>
                <w:bCs w:val="0"/>
                <w:color w:val="auto"/>
                <w:sz w:val="28"/>
                <w:szCs w:val="28"/>
                <w:highlight w:val="none"/>
                <w:lang w:val="en-US" w:eastAsia="zh-CN"/>
              </w:rPr>
              <w:t>烘箱</w:t>
            </w:r>
            <w:r>
              <w:rPr>
                <w:rFonts w:hint="eastAsia" w:ascii="仿宋" w:hAnsi="仿宋" w:eastAsia="仿宋" w:cs="仿宋"/>
                <w:b w:val="0"/>
                <w:bCs w:val="0"/>
                <w:color w:val="auto"/>
                <w:sz w:val="28"/>
                <w:szCs w:val="28"/>
                <w:lang w:val="en-US" w:eastAsia="zh-CN"/>
              </w:rPr>
              <w:t>内进行烘干，烘烤采用电加热的方式。加热温度</w:t>
            </w:r>
            <w:r>
              <w:rPr>
                <w:rFonts w:hint="eastAsia" w:ascii="仿宋" w:hAnsi="仿宋" w:eastAsia="仿宋" w:cs="仿宋"/>
                <w:b w:val="0"/>
                <w:bCs w:val="0"/>
                <w:color w:val="auto"/>
                <w:sz w:val="28"/>
                <w:szCs w:val="28"/>
                <w:highlight w:val="none"/>
                <w:lang w:val="en-US" w:eastAsia="zh-CN"/>
              </w:rPr>
              <w:t>约100℃，两台涂布烘干机烘道长度分别约为22m和13m，涂布烘干机的传送速度根据不同产品进行调整，平均加热时间约2min</w:t>
            </w:r>
            <w:r>
              <w:rPr>
                <w:rFonts w:hint="eastAsia" w:ascii="仿宋" w:hAnsi="仿宋" w:eastAsia="仿宋" w:cs="仿宋"/>
                <w:b w:val="0"/>
                <w:bCs w:val="0"/>
                <w:color w:val="auto"/>
                <w:sz w:val="28"/>
                <w:szCs w:val="28"/>
                <w:lang w:val="en-US" w:eastAsia="zh-CN"/>
              </w:rPr>
              <w:t>，制品成型完毕后由设备后端传动带输出，在</w:t>
            </w:r>
            <w:r>
              <w:rPr>
                <w:rFonts w:hint="eastAsia" w:ascii="仿宋" w:hAnsi="仿宋" w:eastAsia="仿宋" w:cs="仿宋"/>
                <w:b w:val="0"/>
                <w:bCs w:val="0"/>
                <w:color w:val="auto"/>
                <w:sz w:val="28"/>
                <w:szCs w:val="28"/>
                <w:highlight w:val="none"/>
                <w:lang w:val="en-US" w:eastAsia="zh-CN"/>
              </w:rPr>
              <w:t>自然状态下晾干使其冷却。</w:t>
            </w:r>
            <w:r>
              <w:rPr>
                <w:rFonts w:hint="eastAsia" w:ascii="仿宋" w:hAnsi="仿宋" w:eastAsia="仿宋" w:cs="仿宋"/>
                <w:b w:val="0"/>
                <w:bCs w:val="0"/>
                <w:color w:val="auto"/>
                <w:sz w:val="28"/>
                <w:szCs w:val="28"/>
                <w:lang w:val="en-US" w:eastAsia="zh-CN"/>
              </w:rPr>
              <w:t>此过程会产生烘烤废气（G2-2）</w:t>
            </w:r>
            <w:r>
              <w:rPr>
                <w:rFonts w:hint="eastAsia" w:ascii="仿宋" w:hAnsi="仿宋" w:eastAsia="仿宋" w:cs="仿宋"/>
                <w:b w:val="0"/>
                <w:bCs/>
                <w:color w:val="auto"/>
                <w:sz w:val="28"/>
                <w:szCs w:val="28"/>
                <w:lang w:eastAsia="zh-CN"/>
              </w:rPr>
              <w:t>。</w:t>
            </w:r>
          </w:p>
          <w:p w14:paraId="7B8BB8DF">
            <w:pPr>
              <w:autoSpaceDE w:val="0"/>
              <w:autoSpaceDN w:val="0"/>
              <w:adjustRightInd w:val="0"/>
              <w:spacing w:line="360" w:lineRule="auto"/>
              <w:ind w:firstLine="560" w:firstLineChars="200"/>
              <w:jc w:val="left"/>
              <w:rPr>
                <w:rFonts w:hint="eastAsia" w:ascii="仿宋" w:hAnsi="仿宋" w:eastAsia="仿宋" w:cs="仿宋"/>
                <w:b w:val="0"/>
                <w:bCs w:val="0"/>
                <w:i/>
                <w:iCs/>
                <w:color w:val="auto"/>
                <w:sz w:val="28"/>
                <w:szCs w:val="28"/>
                <w:lang w:val="en-US" w:eastAsia="zh-CN"/>
              </w:rPr>
            </w:pPr>
            <w:r>
              <w:rPr>
                <w:rFonts w:hint="eastAsia" w:ascii="仿宋" w:hAnsi="仿宋" w:eastAsia="仿宋" w:cs="仿宋"/>
                <w:i/>
                <w:iCs/>
                <w:color w:val="auto"/>
                <w:sz w:val="28"/>
                <w:szCs w:val="28"/>
              </w:rPr>
              <w:t>贴合</w:t>
            </w:r>
            <w:r>
              <w:rPr>
                <w:rFonts w:hint="eastAsia" w:cs="仿宋"/>
                <w:i/>
                <w:iCs/>
                <w:color w:val="auto"/>
                <w:sz w:val="28"/>
                <w:szCs w:val="28"/>
                <w:lang w:eastAsia="zh-CN"/>
              </w:rPr>
              <w:t>：</w:t>
            </w:r>
            <w:r>
              <w:rPr>
                <w:rFonts w:hint="eastAsia" w:ascii="仿宋" w:hAnsi="仿宋" w:eastAsia="仿宋" w:cs="仿宋"/>
                <w:b w:val="0"/>
                <w:bCs w:val="0"/>
                <w:i/>
                <w:iCs/>
                <w:color w:val="auto"/>
                <w:sz w:val="28"/>
                <w:szCs w:val="28"/>
                <w:lang w:val="en-US" w:eastAsia="zh-CN"/>
              </w:rPr>
              <w:t>经过烘烤后的半成品，通过人工将各种类型的产品按照其组成成分的不同而进行粘贴，</w:t>
            </w:r>
            <w:r>
              <w:rPr>
                <w:rFonts w:hint="eastAsia" w:ascii="仿宋" w:hAnsi="仿宋" w:eastAsia="仿宋" w:cs="仿宋"/>
                <w:i/>
                <w:iCs/>
                <w:color w:val="auto"/>
                <w:sz w:val="28"/>
                <w:szCs w:val="28"/>
                <w:lang w:val="en-US" w:eastAsia="zh-CN"/>
              </w:rPr>
              <w:t>粘贴的物料主要为</w:t>
            </w:r>
            <w:r>
              <w:rPr>
                <w:rFonts w:hint="eastAsia" w:ascii="仿宋" w:hAnsi="仿宋" w:eastAsia="仿宋" w:cs="仿宋"/>
                <w:b w:val="0"/>
                <w:bCs w:val="0"/>
                <w:i/>
                <w:iCs/>
                <w:color w:val="auto"/>
                <w:sz w:val="28"/>
                <w:szCs w:val="28"/>
                <w:lang w:val="en-US" w:eastAsia="zh-CN"/>
              </w:rPr>
              <w:t>PU、PE、</w:t>
            </w:r>
            <w:r>
              <w:rPr>
                <w:rFonts w:hint="eastAsia" w:cs="仿宋"/>
                <w:b w:val="0"/>
                <w:bCs w:val="0"/>
                <w:i/>
                <w:iCs/>
                <w:color w:val="auto"/>
                <w:sz w:val="28"/>
                <w:szCs w:val="28"/>
                <w:lang w:val="en-US" w:eastAsia="zh-CN"/>
              </w:rPr>
              <w:t>植绒布</w:t>
            </w:r>
            <w:r>
              <w:rPr>
                <w:rFonts w:hint="eastAsia" w:ascii="仿宋" w:hAnsi="仿宋" w:eastAsia="仿宋" w:cs="仿宋"/>
                <w:b w:val="0"/>
                <w:bCs w:val="0"/>
                <w:i/>
                <w:iCs/>
                <w:color w:val="auto"/>
                <w:sz w:val="28"/>
                <w:szCs w:val="28"/>
                <w:lang w:val="en-US" w:eastAsia="zh-CN"/>
              </w:rPr>
              <w:t>、</w:t>
            </w:r>
            <w:r>
              <w:rPr>
                <w:rFonts w:hint="eastAsia" w:cs="仿宋"/>
                <w:b w:val="0"/>
                <w:bCs w:val="0"/>
                <w:i/>
                <w:iCs/>
                <w:color w:val="auto"/>
                <w:sz w:val="28"/>
                <w:szCs w:val="28"/>
                <w:lang w:val="en-US" w:eastAsia="zh-CN"/>
              </w:rPr>
              <w:t>EVA</w:t>
            </w:r>
            <w:r>
              <w:rPr>
                <w:rFonts w:hint="eastAsia" w:ascii="仿宋" w:hAnsi="仿宋" w:eastAsia="仿宋" w:cs="仿宋"/>
                <w:i/>
                <w:iCs/>
                <w:color w:val="auto"/>
                <w:sz w:val="28"/>
                <w:szCs w:val="28"/>
                <w:lang w:val="en-US" w:eastAsia="zh-CN"/>
              </w:rPr>
              <w:t>等</w:t>
            </w:r>
            <w:r>
              <w:rPr>
                <w:rFonts w:hint="eastAsia" w:ascii="仿宋" w:hAnsi="仿宋" w:eastAsia="仿宋" w:cs="仿宋"/>
                <w:b w:val="0"/>
                <w:bCs w:val="0"/>
                <w:i/>
                <w:iCs/>
                <w:color w:val="auto"/>
                <w:sz w:val="28"/>
                <w:szCs w:val="28"/>
                <w:lang w:val="en-US" w:eastAsia="zh-CN"/>
              </w:rPr>
              <w:t>。</w:t>
            </w:r>
            <w:r>
              <w:rPr>
                <w:rFonts w:hint="eastAsia" w:cs="仿宋"/>
                <w:b w:val="0"/>
                <w:bCs w:val="0"/>
                <w:i/>
                <w:iCs/>
                <w:color w:val="auto"/>
                <w:sz w:val="28"/>
                <w:szCs w:val="28"/>
                <w:lang w:val="en-US" w:eastAsia="zh-CN"/>
              </w:rPr>
              <w:t>其中白棉纸的粘贴的物料主要为</w:t>
            </w:r>
            <w:r>
              <w:rPr>
                <w:rFonts w:hint="eastAsia" w:ascii="仿宋" w:hAnsi="仿宋" w:eastAsia="仿宋" w:cs="仿宋"/>
                <w:b w:val="0"/>
                <w:bCs w:val="0"/>
                <w:i/>
                <w:iCs/>
                <w:color w:val="auto"/>
                <w:sz w:val="28"/>
                <w:szCs w:val="28"/>
                <w:lang w:val="en-US" w:eastAsia="zh-CN"/>
              </w:rPr>
              <w:t>PU、PE</w:t>
            </w:r>
            <w:r>
              <w:rPr>
                <w:rFonts w:hint="eastAsia" w:cs="仿宋"/>
                <w:b w:val="0"/>
                <w:bCs w:val="0"/>
                <w:i/>
                <w:iCs/>
                <w:color w:val="auto"/>
                <w:sz w:val="28"/>
                <w:szCs w:val="28"/>
                <w:lang w:val="en-US" w:eastAsia="zh-CN"/>
              </w:rPr>
              <w:t>和牛皮纸，一侧粘贴</w:t>
            </w:r>
            <w:r>
              <w:rPr>
                <w:rFonts w:hint="eastAsia" w:ascii="仿宋" w:hAnsi="仿宋" w:eastAsia="仿宋" w:cs="仿宋"/>
                <w:b w:val="0"/>
                <w:bCs w:val="0"/>
                <w:i/>
                <w:iCs/>
                <w:color w:val="auto"/>
                <w:sz w:val="28"/>
                <w:szCs w:val="28"/>
                <w:lang w:val="en-US" w:eastAsia="zh-CN"/>
              </w:rPr>
              <w:t>PU、PE</w:t>
            </w:r>
            <w:r>
              <w:rPr>
                <w:rFonts w:hint="eastAsia" w:cs="仿宋"/>
                <w:b w:val="0"/>
                <w:bCs w:val="0"/>
                <w:i/>
                <w:iCs/>
                <w:color w:val="auto"/>
                <w:sz w:val="28"/>
                <w:szCs w:val="28"/>
                <w:lang w:val="en-US" w:eastAsia="zh-CN"/>
              </w:rPr>
              <w:t>，另一侧粘贴牛皮纸，需粘贴的</w:t>
            </w:r>
            <w:r>
              <w:rPr>
                <w:rFonts w:hint="eastAsia" w:ascii="仿宋" w:hAnsi="仿宋" w:eastAsia="仿宋" w:cs="仿宋"/>
                <w:b w:val="0"/>
                <w:bCs w:val="0"/>
                <w:i/>
                <w:iCs/>
                <w:color w:val="auto"/>
                <w:sz w:val="28"/>
                <w:szCs w:val="28"/>
                <w:lang w:val="en-US" w:eastAsia="zh-CN"/>
              </w:rPr>
              <w:t>PU、PE</w:t>
            </w:r>
            <w:r>
              <w:rPr>
                <w:rFonts w:hint="eastAsia" w:cs="仿宋"/>
                <w:b w:val="0"/>
                <w:bCs w:val="0"/>
                <w:i/>
                <w:iCs/>
                <w:color w:val="auto"/>
                <w:sz w:val="28"/>
                <w:szCs w:val="28"/>
                <w:lang w:val="en-US" w:eastAsia="zh-CN"/>
              </w:rPr>
              <w:t>量约占对应产品总量的1%；一次粘贴一种物料，</w:t>
            </w:r>
            <w:r>
              <w:rPr>
                <w:rFonts w:hint="eastAsia" w:ascii="仿宋" w:hAnsi="仿宋" w:eastAsia="仿宋" w:cs="仿宋"/>
                <w:b w:val="0"/>
                <w:bCs w:val="0"/>
                <w:i/>
                <w:iCs/>
                <w:color w:val="auto"/>
                <w:sz w:val="28"/>
                <w:szCs w:val="28"/>
                <w:lang w:val="en-US" w:eastAsia="zh-CN"/>
              </w:rPr>
              <w:t>粘贴过程中使用的原辅材料均不涉及有机废气的排放，均为外购的成品，待撕下保护层之后即可使用。此过程会产生少量的废纸（S1）。</w:t>
            </w:r>
          </w:p>
          <w:p w14:paraId="605BB0FF">
            <w:pPr>
              <w:autoSpaceDE w:val="0"/>
              <w:autoSpaceDN w:val="0"/>
              <w:adjustRightInd w:val="0"/>
              <w:spacing w:line="360" w:lineRule="auto"/>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成品收卷</w:t>
            </w:r>
            <w:r>
              <w:rPr>
                <w:rFonts w:hint="eastAsia" w:cs="仿宋"/>
                <w:color w:val="auto"/>
                <w:sz w:val="28"/>
                <w:szCs w:val="28"/>
                <w:lang w:eastAsia="zh-CN"/>
              </w:rPr>
              <w:t>：</w:t>
            </w:r>
            <w:r>
              <w:rPr>
                <w:rFonts w:hint="eastAsia" w:ascii="仿宋" w:hAnsi="仿宋" w:eastAsia="仿宋" w:cs="仿宋"/>
                <w:color w:val="auto"/>
                <w:sz w:val="28"/>
                <w:szCs w:val="28"/>
              </w:rPr>
              <w:t>将产品进行收卷，</w:t>
            </w:r>
            <w:r>
              <w:rPr>
                <w:rFonts w:hint="eastAsia" w:ascii="仿宋" w:hAnsi="仿宋" w:eastAsia="仿宋" w:cs="仿宋"/>
                <w:color w:val="auto"/>
                <w:sz w:val="28"/>
                <w:szCs w:val="28"/>
                <w:lang w:val="en-US" w:eastAsia="zh-CN"/>
              </w:rPr>
              <w:t>由收卷轴自动收卷。该工序无污染物产生。</w:t>
            </w:r>
          </w:p>
          <w:p w14:paraId="26751819">
            <w:pPr>
              <w:ind w:firstLine="562"/>
              <w:rPr>
                <w:rFonts w:hint="eastAsia" w:cs="仿宋"/>
                <w:color w:val="auto"/>
                <w:sz w:val="28"/>
                <w:szCs w:val="28"/>
                <w:lang w:eastAsia="zh-CN"/>
              </w:rPr>
            </w:pPr>
            <w:r>
              <w:rPr>
                <w:rFonts w:hint="eastAsia" w:cs="仿宋"/>
                <w:color w:val="auto"/>
                <w:sz w:val="28"/>
                <w:szCs w:val="28"/>
                <w:lang w:val="en-US" w:eastAsia="zh-CN"/>
              </w:rPr>
              <w:t>裁切：</w:t>
            </w:r>
            <w:r>
              <w:rPr>
                <w:rFonts w:hint="eastAsia" w:cs="仿宋"/>
                <w:color w:val="auto"/>
                <w:sz w:val="28"/>
                <w:szCs w:val="28"/>
                <w:highlight w:val="none"/>
                <w:lang w:val="en-US" w:eastAsia="zh-CN"/>
              </w:rPr>
              <w:t>各工序完成后将根据客户定制的尺寸使用裁剪机进行相应尺寸规格的裁切。此过程会产</w:t>
            </w:r>
            <w:r>
              <w:rPr>
                <w:rFonts w:hint="eastAsia" w:cs="仿宋"/>
                <w:color w:val="auto"/>
                <w:sz w:val="28"/>
                <w:szCs w:val="28"/>
                <w:lang w:val="en-US" w:eastAsia="zh-CN"/>
              </w:rPr>
              <w:t>生废边角料（</w:t>
            </w:r>
            <w:r>
              <w:rPr>
                <w:rFonts w:hint="eastAsia" w:cs="仿宋"/>
                <w:color w:val="auto"/>
                <w:sz w:val="28"/>
                <w:szCs w:val="28"/>
                <w:highlight w:val="none"/>
                <w:lang w:val="en-US" w:eastAsia="zh-CN"/>
              </w:rPr>
              <w:t>S7）和噪声（N）。</w:t>
            </w:r>
          </w:p>
          <w:p w14:paraId="6560FD53">
            <w:pPr>
              <w:ind w:firstLine="562"/>
              <w:rPr>
                <w:rFonts w:hint="eastAsia" w:ascii="仿宋" w:hAnsi="仿宋" w:eastAsia="仿宋" w:cs="仿宋"/>
                <w:color w:val="auto"/>
                <w:sz w:val="28"/>
                <w:szCs w:val="28"/>
              </w:rPr>
            </w:pPr>
            <w:r>
              <w:rPr>
                <w:rFonts w:hint="eastAsia" w:ascii="仿宋" w:hAnsi="仿宋" w:eastAsia="仿宋" w:cs="仿宋"/>
                <w:color w:val="auto"/>
                <w:sz w:val="28"/>
                <w:szCs w:val="28"/>
                <w:highlight w:val="none"/>
                <w:lang w:val="en-US" w:eastAsia="zh-CN"/>
              </w:rPr>
              <w:t>检验：</w:t>
            </w:r>
            <w:r>
              <w:rPr>
                <w:rFonts w:hint="eastAsia" w:ascii="仿宋" w:hAnsi="仿宋" w:eastAsia="仿宋" w:cs="仿宋"/>
                <w:color w:val="auto"/>
                <w:sz w:val="28"/>
                <w:szCs w:val="28"/>
                <w:lang w:val="en-US" w:eastAsia="zh-CN"/>
              </w:rPr>
              <w:t>采用</w:t>
            </w:r>
            <w:r>
              <w:rPr>
                <w:rFonts w:hint="eastAsia" w:cs="仿宋"/>
                <w:color w:val="auto"/>
                <w:sz w:val="28"/>
                <w:szCs w:val="28"/>
                <w:lang w:val="en-US" w:eastAsia="zh-CN"/>
              </w:rPr>
              <w:t>人工</w:t>
            </w:r>
            <w:r>
              <w:rPr>
                <w:rFonts w:hint="eastAsia" w:ascii="仿宋" w:hAnsi="仿宋" w:eastAsia="仿宋" w:cs="仿宋"/>
                <w:color w:val="auto"/>
                <w:sz w:val="28"/>
                <w:szCs w:val="28"/>
                <w:highlight w:val="none"/>
                <w:lang w:val="en-US" w:eastAsia="zh-CN"/>
              </w:rPr>
              <w:t>对</w:t>
            </w:r>
            <w:r>
              <w:rPr>
                <w:rFonts w:hint="eastAsia" w:cs="仿宋"/>
                <w:color w:val="auto"/>
                <w:sz w:val="28"/>
                <w:szCs w:val="28"/>
                <w:highlight w:val="none"/>
                <w:lang w:val="en-US" w:eastAsia="zh-CN"/>
              </w:rPr>
              <w:t>产品</w:t>
            </w:r>
            <w:r>
              <w:rPr>
                <w:rFonts w:hint="eastAsia" w:ascii="仿宋" w:hAnsi="仿宋" w:eastAsia="仿宋" w:cs="仿宋"/>
                <w:color w:val="auto"/>
                <w:sz w:val="28"/>
                <w:szCs w:val="28"/>
                <w:lang w:val="en-US" w:eastAsia="zh-CN"/>
              </w:rPr>
              <w:t>进行检验。该工序污染物为不合格</w:t>
            </w:r>
            <w:r>
              <w:rPr>
                <w:rFonts w:hint="eastAsia" w:ascii="仿宋" w:hAnsi="仿宋" w:eastAsia="仿宋" w:cs="仿宋"/>
                <w:color w:val="auto"/>
                <w:sz w:val="28"/>
                <w:szCs w:val="28"/>
                <w:highlight w:val="none"/>
                <w:lang w:val="en-US" w:eastAsia="zh-CN"/>
              </w:rPr>
              <w:t>品S</w:t>
            </w:r>
            <w:r>
              <w:rPr>
                <w:rFonts w:hint="eastAsia" w:cs="仿宋"/>
                <w:color w:val="auto"/>
                <w:sz w:val="28"/>
                <w:szCs w:val="28"/>
                <w:highlight w:val="none"/>
                <w:lang w:val="en-US" w:eastAsia="zh-CN"/>
              </w:rPr>
              <w:t>8</w:t>
            </w:r>
            <w:r>
              <w:rPr>
                <w:rFonts w:hint="eastAsia" w:ascii="仿宋" w:hAnsi="仿宋" w:eastAsia="仿宋" w:cs="仿宋"/>
                <w:color w:val="auto"/>
                <w:sz w:val="28"/>
                <w:szCs w:val="28"/>
                <w:highlight w:val="none"/>
                <w:lang w:val="en-US" w:eastAsia="zh-CN"/>
              </w:rPr>
              <w:t>。</w:t>
            </w:r>
          </w:p>
          <w:p w14:paraId="7437A70E">
            <w:pPr>
              <w:ind w:firstLine="56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包装入库：人工采用包装袋或包装箱对</w:t>
            </w:r>
            <w:r>
              <w:rPr>
                <w:rFonts w:hint="eastAsia" w:ascii="仿宋" w:hAnsi="仿宋" w:eastAsia="仿宋" w:cs="仿宋"/>
                <w:color w:val="auto"/>
                <w:sz w:val="28"/>
                <w:szCs w:val="28"/>
                <w:highlight w:val="none"/>
                <w:lang w:val="en-US" w:eastAsia="zh-CN"/>
              </w:rPr>
              <w:t>成</w:t>
            </w:r>
            <w:r>
              <w:rPr>
                <w:rFonts w:hint="eastAsia" w:ascii="仿宋" w:hAnsi="仿宋" w:eastAsia="仿宋" w:cs="仿宋"/>
                <w:color w:val="auto"/>
                <w:sz w:val="28"/>
                <w:szCs w:val="28"/>
                <w:lang w:val="en-US" w:eastAsia="zh-CN"/>
              </w:rPr>
              <w:t>品进行包装入库。该工序主要污染物为废复合包装材料S</w:t>
            </w:r>
            <w:r>
              <w:rPr>
                <w:rFonts w:hint="eastAsia" w:cs="仿宋"/>
                <w:color w:val="auto"/>
                <w:sz w:val="28"/>
                <w:szCs w:val="28"/>
                <w:lang w:val="en-US" w:eastAsia="zh-CN"/>
              </w:rPr>
              <w:t>3</w:t>
            </w:r>
            <w:r>
              <w:rPr>
                <w:rFonts w:hint="eastAsia" w:ascii="仿宋" w:hAnsi="仿宋" w:eastAsia="仿宋" w:cs="仿宋"/>
                <w:color w:val="auto"/>
                <w:sz w:val="28"/>
                <w:szCs w:val="28"/>
              </w:rPr>
              <w:t>。</w:t>
            </w:r>
          </w:p>
          <w:p w14:paraId="3ABCE08F">
            <w:pPr>
              <w:pStyle w:val="56"/>
              <w:keepNext w:val="0"/>
              <w:keepLines w:val="0"/>
              <w:pageBreakBefore w:val="0"/>
              <w:widowControl w:val="0"/>
              <w:kinsoku/>
              <w:wordWrap/>
              <w:overflowPunct/>
              <w:topLinePunct w:val="0"/>
              <w:autoSpaceDE/>
              <w:autoSpaceDN/>
              <w:bidi w:val="0"/>
              <w:adjustRightInd w:val="0"/>
              <w:snapToGrid w:val="0"/>
              <w:ind w:firstLine="582" w:firstLineChars="200"/>
              <w:jc w:val="left"/>
              <w:textAlignment w:val="auto"/>
              <w:rPr>
                <w:rFonts w:hint="eastAsia"/>
                <w:b/>
                <w:bCs/>
                <w:smallCaps/>
                <w:color w:val="auto"/>
                <w:spacing w:val="5"/>
                <w:sz w:val="28"/>
                <w:szCs w:val="28"/>
                <w:lang w:bidi="en-US"/>
              </w:rPr>
            </w:pPr>
            <w:r>
              <w:rPr>
                <w:rFonts w:hint="eastAsia"/>
                <w:b/>
                <w:bCs/>
                <w:smallCaps/>
                <w:color w:val="auto"/>
                <w:spacing w:val="5"/>
                <w:sz w:val="28"/>
                <w:szCs w:val="28"/>
                <w:lang w:bidi="en-US"/>
              </w:rPr>
              <mc:AlternateContent>
                <mc:Choice Requires="wpc">
                  <w:drawing>
                    <wp:inline distT="0" distB="0" distL="114300" distR="114300">
                      <wp:extent cx="5052060" cy="3382645"/>
                      <wp:effectExtent l="0" t="0" r="0" b="0"/>
                      <wp:docPr id="140" name="画布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直接箭头连接符 3"/>
                              <wps:cNvCnPr/>
                              <wps:spPr>
                                <a:xfrm>
                                  <a:off x="327107" y="1389653"/>
                                  <a:ext cx="635" cy="635"/>
                                </a:xfrm>
                                <a:prstGeom prst="straightConnector1">
                                  <a:avLst/>
                                </a:prstGeom>
                                <a:ln w="9525" cap="flat" cmpd="sng">
                                  <a:solidFill>
                                    <a:srgbClr val="000000"/>
                                  </a:solidFill>
                                  <a:prstDash val="solid"/>
                                  <a:headEnd type="none" w="med" len="med"/>
                                  <a:tailEnd type="none" w="med" len="med"/>
                                </a:ln>
                              </wps:spPr>
                              <wps:bodyPr/>
                            </wps:wsp>
                            <wps:wsp>
                              <wps:cNvPr id="142" name="直接箭头连接符 33"/>
                              <wps:cNvCnPr/>
                              <wps:spPr>
                                <a:xfrm>
                                  <a:off x="327107" y="1389653"/>
                                  <a:ext cx="635" cy="635"/>
                                </a:xfrm>
                                <a:prstGeom prst="straightConnector1">
                                  <a:avLst/>
                                </a:prstGeom>
                                <a:ln w="9525" cap="flat" cmpd="sng">
                                  <a:solidFill>
                                    <a:srgbClr val="000000"/>
                                  </a:solidFill>
                                  <a:prstDash val="solid"/>
                                  <a:headEnd type="none" w="med" len="med"/>
                                  <a:tailEnd type="none" w="med" len="med"/>
                                </a:ln>
                              </wps:spPr>
                              <wps:bodyPr/>
                            </wps:wsp>
                            <wps:wsp>
                              <wps:cNvPr id="143" name="直接箭头连接符 36"/>
                              <wps:cNvCnPr/>
                              <wps:spPr>
                                <a:xfrm>
                                  <a:off x="327107" y="1389653"/>
                                  <a:ext cx="635" cy="635"/>
                                </a:xfrm>
                                <a:prstGeom prst="straightConnector1">
                                  <a:avLst/>
                                </a:prstGeom>
                                <a:ln w="9525" cap="flat" cmpd="sng">
                                  <a:solidFill>
                                    <a:srgbClr val="000000"/>
                                  </a:solidFill>
                                  <a:prstDash val="solid"/>
                                  <a:headEnd type="none" w="med" len="med"/>
                                  <a:tailEnd type="none" w="med" len="med"/>
                                </a:ln>
                              </wps:spPr>
                              <wps:bodyPr/>
                            </wps:wsp>
                            <wps:wsp>
                              <wps:cNvPr id="144" name="直接箭头连接符 41"/>
                              <wps:cNvCnPr/>
                              <wps:spPr>
                                <a:xfrm>
                                  <a:off x="327107" y="1389653"/>
                                  <a:ext cx="635" cy="635"/>
                                </a:xfrm>
                                <a:prstGeom prst="straightConnector1">
                                  <a:avLst/>
                                </a:prstGeom>
                                <a:ln w="9525" cap="flat" cmpd="sng">
                                  <a:solidFill>
                                    <a:srgbClr val="000000"/>
                                  </a:solidFill>
                                  <a:prstDash val="solid"/>
                                  <a:headEnd type="none" w="med" len="med"/>
                                  <a:tailEnd type="none" w="med" len="med"/>
                                </a:ln>
                              </wps:spPr>
                              <wps:bodyPr/>
                            </wps:wsp>
                            <wps:wsp>
                              <wps:cNvPr id="145" name="文本框 43"/>
                              <wps:cNvSpPr txBox="1"/>
                              <wps:spPr>
                                <a:xfrm>
                                  <a:off x="2425065" y="113665"/>
                                  <a:ext cx="1114425" cy="294640"/>
                                </a:xfrm>
                                <a:prstGeom prst="rect">
                                  <a:avLst/>
                                </a:prstGeom>
                                <a:solidFill>
                                  <a:srgbClr val="FFFFFF"/>
                                </a:solidFill>
                                <a:ln>
                                  <a:noFill/>
                                </a:ln>
                              </wps:spPr>
                              <wps:txbx>
                                <w:txbxContent>
                                  <w:p w14:paraId="3B27927F">
                                    <w:pPr>
                                      <w:ind w:left="0" w:leftChars="0" w:firstLine="0" w:firstLineChars="0"/>
                                      <w:jc w:val="center"/>
                                      <w:rPr>
                                        <w:rFonts w:hint="eastAsia" w:eastAsia="仿宋"/>
                                        <w:color w:val="000000" w:themeColor="text1"/>
                                        <w:sz w:val="21"/>
                                        <w:szCs w:val="21"/>
                                        <w:highlight w:val="none"/>
                                        <w:lang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白棉纸</w:t>
                                    </w:r>
                                  </w:p>
                                </w:txbxContent>
                              </wps:txbx>
                              <wps:bodyPr upright="1"/>
                            </wps:wsp>
                            <wps:wsp>
                              <wps:cNvPr id="148" name="直接连接符 44"/>
                              <wps:cNvCnPr/>
                              <wps:spPr>
                                <a:xfrm>
                                  <a:off x="2970642" y="459195"/>
                                  <a:ext cx="635" cy="346778"/>
                                </a:xfrm>
                                <a:prstGeom prst="line">
                                  <a:avLst/>
                                </a:prstGeom>
                                <a:ln w="9525" cap="flat" cmpd="sng">
                                  <a:solidFill>
                                    <a:srgbClr val="000000"/>
                                  </a:solidFill>
                                  <a:prstDash val="solid"/>
                                  <a:headEnd type="none" w="med" len="med"/>
                                  <a:tailEnd type="triangle" w="med" len="med"/>
                                </a:ln>
                              </wps:spPr>
                              <wps:bodyPr upright="1"/>
                            </wps:wsp>
                            <wps:wsp>
                              <wps:cNvPr id="152" name="文本框 45"/>
                              <wps:cNvSpPr txBox="1"/>
                              <wps:spPr>
                                <a:xfrm>
                                  <a:off x="2509516" y="812325"/>
                                  <a:ext cx="901927" cy="279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9AB23E">
                                    <w:pPr>
                                      <w:ind w:left="0" w:leftChars="0" w:firstLine="0" w:firstLineChars="0"/>
                                      <w:jc w:val="center"/>
                                    </w:pPr>
                                    <w:r>
                                      <w:rPr>
                                        <w:rFonts w:hint="eastAsia"/>
                                      </w:rPr>
                                      <w:t>放卷</w:t>
                                    </w:r>
                                  </w:p>
                                </w:txbxContent>
                              </wps:txbx>
                              <wps:bodyPr upright="1"/>
                            </wps:wsp>
                            <wps:wsp>
                              <wps:cNvPr id="154" name="直接连接符 46"/>
                              <wps:cNvCnPr/>
                              <wps:spPr>
                                <a:xfrm>
                                  <a:off x="2976993" y="1089239"/>
                                  <a:ext cx="0" cy="342967"/>
                                </a:xfrm>
                                <a:prstGeom prst="line">
                                  <a:avLst/>
                                </a:prstGeom>
                                <a:ln w="9525" cap="flat" cmpd="sng">
                                  <a:solidFill>
                                    <a:srgbClr val="000000"/>
                                  </a:solidFill>
                                  <a:prstDash val="solid"/>
                                  <a:headEnd type="none" w="med" len="med"/>
                                  <a:tailEnd type="triangle" w="med" len="med"/>
                                </a:ln>
                              </wps:spPr>
                              <wps:bodyPr upright="1"/>
                            </wps:wsp>
                            <wps:wsp>
                              <wps:cNvPr id="156" name="文本框 47"/>
                              <wps:cNvSpPr txBox="1"/>
                              <wps:spPr>
                                <a:xfrm>
                                  <a:off x="2526665" y="1417955"/>
                                  <a:ext cx="901700" cy="300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4657E0">
                                    <w:pPr>
                                      <w:ind w:left="0" w:leftChars="0" w:firstLine="0" w:firstLineChars="0"/>
                                      <w:jc w:val="center"/>
                                      <w:rPr>
                                        <w:rFonts w:hint="eastAsia"/>
                                      </w:rPr>
                                    </w:pPr>
                                    <w:r>
                                      <w:rPr>
                                        <w:rFonts w:hint="eastAsia"/>
                                      </w:rPr>
                                      <w:t>涂布</w:t>
                                    </w:r>
                                  </w:p>
                                  <w:p w14:paraId="46ED6898">
                                    <w:pPr>
                                      <w:ind w:left="0" w:leftChars="0" w:firstLine="0" w:firstLineChars="0"/>
                                      <w:jc w:val="center"/>
                                      <w:rPr>
                                        <w:rFonts w:hint="eastAsia"/>
                                      </w:rPr>
                                    </w:pPr>
                                  </w:p>
                                </w:txbxContent>
                              </wps:txbx>
                              <wps:bodyPr upright="1"/>
                            </wps:wsp>
                            <wps:wsp>
                              <wps:cNvPr id="158" name="文本框 50"/>
                              <wps:cNvSpPr txBox="1"/>
                              <wps:spPr>
                                <a:xfrm>
                                  <a:off x="2515870" y="2686050"/>
                                  <a:ext cx="90170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2385AC">
                                    <w:pPr>
                                      <w:ind w:left="0" w:leftChars="0" w:firstLine="0" w:firstLineChars="0"/>
                                      <w:jc w:val="center"/>
                                    </w:pPr>
                                    <w:r>
                                      <w:rPr>
                                        <w:rFonts w:hint="eastAsia"/>
                                      </w:rPr>
                                      <w:t>成品收卷</w:t>
                                    </w:r>
                                  </w:p>
                                </w:txbxContent>
                              </wps:txbx>
                              <wps:bodyPr upright="1"/>
                            </wps:wsp>
                            <wps:wsp>
                              <wps:cNvPr id="160" name="文本框 52"/>
                              <wps:cNvSpPr txBox="1"/>
                              <wps:spPr>
                                <a:xfrm>
                                  <a:off x="2534920" y="2064385"/>
                                  <a:ext cx="90170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4D2DE6">
                                    <w:pPr>
                                      <w:ind w:left="0" w:leftChars="0" w:firstLine="0" w:firstLineChars="0"/>
                                      <w:jc w:val="center"/>
                                    </w:pPr>
                                    <w:r>
                                      <w:rPr>
                                        <w:rFonts w:hint="eastAsia"/>
                                      </w:rPr>
                                      <w:t>烘干</w:t>
                                    </w:r>
                                  </w:p>
                                </w:txbxContent>
                              </wps:txbx>
                              <wps:bodyPr upright="1"/>
                            </wps:wsp>
                            <wps:wsp>
                              <wps:cNvPr id="164" name="直接连接符 57"/>
                              <wps:cNvCnPr/>
                              <wps:spPr>
                                <a:xfrm>
                                  <a:off x="2973818" y="2332814"/>
                                  <a:ext cx="0" cy="342967"/>
                                </a:xfrm>
                                <a:prstGeom prst="line">
                                  <a:avLst/>
                                </a:prstGeom>
                                <a:ln w="9525" cap="flat" cmpd="sng">
                                  <a:solidFill>
                                    <a:srgbClr val="000000"/>
                                  </a:solidFill>
                                  <a:prstDash val="solid"/>
                                  <a:headEnd type="none" w="med" len="med"/>
                                  <a:tailEnd type="triangle" w="med" len="med"/>
                                </a:ln>
                              </wps:spPr>
                              <wps:bodyPr upright="1"/>
                            </wps:wsp>
                            <wps:wsp>
                              <wps:cNvPr id="165" name="直接连接符 58"/>
                              <wps:cNvCnPr/>
                              <wps:spPr>
                                <a:xfrm>
                                  <a:off x="2979420" y="1719580"/>
                                  <a:ext cx="635" cy="364490"/>
                                </a:xfrm>
                                <a:prstGeom prst="line">
                                  <a:avLst/>
                                </a:prstGeom>
                                <a:ln w="9525" cap="flat" cmpd="sng">
                                  <a:solidFill>
                                    <a:srgbClr val="000000"/>
                                  </a:solidFill>
                                  <a:prstDash val="solid"/>
                                  <a:headEnd type="none" w="med" len="med"/>
                                  <a:tailEnd type="triangle" w="med" len="med"/>
                                </a:ln>
                              </wps:spPr>
                              <wps:bodyPr upright="1"/>
                            </wps:wsp>
                            <wps:wsp>
                              <wps:cNvPr id="166" name="文本框 59"/>
                              <wps:cNvSpPr txBox="1"/>
                              <wps:spPr>
                                <a:xfrm>
                                  <a:off x="1500505" y="1419225"/>
                                  <a:ext cx="615950" cy="309880"/>
                                </a:xfrm>
                                <a:prstGeom prst="rect">
                                  <a:avLst/>
                                </a:prstGeom>
                                <a:solidFill>
                                  <a:srgbClr val="FFFFFF"/>
                                </a:solidFill>
                                <a:ln>
                                  <a:noFill/>
                                </a:ln>
                              </wps:spPr>
                              <wps:txbx>
                                <w:txbxContent>
                                  <w:p w14:paraId="448B067F">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both"/>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胶水</w:t>
                                    </w:r>
                                  </w:p>
                                </w:txbxContent>
                              </wps:txbx>
                              <wps:bodyPr upright="1"/>
                            </wps:wsp>
                            <wps:wsp>
                              <wps:cNvPr id="167" name="直接连接符 60"/>
                              <wps:cNvCnPr/>
                              <wps:spPr>
                                <a:xfrm rot="240000" flipV="1">
                                  <a:off x="2115185" y="1571625"/>
                                  <a:ext cx="447675" cy="26670"/>
                                </a:xfrm>
                                <a:prstGeom prst="line">
                                  <a:avLst/>
                                </a:prstGeom>
                                <a:ln w="9525" cap="flat" cmpd="sng">
                                  <a:solidFill>
                                    <a:srgbClr val="000000"/>
                                  </a:solidFill>
                                  <a:prstDash val="solid"/>
                                  <a:headEnd type="none" w="med" len="med"/>
                                  <a:tailEnd type="triangle" w="med" len="med"/>
                                </a:ln>
                              </wps:spPr>
                              <wps:bodyPr upright="1"/>
                            </wps:wsp>
                            <wps:wsp>
                              <wps:cNvPr id="169" name="文本框 64"/>
                              <wps:cNvSpPr txBox="1"/>
                              <wps:spPr>
                                <a:xfrm>
                                  <a:off x="3242310" y="1015365"/>
                                  <a:ext cx="998855" cy="236855"/>
                                </a:xfrm>
                                <a:prstGeom prst="rect">
                                  <a:avLst/>
                                </a:prstGeom>
                                <a:solidFill>
                                  <a:srgbClr val="FFFFFF"/>
                                </a:solidFill>
                                <a:ln>
                                  <a:noFill/>
                                </a:ln>
                              </wps:spPr>
                              <wps:txbx>
                                <w:txbxContent>
                                  <w:p w14:paraId="2B3BFCB3">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eastAsia="仿宋"/>
                                        <w:lang w:val="en-US" w:eastAsia="zh-CN"/>
                                      </w:rPr>
                                    </w:pPr>
                                    <w:r>
                                      <w:rPr>
                                        <w:rFonts w:hint="eastAsia"/>
                                        <w:lang w:val="en-US" w:eastAsia="zh-CN"/>
                                      </w:rPr>
                                      <w:t>G3-1</w:t>
                                    </w:r>
                                  </w:p>
                                  <w:p w14:paraId="4B58A5CD">
                                    <w:pPr>
                                      <w:ind w:left="0" w:leftChars="0" w:firstLine="0" w:firstLineChars="0"/>
                                      <w:rPr>
                                        <w:rFonts w:hint="default" w:eastAsia="宋体"/>
                                        <w:lang w:val="en-US" w:eastAsia="zh-CN"/>
                                      </w:rPr>
                                    </w:pPr>
                                  </w:p>
                                </w:txbxContent>
                              </wps:txbx>
                              <wps:bodyPr upright="1"/>
                            </wps:wsp>
                            <wps:wsp>
                              <wps:cNvPr id="170" name="文本框 69"/>
                              <wps:cNvSpPr txBox="1"/>
                              <wps:spPr>
                                <a:xfrm>
                                  <a:off x="1869440" y="1746885"/>
                                  <a:ext cx="854075" cy="248285"/>
                                </a:xfrm>
                                <a:prstGeom prst="rect">
                                  <a:avLst/>
                                </a:prstGeom>
                                <a:solidFill>
                                  <a:srgbClr val="FFFFFF"/>
                                </a:solidFill>
                                <a:ln>
                                  <a:noFill/>
                                </a:ln>
                              </wps:spPr>
                              <wps:txbx>
                                <w:txbxContent>
                                  <w:p w14:paraId="5FBD3AA3">
                                    <w:pPr>
                                      <w:ind w:left="0" w:leftChars="0" w:firstLine="0" w:firstLineChars="0"/>
                                      <w:rPr>
                                        <w:rFonts w:hint="default" w:eastAsia="仿宋"/>
                                        <w:lang w:val="en-US" w:eastAsia="zh-CN"/>
                                      </w:rPr>
                                    </w:pPr>
                                    <w:r>
                                      <w:rPr>
                                        <w:rFonts w:hint="eastAsia"/>
                                        <w:lang w:val="en-US" w:eastAsia="zh-CN"/>
                                      </w:rPr>
                                      <w:t>G3-2</w:t>
                                    </w:r>
                                  </w:p>
                                </w:txbxContent>
                              </wps:txbx>
                              <wps:bodyPr upright="1"/>
                            </wps:wsp>
                            <wps:wsp>
                              <wps:cNvPr id="176" name="文本框 96"/>
                              <wps:cNvSpPr txBox="1"/>
                              <wps:spPr>
                                <a:xfrm>
                                  <a:off x="3286760" y="1737360"/>
                                  <a:ext cx="983615" cy="264160"/>
                                </a:xfrm>
                                <a:prstGeom prst="rect">
                                  <a:avLst/>
                                </a:prstGeom>
                                <a:solidFill>
                                  <a:srgbClr val="FFFFFF"/>
                                </a:solidFill>
                                <a:ln>
                                  <a:noFill/>
                                </a:ln>
                              </wps:spPr>
                              <wps:txbx>
                                <w:txbxContent>
                                  <w:p w14:paraId="08030731">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lang w:val="en-US" w:eastAsia="zh-CN"/>
                                      </w:rPr>
                                    </w:pPr>
                                    <w:r>
                                      <w:rPr>
                                        <w:rFonts w:hint="eastAsia"/>
                                        <w:lang w:val="en-US" w:eastAsia="zh-CN"/>
                                      </w:rPr>
                                      <w:t>S15、S16、S17</w:t>
                                    </w:r>
                                  </w:p>
                                </w:txbxContent>
                              </wps:txbx>
                              <wps:bodyPr upright="1"/>
                            </wps:wsp>
                            <wps:wsp>
                              <wps:cNvPr id="177" name="直接箭头连接符 103"/>
                              <wps:cNvCnPr/>
                              <wps:spPr>
                                <a:xfrm flipV="1">
                                  <a:off x="3150235" y="1153795"/>
                                  <a:ext cx="0" cy="29337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78" name="直接箭头连接符 106"/>
                              <wps:cNvCnPr/>
                              <wps:spPr>
                                <a:xfrm>
                                  <a:off x="3128010" y="1718310"/>
                                  <a:ext cx="6985" cy="25654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79" name="直接箭头连接符 113"/>
                              <wps:cNvCnPr/>
                              <wps:spPr>
                                <a:xfrm flipH="1" flipV="1">
                                  <a:off x="2790825" y="1791335"/>
                                  <a:ext cx="6985" cy="271145"/>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80" name="直接箭头连接符 117"/>
                              <wps:cNvCnPr/>
                              <wps:spPr>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266.35pt;width:397.8pt;" coordsize="5052060,3382645" editas="canvas" o:gfxdata="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">
                      <o:lock v:ext="edit" aspectratio="f"/>
                      <v:shape id="_x0000_s1026" o:spid="_x0000_s1026" style="position:absolute;left:0;top:0;height:3382645;width:5052060;" filled="f" stroked="f" coordsize="21600,21600" o:gfxdata="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AAAAAGRycy9QSwECFAAUAAAACACHTuJA/IDAtNgAAAAFAQAADwAAAAAAAAAB&#10;ACAAAAAiAAAAZHJzL2Rvd25yZXYueG1sUEsBAhQAFAAAAAgAh07iQNxJrGlLBgAAPTAAAA4AAAAA&#10;AAAAAQAgAAAAJwEAAGRycy9lMm9Eb2MueG1sUEsFBgAAAAAGAAYAWQEAAOQJAAAAAA==&#10;">
                        <v:fill on="f" focussize="0,0"/>
                        <v:stroke on="f"/>
                        <v:imagedata o:title=""/>
                        <o:lock v:ext="edit" aspectratio="t"/>
                      </v:shape>
                      <v:shape id="直接箭头连接符 3" o:spid="_x0000_s1026" o:spt="32" type="#_x0000_t32" style="position:absolute;left:327107;top:1389653;height:635;width:635;" filled="f" stroked="t" coordsize="21600,21600" o:gfxdata="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&#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WE0d1gAAAAUBAAAPAAAAAAAAAAEAIAAAACIAAABk&#10;cnMvZG93bnJldi54bWxQSwECFAAUAAAACACHTuJAwu7MLAgCAAD3AwAADgAAAAAAAAABACAAAAAl&#10;AQAAZHJzL2Uyb0RvYy54bWxQSwUGAAAAAAYABgBZAQAAnwUAAAAA&#10;">
                        <v:fill on="f" focussize="0,0"/>
                        <v:stroke color="#000000" joinstyle="round"/>
                        <v:imagedata o:title=""/>
                        <o:lock v:ext="edit" aspectratio="f"/>
                      </v:shape>
                      <v:shape id="直接箭头连接符 33" o:spid="_x0000_s1026" o:spt="32" type="#_x0000_t32" style="position:absolute;left:327107;top:1389653;height:635;width:635;" filled="f" stroked="t" coordsize="21600,21600" o:gfxdata="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1hNHdYAAAAFAQAADwAAAAAAAAABACAAAAAiAAAA&#10;ZHJzL2Rvd25yZXYueG1sUEsBAhQAFAAAAAgAh07iQJ13drgJAgAA+AMAAA4AAAAAAAAAAQAgAAAA&#10;JQEAAGRycy9lMm9Eb2MueG1sUEsFBgAAAAAGAAYAWQEAAKAFAAAAAA==&#10;">
                        <v:fill on="f" focussize="0,0"/>
                        <v:stroke color="#000000" joinstyle="round"/>
                        <v:imagedata o:title=""/>
                        <o:lock v:ext="edit" aspectratio="f"/>
                      </v:shape>
                      <v:shape id="直接箭头连接符 36" o:spid="_x0000_s1026" o:spt="32" type="#_x0000_t32" style="position:absolute;left:327107;top:1389653;height:635;width:635;" filled="f" stroked="t" coordsize="21600,21600" o:gfxdata="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1hNHdYAAAAFAQAADwAAAAAAAAABACAAAAAiAAAA&#10;ZHJzL2Rvd25yZXYueG1sUEsBAhQAFAAAAAgAh07iQCz3kEcJAgAA+AMAAA4AAAAAAAAAAQAgAAAA&#10;JQEAAGRycy9lMm9Eb2MueG1sUEsFBgAAAAAGAAYAWQEAAKAFAAAAAA==&#10;">
                        <v:fill on="f" focussize="0,0"/>
                        <v:stroke color="#000000" joinstyle="round"/>
                        <v:imagedata o:title=""/>
                        <o:lock v:ext="edit" aspectratio="f"/>
                      </v:shape>
                      <v:shape id="直接箭头连接符 41" o:spid="_x0000_s1026" o:spt="32" type="#_x0000_t32" style="position:absolute;left:327107;top:1389653;height:635;width:635;" filled="f" stroked="t" coordsize="21600,21600" o:gfxdata="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&#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WE0d1gAAAAUBAAAPAAAAAAAAAAEAIAAAACIAAABk&#10;cnMvZG93bnJldi54bWxQSwECFAAUAAAACACHTuJAZNuBuAgCAAD4AwAADgAAAAAAAAABACAAAAAl&#10;AQAAZHJzL2Uyb0RvYy54bWxQSwUGAAAAAAYABgBZAQAAnwUAAAAA&#10;">
                        <v:fill on="f" focussize="0,0"/>
                        <v:stroke color="#000000" joinstyle="round"/>
                        <v:imagedata o:title=""/>
                        <o:lock v:ext="edit" aspectratio="f"/>
                      </v:shape>
                      <v:shape id="文本框 43" o:spid="_x0000_s1026" o:spt="202" type="#_x0000_t202" style="position:absolute;left:2425065;top:113665;height:294640;width:1114425;" fillcolor="#FFFFFF" filled="t" stroked="f" coordsize="21600,21600" o:gfxdata="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Sei/NUAAAAFAQAADwAAAAAAAAABACAAAAAiAAAAZHJz&#10;L2Rvd25yZXYueG1sUEsBAhQAFAAAAAgAh07iQGzcZTTOAQAAhQMAAA4AAAAAAAAAAQAgAAAAJAEA&#10;AGRycy9lMm9Eb2MueG1sUEsFBgAAAAAGAAYAWQEAAGQFAAAAAA==&#10;">
                        <v:fill on="t" focussize="0,0"/>
                        <v:stroke on="f"/>
                        <v:imagedata o:title=""/>
                        <o:lock v:ext="edit" aspectratio="f"/>
                        <v:textbox>
                          <w:txbxContent>
                            <w:p w14:paraId="3B27927F">
                              <w:pPr>
                                <w:ind w:left="0" w:leftChars="0" w:firstLine="0" w:firstLineChars="0"/>
                                <w:jc w:val="center"/>
                                <w:rPr>
                                  <w:rFonts w:hint="eastAsia" w:eastAsia="仿宋"/>
                                  <w:color w:val="000000" w:themeColor="text1"/>
                                  <w:sz w:val="21"/>
                                  <w:szCs w:val="21"/>
                                  <w:highlight w:val="none"/>
                                  <w:lang w:eastAsia="zh-CN"/>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白棉纸</w:t>
                              </w:r>
                            </w:p>
                          </w:txbxContent>
                        </v:textbox>
                      </v:shape>
                      <v:line id="直接连接符 44" o:spid="_x0000_s1026" o:spt="20" style="position:absolute;left:2970642;top:459195;height:346778;width:635;" filled="f" stroked="t" coordsize="21600,21600" o:gfxdata="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fBdq9gAAAAFAQAADwAAAAAAAAABACAA&#10;AAAiAAAAZHJzL2Rvd25yZXYueG1sUEsBAhQAFAAAAAgAh07iQIxnrOkNAgAA9wMAAA4AAAAAAAAA&#10;AQAgAAAAJwEAAGRycy9lMm9Eb2MueG1sUEsFBgAAAAAGAAYAWQEAAKYFAAAAAA==&#10;">
                        <v:fill on="f" focussize="0,0"/>
                        <v:stroke color="#000000" joinstyle="round" endarrow="block"/>
                        <v:imagedata o:title=""/>
                        <o:lock v:ext="edit" aspectratio="f"/>
                      </v:line>
                      <v:shape id="文本框 45" o:spid="_x0000_s1026" o:spt="202" type="#_x0000_t202" style="position:absolute;left:2509516;top:812325;height:279455;width:901927;" fillcolor="#FFFFFF" filled="t" stroked="t" coordsize="21600,21600" o:gfxdata="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Ns5cvWAAAABQEAAA8A&#10;AAAAAAAAAQAgAAAAIgAAAGRycy9kb3ducmV2LnhtbFBLAQIUABQAAAAIAIdO4kDRfX3jGQIAAEME&#10;AAAOAAAAAAAAAAEAIAAAACUBAABkcnMvZTJvRG9jLnhtbFBLBQYAAAAABgAGAFkBAACwBQAAAAA=&#10;">
                        <v:fill on="t" focussize="0,0"/>
                        <v:stroke color="#000000" joinstyle="miter"/>
                        <v:imagedata o:title=""/>
                        <o:lock v:ext="edit" aspectratio="f"/>
                        <v:textbox>
                          <w:txbxContent>
                            <w:p w14:paraId="639AB23E">
                              <w:pPr>
                                <w:ind w:left="0" w:leftChars="0" w:firstLine="0" w:firstLineChars="0"/>
                                <w:jc w:val="center"/>
                              </w:pPr>
                              <w:r>
                                <w:rPr>
                                  <w:rFonts w:hint="eastAsia"/>
                                </w:rPr>
                                <w:t>放卷</w:t>
                              </w:r>
                            </w:p>
                          </w:txbxContent>
                        </v:textbox>
                      </v:shape>
                      <v:line id="直接连接符 46" o:spid="_x0000_s1026" o:spt="20" style="position:absolute;left:2976993;top:1089239;height:342967;width:0;" filled="f" stroked="t" coordsize="21600,21600" o:gfxdata="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8F2r2AAAAAUBAAAPAAAAAAAAAAEAIAAA&#10;ACIAAABkcnMvZG93bnJldi54bWxQSwECFAAUAAAACACHTuJAikvlYwwCAAD2AwAADgAAAAAAAAAB&#10;ACAAAAAnAQAAZHJzL2Uyb0RvYy54bWxQSwUGAAAAAAYABgBZAQAApQUAAAAA&#10;">
                        <v:fill on="f" focussize="0,0"/>
                        <v:stroke color="#000000" joinstyle="round" endarrow="block"/>
                        <v:imagedata o:title=""/>
                        <o:lock v:ext="edit" aspectratio="f"/>
                      </v:line>
                      <v:shape id="文本框 47" o:spid="_x0000_s1026" o:spt="202" type="#_x0000_t202" style="position:absolute;left:2526665;top:1417955;height:300990;width:901700;" fillcolor="#FFFFFF" filled="t" stroked="t" coordsize="21600,21600" o:gfxdata="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2zly9YAAAAFAQAADwAA&#10;AAAAAAABACAAAAAiAAAAZHJzL2Rvd25yZXYueG1sUEsBAhQAFAAAAAgAh07iQE5SZyUYAgAARAQA&#10;AA4AAAAAAAAAAQAgAAAAJQEAAGRycy9lMm9Eb2MueG1sUEsFBgAAAAAGAAYAWQEAAK8FAAAAAA==&#10;">
                        <v:fill on="t" focussize="0,0"/>
                        <v:stroke color="#000000" joinstyle="miter"/>
                        <v:imagedata o:title=""/>
                        <o:lock v:ext="edit" aspectratio="f"/>
                        <v:textbox>
                          <w:txbxContent>
                            <w:p w14:paraId="024657E0">
                              <w:pPr>
                                <w:ind w:left="0" w:leftChars="0" w:firstLine="0" w:firstLineChars="0"/>
                                <w:jc w:val="center"/>
                                <w:rPr>
                                  <w:rFonts w:hint="eastAsia"/>
                                </w:rPr>
                              </w:pPr>
                              <w:r>
                                <w:rPr>
                                  <w:rFonts w:hint="eastAsia"/>
                                </w:rPr>
                                <w:t>涂布</w:t>
                              </w:r>
                            </w:p>
                            <w:p w14:paraId="46ED6898">
                              <w:pPr>
                                <w:ind w:left="0" w:leftChars="0" w:firstLine="0" w:firstLineChars="0"/>
                                <w:jc w:val="center"/>
                                <w:rPr>
                                  <w:rFonts w:hint="eastAsia"/>
                                </w:rPr>
                              </w:pPr>
                            </w:p>
                          </w:txbxContent>
                        </v:textbox>
                      </v:shape>
                      <v:shape id="文本框 50" o:spid="_x0000_s1026" o:spt="202" type="#_x0000_t202" style="position:absolute;left:2515870;top:2686050;height:279400;width:901700;" fillcolor="#FFFFFF" filled="t" stroked="t" coordsize="21600,21600" o:gfxdata="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2zly9YAAAAFAQAADwAAAAAAAAAB&#10;ACAAAAAiAAAAZHJzL2Rvd25yZXYueG1sUEsBAhQAFAAAAAgAh07iQByj7AESAgAARAQAAA4AAAAA&#10;AAAAAQAgAAAAJQEAAGRycy9lMm9Eb2MueG1sUEsFBgAAAAAGAAYAWQEAAKkFAAAAAA==&#10;">
                        <v:fill on="t" focussize="0,0"/>
                        <v:stroke color="#000000" joinstyle="miter"/>
                        <v:imagedata o:title=""/>
                        <o:lock v:ext="edit" aspectratio="f"/>
                        <v:textbox>
                          <w:txbxContent>
                            <w:p w14:paraId="4E2385AC">
                              <w:pPr>
                                <w:ind w:left="0" w:leftChars="0" w:firstLine="0" w:firstLineChars="0"/>
                                <w:jc w:val="center"/>
                              </w:pPr>
                              <w:r>
                                <w:rPr>
                                  <w:rFonts w:hint="eastAsia"/>
                                </w:rPr>
                                <w:t>成品收卷</w:t>
                              </w:r>
                            </w:p>
                          </w:txbxContent>
                        </v:textbox>
                      </v:shape>
                      <v:shape id="文本框 52" o:spid="_x0000_s1026" o:spt="202" type="#_x0000_t202" style="position:absolute;left:2534920;top:2064385;height:279400;width:901700;" fillcolor="#FFFFFF" filled="t" stroked="t" coordsize="21600,21600" o:gfxdata="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2zly9YAAAAFAQAADwAAAAAA&#10;AAABACAAAAAiAAAAZHJzL2Rvd25yZXYueG1sUEsBAhQAFAAAAAgAh07iQGkzDkcVAgAARAQAAA4A&#10;AAAAAAAAAQAgAAAAJQEAAGRycy9lMm9Eb2MueG1sUEsFBgAAAAAGAAYAWQEAAKwFAAAAAA==&#10;">
                        <v:fill on="t" focussize="0,0"/>
                        <v:stroke color="#000000" joinstyle="miter"/>
                        <v:imagedata o:title=""/>
                        <o:lock v:ext="edit" aspectratio="f"/>
                        <v:textbox>
                          <w:txbxContent>
                            <w:p w14:paraId="224D2DE6">
                              <w:pPr>
                                <w:ind w:left="0" w:leftChars="0" w:firstLine="0" w:firstLineChars="0"/>
                                <w:jc w:val="center"/>
                              </w:pPr>
                              <w:r>
                                <w:rPr>
                                  <w:rFonts w:hint="eastAsia"/>
                                </w:rPr>
                                <w:t>烘干</w:t>
                              </w:r>
                            </w:p>
                          </w:txbxContent>
                        </v:textbox>
                      </v:shape>
                      <v:line id="直接连接符 57" o:spid="_x0000_s1026" o:spt="20" style="position:absolute;left:2973818;top:2332814;height:342967;width:0;" filled="f" stroked="t" coordsize="21600,21600" o:gfxdata="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fBdq9gAAAAFAQAADwAAAAAAAAABACAA&#10;AAAiAAAAZHJzL2Rvd25yZXYueG1sUEsBAhQAFAAAAAgAh07iQDRXp1oNAgAA9gMAAA4AAAAAAAAA&#10;AQAgAAAAJwEAAGRycy9lMm9Eb2MueG1sUEsFBgAAAAAGAAYAWQEAAKYFAAAAAA==&#10;">
                        <v:fill on="f" focussize="0,0"/>
                        <v:stroke color="#000000" joinstyle="round" endarrow="block"/>
                        <v:imagedata o:title=""/>
                        <o:lock v:ext="edit" aspectratio="f"/>
                      </v:line>
                      <v:line id="直接连接符 58" o:spid="_x0000_s1026" o:spt="20" style="position:absolute;left:2979420;top:1719580;height:364490;width:635;" filled="f" stroked="t" coordsize="21600,21600" o:gfxdata="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HwXavYAAAABQEAAA8AAAAAAAAAAQAg&#10;AAAAIgAAAGRycy9kb3ducmV2LnhtbFBLAQIUABQAAAAIAIdO4kDYwaoWDgIAAPgDAAAOAAAAAAAA&#10;AAEAIAAAACcBAABkcnMvZTJvRG9jLnhtbFBLBQYAAAAABgAGAFkBAACnBQAAAAA=&#10;">
                        <v:fill on="f" focussize="0,0"/>
                        <v:stroke color="#000000" joinstyle="round" endarrow="block"/>
                        <v:imagedata o:title=""/>
                        <o:lock v:ext="edit" aspectratio="f"/>
                      </v:line>
                      <v:shape id="文本框 59" o:spid="_x0000_s1026" o:spt="202" type="#_x0000_t202" style="position:absolute;left:1500505;top:1419225;height:309880;width:615950;" fillcolor="#FFFFFF" filled="t" stroked="f" coordsize="21600,21600" o:gfxdata="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0novzVAAAABQEAAA8AAAAAAAAAAQAgAAAAIgAAAGRy&#10;cy9kb3ducmV2LnhtbFBLAQIUABQAAAAIAIdO4kDFIHFXzwEAAIUDAAAOAAAAAAAAAAEAIAAAACQB&#10;AABkcnMvZTJvRG9jLnhtbFBLBQYAAAAABgAGAFkBAABlBQAAAAA=&#10;">
                        <v:fill on="t" focussize="0,0"/>
                        <v:stroke on="f"/>
                        <v:imagedata o:title=""/>
                        <o:lock v:ext="edit" aspectratio="f"/>
                        <v:textbox>
                          <w:txbxContent>
                            <w:p w14:paraId="448B067F">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both"/>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胶水</w:t>
                              </w:r>
                            </w:p>
                          </w:txbxContent>
                        </v:textbox>
                      </v:shape>
                      <v:line id="直接连接符 60" o:spid="_x0000_s1026" o:spt="20" style="position:absolute;left:2115185;top:1571625;flip:y;height:26670;width:447675;rotation:-262144f;" filled="f" stroked="t" coordsize="21600,21600" o:gfxdata="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eaiytUAAAAFAQAA&#10;DwAAAAAAAAABACAAAAAiAAAAZHJzL2Rvd25yZXYueG1sUEsBAhQAFAAAAAgAh07iQG6lFHIcAgAA&#10;EQQAAA4AAAAAAAAAAQAgAAAAJAEAAGRycy9lMm9Eb2MueG1sUEsFBgAAAAAGAAYAWQEAALIFAAAA&#10;AA==&#10;">
                        <v:fill on="f" focussize="0,0"/>
                        <v:stroke color="#000000" joinstyle="round" endarrow="block"/>
                        <v:imagedata o:title=""/>
                        <o:lock v:ext="edit" aspectratio="f"/>
                      </v:line>
                      <v:shape id="文本框 64" o:spid="_x0000_s1026" o:spt="202" type="#_x0000_t202" style="position:absolute;left:3242310;top:1015365;height:236855;width:998855;" fillcolor="#FFFFFF" filled="t" stroked="f" coordsize="21600,21600" o:gfxdata="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tJ6L81QAAAAUBAAAPAAAAAAAAAAEAIAAAACIAAABkcnMv&#10;ZG93bnJldi54bWxQSwECFAAUAAAACACHTuJAyz8J8c0BAACFAwAADgAAAAAAAAABACAAAAAkAQAA&#10;ZHJzL2Uyb0RvYy54bWxQSwUGAAAAAAYABgBZAQAAYwUAAAAA&#10;">
                        <v:fill on="t" focussize="0,0"/>
                        <v:stroke on="f"/>
                        <v:imagedata o:title=""/>
                        <o:lock v:ext="edit" aspectratio="f"/>
                        <v:textbox>
                          <w:txbxContent>
                            <w:p w14:paraId="2B3BFCB3">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eastAsia="仿宋"/>
                                  <w:lang w:val="en-US" w:eastAsia="zh-CN"/>
                                </w:rPr>
                              </w:pPr>
                              <w:r>
                                <w:rPr>
                                  <w:rFonts w:hint="eastAsia"/>
                                  <w:lang w:val="en-US" w:eastAsia="zh-CN"/>
                                </w:rPr>
                                <w:t>G3-1</w:t>
                              </w:r>
                            </w:p>
                            <w:p w14:paraId="4B58A5CD">
                              <w:pPr>
                                <w:ind w:left="0" w:leftChars="0" w:firstLine="0" w:firstLineChars="0"/>
                                <w:rPr>
                                  <w:rFonts w:hint="default" w:eastAsia="宋体"/>
                                  <w:lang w:val="en-US" w:eastAsia="zh-CN"/>
                                </w:rPr>
                              </w:pPr>
                            </w:p>
                          </w:txbxContent>
                        </v:textbox>
                      </v:shape>
                      <v:shape id="文本框 69" o:spid="_x0000_s1026" o:spt="202" type="#_x0000_t202" style="position:absolute;left:1869440;top:1746885;height:248285;width:854075;" fillcolor="#FFFFFF" filled="t" stroked="f" coordsize="21600,21600" o:gfxdata="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Sei/NUAAAAFAQAADwAAAAAAAAABACAAAAAiAAAAZHJz&#10;L2Rvd25yZXYueG1sUEsBAhQAFAAAAAgAh07iQOwAr4fOAQAAhQMAAA4AAAAAAAAAAQAgAAAAJAEA&#10;AGRycy9lMm9Eb2MueG1sUEsFBgAAAAAGAAYAWQEAAGQFAAAAAA==&#10;">
                        <v:fill on="t" focussize="0,0"/>
                        <v:stroke on="f"/>
                        <v:imagedata o:title=""/>
                        <o:lock v:ext="edit" aspectratio="f"/>
                        <v:textbox>
                          <w:txbxContent>
                            <w:p w14:paraId="5FBD3AA3">
                              <w:pPr>
                                <w:ind w:left="0" w:leftChars="0" w:firstLine="0" w:firstLineChars="0"/>
                                <w:rPr>
                                  <w:rFonts w:hint="default" w:eastAsia="仿宋"/>
                                  <w:lang w:val="en-US" w:eastAsia="zh-CN"/>
                                </w:rPr>
                              </w:pPr>
                              <w:r>
                                <w:rPr>
                                  <w:rFonts w:hint="eastAsia"/>
                                  <w:lang w:val="en-US" w:eastAsia="zh-CN"/>
                                </w:rPr>
                                <w:t>G3-2</w:t>
                              </w:r>
                            </w:p>
                          </w:txbxContent>
                        </v:textbox>
                      </v:shape>
                      <v:shape id="文本框 96" o:spid="_x0000_s1026" o:spt="202" type="#_x0000_t202" style="position:absolute;left:3286760;top:1737360;height:264160;width:983615;" fillcolor="#FFFFFF" filled="t" stroked="f" coordsize="21600,21600" o:gfxdata="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0novzVAAAABQEAAA8AAAAAAAAAAQAgAAAAIgAAAGRy&#10;cy9kb3ducmV2LnhtbFBLAQIUABQAAAAIAIdO4kAcxqlKzwEAAIUDAAAOAAAAAAAAAAEAIAAAACQB&#10;AABkcnMvZTJvRG9jLnhtbFBLBQYAAAAABgAGAFkBAABlBQAAAAA=&#10;">
                        <v:fill on="t" focussize="0,0"/>
                        <v:stroke on="f"/>
                        <v:imagedata o:title=""/>
                        <o:lock v:ext="edit" aspectratio="f"/>
                        <v:textbox>
                          <w:txbxContent>
                            <w:p w14:paraId="08030731">
                              <w:pPr>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lang w:val="en-US" w:eastAsia="zh-CN"/>
                                </w:rPr>
                              </w:pPr>
                              <w:r>
                                <w:rPr>
                                  <w:rFonts w:hint="eastAsia"/>
                                  <w:lang w:val="en-US" w:eastAsia="zh-CN"/>
                                </w:rPr>
                                <w:t>S15、S16、S17</w:t>
                              </w:r>
                            </w:p>
                          </w:txbxContent>
                        </v:textbox>
                      </v:shape>
                      <v:shape id="直接箭头连接符 103" o:spid="_x0000_s1026" o:spt="32" type="#_x0000_t32" style="position:absolute;left:3150235;top:1153795;flip:y;height:293370;width:0;" filled="f" stroked="t" coordsize="21600,21600" o:gfxdata="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C7dbvUAAAABQEAAA8AAAAAAAAAAQAgAAAAIgAAAGRycy9kb3ducmV2LnhtbFBLAQIU&#10;ABQAAAAIAIdO4kC0VhzeMAIAACUEAAAOAAAAAAAAAAEAIAAAACMBAABkcnMvZTJvRG9jLnhtbFBL&#10;BQYAAAAABgAGAFkBAADFBQAAAAA=&#10;">
                        <v:fill on="f" focussize="0,0"/>
                        <v:stroke weight="1pt" color="#000000 [3213]" miterlimit="8" joinstyle="miter" endarrow="block"/>
                        <v:imagedata o:title=""/>
                        <o:lock v:ext="edit" aspectratio="f"/>
                      </v:shape>
                      <v:shape id="直接箭头连接符 106" o:spid="_x0000_s1026" o:spt="32" type="#_x0000_t32" style="position:absolute;left:3128010;top:1718310;height:256540;width:6985;" filled="f" stroked="t" coordsize="21600,21600" o:gfxdata="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oz0FzWAAAABQEAAA8AAAAAAAAAAQAgAAAAIgAAAGRycy9kb3ducmV2LnhtbFBLAQIUABQA&#10;AAAIAIdO4kAJ9M0hKwIAAB4EAAAOAAAAAAAAAAEAIAAAACUBAABkcnMvZTJvRG9jLnhtbFBLBQYA&#10;AAAABgAGAFkBAADCBQAAAAA=&#10;">
                        <v:fill on="f" focussize="0,0"/>
                        <v:stroke weight="1pt" color="#000000 [3213]" miterlimit="8" joinstyle="miter" endarrow="block"/>
                        <v:imagedata o:title=""/>
                        <o:lock v:ext="edit" aspectratio="f"/>
                      </v:shape>
                      <v:shape id="直接箭头连接符 113" o:spid="_x0000_s1026" o:spt="32" type="#_x0000_t32" style="position:absolute;left:2790825;top:1791335;flip:x y;height:271145;width:6985;" filled="f" stroked="t" coordsize="21600,21600" o:gfxdata="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I4X061wAAAAUBAAAPAAAAAAAAAAEAIAAAACIAAABkcnMvZG93bnJl&#10;di54bWxQSwECFAAUAAAACACHTuJANjaeuzcCAAAyBAAADgAAAAAAAAABACAAAAAmAQAAZHJzL2Uy&#10;b0RvYy54bWxQSwUGAAAAAAYABgBZAQAAzwUAAAAA&#10;">
                        <v:fill on="f" focussize="0,0"/>
                        <v:stroke weight="1pt" color="#000000 [3213]" miterlimit="8" joinstyle="miter" endarrow="block"/>
                        <v:imagedata o:title=""/>
                        <o:lock v:ext="edit" aspectratio="f"/>
                      </v:shape>
                      <v:shape id="直接箭头连接符 117" o:spid="_x0000_s1026" o:spt="32" type="#_x0000_t32" style="position:absolute;left:0;top:0;height:0;width:0;" filled="f" stroked="t" coordsize="21600,21600" o:gfxdata="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pGx+0gAAAAUBAAAPAAAAAAAAAAEAIAAAACIAAABkcnMvZG93bnJl&#10;di54bWxQSwECFAAUAAAACACHTuJAdA8vXwMCAADdAwAADgAAAAAAAAABACAAAAAhAQAAZHJzL2Uy&#10;b0RvYy54bWxQSwUGAAAAAAYABgBZAQAAlgUAAAAA&#10;">
                        <v:fill on="f" focussize="0,0"/>
                        <v:stroke weight="1pt" color="#5B9BD5 [3204]" miterlimit="8" joinstyle="miter" endarrow="open"/>
                        <v:imagedata o:title=""/>
                        <o:lock v:ext="edit" aspectratio="f"/>
                      </v:shape>
                      <w10:wrap type="none"/>
                      <w10:anchorlock/>
                    </v:group>
                  </w:pict>
                </mc:Fallback>
              </mc:AlternateContent>
            </w:r>
          </w:p>
          <w:p w14:paraId="3DC65461">
            <w:pPr>
              <w:pStyle w:val="75"/>
              <w:rPr>
                <w:rFonts w:hint="eastAsia" w:eastAsia="仿宋"/>
                <w:b/>
                <w:bCs/>
                <w:color w:val="auto"/>
                <w:sz w:val="28"/>
                <w:lang w:eastAsia="zh-CN"/>
              </w:rPr>
            </w:pPr>
            <w:r>
              <w:rPr>
                <w:rFonts w:hint="eastAsia"/>
                <w:color w:val="auto"/>
                <w:sz w:val="24"/>
              </w:rPr>
              <w:t>图2</w:t>
            </w:r>
            <w:r>
              <w:rPr>
                <w:color w:val="auto"/>
                <w:sz w:val="24"/>
              </w:rPr>
              <w:t>-</w:t>
            </w:r>
            <w:r>
              <w:rPr>
                <w:rFonts w:hint="eastAsia"/>
                <w:color w:val="auto"/>
                <w:sz w:val="24"/>
                <w:lang w:val="en-US" w:eastAsia="zh-CN"/>
              </w:rPr>
              <w:t>6</w:t>
            </w:r>
            <w:r>
              <w:rPr>
                <w:rFonts w:hint="eastAsia"/>
                <w:i/>
                <w:iCs/>
                <w:color w:val="auto"/>
                <w:sz w:val="24"/>
                <w:lang w:val="en-US" w:eastAsia="zh-CN"/>
              </w:rPr>
              <w:t>贴合机上隔音、隔热</w:t>
            </w:r>
            <w:r>
              <w:rPr>
                <w:rFonts w:hint="eastAsia"/>
                <w:i/>
                <w:iCs/>
                <w:color w:val="auto"/>
                <w:sz w:val="24"/>
                <w:highlight w:val="none"/>
                <w:lang w:eastAsia="zh-CN"/>
              </w:rPr>
              <w:t>棉</w:t>
            </w:r>
            <w:r>
              <w:rPr>
                <w:rFonts w:hint="eastAsia"/>
                <w:i/>
                <w:iCs/>
                <w:color w:val="auto"/>
                <w:sz w:val="24"/>
              </w:rPr>
              <w:t>生产工艺流程及产污环节图</w:t>
            </w:r>
            <w:r>
              <w:rPr>
                <w:rFonts w:hint="eastAsia"/>
                <w:i/>
                <w:iCs/>
                <w:color w:val="auto"/>
                <w:sz w:val="24"/>
                <w:lang w:eastAsia="zh-CN"/>
              </w:rPr>
              <w:t>（第一次涂布）</w:t>
            </w:r>
          </w:p>
          <w:p w14:paraId="2904A4EE">
            <w:pPr>
              <w:pStyle w:val="56"/>
              <w:keepNext w:val="0"/>
              <w:keepLines w:val="0"/>
              <w:pageBreakBefore w:val="0"/>
              <w:widowControl w:val="0"/>
              <w:kinsoku/>
              <w:wordWrap/>
              <w:overflowPunct/>
              <w:topLinePunct w:val="0"/>
              <w:autoSpaceDE/>
              <w:autoSpaceDN/>
              <w:bidi w:val="0"/>
              <w:adjustRightInd w:val="0"/>
              <w:snapToGrid w:val="0"/>
              <w:ind w:firstLine="582" w:firstLineChars="200"/>
              <w:jc w:val="left"/>
              <w:textAlignment w:val="auto"/>
              <w:rPr>
                <w:rFonts w:hint="eastAsia"/>
                <w:b/>
                <w:bCs/>
                <w:smallCaps/>
                <w:color w:val="auto"/>
                <w:spacing w:val="5"/>
                <w:sz w:val="28"/>
                <w:szCs w:val="28"/>
                <w:lang w:eastAsia="zh-CN" w:bidi="en-US"/>
              </w:rPr>
            </w:pPr>
          </w:p>
          <w:p w14:paraId="30CA55FB">
            <w:pPr>
              <w:pStyle w:val="56"/>
              <w:keepNext w:val="0"/>
              <w:keepLines w:val="0"/>
              <w:pageBreakBefore w:val="0"/>
              <w:widowControl w:val="0"/>
              <w:kinsoku/>
              <w:wordWrap/>
              <w:overflowPunct/>
              <w:topLinePunct w:val="0"/>
              <w:autoSpaceDE/>
              <w:autoSpaceDN/>
              <w:bidi w:val="0"/>
              <w:adjustRightInd w:val="0"/>
              <w:snapToGrid w:val="0"/>
              <w:ind w:firstLine="582" w:firstLineChars="200"/>
              <w:jc w:val="left"/>
              <w:textAlignment w:val="auto"/>
              <w:rPr>
                <w:rFonts w:hint="eastAsia" w:eastAsia="仿宋"/>
                <w:b/>
                <w:bCs/>
                <w:i/>
                <w:iCs/>
                <w:smallCaps/>
                <w:color w:val="auto"/>
                <w:spacing w:val="5"/>
                <w:sz w:val="28"/>
                <w:szCs w:val="28"/>
                <w:lang w:eastAsia="zh-CN" w:bidi="en-US"/>
              </w:rPr>
            </w:pPr>
            <w:r>
              <w:rPr>
                <w:rFonts w:hint="eastAsia"/>
                <w:b/>
                <w:bCs/>
                <w:i/>
                <w:iCs/>
                <w:smallCaps/>
                <w:color w:val="auto"/>
                <w:spacing w:val="5"/>
                <w:sz w:val="28"/>
                <w:szCs w:val="28"/>
                <w:lang w:eastAsia="zh-CN" w:bidi="en-US"/>
              </w:rPr>
              <w:t>生产工艺流程简述：</w:t>
            </w:r>
          </w:p>
          <w:p w14:paraId="48128527">
            <w:pPr>
              <w:rPr>
                <w:i/>
                <w:iCs/>
                <w:color w:val="auto"/>
              </w:rPr>
            </w:pPr>
            <w:r>
              <w:rPr>
                <w:rFonts w:hint="eastAsia"/>
                <w:b w:val="0"/>
                <w:bCs w:val="0"/>
                <w:i/>
                <w:iCs/>
                <w:smallCaps/>
                <w:color w:val="auto"/>
                <w:spacing w:val="5"/>
                <w:sz w:val="28"/>
                <w:szCs w:val="28"/>
                <w:lang w:eastAsia="zh-CN" w:bidi="en-US"/>
              </w:rPr>
              <w:t>白棉纸与牛皮纸生产工艺一致，不同的是白棉纸需先在贴合机上进行涂胶、烘干工序，将白棉纸涂布、烘干后再进入涂布烘干一体机进行涂胶烘干工序，即需进行两次涂布，经两次涂布后使得白棉纸双侧均完成涂布；第一次涂布、烘干生产过程在贴合机上完成，第二次涂布过程在涂布烘干一体机上完成，其中贴合机</w:t>
            </w:r>
            <w:r>
              <w:rPr>
                <w:rFonts w:hint="eastAsia" w:ascii="仿宋" w:hAnsi="仿宋" w:eastAsia="仿宋" w:cs="仿宋"/>
                <w:i/>
                <w:iCs/>
                <w:color w:val="auto"/>
                <w:sz w:val="28"/>
                <w:szCs w:val="28"/>
              </w:rPr>
              <w:t>每次涂布厚度为</w:t>
            </w:r>
            <w:r>
              <w:rPr>
                <w:rFonts w:hint="eastAsia" w:cs="仿宋"/>
                <w:i/>
                <w:iCs/>
                <w:color w:val="auto"/>
                <w:sz w:val="28"/>
                <w:szCs w:val="28"/>
                <w:lang w:val="en-US" w:eastAsia="zh-CN"/>
              </w:rPr>
              <w:t>3</w:t>
            </w:r>
            <w:r>
              <w:rPr>
                <w:rFonts w:hint="eastAsia" w:ascii="仿宋" w:hAnsi="仿宋" w:eastAsia="仿宋" w:cs="仿宋"/>
                <w:i/>
                <w:iCs/>
                <w:color w:val="auto"/>
                <w:sz w:val="28"/>
                <w:szCs w:val="28"/>
              </w:rPr>
              <w:t>0um。</w:t>
            </w:r>
            <w:r>
              <w:rPr>
                <w:rFonts w:hint="eastAsia" w:cs="仿宋"/>
                <w:i/>
                <w:iCs/>
                <w:color w:val="auto"/>
                <w:sz w:val="28"/>
                <w:szCs w:val="28"/>
                <w:lang w:eastAsia="zh-CN"/>
              </w:rPr>
              <w:t>白棉纸仅粘贴</w:t>
            </w:r>
            <w:r>
              <w:rPr>
                <w:rFonts w:hint="eastAsia" w:cs="仿宋"/>
                <w:i/>
                <w:iCs/>
                <w:color w:val="auto"/>
                <w:sz w:val="28"/>
                <w:szCs w:val="28"/>
                <w:lang w:val="en-US" w:eastAsia="zh-CN"/>
              </w:rPr>
              <w:t>PU、PE和牛皮纸，且粘贴的PU、PE量占PU、PE总产品产量的1%，贴合机</w:t>
            </w:r>
            <w:r>
              <w:rPr>
                <w:rFonts w:hint="eastAsia" w:ascii="仿宋" w:hAnsi="仿宋" w:eastAsia="仿宋" w:cs="仿宋"/>
                <w:i/>
                <w:iCs/>
                <w:color w:val="auto"/>
                <w:sz w:val="28"/>
                <w:szCs w:val="28"/>
              </w:rPr>
              <w:t>涂布过程会产生有机废气G</w:t>
            </w:r>
            <w:r>
              <w:rPr>
                <w:rFonts w:hint="eastAsia" w:cs="仿宋"/>
                <w:i/>
                <w:iCs/>
                <w:color w:val="auto"/>
                <w:sz w:val="28"/>
                <w:szCs w:val="28"/>
                <w:lang w:val="en-US" w:eastAsia="zh-CN"/>
              </w:rPr>
              <w:t>3-</w:t>
            </w:r>
            <w:r>
              <w:rPr>
                <w:rFonts w:hint="eastAsia" w:ascii="仿宋" w:hAnsi="仿宋" w:eastAsia="仿宋" w:cs="仿宋"/>
                <w:i/>
                <w:iCs/>
                <w:color w:val="auto"/>
                <w:sz w:val="28"/>
                <w:szCs w:val="28"/>
                <w:lang w:val="en-US" w:eastAsia="zh-CN"/>
              </w:rPr>
              <w:t>1</w:t>
            </w:r>
            <w:r>
              <w:rPr>
                <w:rFonts w:hint="eastAsia" w:cs="仿宋"/>
                <w:i/>
                <w:iCs/>
                <w:color w:val="auto"/>
                <w:sz w:val="28"/>
                <w:szCs w:val="28"/>
                <w:lang w:val="en-US" w:eastAsia="zh-CN"/>
              </w:rPr>
              <w:t>；</w:t>
            </w:r>
          </w:p>
          <w:p w14:paraId="6368AC91">
            <w:pPr>
              <w:rPr>
                <w:rFonts w:hint="default"/>
                <w:i/>
                <w:iCs/>
                <w:color w:val="auto"/>
                <w:lang w:val="en-US"/>
              </w:rPr>
            </w:pPr>
            <w:r>
              <w:rPr>
                <w:rFonts w:hint="eastAsia" w:cs="仿宋"/>
                <w:b w:val="0"/>
                <w:bCs/>
                <w:i/>
                <w:iCs/>
                <w:color w:val="auto"/>
                <w:sz w:val="28"/>
                <w:szCs w:val="28"/>
                <w:lang w:eastAsia="zh-CN"/>
              </w:rPr>
              <w:t>第一次涂布、</w:t>
            </w:r>
            <w:r>
              <w:rPr>
                <w:rFonts w:hint="eastAsia" w:ascii="仿宋" w:hAnsi="仿宋" w:eastAsia="仿宋" w:cs="仿宋"/>
                <w:b w:val="0"/>
                <w:bCs/>
                <w:i/>
                <w:iCs/>
                <w:color w:val="auto"/>
                <w:sz w:val="28"/>
                <w:szCs w:val="28"/>
              </w:rPr>
              <w:t>烘</w:t>
            </w:r>
            <w:r>
              <w:rPr>
                <w:rFonts w:hint="eastAsia" w:cs="仿宋"/>
                <w:b w:val="0"/>
                <w:bCs/>
                <w:i/>
                <w:iCs/>
                <w:color w:val="auto"/>
                <w:sz w:val="28"/>
                <w:szCs w:val="28"/>
                <w:lang w:eastAsia="zh-CN"/>
              </w:rPr>
              <w:t>干</w:t>
            </w:r>
            <w:r>
              <w:rPr>
                <w:rFonts w:hint="eastAsia" w:ascii="仿宋" w:hAnsi="仿宋" w:eastAsia="仿宋" w:cs="仿宋"/>
                <w:b w:val="0"/>
                <w:bCs/>
                <w:i/>
                <w:iCs/>
                <w:color w:val="auto"/>
                <w:sz w:val="28"/>
                <w:szCs w:val="28"/>
                <w:lang w:val="en-US" w:eastAsia="zh-CN"/>
              </w:rPr>
              <w:t>：</w:t>
            </w:r>
            <w:r>
              <w:rPr>
                <w:rFonts w:hint="eastAsia" w:ascii="仿宋" w:hAnsi="仿宋" w:eastAsia="仿宋" w:cs="仿宋"/>
                <w:b w:val="0"/>
                <w:bCs w:val="0"/>
                <w:i/>
                <w:iCs/>
                <w:color w:val="auto"/>
                <w:sz w:val="28"/>
                <w:szCs w:val="28"/>
                <w:lang w:val="en-US" w:eastAsia="zh-CN"/>
              </w:rPr>
              <w:t>将涂布后</w:t>
            </w:r>
            <w:r>
              <w:rPr>
                <w:rFonts w:hint="eastAsia" w:cs="仿宋"/>
                <w:b w:val="0"/>
                <w:bCs w:val="0"/>
                <w:i/>
                <w:iCs/>
                <w:color w:val="auto"/>
                <w:sz w:val="28"/>
                <w:szCs w:val="28"/>
                <w:highlight w:val="none"/>
                <w:lang w:val="en-US" w:eastAsia="zh-CN"/>
              </w:rPr>
              <w:t>白棉</w:t>
            </w:r>
            <w:r>
              <w:rPr>
                <w:rFonts w:hint="eastAsia" w:ascii="仿宋" w:hAnsi="仿宋" w:eastAsia="仿宋" w:cs="仿宋"/>
                <w:b w:val="0"/>
                <w:bCs w:val="0"/>
                <w:i/>
                <w:iCs/>
                <w:color w:val="auto"/>
                <w:sz w:val="28"/>
                <w:szCs w:val="28"/>
                <w:highlight w:val="none"/>
                <w:lang w:val="en-US" w:eastAsia="zh-CN"/>
              </w:rPr>
              <w:t>纸</w:t>
            </w:r>
            <w:r>
              <w:rPr>
                <w:rFonts w:hint="eastAsia" w:ascii="仿宋" w:hAnsi="仿宋" w:eastAsia="仿宋" w:cs="仿宋"/>
                <w:b w:val="0"/>
                <w:bCs w:val="0"/>
                <w:i/>
                <w:iCs/>
                <w:color w:val="auto"/>
                <w:sz w:val="28"/>
                <w:szCs w:val="28"/>
                <w:lang w:val="en-US" w:eastAsia="zh-CN"/>
              </w:rPr>
              <w:t>的半成品</w:t>
            </w:r>
            <w:r>
              <w:rPr>
                <w:rFonts w:hint="eastAsia" w:cs="仿宋"/>
                <w:b w:val="0"/>
                <w:bCs w:val="0"/>
                <w:i/>
                <w:iCs/>
                <w:color w:val="auto"/>
                <w:sz w:val="28"/>
                <w:szCs w:val="28"/>
                <w:lang w:val="en-US" w:eastAsia="zh-CN"/>
              </w:rPr>
              <w:t>经</w:t>
            </w:r>
            <w:r>
              <w:rPr>
                <w:rFonts w:hint="eastAsia" w:cs="仿宋"/>
                <w:b w:val="0"/>
                <w:bCs w:val="0"/>
                <w:i/>
                <w:iCs/>
                <w:color w:val="auto"/>
                <w:sz w:val="28"/>
                <w:szCs w:val="28"/>
                <w:highlight w:val="none"/>
                <w:lang w:val="en-US" w:eastAsia="zh-CN"/>
              </w:rPr>
              <w:t>烫轮</w:t>
            </w:r>
            <w:r>
              <w:rPr>
                <w:rFonts w:hint="eastAsia" w:ascii="仿宋" w:hAnsi="仿宋" w:eastAsia="仿宋" w:cs="仿宋"/>
                <w:b w:val="0"/>
                <w:bCs w:val="0"/>
                <w:i/>
                <w:iCs/>
                <w:color w:val="auto"/>
                <w:sz w:val="28"/>
                <w:szCs w:val="28"/>
                <w:lang w:val="en-US" w:eastAsia="zh-CN"/>
              </w:rPr>
              <w:t>进行烘干，烘烤采用电加热的方式。加热温度</w:t>
            </w:r>
            <w:r>
              <w:rPr>
                <w:rFonts w:hint="eastAsia" w:ascii="仿宋" w:hAnsi="仿宋" w:eastAsia="仿宋" w:cs="仿宋"/>
                <w:b w:val="0"/>
                <w:bCs w:val="0"/>
                <w:i/>
                <w:iCs/>
                <w:color w:val="auto"/>
                <w:sz w:val="28"/>
                <w:szCs w:val="28"/>
                <w:highlight w:val="none"/>
                <w:lang w:val="en-US" w:eastAsia="zh-CN"/>
              </w:rPr>
              <w:t>约</w:t>
            </w:r>
            <w:r>
              <w:rPr>
                <w:rFonts w:hint="eastAsia" w:cs="仿宋"/>
                <w:b w:val="0"/>
                <w:bCs w:val="0"/>
                <w:i/>
                <w:iCs/>
                <w:color w:val="auto"/>
                <w:sz w:val="28"/>
                <w:szCs w:val="28"/>
                <w:highlight w:val="none"/>
                <w:lang w:val="en-US" w:eastAsia="zh-CN"/>
              </w:rPr>
              <w:t>170</w:t>
            </w:r>
            <w:r>
              <w:rPr>
                <w:rFonts w:hint="eastAsia" w:ascii="仿宋" w:hAnsi="仿宋" w:eastAsia="仿宋" w:cs="仿宋"/>
                <w:b w:val="0"/>
                <w:bCs w:val="0"/>
                <w:i/>
                <w:iCs/>
                <w:color w:val="auto"/>
                <w:sz w:val="28"/>
                <w:szCs w:val="28"/>
                <w:highlight w:val="none"/>
                <w:lang w:val="en-US" w:eastAsia="zh-CN"/>
              </w:rPr>
              <w:t>℃</w:t>
            </w:r>
            <w:r>
              <w:rPr>
                <w:rFonts w:hint="eastAsia" w:cs="仿宋"/>
                <w:b w:val="0"/>
                <w:bCs w:val="0"/>
                <w:i/>
                <w:iCs/>
                <w:color w:val="auto"/>
                <w:sz w:val="28"/>
                <w:szCs w:val="28"/>
                <w:highlight w:val="none"/>
                <w:lang w:val="en-US" w:eastAsia="zh-CN"/>
              </w:rPr>
              <w:t>-210℃</w:t>
            </w:r>
            <w:r>
              <w:rPr>
                <w:rFonts w:hint="eastAsia" w:ascii="仿宋" w:hAnsi="仿宋" w:eastAsia="仿宋" w:cs="仿宋"/>
                <w:b w:val="0"/>
                <w:bCs w:val="0"/>
                <w:i/>
                <w:iCs/>
                <w:color w:val="auto"/>
                <w:sz w:val="28"/>
                <w:szCs w:val="28"/>
                <w:highlight w:val="none"/>
                <w:lang w:val="en-US" w:eastAsia="zh-CN"/>
              </w:rPr>
              <w:t>，</w:t>
            </w:r>
            <w:r>
              <w:rPr>
                <w:rFonts w:hint="eastAsia" w:cs="仿宋"/>
                <w:b w:val="0"/>
                <w:bCs w:val="0"/>
                <w:i/>
                <w:iCs/>
                <w:color w:val="auto"/>
                <w:sz w:val="28"/>
                <w:szCs w:val="28"/>
                <w:highlight w:val="none"/>
                <w:lang w:val="en-US" w:eastAsia="zh-CN"/>
              </w:rPr>
              <w:t>贴合</w:t>
            </w:r>
            <w:r>
              <w:rPr>
                <w:rFonts w:hint="eastAsia" w:ascii="仿宋" w:hAnsi="仿宋" w:eastAsia="仿宋" w:cs="仿宋"/>
                <w:b w:val="0"/>
                <w:bCs w:val="0"/>
                <w:i/>
                <w:iCs/>
                <w:color w:val="auto"/>
                <w:sz w:val="28"/>
                <w:szCs w:val="28"/>
                <w:highlight w:val="none"/>
                <w:lang w:val="en-US" w:eastAsia="zh-CN"/>
              </w:rPr>
              <w:t>机的</w:t>
            </w:r>
            <w:r>
              <w:rPr>
                <w:rFonts w:hint="eastAsia" w:cs="仿宋"/>
                <w:b w:val="0"/>
                <w:bCs w:val="0"/>
                <w:i/>
                <w:iCs/>
                <w:color w:val="auto"/>
                <w:sz w:val="28"/>
                <w:szCs w:val="28"/>
                <w:highlight w:val="none"/>
                <w:lang w:val="en-US" w:eastAsia="zh-CN"/>
              </w:rPr>
              <w:t>烘干时间</w:t>
            </w:r>
            <w:r>
              <w:rPr>
                <w:rFonts w:hint="eastAsia" w:ascii="仿宋" w:hAnsi="仿宋" w:eastAsia="仿宋" w:cs="仿宋"/>
                <w:b w:val="0"/>
                <w:bCs w:val="0"/>
                <w:i/>
                <w:iCs/>
                <w:color w:val="auto"/>
                <w:sz w:val="28"/>
                <w:szCs w:val="28"/>
                <w:highlight w:val="none"/>
                <w:lang w:val="en-US" w:eastAsia="zh-CN"/>
              </w:rPr>
              <w:t>根据不同产品进行调整</w:t>
            </w:r>
            <w:r>
              <w:rPr>
                <w:rFonts w:hint="eastAsia" w:ascii="仿宋" w:hAnsi="仿宋" w:eastAsia="仿宋" w:cs="仿宋"/>
                <w:b w:val="0"/>
                <w:bCs w:val="0"/>
                <w:i/>
                <w:iCs/>
                <w:color w:val="auto"/>
                <w:sz w:val="28"/>
                <w:szCs w:val="28"/>
                <w:lang w:val="en-US" w:eastAsia="zh-CN"/>
              </w:rPr>
              <w:t>，</w:t>
            </w:r>
            <w:r>
              <w:rPr>
                <w:rFonts w:hint="eastAsia" w:cs="仿宋"/>
                <w:b w:val="0"/>
                <w:bCs w:val="0"/>
                <w:i/>
                <w:iCs/>
                <w:color w:val="auto"/>
                <w:sz w:val="28"/>
                <w:szCs w:val="28"/>
                <w:lang w:val="en-US" w:eastAsia="zh-CN"/>
              </w:rPr>
              <w:t>此过程涂布为一侧涂布，</w:t>
            </w:r>
            <w:r>
              <w:rPr>
                <w:rFonts w:hint="eastAsia" w:ascii="仿宋" w:hAnsi="仿宋" w:eastAsia="仿宋" w:cs="仿宋"/>
                <w:b w:val="0"/>
                <w:bCs w:val="0"/>
                <w:i/>
                <w:iCs/>
                <w:color w:val="auto"/>
                <w:sz w:val="28"/>
                <w:szCs w:val="28"/>
                <w:lang w:val="en-US" w:eastAsia="zh-CN"/>
              </w:rPr>
              <w:t>制品成型完毕后由设备后端传动带输出，在</w:t>
            </w:r>
            <w:r>
              <w:rPr>
                <w:rFonts w:hint="eastAsia" w:ascii="仿宋" w:hAnsi="仿宋" w:eastAsia="仿宋" w:cs="仿宋"/>
                <w:b w:val="0"/>
                <w:bCs w:val="0"/>
                <w:i/>
                <w:iCs/>
                <w:color w:val="auto"/>
                <w:sz w:val="28"/>
                <w:szCs w:val="28"/>
                <w:highlight w:val="none"/>
                <w:lang w:val="en-US" w:eastAsia="zh-CN"/>
              </w:rPr>
              <w:t>自然状态下晾干使其冷却。</w:t>
            </w:r>
            <w:r>
              <w:rPr>
                <w:rFonts w:hint="eastAsia" w:ascii="仿宋" w:hAnsi="仿宋" w:eastAsia="仿宋" w:cs="仿宋"/>
                <w:b w:val="0"/>
                <w:bCs w:val="0"/>
                <w:i/>
                <w:iCs/>
                <w:color w:val="auto"/>
                <w:sz w:val="28"/>
                <w:szCs w:val="28"/>
                <w:lang w:val="en-US" w:eastAsia="zh-CN"/>
              </w:rPr>
              <w:t>此过程会产生烘烤废气（G</w:t>
            </w:r>
            <w:r>
              <w:rPr>
                <w:rFonts w:hint="eastAsia" w:cs="仿宋"/>
                <w:b w:val="0"/>
                <w:bCs w:val="0"/>
                <w:i/>
                <w:iCs/>
                <w:color w:val="auto"/>
                <w:sz w:val="28"/>
                <w:szCs w:val="28"/>
                <w:lang w:val="en-US" w:eastAsia="zh-CN"/>
              </w:rPr>
              <w:t>3</w:t>
            </w:r>
            <w:r>
              <w:rPr>
                <w:rFonts w:hint="eastAsia" w:ascii="仿宋" w:hAnsi="仿宋" w:eastAsia="仿宋" w:cs="仿宋"/>
                <w:b w:val="0"/>
                <w:bCs w:val="0"/>
                <w:i/>
                <w:iCs/>
                <w:color w:val="auto"/>
                <w:sz w:val="28"/>
                <w:szCs w:val="28"/>
                <w:lang w:val="en-US" w:eastAsia="zh-CN"/>
              </w:rPr>
              <w:t>-</w:t>
            </w:r>
            <w:r>
              <w:rPr>
                <w:rFonts w:hint="eastAsia" w:cs="仿宋"/>
                <w:b w:val="0"/>
                <w:bCs w:val="0"/>
                <w:i/>
                <w:iCs/>
                <w:color w:val="auto"/>
                <w:sz w:val="28"/>
                <w:szCs w:val="28"/>
                <w:lang w:val="en-US" w:eastAsia="zh-CN"/>
              </w:rPr>
              <w:t>2</w:t>
            </w:r>
            <w:r>
              <w:rPr>
                <w:rFonts w:hint="eastAsia" w:ascii="仿宋" w:hAnsi="仿宋" w:eastAsia="仿宋" w:cs="仿宋"/>
                <w:b w:val="0"/>
                <w:bCs w:val="0"/>
                <w:i/>
                <w:iCs/>
                <w:color w:val="auto"/>
                <w:sz w:val="28"/>
                <w:szCs w:val="28"/>
                <w:lang w:val="en-US" w:eastAsia="zh-CN"/>
              </w:rPr>
              <w:t>）</w:t>
            </w:r>
            <w:r>
              <w:rPr>
                <w:rFonts w:hint="eastAsia" w:cs="仿宋"/>
                <w:b w:val="0"/>
                <w:bCs w:val="0"/>
                <w:i/>
                <w:iCs/>
                <w:color w:val="auto"/>
                <w:sz w:val="28"/>
                <w:szCs w:val="28"/>
                <w:lang w:val="en-US" w:eastAsia="zh-CN"/>
              </w:rPr>
              <w:t>。</w:t>
            </w:r>
          </w:p>
          <w:p w14:paraId="0EF9D6B9">
            <w:pPr>
              <w:pStyle w:val="56"/>
              <w:keepNext w:val="0"/>
              <w:keepLines w:val="0"/>
              <w:pageBreakBefore w:val="0"/>
              <w:widowControl w:val="0"/>
              <w:kinsoku/>
              <w:wordWrap/>
              <w:overflowPunct/>
              <w:topLinePunct w:val="0"/>
              <w:autoSpaceDE/>
              <w:autoSpaceDN/>
              <w:bidi w:val="0"/>
              <w:adjustRightInd w:val="0"/>
              <w:snapToGrid w:val="0"/>
              <w:ind w:firstLine="560" w:firstLineChars="200"/>
              <w:jc w:val="left"/>
              <w:textAlignment w:val="auto"/>
              <w:rPr>
                <w:rFonts w:hint="default" w:eastAsia="仿宋"/>
                <w:b w:val="0"/>
                <w:bCs w:val="0"/>
                <w:i/>
                <w:iCs/>
                <w:color w:val="auto"/>
                <w:sz w:val="28"/>
                <w:szCs w:val="28"/>
                <w:lang w:val="en-US" w:eastAsia="zh-CN"/>
              </w:rPr>
            </w:pPr>
            <w:r>
              <w:rPr>
                <w:rFonts w:hint="eastAsia"/>
                <w:b w:val="0"/>
                <w:bCs w:val="0"/>
                <w:i/>
                <w:iCs/>
                <w:color w:val="auto"/>
                <w:sz w:val="28"/>
                <w:szCs w:val="28"/>
                <w:lang w:eastAsia="zh-CN"/>
              </w:rPr>
              <w:t>第二次涂布、烘干：将经过第一次涂布、烘干后的白棉纸经过涂布烘干一体机进行涂布、烘干及后续贴合、裁切工序，第二次涂布过程与图</w:t>
            </w:r>
            <w:r>
              <w:rPr>
                <w:rFonts w:hint="eastAsia"/>
                <w:b w:val="0"/>
                <w:bCs w:val="0"/>
                <w:i/>
                <w:iCs/>
                <w:color w:val="auto"/>
                <w:sz w:val="28"/>
                <w:szCs w:val="28"/>
                <w:lang w:val="en-US" w:eastAsia="zh-CN"/>
              </w:rPr>
              <w:t>2-5工艺流程一致；此过程涂布为白棉纸另一侧涂布；</w:t>
            </w:r>
          </w:p>
          <w:p w14:paraId="71199F39">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仿宋" w:hAnsi="仿宋" w:eastAsia="仿宋" w:cs="仿宋"/>
                <w:b/>
                <w:bCs/>
                <w:color w:val="auto"/>
              </w:rPr>
            </w:pPr>
            <w:r>
              <w:rPr>
                <w:rFonts w:hint="eastAsia" w:ascii="仿宋" w:hAnsi="仿宋" w:eastAsia="仿宋" w:cs="仿宋"/>
                <w:b/>
                <w:bCs/>
                <w:color w:val="auto"/>
              </w:rPr>
              <w:t>表2-14项目各工序产污环节汇总表</w:t>
            </w:r>
          </w:p>
          <w:tbl>
            <w:tblPr>
              <w:tblStyle w:val="32"/>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1"/>
              <w:gridCol w:w="1856"/>
              <w:gridCol w:w="1716"/>
              <w:gridCol w:w="2502"/>
              <w:gridCol w:w="1960"/>
            </w:tblGrid>
            <w:tr w14:paraId="564D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vAlign w:val="center"/>
                </w:tcPr>
                <w:p w14:paraId="11AA11F3">
                  <w:pPr>
                    <w:pStyle w:val="46"/>
                    <w:spacing w:line="240" w:lineRule="auto"/>
                    <w:ind w:firstLine="0" w:firstLineChars="0"/>
                    <w:jc w:val="center"/>
                    <w:rPr>
                      <w:rFonts w:ascii="仿宋" w:hAnsi="仿宋" w:eastAsia="仿宋" w:cs="仿宋"/>
                      <w:color w:val="auto"/>
                    </w:rPr>
                  </w:pPr>
                  <w:r>
                    <w:rPr>
                      <w:rFonts w:hint="eastAsia" w:ascii="仿宋" w:hAnsi="仿宋" w:eastAsia="仿宋" w:cs="仿宋"/>
                      <w:color w:val="auto"/>
                    </w:rPr>
                    <w:t>污染类型</w:t>
                  </w:r>
                </w:p>
              </w:tc>
              <w:tc>
                <w:tcPr>
                  <w:tcW w:w="945" w:type="pct"/>
                  <w:vAlign w:val="center"/>
                </w:tcPr>
                <w:p w14:paraId="4D955234">
                  <w:pPr>
                    <w:pStyle w:val="46"/>
                    <w:spacing w:line="240" w:lineRule="auto"/>
                    <w:ind w:firstLine="0" w:firstLineChars="0"/>
                    <w:jc w:val="center"/>
                    <w:rPr>
                      <w:rFonts w:ascii="仿宋" w:hAnsi="仿宋" w:eastAsia="仿宋" w:cs="仿宋"/>
                      <w:color w:val="auto"/>
                    </w:rPr>
                  </w:pPr>
                  <w:r>
                    <w:rPr>
                      <w:rFonts w:hint="eastAsia" w:ascii="仿宋" w:hAnsi="仿宋" w:eastAsia="仿宋" w:cs="仿宋"/>
                      <w:color w:val="auto"/>
                    </w:rPr>
                    <w:t>产污工序</w:t>
                  </w:r>
                </w:p>
              </w:tc>
              <w:tc>
                <w:tcPr>
                  <w:tcW w:w="874" w:type="pct"/>
                  <w:vAlign w:val="center"/>
                </w:tcPr>
                <w:p w14:paraId="5D630DD8">
                  <w:pPr>
                    <w:pStyle w:val="46"/>
                    <w:spacing w:line="240" w:lineRule="auto"/>
                    <w:ind w:firstLine="0" w:firstLineChars="0"/>
                    <w:jc w:val="center"/>
                    <w:rPr>
                      <w:rFonts w:ascii="仿宋" w:hAnsi="仿宋" w:eastAsia="仿宋" w:cs="仿宋"/>
                      <w:color w:val="auto"/>
                    </w:rPr>
                  </w:pPr>
                  <w:r>
                    <w:rPr>
                      <w:rFonts w:hint="eastAsia" w:ascii="仿宋" w:hAnsi="仿宋" w:eastAsia="仿宋" w:cs="仿宋"/>
                      <w:color w:val="auto"/>
                    </w:rPr>
                    <w:t>污染物种类</w:t>
                  </w:r>
                </w:p>
              </w:tc>
              <w:tc>
                <w:tcPr>
                  <w:tcW w:w="1274" w:type="pct"/>
                  <w:vAlign w:val="center"/>
                </w:tcPr>
                <w:p w14:paraId="00C92700">
                  <w:pPr>
                    <w:pStyle w:val="46"/>
                    <w:spacing w:line="240" w:lineRule="auto"/>
                    <w:ind w:firstLine="0" w:firstLineChars="0"/>
                    <w:jc w:val="center"/>
                    <w:rPr>
                      <w:rFonts w:ascii="仿宋" w:hAnsi="仿宋" w:eastAsia="仿宋" w:cs="仿宋"/>
                      <w:color w:val="auto"/>
                    </w:rPr>
                  </w:pPr>
                  <w:r>
                    <w:rPr>
                      <w:rFonts w:hint="eastAsia" w:ascii="仿宋" w:hAnsi="仿宋" w:eastAsia="仿宋" w:cs="仿宋"/>
                      <w:color w:val="auto"/>
                    </w:rPr>
                    <w:t>主要污染因子</w:t>
                  </w:r>
                </w:p>
              </w:tc>
              <w:tc>
                <w:tcPr>
                  <w:tcW w:w="998" w:type="pct"/>
                  <w:vAlign w:val="center"/>
                </w:tcPr>
                <w:p w14:paraId="0C62EDAF">
                  <w:pPr>
                    <w:pStyle w:val="46"/>
                    <w:spacing w:line="240" w:lineRule="auto"/>
                    <w:ind w:firstLine="0" w:firstLineChars="0"/>
                    <w:jc w:val="center"/>
                    <w:rPr>
                      <w:rFonts w:ascii="仿宋" w:hAnsi="仿宋" w:eastAsia="仿宋" w:cs="仿宋"/>
                      <w:color w:val="auto"/>
                    </w:rPr>
                  </w:pPr>
                  <w:r>
                    <w:rPr>
                      <w:rFonts w:hint="eastAsia" w:ascii="仿宋" w:hAnsi="仿宋" w:eastAsia="仿宋" w:cs="仿宋"/>
                      <w:color w:val="auto"/>
                    </w:rPr>
                    <w:t>去向</w:t>
                  </w:r>
                </w:p>
              </w:tc>
            </w:tr>
            <w:tr w14:paraId="3F79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vMerge w:val="restart"/>
                  <w:vAlign w:val="center"/>
                </w:tcPr>
                <w:p w14:paraId="122020C5">
                  <w:pPr>
                    <w:pStyle w:val="46"/>
                    <w:spacing w:line="240" w:lineRule="auto"/>
                    <w:ind w:firstLine="0" w:firstLineChars="0"/>
                    <w:jc w:val="center"/>
                    <w:rPr>
                      <w:rFonts w:hint="eastAsia" w:ascii="仿宋" w:hAnsi="仿宋" w:eastAsia="仿宋" w:cs="仿宋"/>
                      <w:b w:val="0"/>
                      <w:bCs/>
                      <w:color w:val="auto"/>
                      <w:lang w:eastAsia="zh-CN"/>
                    </w:rPr>
                  </w:pPr>
                  <w:r>
                    <w:rPr>
                      <w:rFonts w:hint="eastAsia" w:ascii="仿宋" w:hAnsi="仿宋" w:eastAsia="仿宋" w:cs="仿宋"/>
                      <w:b w:val="0"/>
                      <w:bCs/>
                      <w:color w:val="auto"/>
                      <w:lang w:eastAsia="zh-CN"/>
                    </w:rPr>
                    <w:t>废气</w:t>
                  </w:r>
                </w:p>
              </w:tc>
              <w:tc>
                <w:tcPr>
                  <w:tcW w:w="945" w:type="pct"/>
                  <w:vAlign w:val="center"/>
                </w:tcPr>
                <w:p w14:paraId="78C221AE">
                  <w:pPr>
                    <w:pStyle w:val="46"/>
                    <w:spacing w:line="240" w:lineRule="auto"/>
                    <w:ind w:firstLine="0" w:firstLineChars="0"/>
                    <w:jc w:val="center"/>
                    <w:rPr>
                      <w:rFonts w:hint="default" w:ascii="仿宋" w:hAnsi="仿宋" w:eastAsia="仿宋" w:cs="仿宋"/>
                      <w:b w:val="0"/>
                      <w:bCs/>
                      <w:i/>
                      <w:iCs/>
                      <w:color w:val="auto"/>
                      <w:lang w:val="en-US" w:eastAsia="zh-CN"/>
                    </w:rPr>
                  </w:pPr>
                  <w:r>
                    <w:rPr>
                      <w:rFonts w:hint="eastAsia" w:ascii="仿宋" w:hAnsi="仿宋" w:eastAsia="仿宋" w:cs="仿宋"/>
                      <w:b w:val="0"/>
                      <w:bCs/>
                      <w:i/>
                      <w:iCs/>
                      <w:color w:val="auto"/>
                      <w:lang w:val="en-US" w:eastAsia="zh-CN"/>
                    </w:rPr>
                    <w:t>G2-1、G3-1</w:t>
                  </w:r>
                </w:p>
              </w:tc>
              <w:tc>
                <w:tcPr>
                  <w:tcW w:w="874" w:type="pct"/>
                  <w:vAlign w:val="center"/>
                </w:tcPr>
                <w:p w14:paraId="4F82AC42">
                  <w:pPr>
                    <w:pStyle w:val="46"/>
                    <w:spacing w:line="240" w:lineRule="auto"/>
                    <w:ind w:firstLine="0" w:firstLineChars="0"/>
                    <w:jc w:val="center"/>
                    <w:rPr>
                      <w:rFonts w:hint="eastAsia" w:ascii="仿宋" w:hAnsi="仿宋" w:eastAsia="仿宋" w:cs="仿宋"/>
                      <w:b w:val="0"/>
                      <w:bCs/>
                      <w:i/>
                      <w:iCs/>
                      <w:color w:val="auto"/>
                      <w:lang w:eastAsia="zh-CN"/>
                    </w:rPr>
                  </w:pPr>
                  <w:r>
                    <w:rPr>
                      <w:rFonts w:hint="eastAsia" w:ascii="仿宋" w:hAnsi="仿宋" w:eastAsia="仿宋" w:cs="仿宋"/>
                      <w:b w:val="0"/>
                      <w:bCs/>
                      <w:i/>
                      <w:iCs/>
                      <w:color w:val="auto"/>
                      <w:lang w:eastAsia="zh-CN"/>
                    </w:rPr>
                    <w:t>涂布废气</w:t>
                  </w:r>
                </w:p>
              </w:tc>
              <w:tc>
                <w:tcPr>
                  <w:tcW w:w="1274" w:type="pct"/>
                  <w:vMerge w:val="restart"/>
                  <w:vAlign w:val="center"/>
                </w:tcPr>
                <w:p w14:paraId="150566FD">
                  <w:pPr>
                    <w:pStyle w:val="46"/>
                    <w:spacing w:line="240" w:lineRule="auto"/>
                    <w:ind w:firstLine="0" w:firstLineChars="0"/>
                    <w:jc w:val="center"/>
                    <w:rPr>
                      <w:rFonts w:hint="eastAsia" w:ascii="仿宋" w:hAnsi="仿宋" w:eastAsia="仿宋" w:cs="仿宋"/>
                      <w:b w:val="0"/>
                      <w:bCs/>
                      <w:i/>
                      <w:iCs/>
                      <w:color w:val="auto"/>
                      <w:lang w:eastAsia="zh-CN"/>
                    </w:rPr>
                  </w:pPr>
                  <w:r>
                    <w:rPr>
                      <w:rFonts w:ascii="仿宋" w:hAnsi="仿宋" w:eastAsia="仿宋" w:cs="仿宋"/>
                      <w:b w:val="0"/>
                      <w:bCs/>
                      <w:i/>
                      <w:iCs/>
                      <w:color w:val="auto"/>
                    </w:rPr>
                    <w:t>非甲烷总烃</w:t>
                  </w:r>
                  <w:r>
                    <w:rPr>
                      <w:rFonts w:hint="eastAsia" w:ascii="仿宋" w:hAnsi="仿宋" w:eastAsia="仿宋" w:cs="仿宋"/>
                      <w:b w:val="0"/>
                      <w:bCs/>
                      <w:i/>
                      <w:iCs/>
                      <w:color w:val="auto"/>
                      <w:lang w:eastAsia="zh-CN"/>
                    </w:rPr>
                    <w:t>、颗粒物、臭气浓度</w:t>
                  </w:r>
                </w:p>
              </w:tc>
              <w:tc>
                <w:tcPr>
                  <w:tcW w:w="998" w:type="pct"/>
                  <w:vMerge w:val="restart"/>
                  <w:vAlign w:val="center"/>
                </w:tcPr>
                <w:p w14:paraId="5B405817">
                  <w:pPr>
                    <w:pStyle w:val="46"/>
                    <w:spacing w:line="240" w:lineRule="auto"/>
                    <w:ind w:firstLine="0" w:firstLineChars="0"/>
                    <w:jc w:val="center"/>
                    <w:rPr>
                      <w:rFonts w:hint="eastAsia" w:ascii="仿宋" w:hAnsi="仿宋" w:eastAsia="仿宋" w:cs="仿宋"/>
                      <w:b w:val="0"/>
                      <w:bCs/>
                      <w:color w:val="auto"/>
                      <w:lang w:eastAsia="zh-CN"/>
                    </w:rPr>
                  </w:pPr>
                  <w:r>
                    <w:rPr>
                      <w:rFonts w:hint="eastAsia" w:ascii="仿宋" w:hAnsi="仿宋" w:eastAsia="仿宋" w:cs="仿宋"/>
                      <w:b w:val="0"/>
                      <w:bCs/>
                      <w:color w:val="auto"/>
                      <w:lang w:eastAsia="zh-CN"/>
                    </w:rPr>
                    <w:t>经处理后有组织排放到大气环境</w:t>
                  </w:r>
                </w:p>
              </w:tc>
            </w:tr>
            <w:tr w14:paraId="29E5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vMerge w:val="continue"/>
                  <w:vAlign w:val="center"/>
                </w:tcPr>
                <w:p w14:paraId="040BFE26">
                  <w:pPr>
                    <w:pStyle w:val="46"/>
                    <w:spacing w:line="240" w:lineRule="auto"/>
                    <w:ind w:firstLine="0" w:firstLineChars="0"/>
                    <w:jc w:val="center"/>
                    <w:rPr>
                      <w:rFonts w:ascii="仿宋" w:hAnsi="仿宋" w:eastAsia="仿宋" w:cs="仿宋"/>
                      <w:b w:val="0"/>
                      <w:bCs/>
                      <w:color w:val="auto"/>
                    </w:rPr>
                  </w:pPr>
                </w:p>
              </w:tc>
              <w:tc>
                <w:tcPr>
                  <w:tcW w:w="945" w:type="pct"/>
                  <w:vAlign w:val="center"/>
                </w:tcPr>
                <w:p w14:paraId="4FF22FCF">
                  <w:pPr>
                    <w:pStyle w:val="46"/>
                    <w:spacing w:line="240" w:lineRule="auto"/>
                    <w:ind w:firstLine="0" w:firstLineChars="0"/>
                    <w:jc w:val="center"/>
                    <w:rPr>
                      <w:rFonts w:hint="default" w:ascii="仿宋" w:hAnsi="仿宋" w:eastAsia="仿宋" w:cs="仿宋"/>
                      <w:b w:val="0"/>
                      <w:bCs/>
                      <w:i/>
                      <w:iCs/>
                      <w:color w:val="auto"/>
                      <w:lang w:val="en-US" w:eastAsia="zh-CN"/>
                    </w:rPr>
                  </w:pPr>
                  <w:r>
                    <w:rPr>
                      <w:rFonts w:hint="eastAsia" w:ascii="仿宋" w:hAnsi="仿宋" w:eastAsia="仿宋" w:cs="仿宋"/>
                      <w:b w:val="0"/>
                      <w:bCs/>
                      <w:i/>
                      <w:iCs/>
                      <w:color w:val="auto"/>
                      <w:lang w:val="en-US" w:eastAsia="zh-CN"/>
                    </w:rPr>
                    <w:t>G2-2、G3-2</w:t>
                  </w:r>
                </w:p>
              </w:tc>
              <w:tc>
                <w:tcPr>
                  <w:tcW w:w="874" w:type="pct"/>
                  <w:vAlign w:val="center"/>
                </w:tcPr>
                <w:p w14:paraId="4E3C6D93">
                  <w:pPr>
                    <w:pStyle w:val="46"/>
                    <w:spacing w:line="240" w:lineRule="auto"/>
                    <w:ind w:firstLine="0" w:firstLineChars="0"/>
                    <w:jc w:val="center"/>
                    <w:rPr>
                      <w:rFonts w:hint="eastAsia" w:ascii="仿宋" w:hAnsi="仿宋" w:eastAsia="仿宋" w:cs="仿宋"/>
                      <w:b w:val="0"/>
                      <w:bCs/>
                      <w:i/>
                      <w:iCs/>
                      <w:color w:val="auto"/>
                      <w:lang w:eastAsia="zh-CN"/>
                    </w:rPr>
                  </w:pPr>
                  <w:r>
                    <w:rPr>
                      <w:rFonts w:hint="eastAsia" w:ascii="仿宋" w:hAnsi="仿宋" w:eastAsia="仿宋" w:cs="仿宋"/>
                      <w:b w:val="0"/>
                      <w:bCs/>
                      <w:i/>
                      <w:iCs/>
                      <w:color w:val="auto"/>
                      <w:lang w:eastAsia="zh-CN"/>
                    </w:rPr>
                    <w:t>烘烤废气</w:t>
                  </w:r>
                </w:p>
              </w:tc>
              <w:tc>
                <w:tcPr>
                  <w:tcW w:w="1274" w:type="pct"/>
                  <w:vMerge w:val="continue"/>
                  <w:vAlign w:val="center"/>
                </w:tcPr>
                <w:p w14:paraId="5F64D37B">
                  <w:pPr>
                    <w:pStyle w:val="46"/>
                    <w:spacing w:line="240" w:lineRule="auto"/>
                    <w:ind w:firstLine="0" w:firstLineChars="0"/>
                    <w:jc w:val="center"/>
                    <w:rPr>
                      <w:rFonts w:ascii="仿宋" w:hAnsi="仿宋" w:eastAsia="仿宋" w:cs="仿宋"/>
                      <w:b w:val="0"/>
                      <w:bCs/>
                      <w:i/>
                      <w:iCs/>
                      <w:color w:val="auto"/>
                    </w:rPr>
                  </w:pPr>
                </w:p>
              </w:tc>
              <w:tc>
                <w:tcPr>
                  <w:tcW w:w="998" w:type="pct"/>
                  <w:vMerge w:val="continue"/>
                  <w:vAlign w:val="center"/>
                </w:tcPr>
                <w:p w14:paraId="483C5303">
                  <w:pPr>
                    <w:pStyle w:val="46"/>
                    <w:spacing w:line="240" w:lineRule="auto"/>
                    <w:ind w:firstLine="0" w:firstLineChars="0"/>
                    <w:jc w:val="center"/>
                    <w:rPr>
                      <w:rFonts w:ascii="仿宋" w:hAnsi="仿宋" w:eastAsia="仿宋" w:cs="仿宋"/>
                      <w:b w:val="0"/>
                      <w:bCs/>
                      <w:color w:val="auto"/>
                    </w:rPr>
                  </w:pPr>
                </w:p>
              </w:tc>
            </w:tr>
            <w:tr w14:paraId="1357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vMerge w:val="restart"/>
                  <w:vAlign w:val="center"/>
                </w:tcPr>
                <w:p w14:paraId="3097BF06">
                  <w:pPr>
                    <w:pStyle w:val="46"/>
                    <w:spacing w:line="240" w:lineRule="auto"/>
                    <w:ind w:firstLine="0" w:firstLineChars="0"/>
                    <w:jc w:val="center"/>
                    <w:rPr>
                      <w:rFonts w:hint="eastAsia" w:ascii="仿宋" w:hAnsi="仿宋" w:eastAsia="仿宋" w:cs="仿宋"/>
                      <w:b w:val="0"/>
                      <w:bCs/>
                      <w:color w:val="auto"/>
                      <w:lang w:eastAsia="zh-CN"/>
                    </w:rPr>
                  </w:pPr>
                  <w:r>
                    <w:rPr>
                      <w:rFonts w:hint="eastAsia" w:ascii="仿宋" w:hAnsi="仿宋" w:eastAsia="仿宋" w:cs="仿宋"/>
                      <w:b w:val="0"/>
                      <w:bCs/>
                      <w:color w:val="auto"/>
                      <w:lang w:eastAsia="zh-CN"/>
                    </w:rPr>
                    <w:t>废水</w:t>
                  </w:r>
                </w:p>
              </w:tc>
              <w:tc>
                <w:tcPr>
                  <w:tcW w:w="945" w:type="pct"/>
                  <w:shd w:val="clear" w:color="auto" w:fill="auto"/>
                  <w:vAlign w:val="center"/>
                </w:tcPr>
                <w:p w14:paraId="3BD428A8">
                  <w:pPr>
                    <w:pStyle w:val="46"/>
                    <w:spacing w:line="240" w:lineRule="auto"/>
                    <w:ind w:firstLine="0" w:firstLineChars="0"/>
                    <w:jc w:val="center"/>
                    <w:rPr>
                      <w:rFonts w:hint="eastAsia" w:ascii="仿宋" w:hAnsi="仿宋" w:eastAsia="仿宋" w:cs="仿宋"/>
                      <w:b w:val="0"/>
                      <w:bCs/>
                      <w:color w:val="auto"/>
                      <w:lang w:eastAsia="zh-CN"/>
                    </w:rPr>
                  </w:pPr>
                  <w:r>
                    <w:rPr>
                      <w:rFonts w:hint="eastAsia" w:ascii="仿宋" w:hAnsi="仿宋" w:eastAsia="仿宋" w:cs="仿宋"/>
                      <w:b w:val="0"/>
                      <w:bCs/>
                      <w:color w:val="auto"/>
                    </w:rPr>
                    <w:t>W</w:t>
                  </w:r>
                  <w:r>
                    <w:rPr>
                      <w:rFonts w:hint="eastAsia" w:ascii="仿宋" w:hAnsi="仿宋" w:eastAsia="仿宋" w:cs="仿宋"/>
                      <w:b w:val="0"/>
                      <w:bCs/>
                      <w:color w:val="auto"/>
                      <w:lang w:val="en-US" w:eastAsia="zh-CN"/>
                    </w:rPr>
                    <w:t>1</w:t>
                  </w:r>
                </w:p>
              </w:tc>
              <w:tc>
                <w:tcPr>
                  <w:tcW w:w="874" w:type="pct"/>
                  <w:shd w:val="clear" w:color="auto" w:fill="auto"/>
                  <w:vAlign w:val="center"/>
                </w:tcPr>
                <w:p w14:paraId="7299888C">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生活用水</w:t>
                  </w:r>
                </w:p>
              </w:tc>
              <w:tc>
                <w:tcPr>
                  <w:tcW w:w="1274" w:type="pct"/>
                  <w:vAlign w:val="center"/>
                </w:tcPr>
                <w:p w14:paraId="75D7D27A">
                  <w:pPr>
                    <w:pStyle w:val="46"/>
                    <w:spacing w:line="240" w:lineRule="auto"/>
                    <w:ind w:firstLine="0" w:firstLineChars="0"/>
                    <w:jc w:val="center"/>
                    <w:rPr>
                      <w:rFonts w:hint="default" w:ascii="仿宋" w:hAnsi="仿宋" w:eastAsia="仿宋" w:cs="仿宋"/>
                      <w:b w:val="0"/>
                      <w:bCs/>
                      <w:i/>
                      <w:iCs/>
                      <w:color w:val="auto"/>
                      <w:lang w:val="en-US" w:eastAsia="zh-CN"/>
                    </w:rPr>
                  </w:pPr>
                  <w:r>
                    <w:rPr>
                      <w:rFonts w:hint="eastAsia" w:ascii="仿宋" w:hAnsi="仿宋" w:eastAsia="仿宋" w:cs="仿宋"/>
                      <w:b w:val="0"/>
                      <w:bCs/>
                      <w:i/>
                      <w:iCs/>
                      <w:color w:val="auto"/>
                      <w:lang w:val="en-US" w:eastAsia="zh-CN"/>
                    </w:rPr>
                    <w:t>COD、</w:t>
                  </w:r>
                  <w:r>
                    <w:rPr>
                      <w:rFonts w:hint="eastAsia" w:ascii="仿宋" w:hAnsi="仿宋" w:eastAsia="仿宋" w:cs="仿宋"/>
                      <w:b w:val="0"/>
                      <w:bCs/>
                      <w:i/>
                      <w:iCs/>
                      <w:color w:val="auto"/>
                    </w:rPr>
                    <w:t>BOD</w:t>
                  </w:r>
                  <w:r>
                    <w:rPr>
                      <w:rFonts w:hint="eastAsia" w:ascii="仿宋" w:hAnsi="仿宋" w:eastAsia="仿宋" w:cs="仿宋"/>
                      <w:b w:val="0"/>
                      <w:bCs/>
                      <w:i/>
                      <w:iCs/>
                      <w:color w:val="auto"/>
                      <w:vertAlign w:val="subscript"/>
                    </w:rPr>
                    <w:t>5</w:t>
                  </w:r>
                  <w:r>
                    <w:rPr>
                      <w:rFonts w:hint="eastAsia" w:ascii="仿宋" w:hAnsi="仿宋" w:eastAsia="仿宋" w:cs="仿宋"/>
                      <w:b w:val="0"/>
                      <w:bCs/>
                      <w:i/>
                      <w:iCs/>
                      <w:color w:val="auto"/>
                    </w:rPr>
                    <w:t>、SS、氨</w:t>
                  </w:r>
                  <w:r>
                    <w:rPr>
                      <w:rFonts w:hint="eastAsia" w:ascii="仿宋" w:hAnsi="仿宋" w:eastAsia="仿宋" w:cs="仿宋"/>
                      <w:b w:val="0"/>
                      <w:bCs/>
                      <w:i/>
                      <w:iCs/>
                      <w:color w:val="auto"/>
                      <w:highlight w:val="none"/>
                    </w:rPr>
                    <w:t>氮</w:t>
                  </w:r>
                  <w:r>
                    <w:rPr>
                      <w:rFonts w:hint="eastAsia" w:ascii="仿宋" w:hAnsi="仿宋" w:eastAsia="仿宋" w:cs="仿宋"/>
                      <w:b w:val="0"/>
                      <w:bCs/>
                      <w:i/>
                      <w:iCs/>
                      <w:color w:val="auto"/>
                      <w:highlight w:val="none"/>
                      <w:lang w:eastAsia="zh-CN"/>
                    </w:rPr>
                    <w:t>、</w:t>
                  </w:r>
                  <w:r>
                    <w:rPr>
                      <w:rFonts w:hint="eastAsia" w:ascii="仿宋" w:hAnsi="仿宋" w:eastAsia="仿宋" w:cs="仿宋"/>
                      <w:b w:val="0"/>
                      <w:bCs/>
                      <w:i/>
                      <w:iCs/>
                      <w:color w:val="auto"/>
                      <w:highlight w:val="none"/>
                    </w:rPr>
                    <w:t>石油类</w:t>
                  </w:r>
                  <w:r>
                    <w:rPr>
                      <w:rFonts w:hint="eastAsia" w:ascii="仿宋" w:hAnsi="仿宋" w:eastAsia="仿宋" w:cs="仿宋"/>
                      <w:b w:val="0"/>
                      <w:bCs/>
                      <w:i/>
                      <w:iCs/>
                      <w:color w:val="auto"/>
                      <w:highlight w:val="none"/>
                      <w:lang w:eastAsia="zh-CN"/>
                    </w:rPr>
                    <w:t>、</w:t>
                  </w:r>
                  <w:r>
                    <w:rPr>
                      <w:rFonts w:hint="eastAsia" w:ascii="仿宋" w:hAnsi="仿宋" w:eastAsia="仿宋" w:cs="仿宋"/>
                      <w:b w:val="0"/>
                      <w:bCs/>
                      <w:i/>
                      <w:iCs/>
                      <w:color w:val="auto"/>
                      <w:highlight w:val="none"/>
                      <w:lang w:val="en-US" w:eastAsia="zh-CN"/>
                    </w:rPr>
                    <w:t>TP</w:t>
                  </w:r>
                </w:p>
              </w:tc>
              <w:tc>
                <w:tcPr>
                  <w:tcW w:w="998" w:type="pct"/>
                  <w:vMerge w:val="restart"/>
                  <w:vAlign w:val="center"/>
                </w:tcPr>
                <w:p w14:paraId="2F515196">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污水管网</w:t>
                  </w:r>
                </w:p>
              </w:tc>
            </w:tr>
            <w:tr w14:paraId="36B9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907" w:type="pct"/>
                  <w:vMerge w:val="continue"/>
                  <w:vAlign w:val="center"/>
                </w:tcPr>
                <w:p w14:paraId="1834DC38">
                  <w:pPr>
                    <w:pStyle w:val="46"/>
                    <w:spacing w:line="240" w:lineRule="auto"/>
                    <w:ind w:firstLine="0" w:firstLineChars="0"/>
                    <w:jc w:val="center"/>
                    <w:rPr>
                      <w:rFonts w:ascii="仿宋" w:hAnsi="仿宋" w:eastAsia="仿宋" w:cs="仿宋"/>
                      <w:b w:val="0"/>
                      <w:bCs/>
                      <w:color w:val="auto"/>
                    </w:rPr>
                  </w:pPr>
                </w:p>
              </w:tc>
              <w:tc>
                <w:tcPr>
                  <w:tcW w:w="945" w:type="pct"/>
                  <w:shd w:val="clear" w:color="auto" w:fill="auto"/>
                  <w:vAlign w:val="center"/>
                </w:tcPr>
                <w:p w14:paraId="40903414">
                  <w:pPr>
                    <w:pStyle w:val="46"/>
                    <w:spacing w:line="240" w:lineRule="auto"/>
                    <w:ind w:firstLine="0" w:firstLineChars="0"/>
                    <w:jc w:val="center"/>
                    <w:rPr>
                      <w:rFonts w:hint="eastAsia" w:ascii="仿宋" w:hAnsi="仿宋" w:eastAsia="仿宋" w:cs="仿宋"/>
                      <w:b w:val="0"/>
                      <w:bCs/>
                      <w:color w:val="auto"/>
                      <w:lang w:eastAsia="zh-CN"/>
                    </w:rPr>
                  </w:pPr>
                  <w:r>
                    <w:rPr>
                      <w:rFonts w:hint="eastAsia" w:ascii="仿宋" w:hAnsi="仿宋" w:eastAsia="仿宋" w:cs="仿宋"/>
                      <w:b w:val="0"/>
                      <w:bCs/>
                      <w:color w:val="auto"/>
                    </w:rPr>
                    <w:t>W</w:t>
                  </w:r>
                  <w:r>
                    <w:rPr>
                      <w:rFonts w:hint="eastAsia" w:ascii="仿宋" w:hAnsi="仿宋" w:eastAsia="仿宋" w:cs="仿宋"/>
                      <w:b w:val="0"/>
                      <w:bCs/>
                      <w:color w:val="auto"/>
                      <w:lang w:val="en-US" w:eastAsia="zh-CN"/>
                    </w:rPr>
                    <w:t>2</w:t>
                  </w:r>
                </w:p>
              </w:tc>
              <w:tc>
                <w:tcPr>
                  <w:tcW w:w="874" w:type="pct"/>
                  <w:shd w:val="clear" w:color="auto" w:fill="auto"/>
                  <w:vAlign w:val="center"/>
                </w:tcPr>
                <w:p w14:paraId="19251C20">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地面清洁废水</w:t>
                  </w:r>
                </w:p>
              </w:tc>
              <w:tc>
                <w:tcPr>
                  <w:tcW w:w="1274" w:type="pct"/>
                  <w:vAlign w:val="center"/>
                </w:tcPr>
                <w:p w14:paraId="0A76DEB7">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COD、SS、石油类</w:t>
                  </w:r>
                </w:p>
              </w:tc>
              <w:tc>
                <w:tcPr>
                  <w:tcW w:w="998" w:type="pct"/>
                  <w:vMerge w:val="continue"/>
                  <w:vAlign w:val="center"/>
                </w:tcPr>
                <w:p w14:paraId="2631775F">
                  <w:pPr>
                    <w:pStyle w:val="46"/>
                    <w:spacing w:line="240" w:lineRule="auto"/>
                    <w:ind w:firstLine="0" w:firstLineChars="0"/>
                    <w:jc w:val="center"/>
                    <w:rPr>
                      <w:rFonts w:ascii="仿宋" w:hAnsi="仿宋" w:eastAsia="仿宋" w:cs="仿宋"/>
                      <w:b w:val="0"/>
                      <w:bCs/>
                      <w:color w:val="auto"/>
                    </w:rPr>
                  </w:pPr>
                </w:p>
              </w:tc>
            </w:tr>
            <w:tr w14:paraId="6738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vAlign w:val="center"/>
                </w:tcPr>
                <w:p w14:paraId="46E08EAD">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噪声</w:t>
                  </w:r>
                </w:p>
              </w:tc>
              <w:tc>
                <w:tcPr>
                  <w:tcW w:w="945" w:type="pct"/>
                  <w:vAlign w:val="center"/>
                </w:tcPr>
                <w:p w14:paraId="1046BA00">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N</w:t>
                  </w:r>
                </w:p>
              </w:tc>
              <w:tc>
                <w:tcPr>
                  <w:tcW w:w="874" w:type="pct"/>
                  <w:vAlign w:val="center"/>
                </w:tcPr>
                <w:p w14:paraId="2FC59A35">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生产设备</w:t>
                  </w:r>
                </w:p>
              </w:tc>
              <w:tc>
                <w:tcPr>
                  <w:tcW w:w="1274" w:type="pct"/>
                  <w:vAlign w:val="center"/>
                </w:tcPr>
                <w:p w14:paraId="19E08C8F">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噪声</w:t>
                  </w:r>
                </w:p>
              </w:tc>
              <w:tc>
                <w:tcPr>
                  <w:tcW w:w="998" w:type="pct"/>
                  <w:vAlign w:val="center"/>
                </w:tcPr>
                <w:p w14:paraId="5AD09DA5">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外环境</w:t>
                  </w:r>
                </w:p>
              </w:tc>
            </w:tr>
            <w:tr w14:paraId="5E36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vMerge w:val="restart"/>
                  <w:vAlign w:val="center"/>
                </w:tcPr>
                <w:p w14:paraId="2D64E496">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固废</w:t>
                  </w:r>
                </w:p>
              </w:tc>
              <w:tc>
                <w:tcPr>
                  <w:tcW w:w="945" w:type="pct"/>
                  <w:vAlign w:val="center"/>
                </w:tcPr>
                <w:p w14:paraId="47930FBF">
                  <w:pPr>
                    <w:pStyle w:val="46"/>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rPr>
                    <w:t>S1、S</w:t>
                  </w:r>
                  <w:r>
                    <w:rPr>
                      <w:rFonts w:hint="eastAsia" w:ascii="仿宋" w:hAnsi="仿宋" w:eastAsia="仿宋" w:cs="仿宋"/>
                      <w:b w:val="0"/>
                      <w:bCs/>
                      <w:color w:val="auto"/>
                      <w:lang w:val="en-US" w:eastAsia="zh-CN"/>
                    </w:rPr>
                    <w:t>7</w:t>
                  </w:r>
                </w:p>
              </w:tc>
              <w:tc>
                <w:tcPr>
                  <w:tcW w:w="874" w:type="pct"/>
                  <w:vAlign w:val="center"/>
                </w:tcPr>
                <w:p w14:paraId="7118F077">
                  <w:pPr>
                    <w:pStyle w:val="135"/>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spacing w:val="-2"/>
                      <w:lang w:eastAsia="zh-CN"/>
                    </w:rPr>
                    <w:t>废边角料</w:t>
                  </w:r>
                </w:p>
              </w:tc>
              <w:tc>
                <w:tcPr>
                  <w:tcW w:w="1274" w:type="pct"/>
                  <w:vAlign w:val="center"/>
                </w:tcPr>
                <w:p w14:paraId="2EFC3084">
                  <w:pPr>
                    <w:pStyle w:val="135"/>
                    <w:spacing w:line="240" w:lineRule="auto"/>
                    <w:ind w:firstLine="0" w:firstLineChars="0"/>
                    <w:jc w:val="center"/>
                    <w:rPr>
                      <w:rFonts w:ascii="仿宋" w:hAnsi="仿宋" w:eastAsia="仿宋" w:cs="仿宋"/>
                      <w:b w:val="0"/>
                      <w:bCs/>
                      <w:color w:val="auto"/>
                    </w:rPr>
                  </w:pPr>
                  <w:r>
                    <w:rPr>
                      <w:rFonts w:hint="eastAsia" w:ascii="仿宋" w:hAnsi="仿宋" w:eastAsia="仿宋" w:cs="仿宋"/>
                      <w:b w:val="0"/>
                      <w:bCs/>
                      <w:color w:val="auto"/>
                      <w:spacing w:val="-2"/>
                      <w:lang w:eastAsia="zh-CN"/>
                    </w:rPr>
                    <w:t>废边角料</w:t>
                  </w:r>
                </w:p>
              </w:tc>
              <w:tc>
                <w:tcPr>
                  <w:tcW w:w="998" w:type="pct"/>
                  <w:vMerge w:val="restart"/>
                  <w:vAlign w:val="center"/>
                </w:tcPr>
                <w:p w14:paraId="28A40DE2">
                  <w:pPr>
                    <w:pStyle w:val="46"/>
                    <w:spacing w:line="240" w:lineRule="auto"/>
                    <w:ind w:firstLine="0" w:firstLineChars="0"/>
                    <w:jc w:val="center"/>
                    <w:rPr>
                      <w:rFonts w:ascii="仿宋" w:hAnsi="仿宋" w:eastAsia="仿宋" w:cs="仿宋"/>
                      <w:color w:val="auto"/>
                    </w:rPr>
                  </w:pPr>
                  <w:r>
                    <w:rPr>
                      <w:rFonts w:hint="eastAsia" w:ascii="仿宋" w:hAnsi="仿宋" w:eastAsia="仿宋" w:cs="仿宋"/>
                      <w:b w:val="0"/>
                      <w:bCs/>
                      <w:color w:val="auto"/>
                    </w:rPr>
                    <w:t>交由物资回收单位利用</w:t>
                  </w:r>
                </w:p>
              </w:tc>
            </w:tr>
            <w:tr w14:paraId="5D85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vMerge w:val="continue"/>
                  <w:vAlign w:val="center"/>
                </w:tcPr>
                <w:p w14:paraId="2BA9F79D">
                  <w:pPr>
                    <w:pStyle w:val="46"/>
                    <w:spacing w:line="240" w:lineRule="auto"/>
                    <w:ind w:firstLine="0" w:firstLineChars="0"/>
                    <w:jc w:val="center"/>
                    <w:rPr>
                      <w:rFonts w:ascii="仿宋" w:hAnsi="仿宋" w:eastAsia="仿宋" w:cs="仿宋"/>
                      <w:color w:val="auto"/>
                    </w:rPr>
                  </w:pPr>
                </w:p>
              </w:tc>
              <w:tc>
                <w:tcPr>
                  <w:tcW w:w="945" w:type="pct"/>
                  <w:vAlign w:val="center"/>
                </w:tcPr>
                <w:p w14:paraId="297641F6">
                  <w:pPr>
                    <w:pStyle w:val="46"/>
                    <w:spacing w:line="240" w:lineRule="auto"/>
                    <w:ind w:firstLine="0" w:firstLineChars="0"/>
                    <w:jc w:val="center"/>
                    <w:rPr>
                      <w:rFonts w:hint="default" w:ascii="仿宋" w:hAnsi="仿宋" w:eastAsia="仿宋" w:cs="仿宋"/>
                      <w:b w:val="0"/>
                      <w:bCs/>
                      <w:color w:val="auto"/>
                      <w:lang w:val="en-US" w:eastAsia="zh-CN"/>
                    </w:rPr>
                  </w:pPr>
                  <w:r>
                    <w:rPr>
                      <w:rFonts w:hint="eastAsia" w:ascii="仿宋" w:hAnsi="仿宋" w:eastAsia="仿宋" w:cs="仿宋"/>
                      <w:b w:val="0"/>
                      <w:bCs/>
                      <w:color w:val="auto"/>
                    </w:rPr>
                    <w:t>S</w:t>
                  </w:r>
                  <w:r>
                    <w:rPr>
                      <w:rFonts w:hint="eastAsia" w:ascii="仿宋" w:hAnsi="仿宋" w:eastAsia="仿宋" w:cs="仿宋"/>
                      <w:b w:val="0"/>
                      <w:bCs/>
                      <w:color w:val="auto"/>
                      <w:lang w:val="en-US" w:eastAsia="zh-CN"/>
                    </w:rPr>
                    <w:t>3、S9</w:t>
                  </w:r>
                </w:p>
              </w:tc>
              <w:tc>
                <w:tcPr>
                  <w:tcW w:w="874" w:type="pct"/>
                  <w:vAlign w:val="center"/>
                </w:tcPr>
                <w:p w14:paraId="35FCE529">
                  <w:pPr>
                    <w:pStyle w:val="135"/>
                    <w:spacing w:line="240" w:lineRule="auto"/>
                    <w:ind w:firstLine="0" w:firstLineChars="0"/>
                    <w:jc w:val="center"/>
                    <w:rPr>
                      <w:rFonts w:ascii="仿宋" w:hAnsi="仿宋" w:eastAsia="仿宋" w:cs="仿宋"/>
                      <w:color w:val="auto"/>
                      <w:lang w:eastAsia="zh-CN"/>
                    </w:rPr>
                  </w:pPr>
                  <w:r>
                    <w:rPr>
                      <w:rFonts w:hint="eastAsia" w:ascii="仿宋" w:hAnsi="仿宋" w:eastAsia="仿宋" w:cs="仿宋"/>
                      <w:color w:val="auto"/>
                    </w:rPr>
                    <w:t>废</w:t>
                  </w:r>
                  <w:r>
                    <w:rPr>
                      <w:rFonts w:hint="eastAsia" w:ascii="仿宋" w:hAnsi="仿宋" w:eastAsia="仿宋" w:cs="仿宋"/>
                      <w:color w:val="auto"/>
                      <w:lang w:eastAsia="zh-CN"/>
                    </w:rPr>
                    <w:t>包装材料</w:t>
                  </w:r>
                </w:p>
              </w:tc>
              <w:tc>
                <w:tcPr>
                  <w:tcW w:w="1274" w:type="pct"/>
                  <w:vAlign w:val="center"/>
                </w:tcPr>
                <w:p w14:paraId="1D7066B3">
                  <w:pPr>
                    <w:pStyle w:val="135"/>
                    <w:spacing w:line="240" w:lineRule="auto"/>
                    <w:ind w:firstLine="0" w:firstLineChars="0"/>
                    <w:jc w:val="center"/>
                    <w:rPr>
                      <w:rFonts w:ascii="仿宋" w:hAnsi="仿宋" w:eastAsia="仿宋" w:cs="仿宋"/>
                      <w:color w:val="auto"/>
                    </w:rPr>
                  </w:pPr>
                  <w:r>
                    <w:rPr>
                      <w:rFonts w:hint="eastAsia" w:ascii="仿宋" w:hAnsi="仿宋" w:eastAsia="仿宋" w:cs="仿宋"/>
                      <w:color w:val="auto"/>
                    </w:rPr>
                    <w:t>废</w:t>
                  </w:r>
                  <w:r>
                    <w:rPr>
                      <w:rFonts w:hint="eastAsia" w:ascii="仿宋" w:hAnsi="仿宋" w:eastAsia="仿宋" w:cs="仿宋"/>
                      <w:color w:val="auto"/>
                      <w:lang w:eastAsia="zh-CN"/>
                    </w:rPr>
                    <w:t>包装材料</w:t>
                  </w:r>
                </w:p>
              </w:tc>
              <w:tc>
                <w:tcPr>
                  <w:tcW w:w="998" w:type="pct"/>
                  <w:vMerge w:val="continue"/>
                  <w:vAlign w:val="center"/>
                </w:tcPr>
                <w:p w14:paraId="59A420E8">
                  <w:pPr>
                    <w:pStyle w:val="46"/>
                    <w:spacing w:line="240" w:lineRule="auto"/>
                    <w:ind w:firstLine="0" w:firstLineChars="0"/>
                    <w:jc w:val="center"/>
                    <w:rPr>
                      <w:rFonts w:ascii="仿宋" w:hAnsi="仿宋" w:eastAsia="仿宋" w:cs="仿宋"/>
                      <w:color w:val="auto"/>
                    </w:rPr>
                  </w:pPr>
                </w:p>
              </w:tc>
            </w:tr>
            <w:tr w14:paraId="4369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vMerge w:val="continue"/>
                  <w:vAlign w:val="center"/>
                </w:tcPr>
                <w:p w14:paraId="3E5C89AC">
                  <w:pPr>
                    <w:pStyle w:val="46"/>
                    <w:spacing w:line="240" w:lineRule="auto"/>
                    <w:ind w:firstLine="0" w:firstLineChars="0"/>
                    <w:jc w:val="center"/>
                    <w:rPr>
                      <w:rFonts w:ascii="仿宋" w:hAnsi="仿宋" w:eastAsia="仿宋" w:cs="仿宋"/>
                      <w:color w:val="auto"/>
                    </w:rPr>
                  </w:pPr>
                </w:p>
              </w:tc>
              <w:tc>
                <w:tcPr>
                  <w:tcW w:w="945" w:type="pct"/>
                  <w:vAlign w:val="center"/>
                </w:tcPr>
                <w:p w14:paraId="4809318E">
                  <w:pPr>
                    <w:pStyle w:val="46"/>
                    <w:spacing w:line="240" w:lineRule="auto"/>
                    <w:ind w:firstLine="0" w:firstLineChars="0"/>
                    <w:jc w:val="center"/>
                    <w:rPr>
                      <w:rFonts w:hint="default" w:ascii="仿宋" w:hAnsi="仿宋" w:eastAsia="仿宋" w:cs="仿宋"/>
                      <w:b w:val="0"/>
                      <w:bCs/>
                      <w:color w:val="auto"/>
                      <w:lang w:val="en-US" w:eastAsia="zh-CN"/>
                    </w:rPr>
                  </w:pPr>
                  <w:r>
                    <w:rPr>
                      <w:rFonts w:hint="eastAsia" w:ascii="仿宋" w:hAnsi="仿宋" w:eastAsia="仿宋" w:cs="仿宋"/>
                      <w:b w:val="0"/>
                      <w:bCs/>
                      <w:color w:val="auto"/>
                    </w:rPr>
                    <w:t>S</w:t>
                  </w:r>
                  <w:r>
                    <w:rPr>
                      <w:rFonts w:hint="eastAsia" w:ascii="仿宋" w:hAnsi="仿宋" w:eastAsia="仿宋" w:cs="仿宋"/>
                      <w:b w:val="0"/>
                      <w:bCs/>
                      <w:color w:val="auto"/>
                      <w:lang w:val="en-US" w:eastAsia="zh-CN"/>
                    </w:rPr>
                    <w:t>2</w:t>
                  </w:r>
                  <w:r>
                    <w:rPr>
                      <w:rFonts w:hint="eastAsia" w:ascii="仿宋" w:hAnsi="仿宋" w:eastAsia="仿宋" w:cs="仿宋"/>
                      <w:b w:val="0"/>
                      <w:bCs/>
                      <w:color w:val="auto"/>
                    </w:rPr>
                    <w:t>、</w:t>
                  </w:r>
                  <w:r>
                    <w:rPr>
                      <w:rFonts w:hint="eastAsia" w:ascii="仿宋" w:hAnsi="仿宋" w:eastAsia="仿宋" w:cs="仿宋"/>
                      <w:b w:val="0"/>
                      <w:bCs/>
                      <w:color w:val="auto"/>
                      <w:lang w:val="en-US" w:eastAsia="zh-CN"/>
                    </w:rPr>
                    <w:t>S8</w:t>
                  </w:r>
                </w:p>
              </w:tc>
              <w:tc>
                <w:tcPr>
                  <w:tcW w:w="874" w:type="pct"/>
                  <w:vAlign w:val="center"/>
                </w:tcPr>
                <w:p w14:paraId="0E767C60">
                  <w:pPr>
                    <w:pStyle w:val="135"/>
                    <w:spacing w:line="240" w:lineRule="auto"/>
                    <w:ind w:firstLine="0" w:firstLineChars="0"/>
                    <w:jc w:val="center"/>
                    <w:rPr>
                      <w:rFonts w:ascii="仿宋" w:hAnsi="仿宋" w:eastAsia="仿宋" w:cs="仿宋"/>
                      <w:color w:val="auto"/>
                    </w:rPr>
                  </w:pPr>
                  <w:r>
                    <w:rPr>
                      <w:rFonts w:hint="eastAsia" w:ascii="仿宋" w:hAnsi="仿宋" w:eastAsia="仿宋" w:cs="仿宋"/>
                      <w:color w:val="auto"/>
                      <w:spacing w:val="-2"/>
                    </w:rPr>
                    <w:t>不合格品</w:t>
                  </w:r>
                </w:p>
              </w:tc>
              <w:tc>
                <w:tcPr>
                  <w:tcW w:w="1274" w:type="pct"/>
                  <w:vAlign w:val="center"/>
                </w:tcPr>
                <w:p w14:paraId="67A0E395">
                  <w:pPr>
                    <w:pStyle w:val="135"/>
                    <w:spacing w:line="240" w:lineRule="auto"/>
                    <w:ind w:firstLine="0" w:firstLineChars="0"/>
                    <w:jc w:val="center"/>
                    <w:rPr>
                      <w:rFonts w:ascii="仿宋" w:hAnsi="仿宋" w:eastAsia="仿宋" w:cs="仿宋"/>
                      <w:color w:val="auto"/>
                    </w:rPr>
                  </w:pPr>
                  <w:r>
                    <w:rPr>
                      <w:rFonts w:hint="eastAsia" w:ascii="仿宋" w:hAnsi="仿宋" w:eastAsia="仿宋" w:cs="仿宋"/>
                      <w:color w:val="auto"/>
                      <w:spacing w:val="-2"/>
                    </w:rPr>
                    <w:t>不合格品</w:t>
                  </w:r>
                </w:p>
              </w:tc>
              <w:tc>
                <w:tcPr>
                  <w:tcW w:w="998" w:type="pct"/>
                  <w:vMerge w:val="continue"/>
                  <w:vAlign w:val="center"/>
                </w:tcPr>
                <w:p w14:paraId="20AD6221">
                  <w:pPr>
                    <w:pStyle w:val="46"/>
                    <w:spacing w:line="240" w:lineRule="auto"/>
                    <w:ind w:firstLine="0" w:firstLineChars="0"/>
                    <w:jc w:val="center"/>
                    <w:rPr>
                      <w:rFonts w:ascii="仿宋" w:hAnsi="仿宋" w:eastAsia="仿宋" w:cs="仿宋"/>
                      <w:color w:val="auto"/>
                    </w:rPr>
                  </w:pPr>
                </w:p>
              </w:tc>
            </w:tr>
            <w:tr w14:paraId="3ADC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07" w:type="pct"/>
                  <w:vMerge w:val="continue"/>
                  <w:vAlign w:val="center"/>
                </w:tcPr>
                <w:p w14:paraId="2DC262EA">
                  <w:pPr>
                    <w:pStyle w:val="46"/>
                    <w:spacing w:line="240" w:lineRule="auto"/>
                    <w:ind w:firstLine="0" w:firstLineChars="0"/>
                    <w:jc w:val="center"/>
                    <w:rPr>
                      <w:rFonts w:ascii="仿宋" w:hAnsi="仿宋" w:eastAsia="仿宋" w:cs="仿宋"/>
                      <w:color w:val="auto"/>
                    </w:rPr>
                  </w:pPr>
                </w:p>
              </w:tc>
              <w:tc>
                <w:tcPr>
                  <w:tcW w:w="945" w:type="pct"/>
                  <w:shd w:val="clear" w:color="auto" w:fill="auto"/>
                  <w:vAlign w:val="center"/>
                </w:tcPr>
                <w:p w14:paraId="3CD24849">
                  <w:pPr>
                    <w:autoSpaceDE w:val="0"/>
                    <w:autoSpaceDN w:val="0"/>
                    <w:snapToGrid/>
                    <w:spacing w:line="240" w:lineRule="auto"/>
                    <w:ind w:firstLine="0" w:firstLineChars="0"/>
                    <w:jc w:val="center"/>
                    <w:rPr>
                      <w:rFonts w:hint="default" w:ascii="仿宋" w:hAnsi="仿宋" w:eastAsia="仿宋" w:cs="仿宋"/>
                      <w:color w:val="auto"/>
                      <w:kern w:val="2"/>
                      <w:sz w:val="24"/>
                      <w:szCs w:val="24"/>
                      <w:highlight w:val="none"/>
                      <w:lang w:val="en-US" w:eastAsia="zh-CN" w:bidi="ar-SA"/>
                    </w:rPr>
                  </w:pPr>
                  <w:r>
                    <w:rPr>
                      <w:rFonts w:hint="eastAsia" w:cs="仿宋"/>
                      <w:color w:val="auto"/>
                      <w:sz w:val="24"/>
                      <w:highlight w:val="none"/>
                      <w:lang w:val="en-US" w:eastAsia="zh-CN"/>
                    </w:rPr>
                    <w:t>S4、S15</w:t>
                  </w:r>
                </w:p>
              </w:tc>
              <w:tc>
                <w:tcPr>
                  <w:tcW w:w="874" w:type="pct"/>
                  <w:shd w:val="clear" w:color="auto" w:fill="auto"/>
                  <w:vAlign w:val="center"/>
                </w:tcPr>
                <w:p w14:paraId="26BBC91C">
                  <w:pPr>
                    <w:pStyle w:val="27"/>
                    <w:spacing w:before="0" w:beforeAutospacing="0" w:after="0" w:afterAutospacing="0" w:line="240" w:lineRule="auto"/>
                    <w:ind w:firstLine="0" w:firstLineChars="0"/>
                    <w:jc w:val="center"/>
                    <w:outlineLvl w:val="0"/>
                    <w:rPr>
                      <w:rFonts w:hint="eastAsia" w:ascii="Times New Roman" w:hAnsi="仿宋" w:eastAsia="仿宋" w:cs="Times New Roman"/>
                      <w:snapToGrid w:val="0"/>
                      <w:color w:val="auto"/>
                      <w:kern w:val="0"/>
                      <w:sz w:val="24"/>
                      <w:szCs w:val="24"/>
                      <w:highlight w:val="none"/>
                      <w:lang w:val="zh-CN" w:eastAsia="zh-CN" w:bidi="ar-SA"/>
                    </w:rPr>
                  </w:pPr>
                  <w:r>
                    <w:rPr>
                      <w:rFonts w:hint="eastAsia" w:ascii="Times New Roman" w:hAnsi="仿宋"/>
                      <w:snapToGrid w:val="0"/>
                      <w:color w:val="auto"/>
                      <w:szCs w:val="24"/>
                      <w:highlight w:val="none"/>
                      <w:lang w:eastAsia="zh-CN"/>
                    </w:rPr>
                    <w:t>废纸</w:t>
                  </w:r>
                </w:p>
              </w:tc>
              <w:tc>
                <w:tcPr>
                  <w:tcW w:w="1274" w:type="pct"/>
                  <w:vAlign w:val="center"/>
                </w:tcPr>
                <w:p w14:paraId="75135DAA">
                  <w:pPr>
                    <w:pStyle w:val="135"/>
                    <w:spacing w:line="240" w:lineRule="auto"/>
                    <w:ind w:firstLine="0" w:firstLineChars="0"/>
                    <w:jc w:val="center"/>
                    <w:rPr>
                      <w:rFonts w:hint="eastAsia" w:ascii="仿宋" w:hAnsi="仿宋" w:eastAsia="仿宋" w:cs="仿宋"/>
                      <w:color w:val="auto"/>
                      <w:spacing w:val="-2"/>
                    </w:rPr>
                  </w:pPr>
                  <w:r>
                    <w:rPr>
                      <w:rFonts w:hint="eastAsia" w:ascii="仿宋" w:hAnsi="仿宋" w:eastAsia="仿宋" w:cs="仿宋"/>
                      <w:color w:val="auto"/>
                      <w:spacing w:val="-2"/>
                      <w:lang w:eastAsia="zh-CN"/>
                    </w:rPr>
                    <w:t>废纸</w:t>
                  </w:r>
                </w:p>
              </w:tc>
              <w:tc>
                <w:tcPr>
                  <w:tcW w:w="998" w:type="pct"/>
                  <w:vMerge w:val="continue"/>
                  <w:vAlign w:val="center"/>
                </w:tcPr>
                <w:p w14:paraId="4D2BB382">
                  <w:pPr>
                    <w:pStyle w:val="46"/>
                    <w:spacing w:line="240" w:lineRule="auto"/>
                    <w:ind w:firstLine="0" w:firstLineChars="0"/>
                    <w:jc w:val="center"/>
                    <w:rPr>
                      <w:rFonts w:ascii="仿宋" w:hAnsi="仿宋" w:eastAsia="仿宋" w:cs="仿宋"/>
                      <w:color w:val="auto"/>
                    </w:rPr>
                  </w:pPr>
                </w:p>
              </w:tc>
            </w:tr>
            <w:tr w14:paraId="301F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vMerge w:val="continue"/>
                  <w:vAlign w:val="center"/>
                </w:tcPr>
                <w:p w14:paraId="4305A74A">
                  <w:pPr>
                    <w:pStyle w:val="46"/>
                    <w:spacing w:line="240" w:lineRule="auto"/>
                    <w:ind w:firstLine="0" w:firstLineChars="0"/>
                    <w:jc w:val="center"/>
                    <w:rPr>
                      <w:rFonts w:ascii="仿宋" w:hAnsi="仿宋" w:eastAsia="仿宋" w:cs="仿宋"/>
                      <w:color w:val="auto"/>
                    </w:rPr>
                  </w:pPr>
                </w:p>
              </w:tc>
              <w:tc>
                <w:tcPr>
                  <w:tcW w:w="945" w:type="pct"/>
                  <w:shd w:val="clear" w:color="auto" w:fill="auto"/>
                  <w:vAlign w:val="center"/>
                </w:tcPr>
                <w:p w14:paraId="48810969">
                  <w:pPr>
                    <w:autoSpaceDE w:val="0"/>
                    <w:autoSpaceDN w:val="0"/>
                    <w:snapToGrid/>
                    <w:spacing w:line="240" w:lineRule="auto"/>
                    <w:ind w:firstLine="0" w:firstLineChars="0"/>
                    <w:jc w:val="center"/>
                    <w:rPr>
                      <w:rFonts w:hint="default" w:eastAsia="仿宋" w:cs="仿宋"/>
                      <w:color w:val="auto"/>
                      <w:sz w:val="24"/>
                      <w:lang w:val="en-US" w:eastAsia="zh-CN"/>
                    </w:rPr>
                  </w:pPr>
                  <w:r>
                    <w:rPr>
                      <w:rFonts w:hint="eastAsia" w:cs="仿宋"/>
                      <w:color w:val="auto"/>
                      <w:sz w:val="24"/>
                      <w:lang w:val="en-US" w:eastAsia="zh-CN"/>
                    </w:rPr>
                    <w:t>S10</w:t>
                  </w:r>
                </w:p>
              </w:tc>
              <w:tc>
                <w:tcPr>
                  <w:tcW w:w="874" w:type="pct"/>
                  <w:vAlign w:val="center"/>
                </w:tcPr>
                <w:p w14:paraId="37DECC80">
                  <w:pPr>
                    <w:pStyle w:val="27"/>
                    <w:spacing w:before="0" w:beforeAutospacing="0" w:after="0" w:afterAutospacing="0" w:line="240" w:lineRule="auto"/>
                    <w:ind w:firstLine="0" w:firstLineChars="0"/>
                    <w:jc w:val="center"/>
                    <w:outlineLvl w:val="0"/>
                    <w:rPr>
                      <w:rFonts w:ascii="仿宋" w:hAnsi="仿宋" w:cs="仿宋"/>
                      <w:color w:val="auto"/>
                      <w:szCs w:val="24"/>
                    </w:rPr>
                  </w:pPr>
                  <w:r>
                    <w:rPr>
                      <w:rFonts w:hint="eastAsia" w:ascii="Times New Roman" w:hAnsi="仿宋"/>
                      <w:snapToGrid w:val="0"/>
                      <w:color w:val="auto"/>
                      <w:szCs w:val="24"/>
                      <w:lang w:val="en-US"/>
                    </w:rPr>
                    <w:t>废活性炭</w:t>
                  </w:r>
                </w:p>
              </w:tc>
              <w:tc>
                <w:tcPr>
                  <w:tcW w:w="1274" w:type="pct"/>
                  <w:shd w:val="clear" w:color="auto" w:fill="auto"/>
                  <w:vAlign w:val="center"/>
                </w:tcPr>
                <w:p w14:paraId="73F7CA6F">
                  <w:pPr>
                    <w:pStyle w:val="27"/>
                    <w:spacing w:before="0" w:beforeAutospacing="0" w:after="0" w:afterAutospacing="0" w:line="240" w:lineRule="auto"/>
                    <w:ind w:firstLine="0" w:firstLineChars="0"/>
                    <w:jc w:val="center"/>
                    <w:outlineLvl w:val="0"/>
                    <w:rPr>
                      <w:rFonts w:ascii="仿宋" w:hAnsi="仿宋" w:cs="仿宋"/>
                      <w:color w:val="auto"/>
                      <w:szCs w:val="24"/>
                    </w:rPr>
                  </w:pPr>
                  <w:r>
                    <w:rPr>
                      <w:rFonts w:hint="eastAsia" w:ascii="Times New Roman" w:hAnsi="仿宋"/>
                      <w:snapToGrid w:val="0"/>
                      <w:color w:val="auto"/>
                      <w:szCs w:val="24"/>
                      <w:lang w:val="en-US"/>
                    </w:rPr>
                    <w:t>废活性炭</w:t>
                  </w:r>
                </w:p>
              </w:tc>
              <w:tc>
                <w:tcPr>
                  <w:tcW w:w="998" w:type="pct"/>
                  <w:vMerge w:val="restart"/>
                  <w:vAlign w:val="center"/>
                </w:tcPr>
                <w:p w14:paraId="3518C8EB">
                  <w:pPr>
                    <w:pStyle w:val="46"/>
                    <w:spacing w:line="240" w:lineRule="auto"/>
                    <w:ind w:firstLine="0" w:firstLineChars="0"/>
                    <w:jc w:val="center"/>
                    <w:rPr>
                      <w:rFonts w:ascii="仿宋" w:hAnsi="仿宋" w:eastAsia="仿宋" w:cs="仿宋"/>
                      <w:color w:val="auto"/>
                    </w:rPr>
                  </w:pPr>
                  <w:r>
                    <w:rPr>
                      <w:rFonts w:hint="eastAsia" w:ascii="仿宋" w:hAnsi="仿宋" w:eastAsia="仿宋" w:cs="仿宋"/>
                      <w:b w:val="0"/>
                      <w:bCs/>
                      <w:color w:val="auto"/>
                      <w:highlight w:val="none"/>
                    </w:rPr>
                    <w:t>交具有危废处置资质的单位处置</w:t>
                  </w:r>
                </w:p>
              </w:tc>
            </w:tr>
            <w:tr w14:paraId="3A2E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vMerge w:val="continue"/>
                  <w:vAlign w:val="center"/>
                </w:tcPr>
                <w:p w14:paraId="0660BEC5">
                  <w:pPr>
                    <w:pStyle w:val="46"/>
                    <w:spacing w:line="240" w:lineRule="auto"/>
                    <w:ind w:firstLine="0" w:firstLineChars="0"/>
                    <w:jc w:val="center"/>
                    <w:rPr>
                      <w:rFonts w:ascii="仿宋" w:hAnsi="仿宋" w:eastAsia="仿宋" w:cs="仿宋"/>
                      <w:color w:val="auto"/>
                    </w:rPr>
                  </w:pPr>
                </w:p>
              </w:tc>
              <w:tc>
                <w:tcPr>
                  <w:tcW w:w="945" w:type="pct"/>
                  <w:shd w:val="clear" w:color="auto" w:fill="auto"/>
                  <w:vAlign w:val="center"/>
                </w:tcPr>
                <w:p w14:paraId="0D47DC43">
                  <w:pPr>
                    <w:autoSpaceDE w:val="0"/>
                    <w:autoSpaceDN w:val="0"/>
                    <w:snapToGrid/>
                    <w:spacing w:line="240" w:lineRule="auto"/>
                    <w:ind w:firstLine="0" w:firstLineChars="0"/>
                    <w:jc w:val="center"/>
                    <w:rPr>
                      <w:rFonts w:hint="default" w:eastAsia="仿宋" w:cs="仿宋"/>
                      <w:color w:val="auto"/>
                      <w:sz w:val="24"/>
                      <w:highlight w:val="none"/>
                      <w:lang w:val="en-US" w:eastAsia="zh-CN"/>
                    </w:rPr>
                  </w:pPr>
                  <w:r>
                    <w:rPr>
                      <w:rFonts w:hint="eastAsia" w:cs="仿宋"/>
                      <w:color w:val="auto"/>
                      <w:sz w:val="24"/>
                      <w:highlight w:val="none"/>
                      <w:lang w:val="en-US" w:eastAsia="zh-CN"/>
                    </w:rPr>
                    <w:t>S11</w:t>
                  </w:r>
                </w:p>
              </w:tc>
              <w:tc>
                <w:tcPr>
                  <w:tcW w:w="874" w:type="pct"/>
                  <w:vAlign w:val="center"/>
                </w:tcPr>
                <w:p w14:paraId="7749572A">
                  <w:pPr>
                    <w:pStyle w:val="27"/>
                    <w:spacing w:before="0" w:beforeAutospacing="0" w:after="0" w:afterAutospacing="0" w:line="240" w:lineRule="auto"/>
                    <w:ind w:firstLine="0" w:firstLineChars="0"/>
                    <w:jc w:val="center"/>
                    <w:outlineLvl w:val="0"/>
                    <w:rPr>
                      <w:rFonts w:hint="eastAsia" w:ascii="仿宋" w:hAnsi="仿宋" w:eastAsia="仿宋" w:cs="仿宋"/>
                      <w:color w:val="auto"/>
                      <w:szCs w:val="24"/>
                      <w:lang w:eastAsia="zh-CN"/>
                    </w:rPr>
                  </w:pPr>
                  <w:r>
                    <w:rPr>
                      <w:rFonts w:hint="eastAsia" w:ascii="仿宋" w:hAnsi="仿宋" w:cs="仿宋"/>
                      <w:color w:val="auto"/>
                      <w:szCs w:val="24"/>
                      <w:lang w:eastAsia="zh-CN"/>
                    </w:rPr>
                    <w:t>废矿物油</w:t>
                  </w:r>
                </w:p>
              </w:tc>
              <w:tc>
                <w:tcPr>
                  <w:tcW w:w="1274" w:type="pct"/>
                  <w:shd w:val="clear" w:color="auto" w:fill="auto"/>
                  <w:vAlign w:val="center"/>
                </w:tcPr>
                <w:p w14:paraId="51A0751D">
                  <w:pPr>
                    <w:pStyle w:val="27"/>
                    <w:spacing w:before="0" w:beforeAutospacing="0" w:after="0" w:afterAutospacing="0" w:line="240" w:lineRule="auto"/>
                    <w:ind w:firstLine="0" w:firstLineChars="0"/>
                    <w:jc w:val="center"/>
                    <w:outlineLvl w:val="0"/>
                    <w:rPr>
                      <w:rFonts w:ascii="仿宋" w:hAnsi="仿宋" w:cs="仿宋"/>
                      <w:color w:val="auto"/>
                      <w:szCs w:val="24"/>
                    </w:rPr>
                  </w:pPr>
                  <w:r>
                    <w:rPr>
                      <w:rFonts w:hint="eastAsia" w:ascii="仿宋" w:hAnsi="仿宋" w:cs="仿宋"/>
                      <w:color w:val="auto"/>
                      <w:szCs w:val="24"/>
                      <w:lang w:eastAsia="zh-CN"/>
                    </w:rPr>
                    <w:t>废矿物油</w:t>
                  </w:r>
                </w:p>
              </w:tc>
              <w:tc>
                <w:tcPr>
                  <w:tcW w:w="998" w:type="pct"/>
                  <w:vMerge w:val="continue"/>
                  <w:vAlign w:val="center"/>
                </w:tcPr>
                <w:p w14:paraId="5B71EEA4">
                  <w:pPr>
                    <w:pStyle w:val="46"/>
                    <w:spacing w:line="240" w:lineRule="auto"/>
                    <w:ind w:firstLine="0" w:firstLineChars="0"/>
                    <w:jc w:val="center"/>
                    <w:rPr>
                      <w:rFonts w:ascii="仿宋" w:hAnsi="仿宋" w:eastAsia="仿宋" w:cs="仿宋"/>
                      <w:color w:val="auto"/>
                    </w:rPr>
                  </w:pPr>
                </w:p>
              </w:tc>
            </w:tr>
            <w:tr w14:paraId="69C6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vMerge w:val="continue"/>
                  <w:vAlign w:val="center"/>
                </w:tcPr>
                <w:p w14:paraId="35874600">
                  <w:pPr>
                    <w:pStyle w:val="46"/>
                    <w:spacing w:line="240" w:lineRule="auto"/>
                    <w:ind w:firstLine="0" w:firstLineChars="0"/>
                    <w:jc w:val="center"/>
                    <w:rPr>
                      <w:rFonts w:ascii="仿宋" w:hAnsi="仿宋" w:eastAsia="仿宋" w:cs="仿宋"/>
                      <w:color w:val="auto"/>
                    </w:rPr>
                  </w:pPr>
                </w:p>
              </w:tc>
              <w:tc>
                <w:tcPr>
                  <w:tcW w:w="945" w:type="pct"/>
                  <w:shd w:val="clear" w:color="auto" w:fill="auto"/>
                  <w:vAlign w:val="center"/>
                </w:tcPr>
                <w:p w14:paraId="36036A33">
                  <w:pPr>
                    <w:autoSpaceDE w:val="0"/>
                    <w:autoSpaceDN w:val="0"/>
                    <w:snapToGrid/>
                    <w:spacing w:line="240" w:lineRule="auto"/>
                    <w:ind w:firstLine="0" w:firstLineChars="0"/>
                    <w:jc w:val="center"/>
                    <w:rPr>
                      <w:rFonts w:hint="default" w:eastAsia="仿宋" w:cs="仿宋"/>
                      <w:color w:val="auto"/>
                      <w:sz w:val="24"/>
                      <w:highlight w:val="none"/>
                      <w:lang w:val="en-US" w:eastAsia="zh-CN"/>
                    </w:rPr>
                  </w:pPr>
                  <w:r>
                    <w:rPr>
                      <w:rFonts w:hint="eastAsia" w:cs="仿宋"/>
                      <w:color w:val="auto"/>
                      <w:sz w:val="24"/>
                      <w:highlight w:val="none"/>
                      <w:lang w:val="en-US" w:eastAsia="zh-CN"/>
                    </w:rPr>
                    <w:t>S12</w:t>
                  </w:r>
                </w:p>
              </w:tc>
              <w:tc>
                <w:tcPr>
                  <w:tcW w:w="874" w:type="pct"/>
                  <w:vAlign w:val="center"/>
                </w:tcPr>
                <w:p w14:paraId="20CDABBB">
                  <w:pPr>
                    <w:pStyle w:val="27"/>
                    <w:spacing w:before="0" w:beforeAutospacing="0" w:after="0" w:afterAutospacing="0" w:line="240" w:lineRule="auto"/>
                    <w:ind w:firstLine="0" w:firstLineChars="0"/>
                    <w:jc w:val="center"/>
                    <w:outlineLvl w:val="0"/>
                    <w:rPr>
                      <w:rFonts w:ascii="仿宋" w:hAnsi="仿宋" w:cs="仿宋"/>
                      <w:color w:val="auto"/>
                      <w:szCs w:val="24"/>
                    </w:rPr>
                  </w:pPr>
                  <w:r>
                    <w:rPr>
                      <w:rFonts w:hint="eastAsia" w:ascii="仿宋" w:hAnsi="仿宋" w:cs="仿宋"/>
                      <w:color w:val="auto"/>
                      <w:szCs w:val="24"/>
                    </w:rPr>
                    <w:t>废油桶</w:t>
                  </w:r>
                </w:p>
              </w:tc>
              <w:tc>
                <w:tcPr>
                  <w:tcW w:w="1274" w:type="pct"/>
                  <w:shd w:val="clear" w:color="auto" w:fill="auto"/>
                  <w:vAlign w:val="center"/>
                </w:tcPr>
                <w:p w14:paraId="3B1D6CE0">
                  <w:pPr>
                    <w:pStyle w:val="27"/>
                    <w:spacing w:before="0" w:beforeAutospacing="0" w:after="0" w:afterAutospacing="0" w:line="240" w:lineRule="auto"/>
                    <w:ind w:firstLine="0" w:firstLineChars="0"/>
                    <w:jc w:val="center"/>
                    <w:outlineLvl w:val="0"/>
                    <w:rPr>
                      <w:rFonts w:ascii="仿宋" w:hAnsi="仿宋" w:cs="仿宋"/>
                      <w:color w:val="auto"/>
                      <w:szCs w:val="24"/>
                    </w:rPr>
                  </w:pPr>
                  <w:r>
                    <w:rPr>
                      <w:rFonts w:hint="eastAsia" w:ascii="仿宋" w:hAnsi="仿宋" w:cs="仿宋"/>
                      <w:color w:val="auto"/>
                      <w:szCs w:val="24"/>
                    </w:rPr>
                    <w:t>废油桶</w:t>
                  </w:r>
                </w:p>
              </w:tc>
              <w:tc>
                <w:tcPr>
                  <w:tcW w:w="998" w:type="pct"/>
                  <w:vMerge w:val="continue"/>
                  <w:vAlign w:val="center"/>
                </w:tcPr>
                <w:p w14:paraId="01716A8F">
                  <w:pPr>
                    <w:pStyle w:val="46"/>
                    <w:spacing w:line="240" w:lineRule="auto"/>
                    <w:ind w:firstLine="0" w:firstLineChars="0"/>
                    <w:jc w:val="center"/>
                    <w:rPr>
                      <w:rFonts w:ascii="仿宋" w:hAnsi="仿宋" w:eastAsia="仿宋" w:cs="仿宋"/>
                      <w:color w:val="auto"/>
                    </w:rPr>
                  </w:pPr>
                </w:p>
              </w:tc>
            </w:tr>
            <w:tr w14:paraId="7C38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pct"/>
                  <w:vMerge w:val="continue"/>
                  <w:vAlign w:val="center"/>
                </w:tcPr>
                <w:p w14:paraId="5299A923">
                  <w:pPr>
                    <w:pStyle w:val="46"/>
                    <w:spacing w:line="240" w:lineRule="auto"/>
                    <w:ind w:firstLine="0" w:firstLineChars="0"/>
                    <w:jc w:val="center"/>
                    <w:rPr>
                      <w:rFonts w:ascii="仿宋" w:hAnsi="仿宋" w:eastAsia="仿宋" w:cs="仿宋"/>
                      <w:color w:val="auto"/>
                    </w:rPr>
                  </w:pPr>
                </w:p>
              </w:tc>
              <w:tc>
                <w:tcPr>
                  <w:tcW w:w="945" w:type="pct"/>
                  <w:shd w:val="clear" w:color="auto" w:fill="auto"/>
                  <w:vAlign w:val="center"/>
                </w:tcPr>
                <w:p w14:paraId="7037BF0C">
                  <w:pPr>
                    <w:autoSpaceDE w:val="0"/>
                    <w:autoSpaceDN w:val="0"/>
                    <w:snapToGrid/>
                    <w:spacing w:line="240" w:lineRule="auto"/>
                    <w:ind w:firstLine="0" w:firstLineChars="0"/>
                    <w:jc w:val="center"/>
                    <w:rPr>
                      <w:rFonts w:hint="default" w:eastAsia="仿宋" w:cs="仿宋"/>
                      <w:color w:val="auto"/>
                      <w:sz w:val="24"/>
                      <w:highlight w:val="none"/>
                      <w:lang w:val="en-US" w:eastAsia="zh-CN"/>
                    </w:rPr>
                  </w:pPr>
                  <w:r>
                    <w:rPr>
                      <w:rFonts w:hint="eastAsia" w:cs="仿宋"/>
                      <w:color w:val="auto"/>
                      <w:sz w:val="24"/>
                      <w:highlight w:val="none"/>
                      <w:lang w:val="en-US" w:eastAsia="zh-CN"/>
                    </w:rPr>
                    <w:t>S13</w:t>
                  </w:r>
                </w:p>
              </w:tc>
              <w:tc>
                <w:tcPr>
                  <w:tcW w:w="874" w:type="pct"/>
                  <w:shd w:val="clear" w:color="auto" w:fill="auto"/>
                  <w:vAlign w:val="center"/>
                </w:tcPr>
                <w:p w14:paraId="483EE5EA">
                  <w:pPr>
                    <w:pStyle w:val="27"/>
                    <w:spacing w:before="0" w:beforeAutospacing="0" w:after="0" w:afterAutospacing="0" w:line="240" w:lineRule="auto"/>
                    <w:ind w:firstLine="0" w:firstLineChars="0"/>
                    <w:jc w:val="center"/>
                    <w:outlineLvl w:val="0"/>
                    <w:rPr>
                      <w:rFonts w:ascii="仿宋" w:hAnsi="仿宋" w:cs="仿宋"/>
                      <w:color w:val="auto"/>
                      <w:szCs w:val="24"/>
                    </w:rPr>
                  </w:pPr>
                  <w:r>
                    <w:rPr>
                      <w:rFonts w:ascii="Times New Roman" w:hAnsi="仿宋"/>
                      <w:snapToGrid w:val="0"/>
                      <w:color w:val="auto"/>
                      <w:szCs w:val="24"/>
                      <w:lang w:val="en-US"/>
                    </w:rPr>
                    <w:t>废含油棉纱、手套</w:t>
                  </w:r>
                </w:p>
              </w:tc>
              <w:tc>
                <w:tcPr>
                  <w:tcW w:w="1274" w:type="pct"/>
                  <w:shd w:val="clear" w:color="auto" w:fill="auto"/>
                  <w:vAlign w:val="center"/>
                </w:tcPr>
                <w:p w14:paraId="232B1877">
                  <w:pPr>
                    <w:pStyle w:val="27"/>
                    <w:spacing w:before="0" w:beforeAutospacing="0" w:after="0" w:afterAutospacing="0" w:line="240" w:lineRule="auto"/>
                    <w:ind w:firstLine="0" w:firstLineChars="0"/>
                    <w:jc w:val="center"/>
                    <w:outlineLvl w:val="0"/>
                    <w:rPr>
                      <w:rFonts w:ascii="仿宋" w:hAnsi="仿宋" w:cs="仿宋"/>
                      <w:color w:val="auto"/>
                      <w:szCs w:val="24"/>
                    </w:rPr>
                  </w:pPr>
                  <w:r>
                    <w:rPr>
                      <w:rFonts w:ascii="Times New Roman" w:hAnsi="仿宋"/>
                      <w:snapToGrid w:val="0"/>
                      <w:color w:val="auto"/>
                      <w:szCs w:val="24"/>
                      <w:lang w:val="en-US"/>
                    </w:rPr>
                    <w:t>废含油棉纱、手套</w:t>
                  </w:r>
                </w:p>
              </w:tc>
              <w:tc>
                <w:tcPr>
                  <w:tcW w:w="998" w:type="pct"/>
                  <w:vMerge w:val="continue"/>
                  <w:vAlign w:val="center"/>
                </w:tcPr>
                <w:p w14:paraId="2BBB19B1">
                  <w:pPr>
                    <w:pStyle w:val="46"/>
                    <w:spacing w:line="240" w:lineRule="auto"/>
                    <w:ind w:firstLine="0" w:firstLineChars="0"/>
                    <w:jc w:val="center"/>
                    <w:rPr>
                      <w:rFonts w:ascii="仿宋" w:hAnsi="仿宋" w:eastAsia="仿宋" w:cs="仿宋"/>
                      <w:color w:val="auto"/>
                    </w:rPr>
                  </w:pPr>
                </w:p>
              </w:tc>
            </w:tr>
            <w:tr w14:paraId="0369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907" w:type="pct"/>
                  <w:vMerge w:val="continue"/>
                  <w:vAlign w:val="center"/>
                </w:tcPr>
                <w:p w14:paraId="409197FF">
                  <w:pPr>
                    <w:pStyle w:val="46"/>
                    <w:spacing w:line="240" w:lineRule="auto"/>
                    <w:ind w:firstLine="0" w:firstLineChars="0"/>
                    <w:jc w:val="center"/>
                    <w:rPr>
                      <w:rFonts w:ascii="仿宋" w:hAnsi="仿宋" w:eastAsia="仿宋" w:cs="仿宋"/>
                      <w:color w:val="auto"/>
                    </w:rPr>
                  </w:pPr>
                </w:p>
              </w:tc>
              <w:tc>
                <w:tcPr>
                  <w:tcW w:w="945" w:type="pct"/>
                  <w:vAlign w:val="center"/>
                </w:tcPr>
                <w:p w14:paraId="24E157DD">
                  <w:pPr>
                    <w:autoSpaceDE w:val="0"/>
                    <w:autoSpaceDN w:val="0"/>
                    <w:snapToGrid/>
                    <w:spacing w:line="240" w:lineRule="auto"/>
                    <w:ind w:firstLine="0" w:firstLineChars="0"/>
                    <w:jc w:val="center"/>
                    <w:rPr>
                      <w:rFonts w:hint="default" w:eastAsia="仿宋" w:cs="仿宋"/>
                      <w:color w:val="auto"/>
                      <w:sz w:val="24"/>
                      <w:lang w:val="en-US" w:eastAsia="zh-CN"/>
                    </w:rPr>
                  </w:pPr>
                  <w:r>
                    <w:rPr>
                      <w:rFonts w:hint="eastAsia" w:cs="仿宋"/>
                      <w:color w:val="auto"/>
                      <w:sz w:val="24"/>
                      <w:lang w:val="en-US" w:eastAsia="zh-CN"/>
                    </w:rPr>
                    <w:t>S14</w:t>
                  </w:r>
                </w:p>
              </w:tc>
              <w:tc>
                <w:tcPr>
                  <w:tcW w:w="874" w:type="pct"/>
                  <w:shd w:val="clear" w:color="auto" w:fill="auto"/>
                  <w:vAlign w:val="center"/>
                </w:tcPr>
                <w:p w14:paraId="2D9F7C89">
                  <w:pPr>
                    <w:pStyle w:val="27"/>
                    <w:spacing w:before="0" w:beforeAutospacing="0" w:after="0" w:afterAutospacing="0" w:line="240" w:lineRule="auto"/>
                    <w:ind w:firstLine="0" w:firstLineChars="0"/>
                    <w:jc w:val="center"/>
                    <w:outlineLvl w:val="0"/>
                    <w:rPr>
                      <w:rFonts w:hint="eastAsia" w:ascii="仿宋" w:hAnsi="仿宋" w:eastAsia="仿宋" w:cs="仿宋"/>
                      <w:color w:val="auto"/>
                      <w:lang w:eastAsia="zh-CN"/>
                    </w:rPr>
                  </w:pPr>
                  <w:r>
                    <w:rPr>
                      <w:rFonts w:hint="eastAsia" w:ascii="Times New Roman" w:hAnsi="仿宋"/>
                      <w:snapToGrid w:val="0"/>
                      <w:color w:val="auto"/>
                      <w:szCs w:val="24"/>
                      <w:lang w:eastAsia="zh-CN"/>
                    </w:rPr>
                    <w:t>空压机含油废水</w:t>
                  </w:r>
                </w:p>
              </w:tc>
              <w:tc>
                <w:tcPr>
                  <w:tcW w:w="1274" w:type="pct"/>
                  <w:shd w:val="clear" w:color="auto" w:fill="auto"/>
                  <w:vAlign w:val="center"/>
                </w:tcPr>
                <w:p w14:paraId="3F2CA043">
                  <w:pPr>
                    <w:pStyle w:val="27"/>
                    <w:spacing w:before="0" w:beforeAutospacing="0" w:after="0" w:afterAutospacing="0" w:line="240" w:lineRule="auto"/>
                    <w:ind w:firstLine="0" w:firstLineChars="0"/>
                    <w:jc w:val="center"/>
                    <w:outlineLvl w:val="0"/>
                    <w:rPr>
                      <w:rFonts w:ascii="仿宋" w:hAnsi="仿宋" w:cs="仿宋"/>
                      <w:color w:val="auto"/>
                    </w:rPr>
                  </w:pPr>
                  <w:r>
                    <w:rPr>
                      <w:rFonts w:hint="eastAsia" w:ascii="Times New Roman" w:hAnsi="仿宋"/>
                      <w:snapToGrid w:val="0"/>
                      <w:color w:val="auto"/>
                      <w:szCs w:val="24"/>
                      <w:lang w:eastAsia="zh-CN"/>
                    </w:rPr>
                    <w:t>空压机含油废水</w:t>
                  </w:r>
                </w:p>
              </w:tc>
              <w:tc>
                <w:tcPr>
                  <w:tcW w:w="998" w:type="pct"/>
                  <w:vMerge w:val="continue"/>
                  <w:vAlign w:val="center"/>
                </w:tcPr>
                <w:p w14:paraId="027330D6">
                  <w:pPr>
                    <w:pStyle w:val="46"/>
                    <w:spacing w:line="240" w:lineRule="auto"/>
                    <w:ind w:firstLine="0" w:firstLineChars="0"/>
                    <w:jc w:val="center"/>
                    <w:rPr>
                      <w:rFonts w:ascii="仿宋" w:hAnsi="仿宋" w:eastAsia="仿宋" w:cs="仿宋"/>
                      <w:color w:val="auto"/>
                    </w:rPr>
                  </w:pPr>
                </w:p>
              </w:tc>
            </w:tr>
            <w:tr w14:paraId="04D2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907" w:type="pct"/>
                  <w:vMerge w:val="continue"/>
                  <w:vAlign w:val="center"/>
                </w:tcPr>
                <w:p w14:paraId="364B64D5">
                  <w:pPr>
                    <w:pStyle w:val="46"/>
                    <w:spacing w:line="240" w:lineRule="auto"/>
                    <w:ind w:firstLine="0" w:firstLineChars="0"/>
                    <w:jc w:val="center"/>
                    <w:rPr>
                      <w:rFonts w:ascii="仿宋" w:hAnsi="仿宋" w:eastAsia="仿宋" w:cs="仿宋"/>
                      <w:color w:val="auto"/>
                    </w:rPr>
                  </w:pPr>
                </w:p>
              </w:tc>
              <w:tc>
                <w:tcPr>
                  <w:tcW w:w="945" w:type="pct"/>
                  <w:shd w:val="clear" w:color="auto" w:fill="auto"/>
                  <w:vAlign w:val="center"/>
                </w:tcPr>
                <w:p w14:paraId="246B2FA3">
                  <w:pPr>
                    <w:autoSpaceDE w:val="0"/>
                    <w:autoSpaceDN w:val="0"/>
                    <w:snapToGrid/>
                    <w:spacing w:line="240" w:lineRule="auto"/>
                    <w:ind w:firstLine="0" w:firstLineChars="0"/>
                    <w:jc w:val="center"/>
                    <w:rPr>
                      <w:rFonts w:hint="default" w:ascii="仿宋" w:hAnsi="仿宋" w:eastAsia="仿宋" w:cs="仿宋"/>
                      <w:color w:val="auto"/>
                      <w:kern w:val="2"/>
                      <w:sz w:val="24"/>
                      <w:szCs w:val="24"/>
                      <w:highlight w:val="none"/>
                      <w:lang w:val="en-US" w:eastAsia="zh-CN" w:bidi="ar-SA"/>
                    </w:rPr>
                  </w:pPr>
                  <w:r>
                    <w:rPr>
                      <w:rFonts w:hint="eastAsia" w:cs="仿宋"/>
                      <w:color w:val="auto"/>
                      <w:sz w:val="24"/>
                      <w:highlight w:val="none"/>
                      <w:lang w:val="en-US" w:eastAsia="zh-CN"/>
                    </w:rPr>
                    <w:t>S5、S16</w:t>
                  </w:r>
                </w:p>
              </w:tc>
              <w:tc>
                <w:tcPr>
                  <w:tcW w:w="874" w:type="pct"/>
                  <w:shd w:val="clear" w:color="auto" w:fill="auto"/>
                  <w:vAlign w:val="center"/>
                </w:tcPr>
                <w:p w14:paraId="655AFD69">
                  <w:pPr>
                    <w:pStyle w:val="27"/>
                    <w:spacing w:before="0" w:beforeAutospacing="0" w:after="0" w:afterAutospacing="0" w:line="240" w:lineRule="auto"/>
                    <w:ind w:firstLine="0" w:firstLineChars="0"/>
                    <w:jc w:val="center"/>
                    <w:outlineLvl w:val="0"/>
                    <w:rPr>
                      <w:rFonts w:hint="eastAsia" w:ascii="Times New Roman" w:hAnsi="仿宋" w:eastAsia="仿宋" w:cs="Times New Roman"/>
                      <w:i/>
                      <w:iCs/>
                      <w:snapToGrid w:val="0"/>
                      <w:color w:val="auto"/>
                      <w:kern w:val="0"/>
                      <w:sz w:val="24"/>
                      <w:szCs w:val="24"/>
                      <w:highlight w:val="none"/>
                      <w:lang w:val="en-US" w:eastAsia="zh-CN" w:bidi="ar-SA"/>
                    </w:rPr>
                  </w:pPr>
                  <w:r>
                    <w:rPr>
                      <w:rFonts w:hint="eastAsia" w:ascii="Times New Roman" w:hAnsi="仿宋"/>
                      <w:i/>
                      <w:iCs/>
                      <w:snapToGrid w:val="0"/>
                      <w:color w:val="auto"/>
                      <w:szCs w:val="24"/>
                      <w:highlight w:val="none"/>
                      <w:lang w:val="en-US" w:eastAsia="zh-CN"/>
                    </w:rPr>
                    <w:t>废胶桶</w:t>
                  </w:r>
                </w:p>
              </w:tc>
              <w:tc>
                <w:tcPr>
                  <w:tcW w:w="1274" w:type="pct"/>
                  <w:shd w:val="clear" w:color="auto" w:fill="auto"/>
                  <w:vAlign w:val="center"/>
                </w:tcPr>
                <w:p w14:paraId="25EA1C01">
                  <w:pPr>
                    <w:pStyle w:val="135"/>
                    <w:spacing w:line="240" w:lineRule="auto"/>
                    <w:ind w:firstLine="0" w:firstLineChars="0"/>
                    <w:jc w:val="center"/>
                    <w:rPr>
                      <w:rFonts w:hint="eastAsia" w:ascii="仿宋" w:hAnsi="仿宋" w:eastAsia="仿宋" w:cs="仿宋"/>
                      <w:i/>
                      <w:iCs/>
                      <w:color w:val="auto"/>
                      <w:spacing w:val="-2"/>
                      <w:kern w:val="2"/>
                      <w:sz w:val="24"/>
                      <w:szCs w:val="24"/>
                      <w:lang w:val="en-US" w:eastAsia="zh-CN" w:bidi="ar-SA"/>
                    </w:rPr>
                  </w:pPr>
                  <w:r>
                    <w:rPr>
                      <w:rFonts w:hint="eastAsia" w:ascii="仿宋" w:hAnsi="仿宋" w:eastAsia="仿宋" w:cs="仿宋"/>
                      <w:i/>
                      <w:iCs/>
                      <w:color w:val="auto"/>
                      <w:spacing w:val="-2"/>
                    </w:rPr>
                    <w:t>废胶桶</w:t>
                  </w:r>
                </w:p>
              </w:tc>
              <w:tc>
                <w:tcPr>
                  <w:tcW w:w="998" w:type="pct"/>
                  <w:vMerge w:val="continue"/>
                  <w:vAlign w:val="center"/>
                </w:tcPr>
                <w:p w14:paraId="6D37717B">
                  <w:pPr>
                    <w:pStyle w:val="46"/>
                    <w:spacing w:line="240" w:lineRule="auto"/>
                    <w:ind w:firstLine="0" w:firstLineChars="0"/>
                    <w:jc w:val="center"/>
                    <w:rPr>
                      <w:rFonts w:ascii="仿宋" w:hAnsi="仿宋" w:eastAsia="仿宋" w:cs="仿宋"/>
                      <w:color w:val="auto"/>
                    </w:rPr>
                  </w:pPr>
                </w:p>
              </w:tc>
            </w:tr>
            <w:tr w14:paraId="5A63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907" w:type="pct"/>
                  <w:vMerge w:val="continue"/>
                  <w:vAlign w:val="center"/>
                </w:tcPr>
                <w:p w14:paraId="51F551EA">
                  <w:pPr>
                    <w:pStyle w:val="46"/>
                    <w:spacing w:line="240" w:lineRule="auto"/>
                    <w:ind w:firstLine="0" w:firstLineChars="0"/>
                    <w:jc w:val="center"/>
                    <w:rPr>
                      <w:rFonts w:ascii="仿宋" w:hAnsi="仿宋" w:eastAsia="仿宋" w:cs="仿宋"/>
                      <w:color w:val="auto"/>
                    </w:rPr>
                  </w:pPr>
                </w:p>
              </w:tc>
              <w:tc>
                <w:tcPr>
                  <w:tcW w:w="945" w:type="pct"/>
                  <w:shd w:val="clear" w:color="auto" w:fill="auto"/>
                  <w:vAlign w:val="center"/>
                </w:tcPr>
                <w:p w14:paraId="7F467140">
                  <w:pPr>
                    <w:autoSpaceDE w:val="0"/>
                    <w:autoSpaceDN w:val="0"/>
                    <w:snapToGrid/>
                    <w:spacing w:line="240" w:lineRule="auto"/>
                    <w:ind w:firstLine="0" w:firstLineChars="0"/>
                    <w:jc w:val="center"/>
                    <w:rPr>
                      <w:rFonts w:hint="eastAsia" w:ascii="仿宋" w:hAnsi="仿宋" w:eastAsia="仿宋" w:cs="仿宋"/>
                      <w:color w:val="auto"/>
                      <w:kern w:val="2"/>
                      <w:sz w:val="24"/>
                      <w:szCs w:val="24"/>
                      <w:highlight w:val="none"/>
                      <w:lang w:val="en-US" w:eastAsia="zh-CN" w:bidi="ar-SA"/>
                    </w:rPr>
                  </w:pPr>
                  <w:r>
                    <w:rPr>
                      <w:rFonts w:hint="eastAsia" w:cs="仿宋"/>
                      <w:color w:val="auto"/>
                      <w:sz w:val="24"/>
                      <w:highlight w:val="none"/>
                      <w:lang w:val="en-US" w:eastAsia="zh-CN"/>
                    </w:rPr>
                    <w:t>S6、S17</w:t>
                  </w:r>
                </w:p>
              </w:tc>
              <w:tc>
                <w:tcPr>
                  <w:tcW w:w="874" w:type="pct"/>
                  <w:shd w:val="clear" w:color="auto" w:fill="auto"/>
                  <w:vAlign w:val="center"/>
                </w:tcPr>
                <w:p w14:paraId="5A85FD2A">
                  <w:pPr>
                    <w:pStyle w:val="27"/>
                    <w:spacing w:before="0" w:beforeAutospacing="0" w:after="0" w:afterAutospacing="0" w:line="240" w:lineRule="auto"/>
                    <w:ind w:firstLine="0" w:firstLineChars="0"/>
                    <w:jc w:val="center"/>
                    <w:outlineLvl w:val="0"/>
                    <w:rPr>
                      <w:rFonts w:hint="eastAsia" w:ascii="Times New Roman" w:hAnsi="仿宋" w:eastAsia="仿宋" w:cs="Times New Roman"/>
                      <w:i/>
                      <w:iCs/>
                      <w:snapToGrid w:val="0"/>
                      <w:color w:val="auto"/>
                      <w:kern w:val="0"/>
                      <w:sz w:val="24"/>
                      <w:szCs w:val="24"/>
                      <w:highlight w:val="none"/>
                      <w:lang w:val="en-US" w:eastAsia="zh-CN" w:bidi="ar-SA"/>
                    </w:rPr>
                  </w:pPr>
                  <w:r>
                    <w:rPr>
                      <w:rFonts w:hint="eastAsia" w:ascii="Times New Roman" w:hAnsi="仿宋" w:cs="Times New Roman"/>
                      <w:i/>
                      <w:iCs/>
                      <w:snapToGrid w:val="0"/>
                      <w:color w:val="auto"/>
                      <w:kern w:val="0"/>
                      <w:sz w:val="24"/>
                      <w:szCs w:val="24"/>
                      <w:highlight w:val="none"/>
                      <w:lang w:val="zh-CN" w:eastAsia="zh-CN" w:bidi="ar-SA"/>
                    </w:rPr>
                    <w:t>废抹布</w:t>
                  </w:r>
                </w:p>
              </w:tc>
              <w:tc>
                <w:tcPr>
                  <w:tcW w:w="1274" w:type="pct"/>
                  <w:shd w:val="clear" w:color="auto" w:fill="auto"/>
                  <w:vAlign w:val="center"/>
                </w:tcPr>
                <w:p w14:paraId="3BB30842">
                  <w:pPr>
                    <w:pStyle w:val="27"/>
                    <w:spacing w:before="0" w:beforeAutospacing="0" w:after="0" w:afterAutospacing="0" w:line="240" w:lineRule="auto"/>
                    <w:ind w:firstLine="0" w:firstLineChars="0"/>
                    <w:jc w:val="center"/>
                    <w:outlineLvl w:val="0"/>
                    <w:rPr>
                      <w:rFonts w:hint="eastAsia" w:ascii="仿宋" w:hAnsi="仿宋" w:eastAsia="仿宋" w:cs="仿宋"/>
                      <w:i/>
                      <w:iCs/>
                      <w:color w:val="auto"/>
                      <w:spacing w:val="-2"/>
                      <w:kern w:val="2"/>
                      <w:sz w:val="24"/>
                      <w:szCs w:val="24"/>
                      <w:lang w:val="zh-CN" w:eastAsia="zh-CN" w:bidi="ar-SA"/>
                    </w:rPr>
                  </w:pPr>
                  <w:r>
                    <w:rPr>
                      <w:rFonts w:hint="eastAsia" w:ascii="Times New Roman" w:hAnsi="仿宋" w:cs="Times New Roman"/>
                      <w:i/>
                      <w:iCs/>
                      <w:snapToGrid w:val="0"/>
                      <w:color w:val="auto"/>
                      <w:kern w:val="0"/>
                      <w:sz w:val="24"/>
                      <w:szCs w:val="24"/>
                      <w:highlight w:val="none"/>
                      <w:lang w:val="zh-CN" w:eastAsia="zh-CN" w:bidi="ar-SA"/>
                    </w:rPr>
                    <w:t>废抹布</w:t>
                  </w:r>
                </w:p>
              </w:tc>
              <w:tc>
                <w:tcPr>
                  <w:tcW w:w="998" w:type="pct"/>
                  <w:vMerge w:val="continue"/>
                  <w:vAlign w:val="center"/>
                </w:tcPr>
                <w:p w14:paraId="2E6E1FF8">
                  <w:pPr>
                    <w:pStyle w:val="46"/>
                    <w:spacing w:line="240" w:lineRule="auto"/>
                    <w:ind w:firstLine="0" w:firstLineChars="0"/>
                    <w:jc w:val="center"/>
                    <w:rPr>
                      <w:rFonts w:ascii="仿宋" w:hAnsi="仿宋" w:eastAsia="仿宋" w:cs="仿宋"/>
                      <w:color w:val="auto"/>
                    </w:rPr>
                  </w:pPr>
                </w:p>
              </w:tc>
            </w:tr>
          </w:tbl>
          <w:p w14:paraId="5F6B138B">
            <w:pPr>
              <w:pStyle w:val="46"/>
              <w:ind w:firstLine="560"/>
              <w:rPr>
                <w:rFonts w:ascii="仿宋" w:hAnsi="仿宋" w:eastAsia="仿宋" w:cs="仿宋"/>
                <w:color w:val="auto"/>
                <w:sz w:val="28"/>
                <w:szCs w:val="28"/>
              </w:rPr>
            </w:pPr>
          </w:p>
        </w:tc>
      </w:tr>
      <w:tr w14:paraId="1B9C33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dxa"/>
            <w:vAlign w:val="center"/>
          </w:tcPr>
          <w:p w14:paraId="57611186">
            <w:pPr>
              <w:pStyle w:val="49"/>
              <w:rPr>
                <w:color w:val="auto"/>
              </w:rPr>
            </w:pPr>
            <w:r>
              <w:rPr>
                <w:rFonts w:hint="eastAsia"/>
                <w:bCs/>
                <w:color w:val="auto"/>
                <w:sz w:val="28"/>
              </w:rPr>
              <w:t>与项目有关的原有环境污染问题</w:t>
            </w:r>
          </w:p>
        </w:tc>
        <w:tc>
          <w:tcPr>
            <w:tcW w:w="8208" w:type="dxa"/>
          </w:tcPr>
          <w:p w14:paraId="1CCC539D">
            <w:pPr>
              <w:spacing w:before="120" w:beforeLines="50"/>
              <w:ind w:firstLine="560"/>
              <w:rPr>
                <w:rFonts w:hint="eastAsia" w:eastAsia="仿宋"/>
                <w:color w:val="auto"/>
                <w:sz w:val="28"/>
                <w:szCs w:val="21"/>
                <w:lang w:eastAsia="zh-CN"/>
              </w:rPr>
            </w:pPr>
            <w:r>
              <w:rPr>
                <w:rFonts w:hint="eastAsia"/>
                <w:color w:val="auto"/>
                <w:sz w:val="28"/>
              </w:rPr>
              <w:t>本项目位于</w:t>
            </w:r>
            <w:r>
              <w:rPr>
                <w:rFonts w:hint="eastAsia"/>
                <w:color w:val="auto"/>
                <w:sz w:val="28"/>
                <w:szCs w:val="28"/>
              </w:rPr>
              <w:t>重庆市九龙坡区西彭镇森迪大道139号3号楼2层和3层</w:t>
            </w:r>
            <w:r>
              <w:rPr>
                <w:rFonts w:hint="eastAsia"/>
                <w:color w:val="auto"/>
                <w:sz w:val="28"/>
              </w:rPr>
              <w:t>，为租用厂房进行生产，本项目入驻之前</w:t>
            </w:r>
            <w:r>
              <w:rPr>
                <w:rFonts w:hint="eastAsia"/>
                <w:color w:val="auto"/>
                <w:sz w:val="28"/>
                <w:lang w:eastAsia="zh-CN"/>
              </w:rPr>
              <w:t>厂房外租给</w:t>
            </w:r>
            <w:r>
              <w:rPr>
                <w:rFonts w:hint="eastAsia"/>
                <w:color w:val="auto"/>
                <w:sz w:val="28"/>
                <w:lang w:val="en-US" w:eastAsia="zh-CN"/>
              </w:rPr>
              <w:t>重庆玛宝家具有限公司，该企业已于2025年8月搬迁，本项目入驻前厂房</w:t>
            </w:r>
            <w:r>
              <w:rPr>
                <w:rFonts w:hint="eastAsia"/>
                <w:color w:val="auto"/>
                <w:sz w:val="28"/>
                <w:lang w:eastAsia="zh-CN"/>
              </w:rPr>
              <w:t>空置</w:t>
            </w:r>
            <w:r>
              <w:rPr>
                <w:rFonts w:hint="eastAsia"/>
                <w:color w:val="auto"/>
                <w:sz w:val="28"/>
              </w:rPr>
              <w:t>，经现场踏勘，本租赁厂房不存在与项目有关的原有污染情况及环境问题</w:t>
            </w:r>
            <w:r>
              <w:rPr>
                <w:rFonts w:hint="eastAsia"/>
                <w:color w:val="auto"/>
                <w:sz w:val="28"/>
                <w:szCs w:val="21"/>
                <w:lang w:eastAsia="zh-CN"/>
              </w:rPr>
              <w:t>，本项目依托生化池已进行竣工验收。</w:t>
            </w:r>
          </w:p>
          <w:p w14:paraId="78CCF897">
            <w:pPr>
              <w:spacing w:before="120" w:beforeLines="50"/>
              <w:ind w:firstLine="560"/>
              <w:rPr>
                <w:color w:val="auto"/>
                <w:szCs w:val="21"/>
                <w:lang w:val="zh-CN"/>
              </w:rPr>
            </w:pPr>
          </w:p>
        </w:tc>
      </w:tr>
    </w:tbl>
    <w:p w14:paraId="3FB25822">
      <w:pPr>
        <w:pStyle w:val="27"/>
        <w:spacing w:before="0" w:beforeAutospacing="0" w:after="0" w:afterAutospacing="0" w:line="240" w:lineRule="auto"/>
        <w:ind w:firstLine="720"/>
        <w:jc w:val="center"/>
        <w:rPr>
          <w:rFonts w:ascii="仿宋" w:hAnsi="仿宋"/>
          <w:snapToGrid w:val="0"/>
          <w:color w:val="auto"/>
          <w:sz w:val="36"/>
          <w:szCs w:val="36"/>
        </w:rPr>
        <w:sectPr>
          <w:pgSz w:w="11906" w:h="16838"/>
          <w:pgMar w:top="1701" w:right="1531" w:bottom="1701" w:left="1531" w:header="851" w:footer="851" w:gutter="0"/>
          <w:cols w:space="720" w:num="1"/>
          <w:docGrid w:linePitch="312" w:charSpace="0"/>
        </w:sectPr>
      </w:pPr>
    </w:p>
    <w:p w14:paraId="763A7D3A">
      <w:pPr>
        <w:pStyle w:val="28"/>
        <w:ind w:firstLine="600"/>
        <w:rPr>
          <w:rFonts w:eastAsia="仿宋"/>
          <w:snapToGrid w:val="0"/>
          <w:color w:val="auto"/>
        </w:rPr>
      </w:pPr>
      <w:r>
        <w:rPr>
          <w:rFonts w:hint="eastAsia" w:eastAsia="仿宋"/>
          <w:snapToGrid w:val="0"/>
          <w:color w:val="auto"/>
        </w:rPr>
        <w:t>三、区域环境质量现状、环境保护目标及评价标准</w:t>
      </w:r>
    </w:p>
    <w:tbl>
      <w:tblPr>
        <w:tblStyle w:val="31"/>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8291"/>
      </w:tblGrid>
      <w:tr w14:paraId="6CB9E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99" w:type="dxa"/>
            <w:vAlign w:val="center"/>
          </w:tcPr>
          <w:p w14:paraId="67C847FF">
            <w:pPr>
              <w:pStyle w:val="49"/>
              <w:rPr>
                <w:color w:val="auto"/>
              </w:rPr>
            </w:pPr>
            <w:r>
              <w:rPr>
                <w:rFonts w:hint="eastAsia"/>
                <w:color w:val="auto"/>
                <w:sz w:val="28"/>
              </w:rPr>
              <w:t>区域环境质量现状</w:t>
            </w:r>
          </w:p>
        </w:tc>
        <w:tc>
          <w:tcPr>
            <w:tcW w:w="8291" w:type="dxa"/>
            <w:vAlign w:val="center"/>
          </w:tcPr>
          <w:p w14:paraId="7D048591">
            <w:pPr>
              <w:pStyle w:val="53"/>
              <w:spacing w:before="120"/>
              <w:rPr>
                <w:rFonts w:ascii="仿宋" w:hAnsi="仿宋"/>
                <w:bCs/>
                <w:color w:val="auto"/>
                <w:sz w:val="28"/>
              </w:rPr>
            </w:pPr>
            <w:r>
              <w:rPr>
                <w:rFonts w:ascii="仿宋" w:hAnsi="仿宋"/>
                <w:color w:val="auto"/>
                <w:sz w:val="28"/>
              </w:rPr>
              <w:t>1.环境空气质量现状</w:t>
            </w:r>
          </w:p>
          <w:p w14:paraId="247FE392">
            <w:pPr>
              <w:ind w:firstLine="560"/>
              <w:rPr>
                <w:color w:val="auto"/>
              </w:rPr>
            </w:pPr>
            <w:r>
              <w:rPr>
                <w:bCs/>
                <w:color w:val="auto"/>
                <w:sz w:val="28"/>
              </w:rPr>
              <w:t>（1）</w:t>
            </w:r>
            <w:r>
              <w:rPr>
                <w:rFonts w:hint="eastAsia"/>
                <w:bCs/>
                <w:color w:val="auto"/>
                <w:sz w:val="28"/>
              </w:rPr>
              <w:t>环境空气质量达标区判断</w:t>
            </w:r>
          </w:p>
          <w:p w14:paraId="77C48A22">
            <w:pPr>
              <w:ind w:firstLine="560"/>
              <w:rPr>
                <w:rFonts w:hint="eastAsia" w:eastAsia="仿宋"/>
                <w:color w:val="auto"/>
                <w:sz w:val="28"/>
                <w:lang w:eastAsia="zh-CN"/>
              </w:rPr>
            </w:pPr>
            <w:r>
              <w:rPr>
                <w:bCs/>
                <w:color w:val="auto"/>
                <w:sz w:val="28"/>
              </w:rPr>
              <w:t>根据</w:t>
            </w:r>
            <w:r>
              <w:rPr>
                <w:color w:val="auto"/>
                <w:sz w:val="28"/>
              </w:rPr>
              <w:t>《重庆市环境空气质量功能区划分规定》（渝府发</w:t>
            </w:r>
            <w:r>
              <w:rPr>
                <w:rFonts w:hint="eastAsia"/>
                <w:color w:val="auto"/>
                <w:sz w:val="28"/>
              </w:rPr>
              <w:t>〔2016〕19号</w:t>
            </w:r>
            <w:r>
              <w:rPr>
                <w:color w:val="auto"/>
                <w:sz w:val="28"/>
              </w:rPr>
              <w:t>）</w:t>
            </w:r>
            <w:r>
              <w:rPr>
                <w:bCs/>
                <w:color w:val="auto"/>
                <w:sz w:val="28"/>
              </w:rPr>
              <w:t>，</w:t>
            </w:r>
            <w:r>
              <w:rPr>
                <w:color w:val="auto"/>
                <w:sz w:val="28"/>
              </w:rPr>
              <w:t>本项目所在地环境空气功能区划为二类区</w:t>
            </w:r>
            <w:r>
              <w:rPr>
                <w:rFonts w:hint="eastAsia"/>
                <w:color w:val="auto"/>
                <w:sz w:val="28"/>
                <w:lang w:eastAsia="zh-CN"/>
              </w:rPr>
              <w:t>。</w:t>
            </w:r>
          </w:p>
          <w:p w14:paraId="600FF259">
            <w:pPr>
              <w:ind w:firstLine="560"/>
              <w:rPr>
                <w:rFonts w:hint="eastAsia"/>
                <w:i/>
                <w:iCs/>
                <w:color w:val="auto"/>
                <w:sz w:val="28"/>
                <w:lang w:eastAsia="zh-CN"/>
              </w:rPr>
            </w:pPr>
            <w:r>
              <w:rPr>
                <w:rFonts w:hint="eastAsia"/>
                <w:i/>
                <w:iCs/>
                <w:color w:val="auto"/>
                <w:sz w:val="28"/>
              </w:rPr>
              <w:t>根据《202</w:t>
            </w:r>
            <w:r>
              <w:rPr>
                <w:rFonts w:hint="eastAsia"/>
                <w:i/>
                <w:iCs/>
                <w:color w:val="auto"/>
                <w:sz w:val="28"/>
                <w:lang w:val="en-US" w:eastAsia="zh-CN"/>
              </w:rPr>
              <w:t>5</w:t>
            </w:r>
            <w:r>
              <w:rPr>
                <w:rFonts w:hint="eastAsia"/>
                <w:i/>
                <w:iCs/>
                <w:color w:val="auto"/>
                <w:sz w:val="28"/>
              </w:rPr>
              <w:t>重庆市年生态环境状况公报》</w:t>
            </w:r>
            <w:r>
              <w:rPr>
                <w:rFonts w:hint="eastAsia"/>
                <w:i/>
                <w:iCs/>
                <w:color w:val="auto"/>
                <w:sz w:val="28"/>
                <w:lang w:eastAsia="zh-CN"/>
              </w:rPr>
              <w:t>，</w:t>
            </w:r>
            <w:r>
              <w:rPr>
                <w:rFonts w:hint="eastAsia"/>
                <w:i/>
                <w:iCs/>
                <w:color w:val="auto"/>
                <w:sz w:val="28"/>
              </w:rPr>
              <w:t>202</w:t>
            </w:r>
            <w:r>
              <w:rPr>
                <w:rFonts w:hint="eastAsia"/>
                <w:i/>
                <w:iCs/>
                <w:color w:val="auto"/>
                <w:sz w:val="28"/>
                <w:lang w:val="en-US" w:eastAsia="zh-CN"/>
              </w:rPr>
              <w:t>5</w:t>
            </w:r>
            <w:r>
              <w:rPr>
                <w:rFonts w:hint="eastAsia"/>
                <w:i/>
                <w:iCs/>
                <w:color w:val="auto"/>
                <w:sz w:val="28"/>
              </w:rPr>
              <w:t>年38个区县(自治县)和万盛经开区(以下统称各区县)环境空气质量状况见下表。其中城口县、彭水县、巫溪县、黔江区、石柱县、酉阳县、秀山县、巫山县、武隆区、万盛经开区、云阳县、开州区、垫江县、丰都县、奉节县、忠县、梁平区、南川区、大足区、万州区、潼南区、荣昌区、长寿区、涪陵区、永川区、巴南区、璧山区、铜梁区、江津区、渝北区、大渡口区、渝中区等32个区县环境中六项大气污染物浓度均达到国家二级标准</w:t>
            </w:r>
            <w:r>
              <w:rPr>
                <w:rFonts w:hint="eastAsia"/>
                <w:i/>
                <w:iCs/>
                <w:color w:val="auto"/>
                <w:sz w:val="28"/>
                <w:lang w:eastAsia="zh-CN"/>
              </w:rPr>
              <w:t>，本项目质量现状评价采用《202</w:t>
            </w:r>
            <w:r>
              <w:rPr>
                <w:rFonts w:hint="eastAsia"/>
                <w:i/>
                <w:iCs/>
                <w:color w:val="auto"/>
                <w:sz w:val="28"/>
                <w:lang w:val="en-US" w:eastAsia="zh-CN"/>
              </w:rPr>
              <w:t>5</w:t>
            </w:r>
            <w:r>
              <w:rPr>
                <w:rFonts w:hint="eastAsia"/>
                <w:i/>
                <w:iCs/>
                <w:color w:val="auto"/>
                <w:sz w:val="28"/>
                <w:lang w:eastAsia="zh-CN"/>
              </w:rPr>
              <w:t>重庆市生态环境状况公报》中</w:t>
            </w:r>
            <w:r>
              <w:rPr>
                <w:rFonts w:hint="eastAsia"/>
                <w:i/>
                <w:iCs/>
                <w:color w:val="auto"/>
                <w:sz w:val="28"/>
                <w:lang w:val="en-US" w:eastAsia="zh-CN"/>
              </w:rPr>
              <w:t>九龙坡区</w:t>
            </w:r>
            <w:r>
              <w:rPr>
                <w:rFonts w:hint="eastAsia"/>
                <w:i/>
                <w:iCs/>
                <w:color w:val="auto"/>
                <w:sz w:val="28"/>
                <w:lang w:eastAsia="zh-CN"/>
              </w:rPr>
              <w:t>的监测数据。</w:t>
            </w:r>
          </w:p>
          <w:p w14:paraId="401B1D7B">
            <w:pPr>
              <w:pStyle w:val="14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i/>
                <w:iCs/>
                <w:color w:val="auto"/>
                <w:sz w:val="24"/>
                <w:szCs w:val="24"/>
              </w:rPr>
            </w:pPr>
            <w:r>
              <w:rPr>
                <w:i/>
                <w:iCs/>
                <w:color w:val="auto"/>
                <w:sz w:val="24"/>
                <w:szCs w:val="24"/>
              </w:rPr>
              <w:t>表</w:t>
            </w:r>
            <w:r>
              <w:rPr>
                <w:rFonts w:hint="eastAsia"/>
                <w:i/>
                <w:iCs/>
                <w:color w:val="auto"/>
                <w:sz w:val="24"/>
                <w:szCs w:val="24"/>
              </w:rPr>
              <w:t>3</w:t>
            </w:r>
            <w:r>
              <w:rPr>
                <w:rFonts w:hint="eastAsia"/>
                <w:i/>
                <w:iCs/>
                <w:color w:val="auto"/>
                <w:sz w:val="24"/>
                <w:szCs w:val="24"/>
                <w:lang w:val="en-US" w:eastAsia="zh-CN"/>
              </w:rPr>
              <w:t>-</w:t>
            </w:r>
            <w:r>
              <w:rPr>
                <w:i/>
                <w:iCs/>
                <w:color w:val="auto"/>
                <w:sz w:val="24"/>
                <w:szCs w:val="24"/>
              </w:rPr>
              <w:t>1环境空气质量现状监测及评价结果</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664"/>
              <w:gridCol w:w="1623"/>
              <w:gridCol w:w="1461"/>
              <w:gridCol w:w="1211"/>
              <w:gridCol w:w="954"/>
            </w:tblGrid>
            <w:tr w14:paraId="5D0F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noWrap w:val="0"/>
                  <w:tcMar>
                    <w:top w:w="28" w:type="dxa"/>
                    <w:left w:w="28" w:type="dxa"/>
                    <w:bottom w:w="28" w:type="dxa"/>
                    <w:right w:w="28" w:type="dxa"/>
                  </w:tcMar>
                  <w:vAlign w:val="center"/>
                </w:tcPr>
                <w:p w14:paraId="11C92669">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污染物</w:t>
                  </w:r>
                </w:p>
              </w:tc>
              <w:tc>
                <w:tcPr>
                  <w:tcW w:w="1053" w:type="pct"/>
                  <w:noWrap w:val="0"/>
                  <w:tcMar>
                    <w:top w:w="28" w:type="dxa"/>
                    <w:left w:w="28" w:type="dxa"/>
                    <w:bottom w:w="28" w:type="dxa"/>
                    <w:right w:w="28" w:type="dxa"/>
                  </w:tcMar>
                  <w:vAlign w:val="center"/>
                </w:tcPr>
                <w:p w14:paraId="2B238E54">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年评价指标</w:t>
                  </w:r>
                </w:p>
              </w:tc>
              <w:tc>
                <w:tcPr>
                  <w:tcW w:w="1027" w:type="pct"/>
                  <w:noWrap w:val="0"/>
                  <w:tcMar>
                    <w:top w:w="28" w:type="dxa"/>
                    <w:left w:w="28" w:type="dxa"/>
                    <w:bottom w:w="28" w:type="dxa"/>
                    <w:right w:w="28" w:type="dxa"/>
                  </w:tcMar>
                  <w:vAlign w:val="center"/>
                </w:tcPr>
                <w:p w14:paraId="295BA222">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现状浓度（μg/m</w:t>
                  </w:r>
                  <w:r>
                    <w:rPr>
                      <w:rFonts w:hint="default" w:ascii="Times New Roman" w:hAnsi="Times New Roman" w:cs="Times New Roman"/>
                      <w:i/>
                      <w:iCs/>
                      <w:color w:val="auto"/>
                      <w:sz w:val="24"/>
                      <w:szCs w:val="24"/>
                      <w:vertAlign w:val="superscript"/>
                    </w:rPr>
                    <w:t>3</w:t>
                  </w:r>
                  <w:r>
                    <w:rPr>
                      <w:rFonts w:hint="default" w:ascii="Times New Roman" w:hAnsi="Times New Roman" w:cs="Times New Roman"/>
                      <w:i/>
                      <w:iCs/>
                      <w:color w:val="auto"/>
                      <w:sz w:val="24"/>
                      <w:szCs w:val="24"/>
                    </w:rPr>
                    <w:t>）</w:t>
                  </w:r>
                </w:p>
              </w:tc>
              <w:tc>
                <w:tcPr>
                  <w:tcW w:w="927" w:type="pct"/>
                  <w:noWrap w:val="0"/>
                  <w:tcMar>
                    <w:top w:w="28" w:type="dxa"/>
                    <w:left w:w="28" w:type="dxa"/>
                    <w:bottom w:w="28" w:type="dxa"/>
                    <w:right w:w="28" w:type="dxa"/>
                  </w:tcMar>
                  <w:vAlign w:val="center"/>
                </w:tcPr>
                <w:p w14:paraId="15092A03">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标准值（μg/m</w:t>
                  </w:r>
                  <w:r>
                    <w:rPr>
                      <w:rFonts w:hint="default" w:ascii="Times New Roman" w:hAnsi="Times New Roman" w:cs="Times New Roman"/>
                      <w:i/>
                      <w:iCs/>
                      <w:color w:val="auto"/>
                      <w:sz w:val="24"/>
                      <w:szCs w:val="24"/>
                      <w:vertAlign w:val="superscript"/>
                    </w:rPr>
                    <w:t>3</w:t>
                  </w:r>
                  <w:r>
                    <w:rPr>
                      <w:rFonts w:hint="default" w:ascii="Times New Roman" w:hAnsi="Times New Roman" w:cs="Times New Roman"/>
                      <w:i/>
                      <w:iCs/>
                      <w:color w:val="auto"/>
                      <w:sz w:val="24"/>
                      <w:szCs w:val="24"/>
                    </w:rPr>
                    <w:t>）</w:t>
                  </w:r>
                </w:p>
              </w:tc>
              <w:tc>
                <w:tcPr>
                  <w:tcW w:w="771" w:type="pct"/>
                  <w:noWrap w:val="0"/>
                  <w:tcMar>
                    <w:top w:w="28" w:type="dxa"/>
                    <w:left w:w="28" w:type="dxa"/>
                    <w:bottom w:w="28" w:type="dxa"/>
                    <w:right w:w="28" w:type="dxa"/>
                  </w:tcMar>
                  <w:vAlign w:val="center"/>
                </w:tcPr>
                <w:p w14:paraId="52C4C236">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占标率（％）</w:t>
                  </w:r>
                </w:p>
              </w:tc>
              <w:tc>
                <w:tcPr>
                  <w:tcW w:w="612" w:type="pct"/>
                  <w:noWrap w:val="0"/>
                  <w:tcMar>
                    <w:top w:w="28" w:type="dxa"/>
                    <w:left w:w="28" w:type="dxa"/>
                    <w:bottom w:w="28" w:type="dxa"/>
                    <w:right w:w="28" w:type="dxa"/>
                  </w:tcMar>
                  <w:vAlign w:val="center"/>
                </w:tcPr>
                <w:p w14:paraId="71D689FD">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达标情况</w:t>
                  </w:r>
                </w:p>
              </w:tc>
            </w:tr>
            <w:tr w14:paraId="0E0E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07" w:type="pct"/>
                  <w:noWrap w:val="0"/>
                  <w:tcMar>
                    <w:top w:w="28" w:type="dxa"/>
                    <w:left w:w="28" w:type="dxa"/>
                    <w:bottom w:w="28" w:type="dxa"/>
                    <w:right w:w="28" w:type="dxa"/>
                  </w:tcMar>
                  <w:vAlign w:val="center"/>
                </w:tcPr>
                <w:p w14:paraId="344AC15C">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SO</w:t>
                  </w:r>
                  <w:r>
                    <w:rPr>
                      <w:rFonts w:hint="default" w:ascii="Times New Roman" w:hAnsi="Times New Roman" w:cs="Times New Roman"/>
                      <w:i/>
                      <w:iCs/>
                      <w:color w:val="auto"/>
                      <w:sz w:val="24"/>
                      <w:szCs w:val="24"/>
                      <w:vertAlign w:val="subscript"/>
                    </w:rPr>
                    <w:t>2</w:t>
                  </w:r>
                </w:p>
              </w:tc>
              <w:tc>
                <w:tcPr>
                  <w:tcW w:w="1053" w:type="pct"/>
                  <w:vMerge w:val="restart"/>
                  <w:noWrap w:val="0"/>
                  <w:tcMar>
                    <w:top w:w="28" w:type="dxa"/>
                    <w:left w:w="28" w:type="dxa"/>
                    <w:bottom w:w="28" w:type="dxa"/>
                    <w:right w:w="28" w:type="dxa"/>
                  </w:tcMar>
                  <w:vAlign w:val="center"/>
                </w:tcPr>
                <w:p w14:paraId="07B4F7EB">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年平均质量浓度</w:t>
                  </w:r>
                </w:p>
              </w:tc>
              <w:tc>
                <w:tcPr>
                  <w:tcW w:w="1027" w:type="pct"/>
                  <w:noWrap w:val="0"/>
                  <w:tcMar>
                    <w:top w:w="28" w:type="dxa"/>
                    <w:left w:w="28" w:type="dxa"/>
                    <w:bottom w:w="28" w:type="dxa"/>
                    <w:right w:w="28" w:type="dxa"/>
                  </w:tcMar>
                  <w:vAlign w:val="center"/>
                </w:tcPr>
                <w:p w14:paraId="70018F7D">
                  <w:pPr>
                    <w:pStyle w:val="145"/>
                    <w:autoSpaceDE w:val="0"/>
                    <w:autoSpaceDN w:val="0"/>
                    <w:adjustRightInd w:val="0"/>
                    <w:spacing w:line="240" w:lineRule="auto"/>
                    <w:ind w:firstLine="0" w:firstLineChars="0"/>
                    <w:jc w:val="center"/>
                    <w:textAlignment w:val="baseline"/>
                    <w:rPr>
                      <w:rFonts w:hint="default" w:ascii="Times New Roman" w:hAnsi="Times New Roman" w:eastAsia="宋体" w:cs="Times New Roman"/>
                      <w:i/>
                      <w:iCs/>
                      <w:color w:val="auto"/>
                      <w:sz w:val="24"/>
                      <w:szCs w:val="24"/>
                      <w:lang w:val="en-US" w:eastAsia="zh-CN"/>
                    </w:rPr>
                  </w:pPr>
                  <w:r>
                    <w:rPr>
                      <w:rFonts w:hint="eastAsia" w:ascii="Times New Roman" w:hAnsi="Times New Roman" w:eastAsia="宋体" w:cs="Times New Roman"/>
                      <w:i/>
                      <w:iCs/>
                      <w:color w:val="auto"/>
                      <w:sz w:val="24"/>
                      <w:szCs w:val="24"/>
                      <w:lang w:val="en-US" w:eastAsia="zh-CN"/>
                    </w:rPr>
                    <w:t>7</w:t>
                  </w:r>
                </w:p>
              </w:tc>
              <w:tc>
                <w:tcPr>
                  <w:tcW w:w="927" w:type="pct"/>
                  <w:noWrap w:val="0"/>
                  <w:tcMar>
                    <w:top w:w="28" w:type="dxa"/>
                    <w:left w:w="28" w:type="dxa"/>
                    <w:bottom w:w="28" w:type="dxa"/>
                    <w:right w:w="28" w:type="dxa"/>
                  </w:tcMar>
                  <w:vAlign w:val="center"/>
                </w:tcPr>
                <w:p w14:paraId="0E3FABC4">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60</w:t>
                  </w:r>
                </w:p>
              </w:tc>
              <w:tc>
                <w:tcPr>
                  <w:tcW w:w="771" w:type="pct"/>
                  <w:noWrap w:val="0"/>
                  <w:tcMar>
                    <w:top w:w="28" w:type="dxa"/>
                    <w:left w:w="28" w:type="dxa"/>
                    <w:bottom w:w="28" w:type="dxa"/>
                    <w:right w:w="28" w:type="dxa"/>
                  </w:tcMar>
                  <w:vAlign w:val="center"/>
                </w:tcPr>
                <w:p w14:paraId="265A44DF">
                  <w:pPr>
                    <w:pStyle w:val="145"/>
                    <w:autoSpaceDE w:val="0"/>
                    <w:autoSpaceDN w:val="0"/>
                    <w:adjustRightInd w:val="0"/>
                    <w:spacing w:line="240" w:lineRule="auto"/>
                    <w:ind w:firstLine="0" w:firstLineChars="0"/>
                    <w:jc w:val="center"/>
                    <w:textAlignment w:val="baseline"/>
                    <w:rPr>
                      <w:rFonts w:hint="default" w:ascii="Times New Roman" w:hAnsi="Times New Roman" w:eastAsia="宋体" w:cs="Times New Roman"/>
                      <w:i/>
                      <w:iCs/>
                      <w:color w:val="auto"/>
                      <w:sz w:val="24"/>
                      <w:szCs w:val="24"/>
                      <w:lang w:val="en-US" w:eastAsia="zh-CN"/>
                    </w:rPr>
                  </w:pPr>
                  <w:r>
                    <w:rPr>
                      <w:rFonts w:hint="eastAsia" w:ascii="Times New Roman" w:hAnsi="Times New Roman" w:eastAsia="宋体" w:cs="Times New Roman"/>
                      <w:i/>
                      <w:iCs/>
                      <w:color w:val="auto"/>
                      <w:sz w:val="24"/>
                      <w:szCs w:val="24"/>
                      <w:lang w:val="en-US" w:eastAsia="zh-CN"/>
                    </w:rPr>
                    <w:t>11.7</w:t>
                  </w:r>
                </w:p>
              </w:tc>
              <w:tc>
                <w:tcPr>
                  <w:tcW w:w="612" w:type="pct"/>
                  <w:noWrap w:val="0"/>
                  <w:tcMar>
                    <w:top w:w="28" w:type="dxa"/>
                    <w:left w:w="28" w:type="dxa"/>
                    <w:bottom w:w="28" w:type="dxa"/>
                    <w:right w:w="28" w:type="dxa"/>
                  </w:tcMar>
                  <w:vAlign w:val="center"/>
                </w:tcPr>
                <w:p w14:paraId="3C47B1BD">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达标</w:t>
                  </w:r>
                </w:p>
              </w:tc>
            </w:tr>
            <w:tr w14:paraId="2B0F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noWrap w:val="0"/>
                  <w:tcMar>
                    <w:top w:w="28" w:type="dxa"/>
                    <w:left w:w="28" w:type="dxa"/>
                    <w:bottom w:w="28" w:type="dxa"/>
                    <w:right w:w="28" w:type="dxa"/>
                  </w:tcMar>
                  <w:vAlign w:val="center"/>
                </w:tcPr>
                <w:p w14:paraId="1612EF54">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NO</w:t>
                  </w:r>
                  <w:r>
                    <w:rPr>
                      <w:rFonts w:hint="default" w:ascii="Times New Roman" w:hAnsi="Times New Roman" w:cs="Times New Roman"/>
                      <w:i/>
                      <w:iCs/>
                      <w:color w:val="auto"/>
                      <w:sz w:val="24"/>
                      <w:szCs w:val="24"/>
                      <w:vertAlign w:val="subscript"/>
                    </w:rPr>
                    <w:t>2</w:t>
                  </w:r>
                </w:p>
              </w:tc>
              <w:tc>
                <w:tcPr>
                  <w:tcW w:w="1053" w:type="pct"/>
                  <w:vMerge w:val="continue"/>
                  <w:noWrap w:val="0"/>
                  <w:tcMar>
                    <w:top w:w="28" w:type="dxa"/>
                    <w:left w:w="28" w:type="dxa"/>
                    <w:bottom w:w="28" w:type="dxa"/>
                    <w:right w:w="28" w:type="dxa"/>
                  </w:tcMar>
                  <w:vAlign w:val="center"/>
                </w:tcPr>
                <w:p w14:paraId="672E88DE">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p>
              </w:tc>
              <w:tc>
                <w:tcPr>
                  <w:tcW w:w="1027" w:type="pct"/>
                  <w:noWrap w:val="0"/>
                  <w:tcMar>
                    <w:top w:w="28" w:type="dxa"/>
                    <w:left w:w="28" w:type="dxa"/>
                    <w:bottom w:w="28" w:type="dxa"/>
                    <w:right w:w="28" w:type="dxa"/>
                  </w:tcMar>
                  <w:vAlign w:val="center"/>
                </w:tcPr>
                <w:p w14:paraId="7A030D06">
                  <w:pPr>
                    <w:pStyle w:val="145"/>
                    <w:autoSpaceDE w:val="0"/>
                    <w:autoSpaceDN w:val="0"/>
                    <w:adjustRightInd w:val="0"/>
                    <w:spacing w:line="240" w:lineRule="auto"/>
                    <w:ind w:firstLine="0" w:firstLineChars="0"/>
                    <w:jc w:val="center"/>
                    <w:textAlignment w:val="baseline"/>
                    <w:rPr>
                      <w:rFonts w:hint="default" w:ascii="Times New Roman" w:hAnsi="Times New Roman" w:eastAsia="宋体" w:cs="Times New Roman"/>
                      <w:i/>
                      <w:iCs/>
                      <w:color w:val="auto"/>
                      <w:sz w:val="24"/>
                      <w:szCs w:val="24"/>
                      <w:lang w:val="en-US" w:eastAsia="zh-CN"/>
                    </w:rPr>
                  </w:pPr>
                  <w:r>
                    <w:rPr>
                      <w:rFonts w:hint="eastAsia" w:ascii="Times New Roman" w:hAnsi="Times New Roman" w:eastAsia="宋体" w:cs="Times New Roman"/>
                      <w:i/>
                      <w:iCs/>
                      <w:color w:val="auto"/>
                      <w:sz w:val="24"/>
                      <w:szCs w:val="24"/>
                      <w:lang w:val="en-US" w:eastAsia="zh-CN"/>
                    </w:rPr>
                    <w:t>30</w:t>
                  </w:r>
                </w:p>
              </w:tc>
              <w:tc>
                <w:tcPr>
                  <w:tcW w:w="927" w:type="pct"/>
                  <w:noWrap w:val="0"/>
                  <w:tcMar>
                    <w:top w:w="28" w:type="dxa"/>
                    <w:left w:w="28" w:type="dxa"/>
                    <w:bottom w:w="28" w:type="dxa"/>
                    <w:right w:w="28" w:type="dxa"/>
                  </w:tcMar>
                  <w:vAlign w:val="center"/>
                </w:tcPr>
                <w:p w14:paraId="4D01FEDA">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40</w:t>
                  </w:r>
                </w:p>
              </w:tc>
              <w:tc>
                <w:tcPr>
                  <w:tcW w:w="771" w:type="pct"/>
                  <w:noWrap w:val="0"/>
                  <w:tcMar>
                    <w:top w:w="28" w:type="dxa"/>
                    <w:left w:w="28" w:type="dxa"/>
                    <w:bottom w:w="28" w:type="dxa"/>
                    <w:right w:w="28" w:type="dxa"/>
                  </w:tcMar>
                  <w:vAlign w:val="center"/>
                </w:tcPr>
                <w:p w14:paraId="445528B6">
                  <w:pPr>
                    <w:pStyle w:val="145"/>
                    <w:autoSpaceDE w:val="0"/>
                    <w:autoSpaceDN w:val="0"/>
                    <w:adjustRightInd w:val="0"/>
                    <w:spacing w:line="240" w:lineRule="auto"/>
                    <w:ind w:firstLine="0" w:firstLineChars="0"/>
                    <w:jc w:val="center"/>
                    <w:textAlignment w:val="baseline"/>
                    <w:rPr>
                      <w:rFonts w:hint="default" w:ascii="Times New Roman" w:hAnsi="Times New Roman" w:eastAsia="宋体" w:cs="Times New Roman"/>
                      <w:i/>
                      <w:iCs/>
                      <w:color w:val="auto"/>
                      <w:sz w:val="24"/>
                      <w:szCs w:val="24"/>
                      <w:lang w:val="en-US" w:eastAsia="zh-CN"/>
                    </w:rPr>
                  </w:pPr>
                  <w:r>
                    <w:rPr>
                      <w:rFonts w:hint="eastAsia" w:ascii="Times New Roman" w:hAnsi="Times New Roman" w:eastAsia="宋体" w:cs="Times New Roman"/>
                      <w:i/>
                      <w:iCs/>
                      <w:color w:val="auto"/>
                      <w:sz w:val="24"/>
                      <w:szCs w:val="24"/>
                      <w:lang w:val="en-US" w:eastAsia="zh-CN"/>
                    </w:rPr>
                    <w:t>75</w:t>
                  </w:r>
                </w:p>
              </w:tc>
              <w:tc>
                <w:tcPr>
                  <w:tcW w:w="612" w:type="pct"/>
                  <w:noWrap w:val="0"/>
                  <w:tcMar>
                    <w:top w:w="28" w:type="dxa"/>
                    <w:left w:w="28" w:type="dxa"/>
                    <w:bottom w:w="28" w:type="dxa"/>
                    <w:right w:w="28" w:type="dxa"/>
                  </w:tcMar>
                  <w:vAlign w:val="center"/>
                </w:tcPr>
                <w:p w14:paraId="6D1D4E3F">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达标</w:t>
                  </w:r>
                </w:p>
              </w:tc>
            </w:tr>
            <w:tr w14:paraId="7F7C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noWrap w:val="0"/>
                  <w:tcMar>
                    <w:top w:w="28" w:type="dxa"/>
                    <w:left w:w="28" w:type="dxa"/>
                    <w:bottom w:w="28" w:type="dxa"/>
                    <w:right w:w="28" w:type="dxa"/>
                  </w:tcMar>
                  <w:vAlign w:val="center"/>
                </w:tcPr>
                <w:p w14:paraId="377E636B">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PM</w:t>
                  </w:r>
                  <w:r>
                    <w:rPr>
                      <w:rFonts w:hint="default" w:ascii="Times New Roman" w:hAnsi="Times New Roman" w:cs="Times New Roman"/>
                      <w:i/>
                      <w:iCs/>
                      <w:color w:val="auto"/>
                      <w:sz w:val="24"/>
                      <w:szCs w:val="24"/>
                      <w:vertAlign w:val="subscript"/>
                    </w:rPr>
                    <w:t>10</w:t>
                  </w:r>
                </w:p>
              </w:tc>
              <w:tc>
                <w:tcPr>
                  <w:tcW w:w="1053" w:type="pct"/>
                  <w:vMerge w:val="continue"/>
                  <w:noWrap w:val="0"/>
                  <w:tcMar>
                    <w:top w:w="28" w:type="dxa"/>
                    <w:left w:w="28" w:type="dxa"/>
                    <w:bottom w:w="28" w:type="dxa"/>
                    <w:right w:w="28" w:type="dxa"/>
                  </w:tcMar>
                  <w:vAlign w:val="center"/>
                </w:tcPr>
                <w:p w14:paraId="40029FFF">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p>
              </w:tc>
              <w:tc>
                <w:tcPr>
                  <w:tcW w:w="1027" w:type="pct"/>
                  <w:noWrap w:val="0"/>
                  <w:tcMar>
                    <w:top w:w="28" w:type="dxa"/>
                    <w:left w:w="28" w:type="dxa"/>
                    <w:bottom w:w="28" w:type="dxa"/>
                    <w:right w:w="28" w:type="dxa"/>
                  </w:tcMar>
                  <w:vAlign w:val="center"/>
                </w:tcPr>
                <w:p w14:paraId="6540856D">
                  <w:pPr>
                    <w:pStyle w:val="145"/>
                    <w:autoSpaceDE w:val="0"/>
                    <w:autoSpaceDN w:val="0"/>
                    <w:adjustRightInd w:val="0"/>
                    <w:spacing w:line="240" w:lineRule="auto"/>
                    <w:ind w:firstLine="0" w:firstLineChars="0"/>
                    <w:jc w:val="center"/>
                    <w:textAlignment w:val="baseline"/>
                    <w:rPr>
                      <w:rFonts w:hint="default" w:ascii="Times New Roman" w:hAnsi="Times New Roman" w:eastAsia="宋体" w:cs="Times New Roman"/>
                      <w:i/>
                      <w:iCs/>
                      <w:color w:val="auto"/>
                      <w:sz w:val="24"/>
                      <w:szCs w:val="24"/>
                      <w:lang w:val="en-US" w:eastAsia="zh-CN"/>
                    </w:rPr>
                  </w:pPr>
                  <w:r>
                    <w:rPr>
                      <w:rFonts w:hint="eastAsia" w:ascii="Times New Roman" w:hAnsi="Times New Roman" w:eastAsia="宋体" w:cs="Times New Roman"/>
                      <w:i/>
                      <w:iCs/>
                      <w:color w:val="auto"/>
                      <w:sz w:val="24"/>
                      <w:szCs w:val="24"/>
                      <w:lang w:val="en-US" w:eastAsia="zh-CN"/>
                    </w:rPr>
                    <w:t>48</w:t>
                  </w:r>
                </w:p>
              </w:tc>
              <w:tc>
                <w:tcPr>
                  <w:tcW w:w="927" w:type="pct"/>
                  <w:noWrap w:val="0"/>
                  <w:tcMar>
                    <w:top w:w="28" w:type="dxa"/>
                    <w:left w:w="28" w:type="dxa"/>
                    <w:bottom w:w="28" w:type="dxa"/>
                    <w:right w:w="28" w:type="dxa"/>
                  </w:tcMar>
                  <w:vAlign w:val="center"/>
                </w:tcPr>
                <w:p w14:paraId="3288004C">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eastAsia" w:ascii="Times New Roman" w:hAnsi="Times New Roman" w:cs="Times New Roman"/>
                      <w:i/>
                      <w:iCs/>
                      <w:color w:val="auto"/>
                      <w:sz w:val="24"/>
                      <w:szCs w:val="24"/>
                      <w:lang w:val="en-US" w:eastAsia="zh-CN"/>
                    </w:rPr>
                    <w:t>6</w:t>
                  </w:r>
                  <w:r>
                    <w:rPr>
                      <w:rFonts w:hint="default" w:ascii="Times New Roman" w:hAnsi="Times New Roman" w:cs="Times New Roman"/>
                      <w:i/>
                      <w:iCs/>
                      <w:color w:val="auto"/>
                      <w:sz w:val="24"/>
                      <w:szCs w:val="24"/>
                    </w:rPr>
                    <w:t>0</w:t>
                  </w:r>
                </w:p>
              </w:tc>
              <w:tc>
                <w:tcPr>
                  <w:tcW w:w="771" w:type="pct"/>
                  <w:noWrap w:val="0"/>
                  <w:tcMar>
                    <w:top w:w="28" w:type="dxa"/>
                    <w:left w:w="28" w:type="dxa"/>
                    <w:bottom w:w="28" w:type="dxa"/>
                    <w:right w:w="28" w:type="dxa"/>
                  </w:tcMar>
                  <w:vAlign w:val="center"/>
                </w:tcPr>
                <w:p w14:paraId="3C3D4A3E">
                  <w:pPr>
                    <w:pStyle w:val="145"/>
                    <w:autoSpaceDE w:val="0"/>
                    <w:autoSpaceDN w:val="0"/>
                    <w:adjustRightInd w:val="0"/>
                    <w:spacing w:line="240" w:lineRule="auto"/>
                    <w:ind w:firstLine="0" w:firstLineChars="0"/>
                    <w:jc w:val="center"/>
                    <w:textAlignment w:val="baseline"/>
                    <w:rPr>
                      <w:rFonts w:hint="default" w:ascii="Times New Roman" w:hAnsi="Times New Roman" w:eastAsia="宋体" w:cs="Times New Roman"/>
                      <w:i/>
                      <w:iCs/>
                      <w:color w:val="auto"/>
                      <w:sz w:val="24"/>
                      <w:szCs w:val="24"/>
                      <w:lang w:val="en-US" w:eastAsia="zh-CN"/>
                    </w:rPr>
                  </w:pPr>
                  <w:r>
                    <w:rPr>
                      <w:rFonts w:hint="eastAsia" w:ascii="Times New Roman" w:hAnsi="Times New Roman" w:eastAsia="宋体" w:cs="Times New Roman"/>
                      <w:i/>
                      <w:iCs/>
                      <w:color w:val="auto"/>
                      <w:sz w:val="24"/>
                      <w:szCs w:val="24"/>
                      <w:lang w:val="en-US" w:eastAsia="zh-CN"/>
                    </w:rPr>
                    <w:t>80</w:t>
                  </w:r>
                </w:p>
              </w:tc>
              <w:tc>
                <w:tcPr>
                  <w:tcW w:w="612" w:type="pct"/>
                  <w:noWrap w:val="0"/>
                  <w:tcMar>
                    <w:top w:w="28" w:type="dxa"/>
                    <w:left w:w="28" w:type="dxa"/>
                    <w:bottom w:w="28" w:type="dxa"/>
                    <w:right w:w="28" w:type="dxa"/>
                  </w:tcMar>
                  <w:vAlign w:val="center"/>
                </w:tcPr>
                <w:p w14:paraId="20021765">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达标</w:t>
                  </w:r>
                </w:p>
              </w:tc>
            </w:tr>
            <w:tr w14:paraId="1ADE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noWrap w:val="0"/>
                  <w:tcMar>
                    <w:top w:w="28" w:type="dxa"/>
                    <w:left w:w="28" w:type="dxa"/>
                    <w:bottom w:w="28" w:type="dxa"/>
                    <w:right w:w="28" w:type="dxa"/>
                  </w:tcMar>
                  <w:vAlign w:val="center"/>
                </w:tcPr>
                <w:p w14:paraId="7078E441">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PM</w:t>
                  </w:r>
                  <w:r>
                    <w:rPr>
                      <w:rFonts w:hint="default" w:ascii="Times New Roman" w:hAnsi="Times New Roman" w:cs="Times New Roman"/>
                      <w:i/>
                      <w:iCs/>
                      <w:color w:val="auto"/>
                      <w:sz w:val="24"/>
                      <w:szCs w:val="24"/>
                      <w:vertAlign w:val="subscript"/>
                    </w:rPr>
                    <w:t>2.5</w:t>
                  </w:r>
                </w:p>
              </w:tc>
              <w:tc>
                <w:tcPr>
                  <w:tcW w:w="1053" w:type="pct"/>
                  <w:vMerge w:val="continue"/>
                  <w:noWrap w:val="0"/>
                  <w:tcMar>
                    <w:top w:w="28" w:type="dxa"/>
                    <w:left w:w="28" w:type="dxa"/>
                    <w:bottom w:w="28" w:type="dxa"/>
                    <w:right w:w="28" w:type="dxa"/>
                  </w:tcMar>
                  <w:vAlign w:val="center"/>
                </w:tcPr>
                <w:p w14:paraId="678CFFB8">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p>
              </w:tc>
              <w:tc>
                <w:tcPr>
                  <w:tcW w:w="1027" w:type="pct"/>
                  <w:noWrap w:val="0"/>
                  <w:tcMar>
                    <w:top w:w="28" w:type="dxa"/>
                    <w:left w:w="28" w:type="dxa"/>
                    <w:bottom w:w="28" w:type="dxa"/>
                    <w:right w:w="28" w:type="dxa"/>
                  </w:tcMar>
                  <w:vAlign w:val="center"/>
                </w:tcPr>
                <w:p w14:paraId="1B8BF9F3">
                  <w:pPr>
                    <w:pStyle w:val="145"/>
                    <w:autoSpaceDE w:val="0"/>
                    <w:autoSpaceDN w:val="0"/>
                    <w:adjustRightInd w:val="0"/>
                    <w:spacing w:line="240" w:lineRule="auto"/>
                    <w:ind w:firstLine="0" w:firstLineChars="0"/>
                    <w:jc w:val="center"/>
                    <w:textAlignment w:val="baseline"/>
                    <w:rPr>
                      <w:rFonts w:hint="default" w:ascii="Times New Roman" w:hAnsi="Times New Roman" w:eastAsia="宋体" w:cs="Times New Roman"/>
                      <w:i/>
                      <w:iCs/>
                      <w:color w:val="auto"/>
                      <w:sz w:val="24"/>
                      <w:szCs w:val="24"/>
                      <w:lang w:val="en-US" w:eastAsia="zh-CN"/>
                    </w:rPr>
                  </w:pPr>
                  <w:r>
                    <w:rPr>
                      <w:rFonts w:hint="eastAsia" w:ascii="Times New Roman" w:hAnsi="Times New Roman" w:eastAsia="宋体" w:cs="Times New Roman"/>
                      <w:i/>
                      <w:iCs/>
                      <w:color w:val="auto"/>
                      <w:sz w:val="24"/>
                      <w:szCs w:val="24"/>
                      <w:lang w:val="en-US" w:eastAsia="zh-CN"/>
                    </w:rPr>
                    <w:t>29.7</w:t>
                  </w:r>
                </w:p>
              </w:tc>
              <w:tc>
                <w:tcPr>
                  <w:tcW w:w="927" w:type="pct"/>
                  <w:noWrap w:val="0"/>
                  <w:tcMar>
                    <w:top w:w="28" w:type="dxa"/>
                    <w:left w:w="28" w:type="dxa"/>
                    <w:bottom w:w="28" w:type="dxa"/>
                    <w:right w:w="28" w:type="dxa"/>
                  </w:tcMar>
                  <w:vAlign w:val="center"/>
                </w:tcPr>
                <w:p w14:paraId="5CB77464">
                  <w:pPr>
                    <w:pStyle w:val="145"/>
                    <w:autoSpaceDE w:val="0"/>
                    <w:autoSpaceDN w:val="0"/>
                    <w:adjustRightInd w:val="0"/>
                    <w:spacing w:line="240" w:lineRule="auto"/>
                    <w:ind w:firstLine="0" w:firstLineChars="0"/>
                    <w:jc w:val="center"/>
                    <w:textAlignment w:val="baseline"/>
                    <w:rPr>
                      <w:rFonts w:hint="eastAsia" w:ascii="Times New Roman" w:hAnsi="Times New Roman" w:eastAsia="仿宋" w:cs="Times New Roman"/>
                      <w:i/>
                      <w:iCs/>
                      <w:color w:val="auto"/>
                      <w:sz w:val="24"/>
                      <w:szCs w:val="24"/>
                      <w:lang w:eastAsia="zh-CN"/>
                    </w:rPr>
                  </w:pPr>
                  <w:r>
                    <w:rPr>
                      <w:rFonts w:hint="default" w:ascii="Times New Roman" w:hAnsi="Times New Roman" w:cs="Times New Roman"/>
                      <w:i/>
                      <w:iCs/>
                      <w:color w:val="auto"/>
                      <w:sz w:val="24"/>
                      <w:szCs w:val="24"/>
                    </w:rPr>
                    <w:t>3</w:t>
                  </w:r>
                  <w:r>
                    <w:rPr>
                      <w:rFonts w:hint="eastAsia" w:ascii="Times New Roman" w:hAnsi="Times New Roman" w:cs="Times New Roman"/>
                      <w:i/>
                      <w:iCs/>
                      <w:color w:val="auto"/>
                      <w:sz w:val="24"/>
                      <w:szCs w:val="24"/>
                      <w:lang w:val="en-US" w:eastAsia="zh-CN"/>
                    </w:rPr>
                    <w:t>0</w:t>
                  </w:r>
                </w:p>
              </w:tc>
              <w:tc>
                <w:tcPr>
                  <w:tcW w:w="771" w:type="pct"/>
                  <w:noWrap w:val="0"/>
                  <w:tcMar>
                    <w:top w:w="28" w:type="dxa"/>
                    <w:left w:w="28" w:type="dxa"/>
                    <w:bottom w:w="28" w:type="dxa"/>
                    <w:right w:w="28" w:type="dxa"/>
                  </w:tcMar>
                  <w:vAlign w:val="center"/>
                </w:tcPr>
                <w:p w14:paraId="76CE4DED">
                  <w:pPr>
                    <w:pStyle w:val="145"/>
                    <w:autoSpaceDE w:val="0"/>
                    <w:autoSpaceDN w:val="0"/>
                    <w:adjustRightInd w:val="0"/>
                    <w:spacing w:line="240" w:lineRule="auto"/>
                    <w:ind w:firstLine="0" w:firstLineChars="0"/>
                    <w:jc w:val="center"/>
                    <w:textAlignment w:val="baseline"/>
                    <w:rPr>
                      <w:rFonts w:hint="default" w:ascii="Times New Roman" w:hAnsi="Times New Roman" w:eastAsia="宋体" w:cs="Times New Roman"/>
                      <w:i/>
                      <w:iCs/>
                      <w:color w:val="auto"/>
                      <w:sz w:val="24"/>
                      <w:szCs w:val="24"/>
                      <w:lang w:val="en-US" w:eastAsia="zh-CN"/>
                    </w:rPr>
                  </w:pPr>
                  <w:r>
                    <w:rPr>
                      <w:rFonts w:hint="eastAsia" w:ascii="Times New Roman" w:hAnsi="Times New Roman" w:eastAsia="宋体" w:cs="Times New Roman"/>
                      <w:i/>
                      <w:iCs/>
                      <w:color w:val="auto"/>
                      <w:sz w:val="24"/>
                      <w:szCs w:val="24"/>
                      <w:lang w:val="en-US" w:eastAsia="zh-CN"/>
                    </w:rPr>
                    <w:t>99</w:t>
                  </w:r>
                </w:p>
              </w:tc>
              <w:tc>
                <w:tcPr>
                  <w:tcW w:w="612" w:type="pct"/>
                  <w:noWrap w:val="0"/>
                  <w:tcMar>
                    <w:top w:w="28" w:type="dxa"/>
                    <w:left w:w="28" w:type="dxa"/>
                    <w:bottom w:w="28" w:type="dxa"/>
                    <w:right w:w="28" w:type="dxa"/>
                  </w:tcMar>
                  <w:vAlign w:val="center"/>
                </w:tcPr>
                <w:p w14:paraId="7733E211">
                  <w:pPr>
                    <w:pStyle w:val="145"/>
                    <w:autoSpaceDE w:val="0"/>
                    <w:autoSpaceDN w:val="0"/>
                    <w:adjustRightInd w:val="0"/>
                    <w:spacing w:line="240" w:lineRule="auto"/>
                    <w:ind w:firstLine="0" w:firstLineChars="0"/>
                    <w:jc w:val="center"/>
                    <w:textAlignment w:val="baseline"/>
                    <w:rPr>
                      <w:rFonts w:hint="eastAsia" w:ascii="Times New Roman" w:hAnsi="Times New Roman" w:eastAsia="宋体" w:cs="Times New Roman"/>
                      <w:i/>
                      <w:iCs/>
                      <w:color w:val="auto"/>
                      <w:sz w:val="24"/>
                      <w:szCs w:val="24"/>
                      <w:lang w:eastAsia="zh-CN"/>
                    </w:rPr>
                  </w:pPr>
                  <w:r>
                    <w:rPr>
                      <w:rFonts w:hint="default" w:ascii="Times New Roman" w:hAnsi="Times New Roman" w:cs="Times New Roman"/>
                      <w:i/>
                      <w:iCs/>
                      <w:color w:val="auto"/>
                      <w:sz w:val="24"/>
                      <w:szCs w:val="24"/>
                    </w:rPr>
                    <w:t>达标</w:t>
                  </w:r>
                </w:p>
              </w:tc>
            </w:tr>
            <w:tr w14:paraId="1F96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noWrap w:val="0"/>
                  <w:tcMar>
                    <w:top w:w="28" w:type="dxa"/>
                    <w:left w:w="28" w:type="dxa"/>
                    <w:bottom w:w="28" w:type="dxa"/>
                    <w:right w:w="28" w:type="dxa"/>
                  </w:tcMar>
                  <w:vAlign w:val="center"/>
                </w:tcPr>
                <w:p w14:paraId="116FA876">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O</w:t>
                  </w:r>
                  <w:r>
                    <w:rPr>
                      <w:rFonts w:hint="default" w:ascii="Times New Roman" w:hAnsi="Times New Roman" w:cs="Times New Roman"/>
                      <w:i/>
                      <w:iCs/>
                      <w:color w:val="auto"/>
                      <w:sz w:val="24"/>
                      <w:szCs w:val="24"/>
                      <w:vertAlign w:val="subscript"/>
                    </w:rPr>
                    <w:t>3</w:t>
                  </w:r>
                </w:p>
              </w:tc>
              <w:tc>
                <w:tcPr>
                  <w:tcW w:w="1053" w:type="pct"/>
                  <w:noWrap w:val="0"/>
                  <w:tcMar>
                    <w:top w:w="28" w:type="dxa"/>
                    <w:left w:w="28" w:type="dxa"/>
                    <w:bottom w:w="28" w:type="dxa"/>
                    <w:right w:w="28" w:type="dxa"/>
                  </w:tcMar>
                  <w:vAlign w:val="center"/>
                </w:tcPr>
                <w:p w14:paraId="421E70AB">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日最大8h平均浓度的第90百分位数</w:t>
                  </w:r>
                </w:p>
              </w:tc>
              <w:tc>
                <w:tcPr>
                  <w:tcW w:w="1027" w:type="pct"/>
                  <w:noWrap w:val="0"/>
                  <w:tcMar>
                    <w:top w:w="28" w:type="dxa"/>
                    <w:left w:w="28" w:type="dxa"/>
                    <w:bottom w:w="28" w:type="dxa"/>
                    <w:right w:w="28" w:type="dxa"/>
                  </w:tcMar>
                  <w:vAlign w:val="center"/>
                </w:tcPr>
                <w:p w14:paraId="71E33C0D">
                  <w:pPr>
                    <w:pStyle w:val="145"/>
                    <w:autoSpaceDE w:val="0"/>
                    <w:autoSpaceDN w:val="0"/>
                    <w:adjustRightInd w:val="0"/>
                    <w:spacing w:line="240" w:lineRule="auto"/>
                    <w:ind w:firstLine="0" w:firstLineChars="0"/>
                    <w:jc w:val="center"/>
                    <w:textAlignment w:val="baseline"/>
                    <w:rPr>
                      <w:rFonts w:hint="default" w:ascii="Times New Roman" w:hAnsi="Times New Roman" w:eastAsia="宋体" w:cs="Times New Roman"/>
                      <w:b/>
                      <w:bCs/>
                      <w:i/>
                      <w:iCs/>
                      <w:color w:val="auto"/>
                      <w:sz w:val="24"/>
                      <w:szCs w:val="24"/>
                      <w:lang w:val="en-US" w:eastAsia="zh-CN"/>
                    </w:rPr>
                  </w:pPr>
                  <w:r>
                    <w:rPr>
                      <w:rFonts w:hint="eastAsia" w:ascii="Times New Roman" w:hAnsi="Times New Roman" w:eastAsia="宋体" w:cs="Times New Roman"/>
                      <w:b/>
                      <w:bCs/>
                      <w:i/>
                      <w:iCs/>
                      <w:color w:val="auto"/>
                      <w:sz w:val="24"/>
                      <w:szCs w:val="24"/>
                      <w:lang w:val="en-US" w:eastAsia="zh-CN"/>
                    </w:rPr>
                    <w:t>163</w:t>
                  </w:r>
                </w:p>
              </w:tc>
              <w:tc>
                <w:tcPr>
                  <w:tcW w:w="927" w:type="pct"/>
                  <w:noWrap w:val="0"/>
                  <w:tcMar>
                    <w:top w:w="28" w:type="dxa"/>
                    <w:left w:w="28" w:type="dxa"/>
                    <w:bottom w:w="28" w:type="dxa"/>
                    <w:right w:w="28" w:type="dxa"/>
                  </w:tcMar>
                  <w:vAlign w:val="center"/>
                </w:tcPr>
                <w:p w14:paraId="4B68955B">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b/>
                      <w:bCs/>
                      <w:i/>
                      <w:iCs/>
                      <w:color w:val="auto"/>
                      <w:sz w:val="24"/>
                      <w:szCs w:val="24"/>
                    </w:rPr>
                  </w:pPr>
                  <w:r>
                    <w:rPr>
                      <w:rFonts w:hint="default" w:ascii="Times New Roman" w:hAnsi="Times New Roman" w:cs="Times New Roman"/>
                      <w:b/>
                      <w:bCs/>
                      <w:i/>
                      <w:iCs/>
                      <w:color w:val="auto"/>
                      <w:sz w:val="24"/>
                      <w:szCs w:val="24"/>
                    </w:rPr>
                    <w:t>160</w:t>
                  </w:r>
                </w:p>
              </w:tc>
              <w:tc>
                <w:tcPr>
                  <w:tcW w:w="771" w:type="pct"/>
                  <w:noWrap w:val="0"/>
                  <w:tcMar>
                    <w:top w:w="28" w:type="dxa"/>
                    <w:left w:w="28" w:type="dxa"/>
                    <w:bottom w:w="28" w:type="dxa"/>
                    <w:right w:w="28" w:type="dxa"/>
                  </w:tcMar>
                  <w:vAlign w:val="center"/>
                </w:tcPr>
                <w:p w14:paraId="7EA96770">
                  <w:pPr>
                    <w:pStyle w:val="145"/>
                    <w:autoSpaceDE w:val="0"/>
                    <w:autoSpaceDN w:val="0"/>
                    <w:adjustRightInd w:val="0"/>
                    <w:spacing w:line="240" w:lineRule="auto"/>
                    <w:ind w:firstLine="0" w:firstLineChars="0"/>
                    <w:jc w:val="center"/>
                    <w:textAlignment w:val="baseline"/>
                    <w:rPr>
                      <w:rFonts w:hint="default" w:ascii="Times New Roman" w:hAnsi="Times New Roman" w:eastAsia="宋体" w:cs="Times New Roman"/>
                      <w:b/>
                      <w:bCs/>
                      <w:i/>
                      <w:iCs/>
                      <w:color w:val="auto"/>
                      <w:sz w:val="24"/>
                      <w:szCs w:val="24"/>
                      <w:lang w:val="en-US" w:eastAsia="zh-CN"/>
                    </w:rPr>
                  </w:pPr>
                  <w:r>
                    <w:rPr>
                      <w:rFonts w:hint="eastAsia" w:ascii="Times New Roman" w:hAnsi="Times New Roman" w:eastAsia="宋体" w:cs="Times New Roman"/>
                      <w:b/>
                      <w:bCs/>
                      <w:i/>
                      <w:iCs/>
                      <w:color w:val="auto"/>
                      <w:sz w:val="24"/>
                      <w:szCs w:val="24"/>
                      <w:lang w:val="en-US" w:eastAsia="zh-CN"/>
                    </w:rPr>
                    <w:t>101.9</w:t>
                  </w:r>
                </w:p>
              </w:tc>
              <w:tc>
                <w:tcPr>
                  <w:tcW w:w="612" w:type="pct"/>
                  <w:noWrap w:val="0"/>
                  <w:tcMar>
                    <w:top w:w="28" w:type="dxa"/>
                    <w:left w:w="28" w:type="dxa"/>
                    <w:bottom w:w="28" w:type="dxa"/>
                    <w:right w:w="28" w:type="dxa"/>
                  </w:tcMar>
                  <w:vAlign w:val="center"/>
                </w:tcPr>
                <w:p w14:paraId="69B33F18">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eastAsia" w:ascii="Times New Roman" w:hAnsi="Times New Roman" w:cs="Times New Roman"/>
                      <w:b/>
                      <w:bCs/>
                      <w:i/>
                      <w:iCs/>
                      <w:color w:val="auto"/>
                      <w:sz w:val="24"/>
                      <w:szCs w:val="24"/>
                      <w:lang w:val="en-US" w:eastAsia="zh-CN"/>
                    </w:rPr>
                    <w:t>超标</w:t>
                  </w:r>
                </w:p>
              </w:tc>
            </w:tr>
            <w:tr w14:paraId="1A6D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noWrap w:val="0"/>
                  <w:tcMar>
                    <w:top w:w="28" w:type="dxa"/>
                    <w:left w:w="28" w:type="dxa"/>
                    <w:bottom w:w="28" w:type="dxa"/>
                    <w:right w:w="28" w:type="dxa"/>
                  </w:tcMar>
                  <w:vAlign w:val="center"/>
                </w:tcPr>
                <w:p w14:paraId="7E981668">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CO（mg/m</w:t>
                  </w:r>
                  <w:r>
                    <w:rPr>
                      <w:rFonts w:hint="default" w:ascii="Times New Roman" w:hAnsi="Times New Roman" w:cs="Times New Roman"/>
                      <w:i/>
                      <w:iCs/>
                      <w:color w:val="auto"/>
                      <w:sz w:val="24"/>
                      <w:szCs w:val="24"/>
                      <w:vertAlign w:val="superscript"/>
                    </w:rPr>
                    <w:t>3</w:t>
                  </w:r>
                  <w:r>
                    <w:rPr>
                      <w:rFonts w:hint="default" w:ascii="Times New Roman" w:hAnsi="Times New Roman" w:cs="Times New Roman"/>
                      <w:i/>
                      <w:iCs/>
                      <w:color w:val="auto"/>
                      <w:sz w:val="24"/>
                      <w:szCs w:val="24"/>
                    </w:rPr>
                    <w:t>）</w:t>
                  </w:r>
                </w:p>
              </w:tc>
              <w:tc>
                <w:tcPr>
                  <w:tcW w:w="1053" w:type="pct"/>
                  <w:noWrap w:val="0"/>
                  <w:tcMar>
                    <w:top w:w="28" w:type="dxa"/>
                    <w:left w:w="28" w:type="dxa"/>
                    <w:bottom w:w="28" w:type="dxa"/>
                    <w:right w:w="28" w:type="dxa"/>
                  </w:tcMar>
                  <w:vAlign w:val="center"/>
                </w:tcPr>
                <w:p w14:paraId="469A7A53">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日均浓度的第95百分位数</w:t>
                  </w:r>
                </w:p>
              </w:tc>
              <w:tc>
                <w:tcPr>
                  <w:tcW w:w="1027" w:type="pct"/>
                  <w:noWrap w:val="0"/>
                  <w:tcMar>
                    <w:top w:w="28" w:type="dxa"/>
                    <w:left w:w="28" w:type="dxa"/>
                    <w:bottom w:w="28" w:type="dxa"/>
                    <w:right w:w="28" w:type="dxa"/>
                  </w:tcMar>
                  <w:vAlign w:val="center"/>
                </w:tcPr>
                <w:p w14:paraId="7190DEE5">
                  <w:pPr>
                    <w:pStyle w:val="145"/>
                    <w:autoSpaceDE w:val="0"/>
                    <w:autoSpaceDN w:val="0"/>
                    <w:adjustRightInd w:val="0"/>
                    <w:spacing w:line="240" w:lineRule="auto"/>
                    <w:ind w:firstLine="0" w:firstLineChars="0"/>
                    <w:jc w:val="center"/>
                    <w:textAlignment w:val="baseline"/>
                    <w:rPr>
                      <w:rFonts w:hint="default" w:ascii="Times New Roman" w:hAnsi="Times New Roman" w:eastAsia="宋体" w:cs="Times New Roman"/>
                      <w:i/>
                      <w:iCs/>
                      <w:color w:val="auto"/>
                      <w:sz w:val="24"/>
                      <w:szCs w:val="24"/>
                      <w:lang w:val="en-US" w:eastAsia="zh-CN"/>
                    </w:rPr>
                  </w:pPr>
                  <w:r>
                    <w:rPr>
                      <w:rFonts w:hint="eastAsia" w:ascii="Times New Roman" w:hAnsi="Times New Roman" w:eastAsia="宋体" w:cs="Times New Roman"/>
                      <w:i/>
                      <w:iCs/>
                      <w:color w:val="auto"/>
                      <w:sz w:val="24"/>
                      <w:szCs w:val="24"/>
                      <w:lang w:val="en-US" w:eastAsia="zh-CN"/>
                    </w:rPr>
                    <w:t>1.2</w:t>
                  </w:r>
                </w:p>
              </w:tc>
              <w:tc>
                <w:tcPr>
                  <w:tcW w:w="927" w:type="pct"/>
                  <w:noWrap w:val="0"/>
                  <w:tcMar>
                    <w:top w:w="28" w:type="dxa"/>
                    <w:left w:w="28" w:type="dxa"/>
                    <w:bottom w:w="28" w:type="dxa"/>
                    <w:right w:w="28" w:type="dxa"/>
                  </w:tcMar>
                  <w:vAlign w:val="center"/>
                </w:tcPr>
                <w:p w14:paraId="1B22F15B">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4</w:t>
                  </w:r>
                </w:p>
              </w:tc>
              <w:tc>
                <w:tcPr>
                  <w:tcW w:w="771" w:type="pct"/>
                  <w:noWrap w:val="0"/>
                  <w:tcMar>
                    <w:top w:w="28" w:type="dxa"/>
                    <w:left w:w="28" w:type="dxa"/>
                    <w:bottom w:w="28" w:type="dxa"/>
                    <w:right w:w="28" w:type="dxa"/>
                  </w:tcMar>
                  <w:vAlign w:val="center"/>
                </w:tcPr>
                <w:p w14:paraId="05F13950">
                  <w:pPr>
                    <w:pStyle w:val="145"/>
                    <w:autoSpaceDE w:val="0"/>
                    <w:autoSpaceDN w:val="0"/>
                    <w:adjustRightInd w:val="0"/>
                    <w:spacing w:line="240" w:lineRule="auto"/>
                    <w:ind w:firstLine="0" w:firstLineChars="0"/>
                    <w:jc w:val="center"/>
                    <w:textAlignment w:val="baseline"/>
                    <w:rPr>
                      <w:rFonts w:hint="default" w:ascii="Times New Roman" w:hAnsi="Times New Roman" w:eastAsia="仿宋"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30</w:t>
                  </w:r>
                </w:p>
              </w:tc>
              <w:tc>
                <w:tcPr>
                  <w:tcW w:w="612" w:type="pct"/>
                  <w:noWrap w:val="0"/>
                  <w:tcMar>
                    <w:top w:w="28" w:type="dxa"/>
                    <w:left w:w="28" w:type="dxa"/>
                    <w:bottom w:w="28" w:type="dxa"/>
                    <w:right w:w="28" w:type="dxa"/>
                  </w:tcMar>
                  <w:vAlign w:val="center"/>
                </w:tcPr>
                <w:p w14:paraId="5E1F185C">
                  <w:pPr>
                    <w:pStyle w:val="145"/>
                    <w:autoSpaceDE w:val="0"/>
                    <w:autoSpaceDN w:val="0"/>
                    <w:adjustRightInd w:val="0"/>
                    <w:spacing w:line="240" w:lineRule="auto"/>
                    <w:ind w:firstLine="0" w:firstLineChars="0"/>
                    <w:jc w:val="center"/>
                    <w:textAlignment w:val="baseline"/>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达标</w:t>
                  </w:r>
                </w:p>
              </w:tc>
            </w:tr>
          </w:tbl>
          <w:p w14:paraId="3222360C">
            <w:pPr>
              <w:ind w:firstLine="560"/>
              <w:rPr>
                <w:rFonts w:hint="eastAsia" w:eastAsia="仿宋"/>
                <w:i/>
                <w:iCs/>
                <w:color w:val="auto"/>
                <w:sz w:val="28"/>
                <w:lang w:eastAsia="zh-CN"/>
              </w:rPr>
            </w:pPr>
            <w:r>
              <w:rPr>
                <w:rFonts w:hint="eastAsia" w:eastAsia="仿宋"/>
                <w:i/>
                <w:iCs/>
                <w:color w:val="auto"/>
                <w:sz w:val="28"/>
                <w:lang w:eastAsia="zh-CN"/>
              </w:rPr>
              <w:t>根据《202</w:t>
            </w:r>
            <w:r>
              <w:rPr>
                <w:rFonts w:hint="eastAsia"/>
                <w:i/>
                <w:iCs/>
                <w:color w:val="auto"/>
                <w:sz w:val="28"/>
                <w:lang w:val="en-US" w:eastAsia="zh-CN"/>
              </w:rPr>
              <w:t>5</w:t>
            </w:r>
            <w:r>
              <w:rPr>
                <w:rFonts w:hint="eastAsia" w:eastAsia="仿宋"/>
                <w:i/>
                <w:iCs/>
                <w:color w:val="auto"/>
                <w:sz w:val="28"/>
                <w:lang w:eastAsia="zh-CN"/>
              </w:rPr>
              <w:t>重庆市生态环境状况公报》，</w:t>
            </w:r>
            <w:r>
              <w:rPr>
                <w:rFonts w:hint="eastAsia"/>
                <w:i/>
                <w:iCs/>
                <w:color w:val="auto"/>
                <w:sz w:val="28"/>
                <w:lang w:eastAsia="zh-CN"/>
              </w:rPr>
              <w:t>九龙坡</w:t>
            </w:r>
            <w:r>
              <w:rPr>
                <w:rFonts w:hint="eastAsia" w:eastAsia="仿宋"/>
                <w:i/>
                <w:iCs/>
                <w:color w:val="auto"/>
                <w:sz w:val="28"/>
                <w:lang w:eastAsia="zh-CN"/>
              </w:rPr>
              <w:t>区</w:t>
            </w:r>
            <w:r>
              <w:rPr>
                <w:rFonts w:hint="eastAsia"/>
                <w:i/>
                <w:iCs/>
                <w:color w:val="auto"/>
                <w:sz w:val="28"/>
                <w:lang w:val="en-US" w:eastAsia="zh-CN"/>
              </w:rPr>
              <w:t>O</w:t>
            </w:r>
            <w:r>
              <w:rPr>
                <w:rFonts w:hint="eastAsia"/>
                <w:i/>
                <w:iCs/>
                <w:color w:val="auto"/>
                <w:sz w:val="28"/>
                <w:vertAlign w:val="subscript"/>
                <w:lang w:val="en-US" w:eastAsia="zh-CN"/>
              </w:rPr>
              <w:t>3</w:t>
            </w:r>
            <w:r>
              <w:rPr>
                <w:rFonts w:hint="eastAsia"/>
                <w:i/>
                <w:iCs/>
                <w:color w:val="auto"/>
                <w:sz w:val="28"/>
                <w:lang w:val="en-US" w:eastAsia="zh-CN"/>
              </w:rPr>
              <w:t>日最大8h平均浓度</w:t>
            </w:r>
            <w:r>
              <w:rPr>
                <w:rFonts w:hint="eastAsia" w:eastAsia="仿宋"/>
                <w:i/>
                <w:iCs/>
                <w:color w:val="auto"/>
                <w:sz w:val="28"/>
                <w:lang w:eastAsia="zh-CN"/>
              </w:rPr>
              <w:t>不满足《环境空气质量标准》（GB3095-20</w:t>
            </w:r>
            <w:r>
              <w:rPr>
                <w:rFonts w:hint="eastAsia"/>
                <w:i/>
                <w:iCs/>
                <w:color w:val="auto"/>
                <w:sz w:val="28"/>
                <w:lang w:val="en-US" w:eastAsia="zh-CN"/>
              </w:rPr>
              <w:t>26</w:t>
            </w:r>
            <w:r>
              <w:rPr>
                <w:rFonts w:hint="eastAsia" w:eastAsia="仿宋"/>
                <w:i/>
                <w:iCs/>
                <w:color w:val="auto"/>
                <w:sz w:val="28"/>
                <w:lang w:eastAsia="zh-CN"/>
              </w:rPr>
              <w:t>）中</w:t>
            </w:r>
            <w:r>
              <w:rPr>
                <w:rFonts w:hint="eastAsia"/>
                <w:i/>
                <w:iCs/>
                <w:color w:val="auto"/>
                <w:sz w:val="28"/>
                <w:lang w:eastAsia="zh-CN"/>
              </w:rPr>
              <w:t>过渡阶段浓度限值的</w:t>
            </w:r>
            <w:r>
              <w:rPr>
                <w:rFonts w:hint="eastAsia" w:eastAsia="仿宋"/>
                <w:i/>
                <w:iCs/>
                <w:color w:val="auto"/>
                <w:sz w:val="28"/>
                <w:lang w:eastAsia="zh-CN"/>
              </w:rPr>
              <w:t>二级标准要求。因此，项目所在地属于环境空气质量不达标区。</w:t>
            </w:r>
          </w:p>
          <w:p w14:paraId="00CAAA25">
            <w:pPr>
              <w:spacing w:line="360" w:lineRule="auto"/>
              <w:ind w:firstLine="560" w:firstLineChars="200"/>
              <w:rPr>
                <w:i/>
                <w:iCs/>
                <w:color w:val="auto"/>
                <w:sz w:val="28"/>
                <w:szCs w:val="36"/>
              </w:rPr>
            </w:pPr>
            <w:r>
              <w:rPr>
                <w:rFonts w:hint="eastAsia"/>
                <w:i/>
                <w:iCs/>
                <w:color w:val="auto"/>
                <w:sz w:val="28"/>
                <w:szCs w:val="36"/>
              </w:rPr>
              <w:t>根据重庆市人民政府关于印发《重庆市空气质量持续改善行动实施方案》的通知（渝府发</w:t>
            </w:r>
            <w:r>
              <w:rPr>
                <w:i/>
                <w:iCs/>
                <w:color w:val="auto"/>
                <w:kern w:val="0"/>
                <w:sz w:val="28"/>
                <w:szCs w:val="28"/>
              </w:rPr>
              <w:t>〔2024〕</w:t>
            </w:r>
            <w:r>
              <w:rPr>
                <w:rFonts w:hint="eastAsia"/>
                <w:i/>
                <w:iCs/>
                <w:color w:val="auto"/>
                <w:kern w:val="0"/>
                <w:sz w:val="28"/>
                <w:szCs w:val="28"/>
              </w:rPr>
              <w:t>1</w:t>
            </w:r>
            <w:r>
              <w:rPr>
                <w:i/>
                <w:iCs/>
                <w:color w:val="auto"/>
                <w:kern w:val="0"/>
                <w:sz w:val="28"/>
                <w:szCs w:val="28"/>
              </w:rPr>
              <w:t>5</w:t>
            </w:r>
            <w:r>
              <w:rPr>
                <w:rFonts w:hint="eastAsia"/>
                <w:i/>
                <w:iCs/>
                <w:color w:val="auto"/>
                <w:kern w:val="0"/>
                <w:sz w:val="28"/>
                <w:szCs w:val="28"/>
              </w:rPr>
              <w:t>号</w:t>
            </w:r>
            <w:r>
              <w:rPr>
                <w:rFonts w:hint="eastAsia"/>
                <w:i/>
                <w:iCs/>
                <w:color w:val="auto"/>
                <w:sz w:val="28"/>
                <w:szCs w:val="36"/>
              </w:rPr>
              <w:t>），</w:t>
            </w:r>
            <w:r>
              <w:rPr>
                <w:i/>
                <w:iCs/>
                <w:color w:val="auto"/>
                <w:sz w:val="28"/>
                <w:szCs w:val="36"/>
              </w:rPr>
              <w:t>到2025年，全区PM</w:t>
            </w:r>
            <w:r>
              <w:rPr>
                <w:i/>
                <w:iCs/>
                <w:color w:val="auto"/>
                <w:sz w:val="28"/>
                <w:szCs w:val="36"/>
                <w:vertAlign w:val="subscript"/>
              </w:rPr>
              <w:t>2.5</w:t>
            </w:r>
            <w:r>
              <w:rPr>
                <w:i/>
                <w:iCs/>
                <w:color w:val="auto"/>
                <w:sz w:val="28"/>
                <w:szCs w:val="36"/>
              </w:rPr>
              <w:t>浓度下降到31微克/立方米</w:t>
            </w:r>
            <w:r>
              <w:rPr>
                <w:rFonts w:hint="eastAsia"/>
                <w:i/>
                <w:iCs/>
                <w:color w:val="auto"/>
                <w:sz w:val="28"/>
                <w:szCs w:val="36"/>
              </w:rPr>
              <w:t>；</w:t>
            </w:r>
            <w:r>
              <w:rPr>
                <w:i/>
                <w:iCs/>
                <w:color w:val="auto"/>
                <w:sz w:val="28"/>
                <w:szCs w:val="36"/>
              </w:rPr>
              <w:t>到2027年，全区PM</w:t>
            </w:r>
            <w:r>
              <w:rPr>
                <w:i/>
                <w:iCs/>
                <w:color w:val="auto"/>
                <w:sz w:val="28"/>
                <w:szCs w:val="36"/>
                <w:vertAlign w:val="subscript"/>
              </w:rPr>
              <w:t>2.5</w:t>
            </w:r>
            <w:r>
              <w:rPr>
                <w:i/>
                <w:iCs/>
                <w:color w:val="auto"/>
                <w:sz w:val="28"/>
                <w:szCs w:val="36"/>
              </w:rPr>
              <w:t>浓度下降到31微克/立方米及以下；</w:t>
            </w:r>
            <w:r>
              <w:rPr>
                <w:rFonts w:hint="eastAsia"/>
                <w:i/>
                <w:iCs/>
                <w:color w:val="auto"/>
                <w:sz w:val="28"/>
                <w:szCs w:val="36"/>
              </w:rPr>
              <w:t>全市消除重污染天气。氮氧化物、V</w:t>
            </w:r>
            <w:r>
              <w:rPr>
                <w:i/>
                <w:iCs/>
                <w:color w:val="auto"/>
                <w:sz w:val="28"/>
                <w:szCs w:val="36"/>
              </w:rPr>
              <w:t>OC</w:t>
            </w:r>
            <w:r>
              <w:rPr>
                <w:i/>
                <w:iCs/>
                <w:color w:val="auto"/>
                <w:sz w:val="28"/>
                <w:szCs w:val="36"/>
                <w:vertAlign w:val="subscript"/>
              </w:rPr>
              <w:t>S</w:t>
            </w:r>
            <w:r>
              <w:rPr>
                <w:rFonts w:hint="eastAsia"/>
                <w:i/>
                <w:iCs/>
                <w:color w:val="auto"/>
                <w:sz w:val="28"/>
                <w:szCs w:val="36"/>
              </w:rPr>
              <w:t>完成国家下达的总量减排目标。</w:t>
            </w:r>
            <w:r>
              <w:rPr>
                <w:i/>
                <w:iCs/>
                <w:color w:val="auto"/>
                <w:sz w:val="28"/>
                <w:szCs w:val="36"/>
              </w:rPr>
              <w:t>实施方案主要采取措施包括：</w:t>
            </w:r>
          </w:p>
          <w:p w14:paraId="7C1D818F">
            <w:pPr>
              <w:spacing w:line="360" w:lineRule="auto"/>
              <w:ind w:firstLine="560" w:firstLineChars="200"/>
              <w:rPr>
                <w:i/>
                <w:iCs/>
                <w:color w:val="auto"/>
                <w:sz w:val="28"/>
                <w:szCs w:val="28"/>
              </w:rPr>
            </w:pPr>
            <w:r>
              <w:rPr>
                <w:i/>
                <w:iCs/>
                <w:color w:val="auto"/>
                <w:sz w:val="28"/>
                <w:szCs w:val="28"/>
              </w:rPr>
              <w:t>（1）</w:t>
            </w:r>
            <w:r>
              <w:rPr>
                <w:rFonts w:hint="eastAsia"/>
                <w:i/>
                <w:iCs/>
                <w:color w:val="auto"/>
                <w:sz w:val="28"/>
                <w:szCs w:val="28"/>
              </w:rPr>
              <w:t>实施产业产品绿色转型升级行动，推动产业结构优化。推动实施重点行业产业产品绿色转型升级，遏制高耗能、高排放、低水平项目盲目上马，推动产业集群实施废气治理和升级改造，优化含VOCs原辅材料和产品结构，推动绿色环保产业高质量发展。</w:t>
            </w:r>
          </w:p>
          <w:p w14:paraId="0E38632A">
            <w:pPr>
              <w:spacing w:line="360" w:lineRule="auto"/>
              <w:ind w:firstLine="560" w:firstLineChars="200"/>
              <w:rPr>
                <w:i/>
                <w:iCs/>
                <w:color w:val="auto"/>
                <w:sz w:val="28"/>
                <w:szCs w:val="28"/>
              </w:rPr>
            </w:pPr>
            <w:r>
              <w:rPr>
                <w:rFonts w:hint="eastAsia"/>
                <w:i/>
                <w:iCs/>
                <w:color w:val="auto"/>
                <w:sz w:val="28"/>
                <w:szCs w:val="28"/>
              </w:rPr>
              <w:t>（2）实施能源清洁低碳高效利用行动，推动能源结构优化。严格合理控制煤炭消费总量，大力发展新能源和清洁能源，开展燃煤锅炉关停整合和工业炉窑清洁能源替代，巩固并扩大高污染燃料禁燃区域。</w:t>
            </w:r>
          </w:p>
          <w:p w14:paraId="21C3F688">
            <w:pPr>
              <w:spacing w:line="360" w:lineRule="auto"/>
              <w:ind w:firstLine="560" w:firstLineChars="200"/>
              <w:rPr>
                <w:i/>
                <w:iCs/>
                <w:color w:val="auto"/>
                <w:sz w:val="28"/>
                <w:szCs w:val="28"/>
              </w:rPr>
            </w:pPr>
            <w:r>
              <w:rPr>
                <w:rFonts w:hint="eastAsia"/>
                <w:i/>
                <w:iCs/>
                <w:color w:val="auto"/>
                <w:sz w:val="28"/>
                <w:szCs w:val="28"/>
              </w:rPr>
              <w:t>（3）实施移动源大气综合治理提升行动，推动交通结构优化。优化调整货客运结构，提升机动车清洁化水平，强化机动车排放管控，实施船舶和非道路移动源综合治理，全面保障成品油质量和推行错峰加油。</w:t>
            </w:r>
          </w:p>
          <w:p w14:paraId="01D33F9F">
            <w:pPr>
              <w:spacing w:line="360" w:lineRule="auto"/>
              <w:ind w:firstLine="560" w:firstLineChars="200"/>
              <w:rPr>
                <w:i/>
                <w:iCs/>
                <w:color w:val="auto"/>
                <w:sz w:val="28"/>
                <w:szCs w:val="28"/>
              </w:rPr>
            </w:pPr>
            <w:r>
              <w:rPr>
                <w:rFonts w:hint="eastAsia"/>
                <w:i/>
                <w:iCs/>
                <w:color w:val="auto"/>
                <w:sz w:val="28"/>
                <w:szCs w:val="28"/>
              </w:rPr>
              <w:t>（4）实施深度治理和精细化管控行动，推动多污染物减排。实施重点行业污染深度治理，强化VOCs全过程控制。</w:t>
            </w:r>
          </w:p>
          <w:p w14:paraId="719A3A5D">
            <w:pPr>
              <w:spacing w:line="360" w:lineRule="auto"/>
              <w:ind w:firstLine="560" w:firstLineChars="200"/>
              <w:rPr>
                <w:i/>
                <w:iCs/>
                <w:color w:val="auto"/>
                <w:sz w:val="28"/>
                <w:szCs w:val="28"/>
              </w:rPr>
            </w:pPr>
            <w:r>
              <w:rPr>
                <w:rFonts w:hint="eastAsia"/>
                <w:i/>
                <w:iCs/>
                <w:color w:val="auto"/>
                <w:sz w:val="28"/>
                <w:szCs w:val="28"/>
              </w:rPr>
              <w:t>（5）实施扬尘焚烧油烟等面源治污行动，切实解决扰民问题。深化扬尘污染综合治理，加强露天焚烧管控和秸秆综合利用，加强露天焚烧管控和秸秆综合利用，开展餐饮油烟和臭气扰民专项治理，加强露天烧烤和烟花爆竹燃放管控。</w:t>
            </w:r>
          </w:p>
          <w:p w14:paraId="0A7CBFAA">
            <w:pPr>
              <w:spacing w:line="360" w:lineRule="auto"/>
              <w:ind w:firstLine="560" w:firstLineChars="200"/>
              <w:rPr>
                <w:i/>
                <w:iCs/>
                <w:color w:val="auto"/>
                <w:sz w:val="28"/>
                <w:szCs w:val="28"/>
              </w:rPr>
            </w:pPr>
            <w:r>
              <w:rPr>
                <w:rFonts w:hint="eastAsia"/>
                <w:i/>
                <w:iCs/>
                <w:color w:val="auto"/>
                <w:sz w:val="28"/>
                <w:szCs w:val="28"/>
              </w:rPr>
              <w:t>（6）实施预警预报和联防联控提升行动，强化污染应对。提升预警预报及监测监控能力，完善大气污染联防联控和污染应对机制。</w:t>
            </w:r>
          </w:p>
          <w:p w14:paraId="6A999E38">
            <w:pPr>
              <w:spacing w:line="360" w:lineRule="auto"/>
              <w:ind w:firstLine="560" w:firstLineChars="200"/>
              <w:rPr>
                <w:i/>
                <w:iCs/>
                <w:color w:val="auto"/>
                <w:sz w:val="28"/>
                <w:szCs w:val="28"/>
              </w:rPr>
            </w:pPr>
            <w:r>
              <w:rPr>
                <w:rFonts w:hint="eastAsia"/>
                <w:i/>
                <w:iCs/>
                <w:color w:val="auto"/>
                <w:sz w:val="28"/>
                <w:szCs w:val="28"/>
              </w:rPr>
              <w:t>（7）实施“治气”智能化精准化建设行动，强化科技支撑。推进“巴渝治气”及监管执法能力建设，加强决策科技支撑。</w:t>
            </w:r>
          </w:p>
          <w:p w14:paraId="04AFE0E8">
            <w:pPr>
              <w:spacing w:line="360" w:lineRule="auto"/>
              <w:ind w:firstLine="560" w:firstLineChars="200"/>
              <w:rPr>
                <w:i/>
                <w:iCs/>
                <w:color w:val="auto"/>
                <w:sz w:val="28"/>
                <w:szCs w:val="28"/>
              </w:rPr>
            </w:pPr>
            <w:r>
              <w:rPr>
                <w:rFonts w:hint="eastAsia"/>
                <w:i/>
                <w:iCs/>
                <w:color w:val="auto"/>
                <w:sz w:val="28"/>
                <w:szCs w:val="28"/>
              </w:rPr>
              <w:t>（8）实施地方标准和经济政策激励行动，强化政策保障。推进标准和规范制（修）订，完善经济和政策激励机制。</w:t>
            </w:r>
          </w:p>
          <w:p w14:paraId="35760551">
            <w:pPr>
              <w:spacing w:line="360" w:lineRule="auto"/>
              <w:ind w:firstLine="560" w:firstLineChars="200"/>
              <w:rPr>
                <w:i/>
                <w:iCs/>
                <w:color w:val="auto"/>
                <w:sz w:val="28"/>
                <w:szCs w:val="28"/>
              </w:rPr>
            </w:pPr>
            <w:r>
              <w:rPr>
                <w:rFonts w:hint="eastAsia"/>
                <w:i/>
                <w:iCs/>
                <w:color w:val="auto"/>
                <w:sz w:val="28"/>
                <w:szCs w:val="28"/>
              </w:rPr>
              <w:t>（9）实施空气质量共保共治全民行动，强化各方责任。加强组织领导，强化责任落实，严格监督考核，构建全民共治格局，加强宣传引导。</w:t>
            </w:r>
          </w:p>
          <w:p w14:paraId="556D1DA4">
            <w:pPr>
              <w:rPr>
                <w:rFonts w:hint="eastAsia" w:eastAsia="仿宋"/>
                <w:color w:val="auto"/>
                <w:sz w:val="28"/>
                <w:lang w:eastAsia="zh-CN"/>
              </w:rPr>
            </w:pPr>
            <w:r>
              <w:rPr>
                <w:i/>
                <w:iCs/>
                <w:color w:val="auto"/>
                <w:sz w:val="28"/>
                <w:szCs w:val="28"/>
              </w:rPr>
              <w:t>在</w:t>
            </w:r>
            <w:r>
              <w:rPr>
                <w:rFonts w:hint="eastAsia"/>
                <w:i/>
                <w:iCs/>
                <w:color w:val="auto"/>
                <w:sz w:val="28"/>
                <w:szCs w:val="28"/>
              </w:rPr>
              <w:t>九龙坡</w:t>
            </w:r>
            <w:r>
              <w:rPr>
                <w:i/>
                <w:iCs/>
                <w:color w:val="auto"/>
                <w:sz w:val="28"/>
                <w:szCs w:val="28"/>
              </w:rPr>
              <w:t>区范围内执行相应的整治措施后，可改善区域环境质量达标情况</w:t>
            </w:r>
            <w:r>
              <w:rPr>
                <w:color w:val="auto"/>
                <w:sz w:val="28"/>
                <w:szCs w:val="28"/>
              </w:rPr>
              <w:t>。</w:t>
            </w:r>
          </w:p>
          <w:p w14:paraId="7240BEAF">
            <w:pPr>
              <w:ind w:left="420" w:leftChars="200" w:firstLine="0" w:firstLineChars="0"/>
              <w:rPr>
                <w:color w:val="auto"/>
                <w:sz w:val="28"/>
              </w:rPr>
            </w:pPr>
            <w:r>
              <w:rPr>
                <w:rFonts w:hint="eastAsia"/>
                <w:color w:val="auto"/>
                <w:sz w:val="28"/>
              </w:rPr>
              <w:t>（2）其他污染物环境质量现状</w:t>
            </w:r>
          </w:p>
          <w:p w14:paraId="29718BEE">
            <w:pPr>
              <w:ind w:firstLine="560"/>
              <w:rPr>
                <w:color w:val="auto"/>
                <w:sz w:val="28"/>
                <w:highlight w:val="yellow"/>
              </w:rPr>
            </w:pPr>
            <w:r>
              <w:rPr>
                <w:rFonts w:hint="eastAsia"/>
                <w:color w:val="auto"/>
                <w:sz w:val="28"/>
              </w:rPr>
              <w:t>为了解项目所在区域非甲烷总烃的环境质量现状，本次评价引用“西部（重庆）科学城九龙新城园区规划环境影响报告书”中相关数据进行评价。监测点位位于项目</w:t>
            </w:r>
            <w:r>
              <w:rPr>
                <w:rFonts w:hint="eastAsia"/>
                <w:color w:val="auto"/>
                <w:sz w:val="28"/>
                <w:lang w:eastAsia="zh-CN"/>
              </w:rPr>
              <w:t>东</w:t>
            </w:r>
            <w:r>
              <w:rPr>
                <w:rFonts w:hint="eastAsia"/>
                <w:color w:val="auto"/>
                <w:sz w:val="28"/>
              </w:rPr>
              <w:t>南侧</w:t>
            </w:r>
            <w:r>
              <w:rPr>
                <w:rFonts w:hint="eastAsia"/>
                <w:color w:val="auto"/>
                <w:sz w:val="28"/>
                <w:lang w:val="en-US" w:eastAsia="zh-CN"/>
              </w:rPr>
              <w:t>2.5</w:t>
            </w:r>
            <w:r>
              <w:rPr>
                <w:rFonts w:hint="eastAsia"/>
                <w:color w:val="auto"/>
                <w:sz w:val="28"/>
              </w:rPr>
              <w:t>km处，监测时间为2025年6月，引用的监测数据位于项目周边5km范围内，且在3年有效期内，监测至今，区域大气环境质量未发生重大变化</w:t>
            </w:r>
            <w:r>
              <w:rPr>
                <w:rFonts w:hint="eastAsia"/>
                <w:color w:val="auto"/>
                <w:sz w:val="28"/>
                <w:szCs w:val="28"/>
              </w:rPr>
              <w:t>，故引用可行。</w:t>
            </w:r>
          </w:p>
          <w:p w14:paraId="658F1105">
            <w:pPr>
              <w:ind w:firstLine="560"/>
              <w:rPr>
                <w:color w:val="auto"/>
                <w:sz w:val="28"/>
              </w:rPr>
            </w:pPr>
            <w:r>
              <w:rPr>
                <w:rFonts w:hint="eastAsia"/>
                <w:color w:val="auto"/>
                <w:sz w:val="28"/>
              </w:rPr>
              <w:t>（1）监测因子：非甲烷总烃。</w:t>
            </w:r>
          </w:p>
          <w:p w14:paraId="136E4690">
            <w:pPr>
              <w:ind w:firstLine="560"/>
              <w:rPr>
                <w:color w:val="auto"/>
                <w:sz w:val="28"/>
              </w:rPr>
            </w:pPr>
            <w:r>
              <w:rPr>
                <w:rFonts w:hint="eastAsia"/>
                <w:color w:val="auto"/>
                <w:sz w:val="28"/>
              </w:rPr>
              <w:t>（2）监测时间：202</w:t>
            </w:r>
            <w:r>
              <w:rPr>
                <w:rFonts w:hint="eastAsia"/>
                <w:color w:val="auto"/>
                <w:sz w:val="28"/>
                <w:lang w:val="en-US" w:eastAsia="zh-CN"/>
              </w:rPr>
              <w:t>5</w:t>
            </w:r>
            <w:r>
              <w:rPr>
                <w:rFonts w:hint="eastAsia"/>
                <w:color w:val="auto"/>
                <w:sz w:val="28"/>
              </w:rPr>
              <w:t>年</w:t>
            </w:r>
            <w:r>
              <w:rPr>
                <w:rFonts w:hint="eastAsia"/>
                <w:color w:val="auto"/>
                <w:sz w:val="28"/>
                <w:lang w:val="en-US" w:eastAsia="zh-CN"/>
              </w:rPr>
              <w:t>6</w:t>
            </w:r>
            <w:r>
              <w:rPr>
                <w:rFonts w:hint="eastAsia"/>
                <w:color w:val="auto"/>
                <w:sz w:val="28"/>
              </w:rPr>
              <w:t>月</w:t>
            </w:r>
            <w:r>
              <w:rPr>
                <w:rFonts w:hint="eastAsia"/>
                <w:color w:val="auto"/>
                <w:sz w:val="28"/>
                <w:lang w:val="en-US" w:eastAsia="zh-CN"/>
              </w:rPr>
              <w:t>23</w:t>
            </w:r>
            <w:r>
              <w:rPr>
                <w:rFonts w:hint="eastAsia"/>
                <w:color w:val="auto"/>
                <w:sz w:val="28"/>
              </w:rPr>
              <w:t>日～</w:t>
            </w:r>
            <w:r>
              <w:rPr>
                <w:rFonts w:hint="eastAsia"/>
                <w:color w:val="auto"/>
                <w:sz w:val="28"/>
                <w:lang w:val="en-US" w:eastAsia="zh-CN"/>
              </w:rPr>
              <w:t>6</w:t>
            </w:r>
            <w:r>
              <w:rPr>
                <w:rFonts w:hint="eastAsia"/>
                <w:color w:val="auto"/>
                <w:sz w:val="28"/>
              </w:rPr>
              <w:t>月</w:t>
            </w:r>
            <w:r>
              <w:rPr>
                <w:rFonts w:hint="eastAsia"/>
                <w:color w:val="auto"/>
                <w:sz w:val="28"/>
                <w:lang w:val="en-US" w:eastAsia="zh-CN"/>
              </w:rPr>
              <w:t>29</w:t>
            </w:r>
            <w:r>
              <w:rPr>
                <w:rFonts w:hint="eastAsia"/>
                <w:color w:val="auto"/>
                <w:sz w:val="28"/>
              </w:rPr>
              <w:t>日。</w:t>
            </w:r>
          </w:p>
          <w:p w14:paraId="3C86F56E">
            <w:pPr>
              <w:ind w:firstLine="560"/>
              <w:rPr>
                <w:color w:val="auto"/>
                <w:sz w:val="28"/>
              </w:rPr>
            </w:pPr>
            <w:r>
              <w:rPr>
                <w:rFonts w:hint="eastAsia"/>
                <w:color w:val="auto"/>
                <w:sz w:val="28"/>
              </w:rPr>
              <w:t>（3）监测布点：引用1个监测点，监测点基本情况及与本项目位置关系详见表3-2和附图5。</w:t>
            </w:r>
          </w:p>
          <w:p w14:paraId="610DFF6C">
            <w:pPr>
              <w:ind w:firstLine="560"/>
              <w:rPr>
                <w:color w:val="auto"/>
                <w:sz w:val="28"/>
              </w:rPr>
            </w:pPr>
            <w:r>
              <w:rPr>
                <w:rFonts w:hint="eastAsia"/>
                <w:color w:val="auto"/>
                <w:sz w:val="28"/>
              </w:rPr>
              <w:t>（4）评价标准：本次评价参照河北省地方标准《环境空气质量非甲烷总烃限值》（DB13/1577-2012）中</w:t>
            </w:r>
            <w:r>
              <w:rPr>
                <w:rFonts w:hint="eastAsia"/>
                <w:color w:val="auto"/>
                <w:sz w:val="28"/>
                <w:lang w:eastAsia="zh-CN"/>
              </w:rPr>
              <w:t>二级</w:t>
            </w:r>
            <w:r>
              <w:rPr>
                <w:rFonts w:hint="eastAsia"/>
                <w:color w:val="auto"/>
                <w:sz w:val="28"/>
              </w:rPr>
              <w:t>标准进行评价。</w:t>
            </w:r>
          </w:p>
          <w:p w14:paraId="2D38EB73">
            <w:pPr>
              <w:ind w:firstLine="560"/>
              <w:rPr>
                <w:color w:val="auto"/>
                <w:sz w:val="28"/>
              </w:rPr>
            </w:pPr>
            <w:r>
              <w:rPr>
                <w:rFonts w:hint="eastAsia"/>
                <w:color w:val="auto"/>
                <w:sz w:val="28"/>
              </w:rPr>
              <w:t>根据《环境影响评价技术导则大气环境》（HJ2.2-2018），采用最大监测浓度占标率对评价区域大气环境质量现状进行评价，评价模式如下：</w:t>
            </w:r>
          </w:p>
          <w:p w14:paraId="5B2F8B5D">
            <w:pPr>
              <w:ind w:firstLine="420"/>
              <w:jc w:val="center"/>
              <w:rPr>
                <w:color w:val="auto"/>
                <w:sz w:val="28"/>
              </w:rPr>
            </w:pPr>
            <w:r>
              <w:rPr>
                <w:color w:val="auto"/>
              </w:rPr>
              <w:drawing>
                <wp:inline distT="0" distB="0" distL="114300" distR="114300">
                  <wp:extent cx="1628775" cy="600075"/>
                  <wp:effectExtent l="0" t="0" r="9525" b="952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5"/>
                          <a:stretch>
                            <a:fillRect/>
                          </a:stretch>
                        </pic:blipFill>
                        <pic:spPr>
                          <a:xfrm>
                            <a:off x="0" y="0"/>
                            <a:ext cx="1628775" cy="600075"/>
                          </a:xfrm>
                          <a:prstGeom prst="rect">
                            <a:avLst/>
                          </a:prstGeom>
                          <a:noFill/>
                          <a:ln>
                            <a:noFill/>
                          </a:ln>
                        </pic:spPr>
                      </pic:pic>
                    </a:graphicData>
                  </a:graphic>
                </wp:inline>
              </w:drawing>
            </w:r>
          </w:p>
          <w:p w14:paraId="1B05A0DC">
            <w:pPr>
              <w:ind w:firstLine="560"/>
              <w:rPr>
                <w:color w:val="auto"/>
                <w:sz w:val="28"/>
              </w:rPr>
            </w:pPr>
            <w:r>
              <w:rPr>
                <w:rFonts w:hint="eastAsia"/>
                <w:color w:val="auto"/>
                <w:sz w:val="28"/>
              </w:rPr>
              <w:t>式中：Pi——第i个污染物的最大地面空气质量浓度占标率，%；</w:t>
            </w:r>
          </w:p>
          <w:p w14:paraId="1B476FF2">
            <w:pPr>
              <w:ind w:firstLine="560"/>
              <w:rPr>
                <w:color w:val="auto"/>
                <w:sz w:val="28"/>
              </w:rPr>
            </w:pPr>
            <w:r>
              <w:rPr>
                <w:rFonts w:hint="eastAsia"/>
                <w:color w:val="auto"/>
                <w:sz w:val="28"/>
              </w:rPr>
              <w:t>Ci——第i个污染物的监测浓度值，mg/m</w:t>
            </w:r>
            <w:r>
              <w:rPr>
                <w:rFonts w:hint="eastAsia"/>
                <w:color w:val="auto"/>
                <w:sz w:val="28"/>
                <w:vertAlign w:val="superscript"/>
              </w:rPr>
              <w:t>3</w:t>
            </w:r>
            <w:r>
              <w:rPr>
                <w:rFonts w:hint="eastAsia"/>
                <w:color w:val="auto"/>
                <w:sz w:val="28"/>
              </w:rPr>
              <w:t>；</w:t>
            </w:r>
          </w:p>
          <w:p w14:paraId="02B15123">
            <w:pPr>
              <w:ind w:firstLine="560"/>
              <w:rPr>
                <w:color w:val="auto"/>
                <w:sz w:val="28"/>
              </w:rPr>
            </w:pPr>
            <w:r>
              <w:rPr>
                <w:rFonts w:hint="eastAsia"/>
                <w:color w:val="auto"/>
                <w:sz w:val="28"/>
              </w:rPr>
              <w:t>C0i——第i个污染物的环境空气质量浓度标准，mg/m</w:t>
            </w:r>
            <w:r>
              <w:rPr>
                <w:rFonts w:hint="eastAsia"/>
                <w:color w:val="auto"/>
                <w:sz w:val="28"/>
                <w:vertAlign w:val="superscript"/>
              </w:rPr>
              <w:t>3</w:t>
            </w:r>
          </w:p>
          <w:p w14:paraId="25E3E10D">
            <w:pPr>
              <w:ind w:firstLine="560"/>
              <w:rPr>
                <w:color w:val="auto"/>
                <w:sz w:val="28"/>
              </w:rPr>
            </w:pPr>
            <w:r>
              <w:rPr>
                <w:rFonts w:hint="eastAsia"/>
                <w:color w:val="auto"/>
                <w:sz w:val="28"/>
              </w:rPr>
              <w:t>具体监测统计结果及评价见表3-2。</w:t>
            </w:r>
          </w:p>
          <w:p w14:paraId="61D982E2">
            <w:pPr>
              <w:pStyle w:val="75"/>
              <w:rPr>
                <w:color w:val="auto"/>
                <w:lang w:val="en-US"/>
              </w:rPr>
            </w:pPr>
            <w:r>
              <w:rPr>
                <w:rFonts w:hint="eastAsia"/>
                <w:color w:val="auto"/>
                <w:sz w:val="24"/>
              </w:rPr>
              <w:t>表3-2环境空气现状监测结果统计</w:t>
            </w:r>
            <w:r>
              <w:rPr>
                <w:rFonts w:hint="eastAsia"/>
                <w:color w:val="auto"/>
                <w:sz w:val="24"/>
                <w:szCs w:val="18"/>
              </w:rPr>
              <w:t>（mg/m</w:t>
            </w:r>
            <w:r>
              <w:rPr>
                <w:rFonts w:hint="eastAsia"/>
                <w:color w:val="auto"/>
                <w:sz w:val="24"/>
                <w:szCs w:val="18"/>
                <w:vertAlign w:val="superscript"/>
              </w:rPr>
              <w:t>3</w:t>
            </w:r>
            <w:r>
              <w:rPr>
                <w:rFonts w:hint="eastAsia"/>
                <w:color w:val="auto"/>
                <w:sz w:val="24"/>
                <w:szCs w:val="18"/>
              </w:rPr>
              <w:t>）</w:t>
            </w:r>
          </w:p>
          <w:tbl>
            <w:tblPr>
              <w:tblStyle w:val="31"/>
              <w:tblW w:w="4995"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68"/>
              <w:gridCol w:w="967"/>
              <w:gridCol w:w="967"/>
              <w:gridCol w:w="1248"/>
              <w:gridCol w:w="983"/>
              <w:gridCol w:w="967"/>
              <w:gridCol w:w="967"/>
              <w:gridCol w:w="970"/>
            </w:tblGrid>
            <w:tr w14:paraId="2A33DA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602" w:type="pct"/>
                  <w:vAlign w:val="center"/>
                </w:tcPr>
                <w:p w14:paraId="79C8772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监测点</w:t>
                  </w:r>
                </w:p>
              </w:tc>
              <w:tc>
                <w:tcPr>
                  <w:tcW w:w="601" w:type="pct"/>
                  <w:vAlign w:val="center"/>
                </w:tcPr>
                <w:p w14:paraId="6327FB6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监测因子</w:t>
                  </w:r>
                </w:p>
              </w:tc>
              <w:tc>
                <w:tcPr>
                  <w:tcW w:w="601" w:type="pct"/>
                  <w:vAlign w:val="center"/>
                </w:tcPr>
                <w:p w14:paraId="70E53D8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平均时间</w:t>
                  </w:r>
                </w:p>
              </w:tc>
              <w:tc>
                <w:tcPr>
                  <w:tcW w:w="776" w:type="pct"/>
                  <w:vAlign w:val="center"/>
                </w:tcPr>
                <w:p w14:paraId="39B4E48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监测值</w:t>
                  </w:r>
                </w:p>
              </w:tc>
              <w:tc>
                <w:tcPr>
                  <w:tcW w:w="611" w:type="pct"/>
                  <w:vAlign w:val="center"/>
                </w:tcPr>
                <w:p w14:paraId="01E4505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标准值</w:t>
                  </w:r>
                </w:p>
              </w:tc>
              <w:tc>
                <w:tcPr>
                  <w:tcW w:w="601" w:type="pct"/>
                  <w:vAlign w:val="center"/>
                </w:tcPr>
                <w:p w14:paraId="1035F05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最大占标率%</w:t>
                  </w:r>
                </w:p>
              </w:tc>
              <w:tc>
                <w:tcPr>
                  <w:tcW w:w="601" w:type="pct"/>
                  <w:vAlign w:val="center"/>
                </w:tcPr>
                <w:p w14:paraId="5CB9EB2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超标倍数</w:t>
                  </w:r>
                </w:p>
              </w:tc>
              <w:tc>
                <w:tcPr>
                  <w:tcW w:w="603" w:type="pct"/>
                  <w:vAlign w:val="center"/>
                </w:tcPr>
                <w:p w14:paraId="39676B5C">
                  <w:pPr>
                    <w:keepNext w:val="0"/>
                    <w:keepLines w:val="0"/>
                    <w:pageBreakBefore w:val="0"/>
                    <w:kinsoku/>
                    <w:wordWrap/>
                    <w:overflowPunct/>
                    <w:topLinePunct w:val="0"/>
                    <w:autoSpaceDE w:val="0"/>
                    <w:autoSpaceDN w:val="0"/>
                    <w:bidi w:val="0"/>
                    <w:adjustRightInd w:val="0"/>
                    <w:snapToGrid w:val="0"/>
                    <w:spacing w:before="40" w:after="40" w:line="240" w:lineRule="auto"/>
                    <w:ind w:firstLine="0" w:firstLineChars="0"/>
                    <w:jc w:val="center"/>
                    <w:textAlignment w:val="auto"/>
                    <w:rPr>
                      <w:color w:val="auto"/>
                      <w:spacing w:val="10"/>
                      <w:kern w:val="0"/>
                      <w:sz w:val="24"/>
                      <w:szCs w:val="24"/>
                    </w:rPr>
                  </w:pPr>
                  <w:r>
                    <w:rPr>
                      <w:color w:val="auto"/>
                      <w:spacing w:val="10"/>
                      <w:kern w:val="0"/>
                      <w:sz w:val="24"/>
                      <w:szCs w:val="24"/>
                    </w:rPr>
                    <w:t>达标情况</w:t>
                  </w:r>
                </w:p>
              </w:tc>
            </w:tr>
            <w:tr w14:paraId="7E3492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602" w:type="pct"/>
                  <w:vAlign w:val="center"/>
                </w:tcPr>
                <w:p w14:paraId="6274314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sz w:val="24"/>
                      <w:szCs w:val="24"/>
                    </w:rPr>
                    <w:t>Q1</w:t>
                  </w:r>
                  <w:r>
                    <w:rPr>
                      <w:bCs/>
                      <w:color w:val="auto"/>
                      <w:kern w:val="0"/>
                      <w:sz w:val="24"/>
                      <w:szCs w:val="24"/>
                    </w:rPr>
                    <w:t>渝西中学A区</w:t>
                  </w:r>
                </w:p>
              </w:tc>
              <w:tc>
                <w:tcPr>
                  <w:tcW w:w="601" w:type="pct"/>
                  <w:vAlign w:val="center"/>
                </w:tcPr>
                <w:p w14:paraId="258AC11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非甲烷总烃</w:t>
                  </w:r>
                </w:p>
              </w:tc>
              <w:tc>
                <w:tcPr>
                  <w:tcW w:w="601" w:type="pct"/>
                  <w:vAlign w:val="center"/>
                </w:tcPr>
                <w:p w14:paraId="61E6492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小时值</w:t>
                  </w:r>
                </w:p>
              </w:tc>
              <w:tc>
                <w:tcPr>
                  <w:tcW w:w="776" w:type="pct"/>
                  <w:vAlign w:val="center"/>
                </w:tcPr>
                <w:p w14:paraId="75BFAD9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0.5~0.7</w:t>
                  </w:r>
                </w:p>
              </w:tc>
              <w:tc>
                <w:tcPr>
                  <w:tcW w:w="611" w:type="pct"/>
                  <w:vAlign w:val="center"/>
                </w:tcPr>
                <w:p w14:paraId="455CA82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2.0</w:t>
                  </w:r>
                </w:p>
              </w:tc>
              <w:tc>
                <w:tcPr>
                  <w:tcW w:w="601" w:type="pct"/>
                  <w:vAlign w:val="center"/>
                </w:tcPr>
                <w:p w14:paraId="4B3AAC5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35</w:t>
                  </w:r>
                </w:p>
              </w:tc>
              <w:tc>
                <w:tcPr>
                  <w:tcW w:w="601" w:type="pct"/>
                  <w:vAlign w:val="center"/>
                </w:tcPr>
                <w:p w14:paraId="513F2AB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0</w:t>
                  </w:r>
                </w:p>
              </w:tc>
              <w:tc>
                <w:tcPr>
                  <w:tcW w:w="603" w:type="pct"/>
                  <w:vAlign w:val="center"/>
                </w:tcPr>
                <w:p w14:paraId="6EC2D1C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color w:val="auto"/>
                      <w:kern w:val="0"/>
                      <w:sz w:val="24"/>
                      <w:szCs w:val="24"/>
                    </w:rPr>
                  </w:pPr>
                  <w:r>
                    <w:rPr>
                      <w:color w:val="auto"/>
                      <w:kern w:val="0"/>
                      <w:sz w:val="24"/>
                      <w:szCs w:val="24"/>
                    </w:rPr>
                    <w:t>达标</w:t>
                  </w:r>
                </w:p>
              </w:tc>
            </w:tr>
          </w:tbl>
          <w:p w14:paraId="14B19659">
            <w:pPr>
              <w:spacing w:before="120" w:beforeLines="50"/>
              <w:ind w:firstLine="560"/>
              <w:rPr>
                <w:color w:val="auto"/>
                <w:sz w:val="28"/>
              </w:rPr>
            </w:pPr>
            <w:r>
              <w:rPr>
                <w:rFonts w:hint="eastAsia"/>
                <w:color w:val="auto"/>
                <w:sz w:val="28"/>
              </w:rPr>
              <w:t>由表3-2可知，项目区域内非甲烷总烃浓度满足标准限值。</w:t>
            </w:r>
          </w:p>
          <w:p w14:paraId="63B0429D">
            <w:pPr>
              <w:pStyle w:val="53"/>
              <w:spacing w:before="120"/>
              <w:rPr>
                <w:color w:val="auto"/>
                <w:sz w:val="28"/>
              </w:rPr>
            </w:pPr>
            <w:r>
              <w:rPr>
                <w:color w:val="auto"/>
                <w:sz w:val="28"/>
              </w:rPr>
              <w:t>2.</w:t>
            </w:r>
            <w:r>
              <w:rPr>
                <w:rFonts w:hint="eastAsia"/>
                <w:color w:val="auto"/>
                <w:sz w:val="28"/>
              </w:rPr>
              <w:t>地表水环境质量现状</w:t>
            </w:r>
          </w:p>
          <w:p w14:paraId="74D5E226">
            <w:pPr>
              <w:ind w:firstLine="560"/>
              <w:rPr>
                <w:rFonts w:hint="eastAsia" w:eastAsia="仿宋"/>
                <w:color w:val="auto"/>
                <w:sz w:val="28"/>
                <w:lang w:eastAsia="zh-CN"/>
              </w:rPr>
            </w:pPr>
            <w:r>
              <w:rPr>
                <w:rFonts w:hint="eastAsia"/>
                <w:color w:val="auto"/>
                <w:sz w:val="28"/>
              </w:rPr>
              <w:t>采用雨污分流制，雨水排入市政雨水管网。项目主要为生活污水和地面清洁废水</w:t>
            </w:r>
            <w:r>
              <w:rPr>
                <w:rFonts w:hint="eastAsia"/>
                <w:color w:val="auto"/>
                <w:sz w:val="28"/>
                <w:lang w:eastAsia="zh-CN"/>
              </w:rPr>
              <w:t>，</w:t>
            </w:r>
            <w:r>
              <w:rPr>
                <w:rFonts w:hint="eastAsia"/>
                <w:color w:val="auto"/>
                <w:sz w:val="28"/>
              </w:rPr>
              <w:t>生活污水、地面清洁废水一起经厂区生化池（生化池处理能力</w:t>
            </w:r>
            <w:r>
              <w:rPr>
                <w:rFonts w:hint="eastAsia"/>
                <w:color w:val="auto"/>
                <w:sz w:val="28"/>
                <w:highlight w:val="none"/>
              </w:rPr>
              <w:t>共计</w:t>
            </w:r>
            <w:r>
              <w:rPr>
                <w:rFonts w:hint="eastAsia"/>
                <w:color w:val="auto"/>
                <w:sz w:val="28"/>
                <w:highlight w:val="none"/>
                <w:lang w:val="en-US" w:eastAsia="zh-CN"/>
              </w:rPr>
              <w:t>9</w:t>
            </w:r>
            <w:r>
              <w:rPr>
                <w:rFonts w:hint="eastAsia"/>
                <w:color w:val="auto"/>
                <w:sz w:val="28"/>
                <w:highlight w:val="none"/>
              </w:rPr>
              <w:t>0m</w:t>
            </w:r>
            <w:r>
              <w:rPr>
                <w:rFonts w:hint="eastAsia"/>
                <w:color w:val="auto"/>
                <w:sz w:val="28"/>
                <w:highlight w:val="none"/>
                <w:vertAlign w:val="superscript"/>
              </w:rPr>
              <w:t>3</w:t>
            </w:r>
            <w:r>
              <w:rPr>
                <w:rFonts w:hint="eastAsia"/>
                <w:color w:val="auto"/>
                <w:sz w:val="28"/>
                <w:highlight w:val="none"/>
              </w:rPr>
              <w:t>/d）</w:t>
            </w:r>
            <w:r>
              <w:rPr>
                <w:rFonts w:hint="eastAsia"/>
                <w:color w:val="auto"/>
                <w:sz w:val="28"/>
              </w:rPr>
              <w:t>预处理达《污水综合排放标准》(GB8978-1996)中三级标准后通过规划区污水管网进入</w:t>
            </w:r>
            <w:r>
              <w:rPr>
                <w:rFonts w:hint="eastAsia"/>
                <w:color w:val="auto"/>
                <w:sz w:val="28"/>
                <w:lang w:eastAsia="zh-CN"/>
              </w:rPr>
              <w:t>园区</w:t>
            </w:r>
            <w:r>
              <w:rPr>
                <w:rFonts w:hint="eastAsia"/>
                <w:color w:val="auto"/>
                <w:sz w:val="28"/>
              </w:rPr>
              <w:t>污水处理厂处理</w:t>
            </w:r>
            <w:r>
              <w:rPr>
                <w:rFonts w:hint="eastAsia"/>
                <w:color w:val="auto"/>
                <w:sz w:val="28"/>
                <w:lang w:eastAsia="zh-CN"/>
              </w:rPr>
              <w:t>。</w:t>
            </w:r>
          </w:p>
          <w:p w14:paraId="01E29C11">
            <w:pPr>
              <w:ind w:firstLine="560"/>
              <w:rPr>
                <w:rFonts w:hint="eastAsia"/>
                <w:color w:val="auto"/>
                <w:sz w:val="28"/>
              </w:rPr>
            </w:pPr>
            <w:r>
              <w:rPr>
                <w:rFonts w:hint="eastAsia"/>
                <w:color w:val="auto"/>
                <w:sz w:val="28"/>
              </w:rPr>
              <w:t>本项目受纳水体为桥头河，最终汇入长江。</w:t>
            </w:r>
            <w:r>
              <w:rPr>
                <w:rFonts w:hint="eastAsia"/>
                <w:color w:val="auto"/>
                <w:sz w:val="28"/>
              </w:rPr>
              <w:fldChar w:fldCharType="begin"/>
            </w:r>
            <w:r>
              <w:rPr>
                <w:rFonts w:hint="eastAsia"/>
                <w:color w:val="auto"/>
                <w:sz w:val="28"/>
              </w:rPr>
              <w:instrText xml:space="preserve"> HYPERLINK "http://baike.sogou.com/PicBooklet.v?relateImageGroupIds=109623,109625,109626,109630&amp;lemmaId=183479&amp;now=http://pic.baike.soso.com/p/20140221/20140221023858-343882178.jpg&amp;type=1" \t "http://baike.sogou.com/_blank" \o "点击查看大图" </w:instrText>
            </w:r>
            <w:r>
              <w:rPr>
                <w:rFonts w:hint="eastAsia"/>
                <w:color w:val="auto"/>
                <w:sz w:val="28"/>
              </w:rPr>
              <w:fldChar w:fldCharType="separate"/>
            </w:r>
            <w:r>
              <w:rPr>
                <w:rFonts w:hint="eastAsia"/>
                <w:color w:val="auto"/>
                <w:sz w:val="28"/>
              </w:rPr>
              <w:t>根据《重庆市人民政府批转重庆市地表水环境功能类别调整方案的通知》（渝府发〔2012〕4号文，桥头河无水功能，桥头河入河口长江上游1000m和下游1000m划分为Ⅲ类水域，执行《地表水环境质量标准》（GB3838-2002）Ⅲ类水域标准。</w:t>
            </w:r>
            <w:r>
              <w:rPr>
                <w:rFonts w:hint="eastAsia"/>
                <w:color w:val="auto"/>
                <w:sz w:val="28"/>
              </w:rPr>
              <w:fldChar w:fldCharType="end"/>
            </w:r>
          </w:p>
          <w:p w14:paraId="3C847720">
            <w:pPr>
              <w:ind w:firstLine="560"/>
              <w:rPr>
                <w:color w:val="auto"/>
                <w:sz w:val="28"/>
              </w:rPr>
            </w:pPr>
            <w:r>
              <w:rPr>
                <w:rFonts w:hint="eastAsia"/>
                <w:color w:val="auto"/>
                <w:sz w:val="28"/>
              </w:rPr>
              <w:t>根据《2024年重庆市生态环境状况公报》：“2024年，全市地表水总体水质为优，238个监测断面中I~</w:t>
            </w:r>
            <w:r>
              <w:rPr>
                <w:rFonts w:hint="eastAsia"/>
                <w:color w:val="auto"/>
                <w:sz w:val="28"/>
                <w:lang w:eastAsia="zh-CN"/>
              </w:rPr>
              <w:t>Ⅲ类</w:t>
            </w:r>
            <w:r>
              <w:rPr>
                <w:rFonts w:hint="eastAsia"/>
                <w:color w:val="auto"/>
                <w:sz w:val="28"/>
              </w:rPr>
              <w:t>水质的断面比例为97.5%，水质满足水域功能要求的断面比例为99.2%。74个国控考核断面水质优良比例为100%。长江干流重庆段水质为优，20个监测断面水质均为</w:t>
            </w:r>
            <w:r>
              <w:rPr>
                <w:rFonts w:hint="eastAsia"/>
                <w:color w:val="auto"/>
                <w:sz w:val="28"/>
                <w:lang w:eastAsia="zh-CN"/>
              </w:rPr>
              <w:t>Ⅱ类</w:t>
            </w:r>
            <w:r>
              <w:rPr>
                <w:rFonts w:hint="eastAsia"/>
                <w:color w:val="auto"/>
                <w:sz w:val="28"/>
              </w:rPr>
              <w:t>。”由此可知，项目所在地地表水环境质量现状良好</w:t>
            </w:r>
            <w:r>
              <w:rPr>
                <w:color w:val="auto"/>
                <w:sz w:val="28"/>
              </w:rPr>
              <w:t>。</w:t>
            </w:r>
          </w:p>
          <w:p w14:paraId="488203C9">
            <w:pPr>
              <w:pStyle w:val="53"/>
              <w:spacing w:before="120"/>
              <w:rPr>
                <w:rFonts w:ascii="仿宋" w:hAnsi="仿宋"/>
                <w:color w:val="auto"/>
                <w:sz w:val="28"/>
              </w:rPr>
            </w:pPr>
            <w:r>
              <w:rPr>
                <w:rFonts w:ascii="仿宋" w:hAnsi="仿宋"/>
                <w:color w:val="auto"/>
                <w:sz w:val="28"/>
              </w:rPr>
              <w:t>3.</w:t>
            </w:r>
            <w:r>
              <w:rPr>
                <w:rFonts w:hint="eastAsia" w:ascii="仿宋" w:hAnsi="仿宋"/>
                <w:color w:val="auto"/>
                <w:sz w:val="28"/>
              </w:rPr>
              <w:t>声环境质量现状</w:t>
            </w:r>
          </w:p>
          <w:p w14:paraId="6E5B9F20">
            <w:pPr>
              <w:ind w:firstLine="560"/>
              <w:rPr>
                <w:color w:val="auto"/>
                <w:sz w:val="28"/>
              </w:rPr>
            </w:pPr>
            <w:r>
              <w:rPr>
                <w:rFonts w:hint="eastAsia"/>
                <w:color w:val="auto"/>
                <w:sz w:val="28"/>
              </w:rPr>
              <w:t>本项目厂界外周边50m范围内不存在声环境保护目标，根据《建设项目环境影响报告表编制技术指南（污染影响类）（试行）》，本项目不进行保护目标声环境质量现状评价。</w:t>
            </w:r>
          </w:p>
          <w:p w14:paraId="229BBBD7">
            <w:pPr>
              <w:pStyle w:val="53"/>
              <w:spacing w:before="120"/>
              <w:rPr>
                <w:rFonts w:ascii="仿宋" w:hAnsi="仿宋"/>
                <w:color w:val="auto"/>
                <w:sz w:val="28"/>
                <w:lang w:val="en-US"/>
              </w:rPr>
            </w:pPr>
            <w:r>
              <w:rPr>
                <w:rFonts w:ascii="仿宋" w:hAnsi="仿宋"/>
                <w:color w:val="auto"/>
                <w:sz w:val="28"/>
              </w:rPr>
              <w:t>4.</w:t>
            </w:r>
            <w:r>
              <w:rPr>
                <w:rFonts w:hint="eastAsia" w:ascii="仿宋" w:hAnsi="仿宋"/>
                <w:color w:val="auto"/>
                <w:sz w:val="28"/>
              </w:rPr>
              <w:t>生态环境</w:t>
            </w:r>
          </w:p>
          <w:p w14:paraId="1214DDC1">
            <w:pPr>
              <w:ind w:firstLine="560"/>
              <w:rPr>
                <w:color w:val="auto"/>
                <w:sz w:val="28"/>
              </w:rPr>
            </w:pPr>
            <w:r>
              <w:rPr>
                <w:rFonts w:hint="eastAsia"/>
                <w:color w:val="auto"/>
                <w:sz w:val="28"/>
              </w:rPr>
              <w:t>本项目位于</w:t>
            </w:r>
            <w:r>
              <w:rPr>
                <w:rFonts w:hint="eastAsia"/>
                <w:color w:val="auto"/>
                <w:sz w:val="28"/>
                <w:lang w:eastAsia="zh-CN"/>
              </w:rPr>
              <w:t>九龙坡区西彭</w:t>
            </w:r>
            <w:r>
              <w:rPr>
                <w:rFonts w:hint="eastAsia"/>
                <w:color w:val="auto"/>
                <w:sz w:val="28"/>
              </w:rPr>
              <w:t>组团，所在地块为</w:t>
            </w:r>
            <w:r>
              <w:rPr>
                <w:rFonts w:hint="eastAsia"/>
                <w:color w:val="auto"/>
                <w:sz w:val="28"/>
                <w:szCs w:val="28"/>
                <w:lang w:val="en-US" w:eastAsia="zh-CN"/>
              </w:rPr>
              <w:t>物流仓储用地</w:t>
            </w:r>
            <w:r>
              <w:rPr>
                <w:rFonts w:hint="eastAsia"/>
                <w:color w:val="auto"/>
                <w:sz w:val="28"/>
                <w:lang w:val="en-US" w:eastAsia="zh-CN"/>
              </w:rPr>
              <w:t>/</w:t>
            </w:r>
            <w:r>
              <w:rPr>
                <w:rFonts w:hint="eastAsia"/>
                <w:color w:val="auto"/>
                <w:sz w:val="28"/>
              </w:rPr>
              <w:t>工业用地，用地范围内无生态环境保护目标。根据《建设项目环境影响报告表编制技术指南（污染影响类）（试行）》相关规定，可不开展生态现状调查。</w:t>
            </w:r>
          </w:p>
          <w:p w14:paraId="22176B9D">
            <w:pPr>
              <w:pStyle w:val="53"/>
              <w:spacing w:before="120"/>
              <w:rPr>
                <w:rFonts w:ascii="仿宋" w:hAnsi="仿宋"/>
                <w:color w:val="auto"/>
                <w:sz w:val="28"/>
                <w:lang w:val="en-US"/>
              </w:rPr>
            </w:pPr>
            <w:r>
              <w:rPr>
                <w:rFonts w:ascii="仿宋" w:hAnsi="仿宋"/>
                <w:color w:val="auto"/>
                <w:sz w:val="28"/>
              </w:rPr>
              <w:t>5.</w:t>
            </w:r>
            <w:r>
              <w:rPr>
                <w:rFonts w:hint="eastAsia" w:ascii="仿宋" w:hAnsi="仿宋"/>
                <w:color w:val="auto"/>
                <w:sz w:val="28"/>
              </w:rPr>
              <w:t>地下水、土壤环境现状</w:t>
            </w:r>
          </w:p>
          <w:p w14:paraId="1BCC388D">
            <w:pPr>
              <w:ind w:firstLine="560"/>
              <w:rPr>
                <w:rFonts w:hint="eastAsia"/>
                <w:color w:val="auto"/>
                <w:sz w:val="28"/>
              </w:rPr>
            </w:pPr>
            <w:r>
              <w:rPr>
                <w:rFonts w:hint="eastAsia"/>
                <w:color w:val="auto"/>
                <w:sz w:val="28"/>
              </w:rPr>
              <w:t>根据《建设项目环境影响报告表编制技术指南（污染影响类）（试行）》，地下水、土壤原则上不开展环境质量现状调查。建设项目存在土壤、地下水环境污染途径的，应结合污染源、保护目标分布情况开展现状调查以留作背景值。</w:t>
            </w:r>
          </w:p>
          <w:p w14:paraId="58615E93">
            <w:pPr>
              <w:ind w:firstLine="560"/>
              <w:rPr>
                <w:color w:val="auto"/>
              </w:rPr>
            </w:pPr>
            <w:r>
              <w:rPr>
                <w:rFonts w:hint="eastAsia"/>
                <w:color w:val="auto"/>
                <w:sz w:val="28"/>
              </w:rPr>
              <w:t>本项目采取了分区防渗和防泄漏措施，化学品</w:t>
            </w:r>
            <w:r>
              <w:rPr>
                <w:rFonts w:hint="eastAsia"/>
                <w:color w:val="auto"/>
                <w:sz w:val="28"/>
                <w:lang w:eastAsia="zh-CN"/>
              </w:rPr>
              <w:t>暂存区</w:t>
            </w:r>
            <w:r>
              <w:rPr>
                <w:rFonts w:hint="eastAsia"/>
                <w:color w:val="auto"/>
                <w:sz w:val="28"/>
              </w:rPr>
              <w:t>、危险废物贮存</w:t>
            </w:r>
            <w:r>
              <w:rPr>
                <w:rFonts w:hint="eastAsia"/>
                <w:color w:val="auto"/>
                <w:sz w:val="28"/>
                <w:lang w:eastAsia="zh-CN"/>
              </w:rPr>
              <w:t>点、涂胶区</w:t>
            </w:r>
            <w:r>
              <w:rPr>
                <w:rFonts w:hint="eastAsia"/>
                <w:color w:val="auto"/>
                <w:sz w:val="28"/>
              </w:rPr>
              <w:t>进行重点防渗处理，</w:t>
            </w:r>
            <w:r>
              <w:rPr>
                <w:rFonts w:hint="eastAsia"/>
                <w:color w:val="auto"/>
                <w:sz w:val="28"/>
                <w:lang w:eastAsia="zh-CN"/>
              </w:rPr>
              <w:t>其他</w:t>
            </w:r>
            <w:r>
              <w:rPr>
                <w:rFonts w:hint="eastAsia"/>
                <w:color w:val="auto"/>
                <w:sz w:val="28"/>
              </w:rPr>
              <w:t>生产区域进行一般防渗处理，</w:t>
            </w:r>
            <w:r>
              <w:rPr>
                <w:rFonts w:hint="eastAsia"/>
                <w:i/>
                <w:iCs/>
                <w:color w:val="auto"/>
                <w:sz w:val="28"/>
                <w:lang w:eastAsia="zh-CN"/>
              </w:rPr>
              <w:t>办公区、原材料堆放区、成品暂存区为简单防渗区，</w:t>
            </w:r>
            <w:r>
              <w:rPr>
                <w:rFonts w:hint="eastAsia"/>
                <w:color w:val="auto"/>
                <w:sz w:val="28"/>
              </w:rPr>
              <w:t>同时化学品</w:t>
            </w:r>
            <w:r>
              <w:rPr>
                <w:rFonts w:hint="eastAsia"/>
                <w:color w:val="auto"/>
                <w:sz w:val="28"/>
                <w:lang w:eastAsia="zh-CN"/>
              </w:rPr>
              <w:t>暂存区</w:t>
            </w:r>
            <w:r>
              <w:rPr>
                <w:rFonts w:hint="eastAsia"/>
                <w:color w:val="auto"/>
                <w:sz w:val="28"/>
              </w:rPr>
              <w:t>、危险废物贮存</w:t>
            </w:r>
            <w:r>
              <w:rPr>
                <w:rFonts w:hint="eastAsia"/>
                <w:color w:val="auto"/>
                <w:sz w:val="28"/>
                <w:lang w:eastAsia="zh-CN"/>
              </w:rPr>
              <w:t>点</w:t>
            </w:r>
            <w:r>
              <w:rPr>
                <w:rFonts w:hint="eastAsia"/>
                <w:color w:val="auto"/>
                <w:sz w:val="28"/>
              </w:rPr>
              <w:t>设置托盘或截流沟和收集井。因此，正常情况下不存在土壤、地下水环境污染途径，并且项目评价范围内不涉及地下水环境保护目标、不涉及土壤环境敏感目标。因此，本次评价不进行地下水、土壤环境质量现状评价。</w:t>
            </w:r>
          </w:p>
        </w:tc>
      </w:tr>
      <w:tr w14:paraId="78AF2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99" w:type="dxa"/>
            <w:vAlign w:val="center"/>
          </w:tcPr>
          <w:p w14:paraId="7AF114A4">
            <w:pPr>
              <w:pStyle w:val="49"/>
              <w:rPr>
                <w:color w:val="auto"/>
              </w:rPr>
            </w:pPr>
            <w:r>
              <w:rPr>
                <w:rFonts w:hint="eastAsia"/>
                <w:color w:val="auto"/>
                <w:sz w:val="28"/>
              </w:rPr>
              <w:t>环境保护目标</w:t>
            </w:r>
          </w:p>
        </w:tc>
        <w:tc>
          <w:tcPr>
            <w:tcW w:w="8291" w:type="dxa"/>
            <w:vAlign w:val="center"/>
          </w:tcPr>
          <w:p w14:paraId="3058A636">
            <w:pPr>
              <w:pStyle w:val="53"/>
              <w:spacing w:before="120"/>
              <w:rPr>
                <w:rFonts w:ascii="仿宋" w:hAnsi="仿宋"/>
                <w:color w:val="auto"/>
                <w:sz w:val="28"/>
              </w:rPr>
            </w:pPr>
            <w:r>
              <w:rPr>
                <w:rFonts w:ascii="仿宋" w:hAnsi="仿宋"/>
                <w:color w:val="auto"/>
                <w:sz w:val="28"/>
              </w:rPr>
              <w:t>1.</w:t>
            </w:r>
            <w:r>
              <w:rPr>
                <w:rFonts w:hint="eastAsia" w:ascii="仿宋" w:hAnsi="仿宋"/>
                <w:color w:val="auto"/>
                <w:sz w:val="28"/>
              </w:rPr>
              <w:t>大气环境保护目标</w:t>
            </w:r>
          </w:p>
          <w:p w14:paraId="37ACDC3C">
            <w:pPr>
              <w:ind w:firstLine="560"/>
              <w:rPr>
                <w:color w:val="auto"/>
                <w:sz w:val="28"/>
              </w:rPr>
            </w:pPr>
            <w:r>
              <w:rPr>
                <w:rFonts w:hint="eastAsia"/>
                <w:color w:val="auto"/>
                <w:sz w:val="28"/>
              </w:rPr>
              <w:t>本项目位于重庆市九龙坡区西彭镇森迪大道139号3号楼2层和3层，用地属性为</w:t>
            </w:r>
            <w:r>
              <w:rPr>
                <w:rFonts w:hint="eastAsia"/>
                <w:color w:val="auto"/>
                <w:sz w:val="28"/>
                <w:szCs w:val="28"/>
                <w:lang w:val="en-US" w:eastAsia="zh-CN"/>
              </w:rPr>
              <w:t>物流仓储用地</w:t>
            </w:r>
            <w:r>
              <w:rPr>
                <w:rFonts w:hint="eastAsia"/>
                <w:color w:val="auto"/>
                <w:sz w:val="28"/>
                <w:lang w:val="en-US" w:eastAsia="zh-CN"/>
              </w:rPr>
              <w:t>/</w:t>
            </w:r>
            <w:r>
              <w:rPr>
                <w:rFonts w:hint="eastAsia"/>
                <w:color w:val="auto"/>
                <w:sz w:val="28"/>
              </w:rPr>
              <w:t>工业用地。根据现场调查，本项目厂界外500m范围内有工业企业，项目周边外环境关系见表3-4。</w:t>
            </w:r>
          </w:p>
          <w:p w14:paraId="0C3592E6">
            <w:pPr>
              <w:pStyle w:val="75"/>
              <w:rPr>
                <w:color w:val="auto"/>
              </w:rPr>
            </w:pPr>
            <w:r>
              <w:rPr>
                <w:rFonts w:hint="eastAsia"/>
                <w:color w:val="auto"/>
                <w:sz w:val="24"/>
              </w:rPr>
              <w:t>表3-4项目外环境关系一览表</w:t>
            </w:r>
          </w:p>
          <w:tbl>
            <w:tblPr>
              <w:tblStyle w:val="3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2835"/>
              <w:gridCol w:w="709"/>
              <w:gridCol w:w="850"/>
              <w:gridCol w:w="2948"/>
            </w:tblGrid>
            <w:tr w14:paraId="4AB5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3A4974C3">
                  <w:pPr>
                    <w:pStyle w:val="48"/>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2835" w:type="dxa"/>
                  <w:vAlign w:val="center"/>
                </w:tcPr>
                <w:p w14:paraId="2B55D020">
                  <w:pPr>
                    <w:pStyle w:val="48"/>
                    <w:rPr>
                      <w:rFonts w:hint="eastAsia" w:ascii="仿宋" w:hAnsi="仿宋" w:eastAsia="仿宋" w:cs="仿宋"/>
                      <w:color w:val="auto"/>
                      <w:sz w:val="24"/>
                      <w:szCs w:val="24"/>
                    </w:rPr>
                  </w:pPr>
                  <w:r>
                    <w:rPr>
                      <w:rFonts w:hint="eastAsia" w:ascii="仿宋" w:hAnsi="仿宋" w:eastAsia="仿宋" w:cs="仿宋"/>
                      <w:color w:val="auto"/>
                      <w:sz w:val="24"/>
                      <w:szCs w:val="24"/>
                    </w:rPr>
                    <w:t>名称</w:t>
                  </w:r>
                </w:p>
              </w:tc>
              <w:tc>
                <w:tcPr>
                  <w:tcW w:w="709" w:type="dxa"/>
                  <w:vAlign w:val="center"/>
                </w:tcPr>
                <w:p w14:paraId="5E2C78BB">
                  <w:pPr>
                    <w:pStyle w:val="48"/>
                    <w:rPr>
                      <w:rFonts w:hint="eastAsia" w:ascii="仿宋" w:hAnsi="仿宋" w:eastAsia="仿宋" w:cs="仿宋"/>
                      <w:color w:val="auto"/>
                      <w:sz w:val="24"/>
                      <w:szCs w:val="24"/>
                    </w:rPr>
                  </w:pPr>
                  <w:r>
                    <w:rPr>
                      <w:rFonts w:hint="eastAsia" w:ascii="仿宋" w:hAnsi="仿宋" w:eastAsia="仿宋" w:cs="仿宋"/>
                      <w:color w:val="auto"/>
                      <w:sz w:val="24"/>
                      <w:szCs w:val="24"/>
                    </w:rPr>
                    <w:t>相对方位</w:t>
                  </w:r>
                </w:p>
              </w:tc>
              <w:tc>
                <w:tcPr>
                  <w:tcW w:w="850" w:type="dxa"/>
                  <w:vAlign w:val="center"/>
                </w:tcPr>
                <w:p w14:paraId="35C0C037">
                  <w:pPr>
                    <w:pStyle w:val="48"/>
                    <w:rPr>
                      <w:rFonts w:hint="eastAsia" w:ascii="仿宋" w:hAnsi="仿宋" w:eastAsia="仿宋" w:cs="仿宋"/>
                      <w:color w:val="auto"/>
                      <w:sz w:val="24"/>
                      <w:szCs w:val="24"/>
                    </w:rPr>
                  </w:pPr>
                  <w:r>
                    <w:rPr>
                      <w:rFonts w:hint="eastAsia" w:ascii="仿宋" w:hAnsi="仿宋" w:eastAsia="仿宋" w:cs="仿宋"/>
                      <w:color w:val="auto"/>
                      <w:sz w:val="24"/>
                      <w:szCs w:val="24"/>
                    </w:rPr>
                    <w:t>距离m</w:t>
                  </w:r>
                </w:p>
              </w:tc>
              <w:tc>
                <w:tcPr>
                  <w:tcW w:w="2948" w:type="dxa"/>
                  <w:vAlign w:val="center"/>
                </w:tcPr>
                <w:p w14:paraId="50AE814F">
                  <w:pPr>
                    <w:pStyle w:val="48"/>
                    <w:rPr>
                      <w:rFonts w:hint="eastAsia" w:ascii="仿宋" w:hAnsi="仿宋" w:eastAsia="仿宋" w:cs="仿宋"/>
                      <w:color w:val="auto"/>
                      <w:sz w:val="24"/>
                      <w:szCs w:val="24"/>
                    </w:rPr>
                  </w:pPr>
                  <w:r>
                    <w:rPr>
                      <w:rFonts w:hint="eastAsia" w:ascii="仿宋" w:hAnsi="仿宋" w:eastAsia="仿宋" w:cs="仿宋"/>
                      <w:color w:val="auto"/>
                      <w:sz w:val="24"/>
                      <w:szCs w:val="24"/>
                    </w:rPr>
                    <w:t>备注</w:t>
                  </w:r>
                </w:p>
              </w:tc>
            </w:tr>
            <w:tr w14:paraId="6137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27F14EF6">
                  <w:pPr>
                    <w:pStyle w:val="48"/>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835" w:type="dxa"/>
                  <w:vAlign w:val="center"/>
                </w:tcPr>
                <w:p w14:paraId="6E268138">
                  <w:pPr>
                    <w:pStyle w:val="48"/>
                    <w:rPr>
                      <w:rFonts w:hint="eastAsia" w:ascii="仿宋" w:hAnsi="仿宋" w:eastAsia="仿宋" w:cs="仿宋"/>
                      <w:color w:val="auto"/>
                      <w:sz w:val="24"/>
                      <w:szCs w:val="24"/>
                    </w:rPr>
                  </w:pPr>
                  <w:r>
                    <w:rPr>
                      <w:rFonts w:hint="eastAsia" w:ascii="仿宋" w:hAnsi="仿宋" w:eastAsia="仿宋" w:cs="仿宋"/>
                      <w:color w:val="auto"/>
                      <w:sz w:val="24"/>
                      <w:szCs w:val="24"/>
                    </w:rPr>
                    <w:t>重庆惠才板材有限公司</w:t>
                  </w:r>
                </w:p>
              </w:tc>
              <w:tc>
                <w:tcPr>
                  <w:tcW w:w="709" w:type="dxa"/>
                  <w:vAlign w:val="center"/>
                </w:tcPr>
                <w:p w14:paraId="7F1B0796">
                  <w:pPr>
                    <w:pStyle w:val="48"/>
                    <w:rPr>
                      <w:rFonts w:hint="eastAsia" w:ascii="仿宋" w:hAnsi="仿宋" w:eastAsia="仿宋" w:cs="仿宋"/>
                      <w:color w:val="auto"/>
                      <w:sz w:val="24"/>
                      <w:szCs w:val="24"/>
                    </w:rPr>
                  </w:pPr>
                  <w:r>
                    <w:rPr>
                      <w:rFonts w:hint="eastAsia" w:ascii="仿宋" w:hAnsi="仿宋" w:eastAsia="仿宋" w:cs="仿宋"/>
                      <w:color w:val="auto"/>
                      <w:sz w:val="24"/>
                      <w:szCs w:val="24"/>
                    </w:rPr>
                    <w:t>N</w:t>
                  </w:r>
                </w:p>
              </w:tc>
              <w:tc>
                <w:tcPr>
                  <w:tcW w:w="850" w:type="dxa"/>
                  <w:vAlign w:val="center"/>
                </w:tcPr>
                <w:p w14:paraId="37FC9125">
                  <w:pPr>
                    <w:pStyle w:val="48"/>
                    <w:rPr>
                      <w:rFonts w:hint="eastAsia" w:ascii="仿宋" w:hAnsi="仿宋" w:eastAsia="仿宋" w:cs="仿宋"/>
                      <w:color w:val="auto"/>
                      <w:sz w:val="24"/>
                      <w:szCs w:val="24"/>
                    </w:rPr>
                  </w:pPr>
                  <w:r>
                    <w:rPr>
                      <w:rFonts w:hint="eastAsia" w:ascii="仿宋" w:hAnsi="仿宋" w:eastAsia="仿宋" w:cs="仿宋"/>
                      <w:color w:val="auto"/>
                      <w:sz w:val="24"/>
                      <w:szCs w:val="24"/>
                    </w:rPr>
                    <w:t>紧邻</w:t>
                  </w:r>
                </w:p>
              </w:tc>
              <w:tc>
                <w:tcPr>
                  <w:tcW w:w="2948" w:type="dxa"/>
                  <w:vAlign w:val="center"/>
                </w:tcPr>
                <w:p w14:paraId="241B0150">
                  <w:pPr>
                    <w:pStyle w:val="48"/>
                    <w:rPr>
                      <w:rFonts w:hint="eastAsia" w:ascii="仿宋" w:hAnsi="仿宋" w:eastAsia="仿宋" w:cs="仿宋"/>
                      <w:color w:val="auto"/>
                      <w:sz w:val="24"/>
                      <w:szCs w:val="24"/>
                    </w:rPr>
                  </w:pPr>
                  <w:r>
                    <w:rPr>
                      <w:rFonts w:hint="eastAsia" w:ascii="仿宋" w:hAnsi="仿宋" w:eastAsia="仿宋" w:cs="仿宋"/>
                      <w:color w:val="auto"/>
                      <w:sz w:val="24"/>
                      <w:szCs w:val="24"/>
                    </w:rPr>
                    <w:t>人造板制造；货物进出口；人造板销售；家具制造；家具销售；建筑材料销售；门窗销售；门窗制造加工</w:t>
                  </w:r>
                </w:p>
              </w:tc>
            </w:tr>
            <w:tr w14:paraId="4895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43976DC4">
                  <w:pPr>
                    <w:pStyle w:val="48"/>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835" w:type="dxa"/>
                  <w:vAlign w:val="center"/>
                </w:tcPr>
                <w:p w14:paraId="01C0E47F">
                  <w:pPr>
                    <w:pStyle w:val="48"/>
                    <w:rPr>
                      <w:rFonts w:hint="eastAsia" w:ascii="仿宋" w:hAnsi="仿宋" w:eastAsia="仿宋" w:cs="仿宋"/>
                      <w:color w:val="auto"/>
                      <w:sz w:val="24"/>
                      <w:szCs w:val="24"/>
                    </w:rPr>
                  </w:pPr>
                  <w:r>
                    <w:rPr>
                      <w:rFonts w:hint="eastAsia" w:ascii="仿宋" w:hAnsi="仿宋" w:eastAsia="仿宋" w:cs="仿宋"/>
                      <w:color w:val="auto"/>
                      <w:sz w:val="24"/>
                      <w:szCs w:val="24"/>
                    </w:rPr>
                    <w:t>九龙坡区景达家具经营部</w:t>
                  </w:r>
                </w:p>
              </w:tc>
              <w:tc>
                <w:tcPr>
                  <w:tcW w:w="709" w:type="dxa"/>
                  <w:vAlign w:val="center"/>
                </w:tcPr>
                <w:p w14:paraId="49CBA2E1">
                  <w:pPr>
                    <w:pStyle w:val="48"/>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N</w:t>
                  </w:r>
                </w:p>
              </w:tc>
              <w:tc>
                <w:tcPr>
                  <w:tcW w:w="850" w:type="dxa"/>
                  <w:vAlign w:val="center"/>
                </w:tcPr>
                <w:p w14:paraId="157B626F">
                  <w:pPr>
                    <w:pStyle w:val="48"/>
                    <w:rPr>
                      <w:rFonts w:hint="eastAsia" w:ascii="仿宋" w:hAnsi="仿宋" w:eastAsia="仿宋" w:cs="仿宋"/>
                      <w:color w:val="auto"/>
                      <w:sz w:val="24"/>
                      <w:szCs w:val="24"/>
                    </w:rPr>
                  </w:pPr>
                  <w:r>
                    <w:rPr>
                      <w:rFonts w:hint="eastAsia" w:ascii="仿宋" w:hAnsi="仿宋" w:eastAsia="仿宋" w:cs="仿宋"/>
                      <w:color w:val="auto"/>
                      <w:sz w:val="24"/>
                      <w:szCs w:val="24"/>
                    </w:rPr>
                    <w:t>紧邻</w:t>
                  </w:r>
                </w:p>
              </w:tc>
              <w:tc>
                <w:tcPr>
                  <w:tcW w:w="2948" w:type="dxa"/>
                  <w:vAlign w:val="center"/>
                </w:tcPr>
                <w:p w14:paraId="37995B9B">
                  <w:pPr>
                    <w:pStyle w:val="48"/>
                    <w:rPr>
                      <w:rFonts w:hint="eastAsia" w:ascii="仿宋" w:hAnsi="仿宋" w:eastAsia="仿宋" w:cs="仿宋"/>
                      <w:color w:val="auto"/>
                      <w:sz w:val="24"/>
                      <w:szCs w:val="24"/>
                    </w:rPr>
                  </w:pPr>
                  <w:r>
                    <w:rPr>
                      <w:rFonts w:hint="eastAsia" w:ascii="仿宋" w:hAnsi="仿宋" w:eastAsia="仿宋" w:cs="仿宋"/>
                      <w:color w:val="auto"/>
                      <w:sz w:val="24"/>
                      <w:szCs w:val="24"/>
                    </w:rPr>
                    <w:t>家具销售；家具安装和维修服务</w:t>
                  </w:r>
                </w:p>
              </w:tc>
            </w:tr>
            <w:tr w14:paraId="01A1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66624DAA">
                  <w:pPr>
                    <w:pStyle w:val="48"/>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2835" w:type="dxa"/>
                  <w:vAlign w:val="center"/>
                </w:tcPr>
                <w:p w14:paraId="0AC5AB7F">
                  <w:pPr>
                    <w:pStyle w:val="48"/>
                    <w:rPr>
                      <w:rFonts w:hint="eastAsia" w:ascii="仿宋" w:hAnsi="仿宋" w:eastAsia="仿宋" w:cs="仿宋"/>
                      <w:color w:val="auto"/>
                      <w:sz w:val="24"/>
                      <w:szCs w:val="24"/>
                      <w:highlight w:val="none"/>
                      <w:lang w:eastAsia="zh-CN"/>
                    </w:rPr>
                  </w:pPr>
                  <w:r>
                    <w:rPr>
                      <w:rFonts w:hint="eastAsia" w:cs="仿宋"/>
                      <w:color w:val="auto"/>
                      <w:sz w:val="24"/>
                      <w:szCs w:val="24"/>
                      <w:highlight w:val="none"/>
                      <w:lang w:eastAsia="zh-CN"/>
                    </w:rPr>
                    <w:t>盛德佳发泡车间</w:t>
                  </w:r>
                </w:p>
              </w:tc>
              <w:tc>
                <w:tcPr>
                  <w:tcW w:w="709" w:type="dxa"/>
                  <w:vAlign w:val="center"/>
                </w:tcPr>
                <w:p w14:paraId="5E5BCF02">
                  <w:pPr>
                    <w:pStyle w:val="4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w:t>
                  </w:r>
                </w:p>
              </w:tc>
              <w:tc>
                <w:tcPr>
                  <w:tcW w:w="850" w:type="dxa"/>
                  <w:vAlign w:val="center"/>
                </w:tcPr>
                <w:p w14:paraId="7BFE8CDB">
                  <w:pPr>
                    <w:pStyle w:val="4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紧邻</w:t>
                  </w:r>
                </w:p>
              </w:tc>
              <w:tc>
                <w:tcPr>
                  <w:tcW w:w="2948" w:type="dxa"/>
                  <w:vAlign w:val="center"/>
                </w:tcPr>
                <w:p w14:paraId="1F7C73DD">
                  <w:pPr>
                    <w:pStyle w:val="48"/>
                    <w:rPr>
                      <w:rFonts w:hint="eastAsia" w:ascii="仿宋" w:hAnsi="仿宋" w:eastAsia="仿宋" w:cs="仿宋"/>
                      <w:color w:val="auto"/>
                      <w:sz w:val="24"/>
                      <w:szCs w:val="24"/>
                      <w:lang w:eastAsia="zh-CN"/>
                    </w:rPr>
                  </w:pPr>
                  <w:r>
                    <w:rPr>
                      <w:rFonts w:hint="eastAsia" w:cs="仿宋"/>
                      <w:color w:val="auto"/>
                      <w:sz w:val="24"/>
                      <w:szCs w:val="24"/>
                      <w:lang w:eastAsia="zh-CN"/>
                    </w:rPr>
                    <w:t>发泡</w:t>
                  </w:r>
                </w:p>
              </w:tc>
            </w:tr>
            <w:tr w14:paraId="1FCA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72891A17">
                  <w:pPr>
                    <w:pStyle w:val="48"/>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2835" w:type="dxa"/>
                  <w:vAlign w:val="center"/>
                </w:tcPr>
                <w:p w14:paraId="7360F156">
                  <w:pPr>
                    <w:pStyle w:val="48"/>
                    <w:rPr>
                      <w:rFonts w:hint="eastAsia" w:ascii="仿宋" w:hAnsi="仿宋" w:eastAsia="仿宋" w:cs="仿宋"/>
                      <w:color w:val="auto"/>
                      <w:sz w:val="24"/>
                      <w:szCs w:val="24"/>
                      <w:highlight w:val="yellow"/>
                      <w:lang w:eastAsia="zh-CN"/>
                    </w:rPr>
                  </w:pPr>
                  <w:r>
                    <w:rPr>
                      <w:rFonts w:hint="eastAsia" w:ascii="仿宋" w:hAnsi="仿宋" w:eastAsia="仿宋" w:cs="仿宋"/>
                      <w:color w:val="auto"/>
                      <w:sz w:val="24"/>
                      <w:szCs w:val="24"/>
                    </w:rPr>
                    <w:t>重庆盛德佳工贸有限公司</w:t>
                  </w:r>
                </w:p>
              </w:tc>
              <w:tc>
                <w:tcPr>
                  <w:tcW w:w="709" w:type="dxa"/>
                  <w:vAlign w:val="center"/>
                </w:tcPr>
                <w:p w14:paraId="24CBCF4F">
                  <w:pPr>
                    <w:pStyle w:val="48"/>
                    <w:rPr>
                      <w:rFonts w:hint="eastAsia" w:ascii="仿宋" w:hAnsi="仿宋" w:eastAsia="仿宋" w:cs="仿宋"/>
                      <w:color w:val="auto"/>
                      <w:sz w:val="24"/>
                      <w:szCs w:val="24"/>
                    </w:rPr>
                  </w:pPr>
                  <w:r>
                    <w:rPr>
                      <w:rFonts w:hint="eastAsia" w:ascii="仿宋" w:hAnsi="仿宋" w:eastAsia="仿宋" w:cs="仿宋"/>
                      <w:color w:val="auto"/>
                      <w:sz w:val="24"/>
                      <w:szCs w:val="24"/>
                    </w:rPr>
                    <w:t>S</w:t>
                  </w:r>
                </w:p>
              </w:tc>
              <w:tc>
                <w:tcPr>
                  <w:tcW w:w="850" w:type="dxa"/>
                  <w:vAlign w:val="center"/>
                </w:tcPr>
                <w:p w14:paraId="6315ADD5">
                  <w:pPr>
                    <w:pStyle w:val="48"/>
                    <w:rPr>
                      <w:rFonts w:hint="eastAsia" w:ascii="仿宋" w:hAnsi="仿宋" w:eastAsia="仿宋" w:cs="仿宋"/>
                      <w:color w:val="auto"/>
                      <w:sz w:val="24"/>
                      <w:szCs w:val="24"/>
                    </w:rPr>
                  </w:pPr>
                  <w:r>
                    <w:rPr>
                      <w:rFonts w:hint="eastAsia" w:ascii="仿宋" w:hAnsi="仿宋" w:eastAsia="仿宋" w:cs="仿宋"/>
                      <w:color w:val="auto"/>
                      <w:sz w:val="24"/>
                      <w:szCs w:val="24"/>
                    </w:rPr>
                    <w:t>紧邻</w:t>
                  </w:r>
                </w:p>
              </w:tc>
              <w:tc>
                <w:tcPr>
                  <w:tcW w:w="2948" w:type="dxa"/>
                  <w:vAlign w:val="center"/>
                </w:tcPr>
                <w:p w14:paraId="4467E2A3">
                  <w:pPr>
                    <w:pStyle w:val="48"/>
                    <w:rPr>
                      <w:rFonts w:hint="eastAsia" w:ascii="仿宋" w:hAnsi="仿宋" w:eastAsia="仿宋" w:cs="仿宋"/>
                      <w:color w:val="auto"/>
                      <w:sz w:val="24"/>
                      <w:szCs w:val="24"/>
                    </w:rPr>
                  </w:pPr>
                  <w:r>
                    <w:rPr>
                      <w:rFonts w:hint="eastAsia" w:ascii="仿宋" w:hAnsi="仿宋" w:eastAsia="仿宋" w:cs="仿宋"/>
                      <w:color w:val="auto"/>
                      <w:sz w:val="24"/>
                      <w:szCs w:val="24"/>
                    </w:rPr>
                    <w:t>日用百货销售；海绵制品制造；海绵制品销售；弹簧制造；弹簧销售；家具制造</w:t>
                  </w:r>
                </w:p>
              </w:tc>
            </w:tr>
            <w:tr w14:paraId="361E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4A3A2532">
                  <w:pPr>
                    <w:pStyle w:val="48"/>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2835" w:type="dxa"/>
                  <w:vAlign w:val="center"/>
                </w:tcPr>
                <w:p w14:paraId="2A47E93F">
                  <w:pPr>
                    <w:pStyle w:val="48"/>
                    <w:rPr>
                      <w:rFonts w:hint="eastAsia" w:ascii="仿宋" w:hAnsi="仿宋" w:eastAsia="仿宋" w:cs="仿宋"/>
                      <w:color w:val="auto"/>
                      <w:sz w:val="24"/>
                      <w:szCs w:val="24"/>
                      <w:highlight w:val="yellow"/>
                    </w:rPr>
                  </w:pPr>
                  <w:r>
                    <w:rPr>
                      <w:rFonts w:hint="eastAsia" w:ascii="仿宋" w:hAnsi="仿宋" w:eastAsia="仿宋" w:cs="仿宋"/>
                      <w:color w:val="auto"/>
                      <w:sz w:val="24"/>
                      <w:szCs w:val="24"/>
                      <w:highlight w:val="none"/>
                    </w:rPr>
                    <w:t>重庆中瑞电气有限公司</w:t>
                  </w:r>
                </w:p>
              </w:tc>
              <w:tc>
                <w:tcPr>
                  <w:tcW w:w="709" w:type="dxa"/>
                  <w:vAlign w:val="center"/>
                </w:tcPr>
                <w:p w14:paraId="46E3D0E5">
                  <w:pPr>
                    <w:pStyle w:val="48"/>
                    <w:rPr>
                      <w:rFonts w:hint="eastAsia" w:ascii="仿宋" w:hAnsi="仿宋" w:eastAsia="仿宋" w:cs="仿宋"/>
                      <w:color w:val="auto"/>
                      <w:sz w:val="24"/>
                      <w:szCs w:val="24"/>
                    </w:rPr>
                  </w:pPr>
                  <w:r>
                    <w:rPr>
                      <w:rFonts w:hint="eastAsia" w:ascii="仿宋" w:hAnsi="仿宋" w:eastAsia="仿宋" w:cs="仿宋"/>
                      <w:color w:val="auto"/>
                      <w:sz w:val="24"/>
                      <w:szCs w:val="24"/>
                    </w:rPr>
                    <w:t>E</w:t>
                  </w:r>
                </w:p>
              </w:tc>
              <w:tc>
                <w:tcPr>
                  <w:tcW w:w="850" w:type="dxa"/>
                  <w:vAlign w:val="center"/>
                </w:tcPr>
                <w:p w14:paraId="5959CB4C">
                  <w:pPr>
                    <w:pStyle w:val="4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2948" w:type="dxa"/>
                  <w:vAlign w:val="center"/>
                </w:tcPr>
                <w:p w14:paraId="6DB9E705">
                  <w:pPr>
                    <w:pStyle w:val="48"/>
                    <w:rPr>
                      <w:rFonts w:hint="eastAsia" w:ascii="仿宋" w:hAnsi="仿宋" w:eastAsia="仿宋" w:cs="仿宋"/>
                      <w:color w:val="auto"/>
                      <w:sz w:val="24"/>
                      <w:szCs w:val="24"/>
                    </w:rPr>
                  </w:pPr>
                  <w:r>
                    <w:rPr>
                      <w:rFonts w:hint="eastAsia" w:ascii="仿宋" w:hAnsi="仿宋" w:eastAsia="仿宋" w:cs="仿宋"/>
                      <w:color w:val="auto"/>
                      <w:sz w:val="24"/>
                      <w:szCs w:val="24"/>
                    </w:rPr>
                    <w:t>制造、销售：高低压成套开关设备、箱式变电站、电缆桥架、金属母线槽</w:t>
                  </w:r>
                </w:p>
              </w:tc>
            </w:tr>
            <w:tr w14:paraId="0655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51BA77C4">
                  <w:pPr>
                    <w:pStyle w:val="4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2835" w:type="dxa"/>
                  <w:vAlign w:val="center"/>
                </w:tcPr>
                <w:p w14:paraId="7827AFBE">
                  <w:pPr>
                    <w:pStyle w:val="4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鑫方盛重庆区域公司</w:t>
                  </w:r>
                  <w:r>
                    <w:rPr>
                      <w:rFonts w:hint="eastAsia" w:cs="仿宋"/>
                      <w:color w:val="auto"/>
                      <w:sz w:val="24"/>
                      <w:szCs w:val="24"/>
                      <w:highlight w:val="none"/>
                      <w:lang w:eastAsia="zh-CN"/>
                    </w:rPr>
                    <w:t>（</w:t>
                  </w:r>
                  <w:r>
                    <w:rPr>
                      <w:rFonts w:hint="eastAsia" w:ascii="仿宋" w:hAnsi="仿宋" w:eastAsia="仿宋" w:cs="仿宋"/>
                      <w:color w:val="auto"/>
                      <w:sz w:val="24"/>
                      <w:szCs w:val="24"/>
                      <w:highlight w:val="none"/>
                    </w:rPr>
                    <w:t>西彭分公司</w:t>
                  </w:r>
                  <w:r>
                    <w:rPr>
                      <w:rFonts w:hint="eastAsia" w:cs="仿宋"/>
                      <w:color w:val="auto"/>
                      <w:sz w:val="24"/>
                      <w:szCs w:val="24"/>
                      <w:highlight w:val="none"/>
                      <w:lang w:eastAsia="zh-CN"/>
                    </w:rPr>
                    <w:t>）</w:t>
                  </w:r>
                </w:p>
              </w:tc>
              <w:tc>
                <w:tcPr>
                  <w:tcW w:w="709" w:type="dxa"/>
                  <w:vAlign w:val="center"/>
                </w:tcPr>
                <w:p w14:paraId="5B62C636">
                  <w:pPr>
                    <w:pStyle w:val="4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S</w:t>
                  </w:r>
                </w:p>
              </w:tc>
              <w:tc>
                <w:tcPr>
                  <w:tcW w:w="850" w:type="dxa"/>
                  <w:vAlign w:val="center"/>
                </w:tcPr>
                <w:p w14:paraId="58FC6F8A">
                  <w:pPr>
                    <w:pStyle w:val="4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70</w:t>
                  </w:r>
                </w:p>
              </w:tc>
              <w:tc>
                <w:tcPr>
                  <w:tcW w:w="2948" w:type="dxa"/>
                  <w:vAlign w:val="center"/>
                </w:tcPr>
                <w:p w14:paraId="1DCF99DB">
                  <w:pPr>
                    <w:pStyle w:val="48"/>
                    <w:rPr>
                      <w:rFonts w:hint="eastAsia" w:ascii="仿宋" w:hAnsi="仿宋" w:eastAsia="仿宋" w:cs="仿宋"/>
                      <w:color w:val="auto"/>
                      <w:sz w:val="24"/>
                      <w:szCs w:val="24"/>
                    </w:rPr>
                  </w:pPr>
                  <w:r>
                    <w:rPr>
                      <w:rFonts w:hint="eastAsia" w:ascii="仿宋" w:hAnsi="仿宋" w:eastAsia="仿宋" w:cs="仿宋"/>
                      <w:color w:val="auto"/>
                      <w:sz w:val="24"/>
                      <w:szCs w:val="24"/>
                    </w:rPr>
                    <w:t>道路货物运输（不含危险货物）；危险化学品经营</w:t>
                  </w:r>
                </w:p>
              </w:tc>
            </w:tr>
            <w:tr w14:paraId="3F40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243E0C68">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default" w:ascii="仿宋" w:hAnsi="仿宋" w:eastAsia="仿宋" w:cs="仿宋"/>
                      <w:color w:val="auto"/>
                      <w:sz w:val="24"/>
                      <w:szCs w:val="24"/>
                      <w:lang w:val="en-US" w:eastAsia="zh-CN"/>
                    </w:rPr>
                  </w:pPr>
                  <w:r>
                    <w:rPr>
                      <w:rFonts w:hint="eastAsia" w:cs="仿宋"/>
                      <w:color w:val="auto"/>
                      <w:sz w:val="24"/>
                      <w:szCs w:val="24"/>
                      <w:lang w:val="en-US" w:eastAsia="zh-CN"/>
                    </w:rPr>
                    <w:t>7</w:t>
                  </w:r>
                </w:p>
              </w:tc>
              <w:tc>
                <w:tcPr>
                  <w:tcW w:w="2835" w:type="dxa"/>
                  <w:vAlign w:val="center"/>
                </w:tcPr>
                <w:p w14:paraId="66723E16">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rPr>
                    <w:t>重庆振强同用科技有限公司</w:t>
                  </w:r>
                </w:p>
              </w:tc>
              <w:tc>
                <w:tcPr>
                  <w:tcW w:w="709" w:type="dxa"/>
                  <w:vAlign w:val="center"/>
                </w:tcPr>
                <w:p w14:paraId="1E969D89">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SE</w:t>
                  </w:r>
                </w:p>
              </w:tc>
              <w:tc>
                <w:tcPr>
                  <w:tcW w:w="850" w:type="dxa"/>
                  <w:vAlign w:val="center"/>
                </w:tcPr>
                <w:p w14:paraId="152A254E">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200</w:t>
                  </w:r>
                </w:p>
              </w:tc>
              <w:tc>
                <w:tcPr>
                  <w:tcW w:w="2948" w:type="dxa"/>
                  <w:vAlign w:val="center"/>
                </w:tcPr>
                <w:p w14:paraId="71E074D5">
                  <w:pPr>
                    <w:pStyle w:val="48"/>
                    <w:rPr>
                      <w:rFonts w:hint="eastAsia" w:ascii="仿宋" w:hAnsi="仿宋" w:eastAsia="仿宋" w:cs="仿宋"/>
                      <w:color w:val="auto"/>
                      <w:sz w:val="24"/>
                      <w:szCs w:val="24"/>
                    </w:rPr>
                  </w:pPr>
                  <w:r>
                    <w:rPr>
                      <w:rFonts w:hint="eastAsia" w:ascii="仿宋" w:hAnsi="仿宋" w:eastAsia="仿宋" w:cs="仿宋"/>
                      <w:color w:val="auto"/>
                      <w:sz w:val="24"/>
                      <w:szCs w:val="24"/>
                    </w:rPr>
                    <w:t>技术服务、技术开发、技术咨询、技术交流、技术转让、技术推广；化工产品生产</w:t>
                  </w:r>
                </w:p>
              </w:tc>
            </w:tr>
            <w:tr w14:paraId="4520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0E889F6F">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default" w:ascii="仿宋" w:hAnsi="仿宋" w:eastAsia="仿宋" w:cs="仿宋"/>
                      <w:color w:val="auto"/>
                      <w:sz w:val="24"/>
                      <w:szCs w:val="24"/>
                      <w:lang w:val="en-US" w:eastAsia="zh-CN"/>
                    </w:rPr>
                  </w:pPr>
                  <w:r>
                    <w:rPr>
                      <w:rFonts w:hint="eastAsia" w:cs="仿宋"/>
                      <w:color w:val="auto"/>
                      <w:sz w:val="24"/>
                      <w:szCs w:val="24"/>
                      <w:lang w:val="en-US" w:eastAsia="zh-CN"/>
                    </w:rPr>
                    <w:t>8</w:t>
                  </w:r>
                </w:p>
              </w:tc>
              <w:tc>
                <w:tcPr>
                  <w:tcW w:w="2835" w:type="dxa"/>
                  <w:vAlign w:val="center"/>
                </w:tcPr>
                <w:p w14:paraId="3BFD519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重庆大陆电线电缆有限公司</w:t>
                  </w:r>
                </w:p>
              </w:tc>
              <w:tc>
                <w:tcPr>
                  <w:tcW w:w="709" w:type="dxa"/>
                  <w:vAlign w:val="center"/>
                </w:tcPr>
                <w:p w14:paraId="1F6B3EC8">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SE</w:t>
                  </w:r>
                </w:p>
              </w:tc>
              <w:tc>
                <w:tcPr>
                  <w:tcW w:w="850" w:type="dxa"/>
                  <w:vAlign w:val="center"/>
                </w:tcPr>
                <w:p w14:paraId="578A40F5">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280</w:t>
                  </w:r>
                </w:p>
              </w:tc>
              <w:tc>
                <w:tcPr>
                  <w:tcW w:w="2948" w:type="dxa"/>
                  <w:vAlign w:val="center"/>
                </w:tcPr>
                <w:p w14:paraId="2588B0BF">
                  <w:pPr>
                    <w:pStyle w:val="48"/>
                    <w:rPr>
                      <w:rFonts w:hint="eastAsia" w:ascii="仿宋" w:hAnsi="仿宋" w:eastAsia="仿宋" w:cs="仿宋"/>
                      <w:color w:val="auto"/>
                      <w:sz w:val="24"/>
                      <w:szCs w:val="24"/>
                    </w:rPr>
                  </w:pPr>
                  <w:r>
                    <w:rPr>
                      <w:rFonts w:hint="eastAsia" w:ascii="仿宋" w:hAnsi="仿宋" w:eastAsia="仿宋" w:cs="仿宋"/>
                      <w:color w:val="auto"/>
                      <w:sz w:val="24"/>
                      <w:szCs w:val="24"/>
                    </w:rPr>
                    <w:t>电线、电缆制造</w:t>
                  </w:r>
                </w:p>
              </w:tc>
            </w:tr>
            <w:tr w14:paraId="16ED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134EC091">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default" w:ascii="仿宋" w:hAnsi="仿宋" w:eastAsia="仿宋" w:cs="仿宋"/>
                      <w:color w:val="auto"/>
                      <w:sz w:val="24"/>
                      <w:szCs w:val="24"/>
                      <w:lang w:val="en-US" w:eastAsia="zh-CN"/>
                    </w:rPr>
                  </w:pPr>
                  <w:r>
                    <w:rPr>
                      <w:rFonts w:hint="eastAsia" w:cs="仿宋"/>
                      <w:color w:val="auto"/>
                      <w:sz w:val="24"/>
                      <w:szCs w:val="24"/>
                      <w:lang w:val="en-US" w:eastAsia="zh-CN"/>
                    </w:rPr>
                    <w:t>9</w:t>
                  </w:r>
                </w:p>
              </w:tc>
              <w:tc>
                <w:tcPr>
                  <w:tcW w:w="2835" w:type="dxa"/>
                  <w:vAlign w:val="center"/>
                </w:tcPr>
                <w:p w14:paraId="757F8CE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sz w:val="24"/>
                      <w:szCs w:val="24"/>
                    </w:rPr>
                    <w:t>重庆市西彭好利来食品厂</w:t>
                  </w:r>
                </w:p>
              </w:tc>
              <w:tc>
                <w:tcPr>
                  <w:tcW w:w="709" w:type="dxa"/>
                  <w:vAlign w:val="center"/>
                </w:tcPr>
                <w:p w14:paraId="06D23BBF">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E</w:t>
                  </w:r>
                </w:p>
              </w:tc>
              <w:tc>
                <w:tcPr>
                  <w:tcW w:w="850" w:type="dxa"/>
                  <w:vAlign w:val="center"/>
                </w:tcPr>
                <w:p w14:paraId="2D192429">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180</w:t>
                  </w:r>
                </w:p>
              </w:tc>
              <w:tc>
                <w:tcPr>
                  <w:tcW w:w="2948" w:type="dxa"/>
                  <w:vAlign w:val="center"/>
                </w:tcPr>
                <w:p w14:paraId="4706F209">
                  <w:pPr>
                    <w:pStyle w:val="48"/>
                    <w:rPr>
                      <w:rFonts w:hint="eastAsia" w:ascii="仿宋" w:hAnsi="仿宋" w:eastAsia="仿宋" w:cs="仿宋"/>
                      <w:color w:val="auto"/>
                      <w:sz w:val="24"/>
                      <w:szCs w:val="24"/>
                    </w:rPr>
                  </w:pPr>
                  <w:r>
                    <w:rPr>
                      <w:rFonts w:hint="eastAsia" w:ascii="仿宋" w:hAnsi="仿宋" w:eastAsia="仿宋" w:cs="仿宋"/>
                      <w:color w:val="auto"/>
                      <w:sz w:val="24"/>
                      <w:szCs w:val="24"/>
                    </w:rPr>
                    <w:t>生产、销售：食品</w:t>
                  </w:r>
                </w:p>
              </w:tc>
            </w:tr>
            <w:tr w14:paraId="789F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2C401E11">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default" w:ascii="仿宋" w:hAnsi="仿宋" w:eastAsia="仿宋" w:cs="仿宋"/>
                      <w:color w:val="auto"/>
                      <w:sz w:val="24"/>
                      <w:szCs w:val="24"/>
                      <w:lang w:val="en-US" w:eastAsia="zh-CN"/>
                    </w:rPr>
                  </w:pPr>
                  <w:r>
                    <w:rPr>
                      <w:rFonts w:hint="eastAsia" w:cs="仿宋"/>
                      <w:color w:val="auto"/>
                      <w:sz w:val="24"/>
                      <w:szCs w:val="24"/>
                      <w:lang w:val="en-US" w:eastAsia="zh-CN"/>
                    </w:rPr>
                    <w:t>10</w:t>
                  </w:r>
                </w:p>
              </w:tc>
              <w:tc>
                <w:tcPr>
                  <w:tcW w:w="2835" w:type="dxa"/>
                  <w:vAlign w:val="center"/>
                </w:tcPr>
                <w:p w14:paraId="4086E3A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重庆亿宸金属制品有限公司</w:t>
                  </w:r>
                </w:p>
              </w:tc>
              <w:tc>
                <w:tcPr>
                  <w:tcW w:w="709" w:type="dxa"/>
                  <w:vAlign w:val="center"/>
                </w:tcPr>
                <w:p w14:paraId="0BBE8A53">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w:t>
                  </w:r>
                </w:p>
              </w:tc>
              <w:tc>
                <w:tcPr>
                  <w:tcW w:w="850" w:type="dxa"/>
                  <w:vAlign w:val="center"/>
                </w:tcPr>
                <w:p w14:paraId="7380CDD5">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280</w:t>
                  </w:r>
                </w:p>
              </w:tc>
              <w:tc>
                <w:tcPr>
                  <w:tcW w:w="2948" w:type="dxa"/>
                  <w:vAlign w:val="center"/>
                </w:tcPr>
                <w:p w14:paraId="77704CD3">
                  <w:pPr>
                    <w:pStyle w:val="48"/>
                    <w:rPr>
                      <w:rFonts w:hint="eastAsia" w:ascii="仿宋" w:hAnsi="仿宋" w:eastAsia="仿宋" w:cs="仿宋"/>
                      <w:color w:val="auto"/>
                      <w:sz w:val="24"/>
                      <w:szCs w:val="24"/>
                    </w:rPr>
                  </w:pPr>
                  <w:r>
                    <w:rPr>
                      <w:rFonts w:hint="eastAsia" w:ascii="仿宋" w:hAnsi="仿宋" w:eastAsia="仿宋" w:cs="仿宋"/>
                      <w:color w:val="auto"/>
                      <w:sz w:val="24"/>
                      <w:szCs w:val="24"/>
                    </w:rPr>
                    <w:t>电线、电缆制造</w:t>
                  </w:r>
                </w:p>
              </w:tc>
            </w:tr>
            <w:tr w14:paraId="12CE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6E149F41">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default" w:ascii="仿宋" w:hAnsi="仿宋" w:eastAsia="仿宋" w:cs="仿宋"/>
                      <w:color w:val="auto"/>
                      <w:sz w:val="24"/>
                      <w:szCs w:val="24"/>
                      <w:lang w:val="en-US" w:eastAsia="zh-CN"/>
                    </w:rPr>
                  </w:pPr>
                  <w:r>
                    <w:rPr>
                      <w:rFonts w:hint="eastAsia" w:cs="仿宋"/>
                      <w:color w:val="auto"/>
                      <w:sz w:val="24"/>
                      <w:szCs w:val="24"/>
                      <w:lang w:val="en-US" w:eastAsia="zh-CN"/>
                    </w:rPr>
                    <w:t>11</w:t>
                  </w:r>
                </w:p>
              </w:tc>
              <w:tc>
                <w:tcPr>
                  <w:tcW w:w="2835" w:type="dxa"/>
                  <w:vAlign w:val="center"/>
                </w:tcPr>
                <w:p w14:paraId="38707FB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重庆国创轻合金研究院有限公司中试基地</w:t>
                  </w:r>
                </w:p>
              </w:tc>
              <w:tc>
                <w:tcPr>
                  <w:tcW w:w="709" w:type="dxa"/>
                  <w:vAlign w:val="center"/>
                </w:tcPr>
                <w:p w14:paraId="3A609737">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S</w:t>
                  </w:r>
                </w:p>
              </w:tc>
              <w:tc>
                <w:tcPr>
                  <w:tcW w:w="850" w:type="dxa"/>
                  <w:vAlign w:val="center"/>
                </w:tcPr>
                <w:p w14:paraId="37CEAF5A">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280</w:t>
                  </w:r>
                </w:p>
              </w:tc>
              <w:tc>
                <w:tcPr>
                  <w:tcW w:w="2948" w:type="dxa"/>
                  <w:vAlign w:val="center"/>
                </w:tcPr>
                <w:p w14:paraId="12F9248A">
                  <w:pPr>
                    <w:pStyle w:val="48"/>
                    <w:rPr>
                      <w:rFonts w:hint="eastAsia" w:ascii="仿宋" w:hAnsi="仿宋" w:eastAsia="仿宋" w:cs="仿宋"/>
                      <w:color w:val="auto"/>
                      <w:sz w:val="24"/>
                      <w:szCs w:val="24"/>
                    </w:rPr>
                  </w:pPr>
                  <w:r>
                    <w:rPr>
                      <w:rFonts w:hint="eastAsia" w:ascii="仿宋" w:hAnsi="仿宋" w:eastAsia="仿宋" w:cs="仿宋"/>
                      <w:color w:val="auto"/>
                      <w:sz w:val="24"/>
                      <w:szCs w:val="24"/>
                    </w:rPr>
                    <w:t>新材料技术研发；有色金属合金制造；有色金属合金销售</w:t>
                  </w:r>
                </w:p>
              </w:tc>
            </w:tr>
            <w:tr w14:paraId="1B8F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427B628B">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default" w:ascii="仿宋" w:hAnsi="仿宋" w:eastAsia="仿宋" w:cs="仿宋"/>
                      <w:color w:val="auto"/>
                      <w:sz w:val="24"/>
                      <w:szCs w:val="24"/>
                      <w:lang w:val="en-US" w:eastAsia="zh-CN"/>
                    </w:rPr>
                  </w:pPr>
                  <w:r>
                    <w:rPr>
                      <w:rFonts w:hint="eastAsia" w:cs="仿宋"/>
                      <w:color w:val="auto"/>
                      <w:sz w:val="24"/>
                      <w:szCs w:val="24"/>
                      <w:lang w:val="en-US" w:eastAsia="zh-CN"/>
                    </w:rPr>
                    <w:t>12</w:t>
                  </w:r>
                </w:p>
              </w:tc>
              <w:tc>
                <w:tcPr>
                  <w:tcW w:w="2835" w:type="dxa"/>
                  <w:vAlign w:val="center"/>
                </w:tcPr>
                <w:p w14:paraId="3D5CDE2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重庆西彭宝湾国际物流中心</w:t>
                  </w:r>
                </w:p>
              </w:tc>
              <w:tc>
                <w:tcPr>
                  <w:tcW w:w="709" w:type="dxa"/>
                  <w:vAlign w:val="center"/>
                </w:tcPr>
                <w:p w14:paraId="471313D0">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N</w:t>
                  </w:r>
                </w:p>
              </w:tc>
              <w:tc>
                <w:tcPr>
                  <w:tcW w:w="850" w:type="dxa"/>
                  <w:vAlign w:val="center"/>
                </w:tcPr>
                <w:p w14:paraId="09330E0D">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150</w:t>
                  </w:r>
                </w:p>
              </w:tc>
              <w:tc>
                <w:tcPr>
                  <w:tcW w:w="2948" w:type="dxa"/>
                  <w:vAlign w:val="center"/>
                </w:tcPr>
                <w:p w14:paraId="24E0770F">
                  <w:pPr>
                    <w:pStyle w:val="48"/>
                    <w:rPr>
                      <w:rFonts w:hint="eastAsia" w:ascii="仿宋" w:hAnsi="仿宋" w:eastAsia="仿宋" w:cs="仿宋"/>
                      <w:color w:val="auto"/>
                      <w:sz w:val="24"/>
                      <w:szCs w:val="24"/>
                    </w:rPr>
                  </w:pPr>
                  <w:r>
                    <w:rPr>
                      <w:rFonts w:hint="eastAsia" w:ascii="仿宋" w:hAnsi="仿宋" w:eastAsia="仿宋" w:cs="仿宋"/>
                      <w:color w:val="auto"/>
                      <w:sz w:val="24"/>
                      <w:szCs w:val="24"/>
                    </w:rPr>
                    <w:t>物流中心</w:t>
                  </w:r>
                </w:p>
              </w:tc>
            </w:tr>
            <w:tr w14:paraId="75CA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43C390D6">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default" w:ascii="仿宋" w:hAnsi="仿宋" w:eastAsia="仿宋" w:cs="仿宋"/>
                      <w:color w:val="auto"/>
                      <w:sz w:val="24"/>
                      <w:szCs w:val="24"/>
                      <w:lang w:val="en-US" w:eastAsia="zh-CN"/>
                    </w:rPr>
                  </w:pPr>
                  <w:r>
                    <w:rPr>
                      <w:rFonts w:hint="eastAsia" w:cs="仿宋"/>
                      <w:color w:val="auto"/>
                      <w:sz w:val="24"/>
                      <w:szCs w:val="24"/>
                      <w:lang w:val="en-US" w:eastAsia="zh-CN"/>
                    </w:rPr>
                    <w:t>13</w:t>
                  </w:r>
                </w:p>
              </w:tc>
              <w:tc>
                <w:tcPr>
                  <w:tcW w:w="2835" w:type="dxa"/>
                  <w:vAlign w:val="center"/>
                </w:tcPr>
                <w:p w14:paraId="6F4C3D4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重庆西彭宝湾国际物流有限公司</w:t>
                  </w:r>
                </w:p>
              </w:tc>
              <w:tc>
                <w:tcPr>
                  <w:tcW w:w="709" w:type="dxa"/>
                  <w:vAlign w:val="center"/>
                </w:tcPr>
                <w:p w14:paraId="1AC98BE9">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NE</w:t>
                  </w:r>
                </w:p>
              </w:tc>
              <w:tc>
                <w:tcPr>
                  <w:tcW w:w="850" w:type="dxa"/>
                  <w:vAlign w:val="center"/>
                </w:tcPr>
                <w:p w14:paraId="3FD1271F">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260</w:t>
                  </w:r>
                </w:p>
              </w:tc>
              <w:tc>
                <w:tcPr>
                  <w:tcW w:w="2948" w:type="dxa"/>
                  <w:vAlign w:val="center"/>
                </w:tcPr>
                <w:p w14:paraId="2FBB4287">
                  <w:pPr>
                    <w:pStyle w:val="48"/>
                    <w:rPr>
                      <w:rFonts w:hint="eastAsia" w:ascii="仿宋" w:hAnsi="仿宋" w:eastAsia="仿宋" w:cs="仿宋"/>
                      <w:color w:val="auto"/>
                      <w:sz w:val="24"/>
                      <w:szCs w:val="24"/>
                    </w:rPr>
                  </w:pPr>
                  <w:r>
                    <w:rPr>
                      <w:rFonts w:hint="eastAsia" w:ascii="仿宋" w:hAnsi="仿宋" w:eastAsia="仿宋" w:cs="仿宋"/>
                      <w:color w:val="auto"/>
                      <w:sz w:val="24"/>
                      <w:szCs w:val="24"/>
                    </w:rPr>
                    <w:t>普通货物仓储服务（不含危险化学品等需许可审批的项目）；装卸搬运</w:t>
                  </w:r>
                </w:p>
              </w:tc>
            </w:tr>
            <w:tr w14:paraId="1C45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Align w:val="center"/>
                </w:tcPr>
                <w:p w14:paraId="76D54600">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default" w:cs="仿宋"/>
                      <w:color w:val="auto"/>
                      <w:sz w:val="24"/>
                      <w:szCs w:val="24"/>
                      <w:lang w:val="en-US" w:eastAsia="zh-CN"/>
                    </w:rPr>
                  </w:pPr>
                  <w:r>
                    <w:rPr>
                      <w:rFonts w:hint="eastAsia" w:cs="仿宋"/>
                      <w:color w:val="auto"/>
                      <w:sz w:val="24"/>
                      <w:szCs w:val="24"/>
                      <w:lang w:val="en-US" w:eastAsia="zh-CN"/>
                    </w:rPr>
                    <w:t>14</w:t>
                  </w:r>
                </w:p>
              </w:tc>
              <w:tc>
                <w:tcPr>
                  <w:tcW w:w="2835" w:type="dxa"/>
                  <w:vAlign w:val="center"/>
                </w:tcPr>
                <w:p w14:paraId="3BCB5E9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重庆沃特森科技有限公司</w:t>
                  </w:r>
                </w:p>
              </w:tc>
              <w:tc>
                <w:tcPr>
                  <w:tcW w:w="709" w:type="dxa"/>
                  <w:vAlign w:val="center"/>
                </w:tcPr>
                <w:p w14:paraId="650D8B06">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default" w:ascii="仿宋" w:hAnsi="仿宋" w:eastAsia="仿宋" w:cs="仿宋"/>
                      <w:color w:val="auto"/>
                      <w:sz w:val="24"/>
                      <w:szCs w:val="24"/>
                      <w:lang w:val="en-US" w:eastAsia="zh-CN"/>
                    </w:rPr>
                  </w:pPr>
                  <w:r>
                    <w:rPr>
                      <w:rFonts w:hint="eastAsia" w:cs="仿宋"/>
                      <w:color w:val="auto"/>
                      <w:sz w:val="24"/>
                      <w:szCs w:val="24"/>
                      <w:lang w:val="en-US" w:eastAsia="zh-CN"/>
                    </w:rPr>
                    <w:t>SE</w:t>
                  </w:r>
                </w:p>
              </w:tc>
              <w:tc>
                <w:tcPr>
                  <w:tcW w:w="850" w:type="dxa"/>
                  <w:vAlign w:val="center"/>
                </w:tcPr>
                <w:p w14:paraId="0E6332BA">
                  <w:pPr>
                    <w:pStyle w:val="48"/>
                    <w:keepNext w:val="0"/>
                    <w:keepLines w:val="0"/>
                    <w:pageBreakBefore w:val="0"/>
                    <w:kinsoku/>
                    <w:wordWrap/>
                    <w:overflowPunct/>
                    <w:topLinePunct w:val="0"/>
                    <w:autoSpaceDE/>
                    <w:autoSpaceDN/>
                    <w:bidi w:val="0"/>
                    <w:adjustRightInd w:val="0"/>
                    <w:snapToGrid w:val="0"/>
                    <w:spacing w:line="240" w:lineRule="auto"/>
                    <w:textAlignment w:val="auto"/>
                    <w:rPr>
                      <w:rFonts w:hint="default" w:ascii="仿宋" w:hAnsi="仿宋" w:eastAsia="仿宋" w:cs="仿宋"/>
                      <w:color w:val="auto"/>
                      <w:sz w:val="24"/>
                      <w:szCs w:val="24"/>
                      <w:lang w:val="en-US" w:eastAsia="zh-CN"/>
                    </w:rPr>
                  </w:pPr>
                  <w:r>
                    <w:rPr>
                      <w:rFonts w:hint="eastAsia" w:cs="仿宋"/>
                      <w:color w:val="auto"/>
                      <w:sz w:val="24"/>
                      <w:szCs w:val="24"/>
                      <w:lang w:val="en-US" w:eastAsia="zh-CN"/>
                    </w:rPr>
                    <w:t>150</w:t>
                  </w:r>
                </w:p>
              </w:tc>
              <w:tc>
                <w:tcPr>
                  <w:tcW w:w="2948" w:type="dxa"/>
                  <w:vAlign w:val="center"/>
                </w:tcPr>
                <w:p w14:paraId="6F704878">
                  <w:pPr>
                    <w:pStyle w:val="48"/>
                    <w:rPr>
                      <w:rFonts w:hint="eastAsia" w:ascii="仿宋" w:hAnsi="仿宋" w:eastAsia="仿宋" w:cs="仿宋"/>
                      <w:color w:val="auto"/>
                      <w:sz w:val="24"/>
                      <w:szCs w:val="24"/>
                    </w:rPr>
                  </w:pPr>
                  <w:r>
                    <w:rPr>
                      <w:rFonts w:hint="eastAsia" w:ascii="仿宋" w:hAnsi="仿宋" w:eastAsia="仿宋" w:cs="仿宋"/>
                      <w:color w:val="auto"/>
                      <w:sz w:val="24"/>
                      <w:szCs w:val="24"/>
                    </w:rPr>
                    <w:t>计算机软硬件开发及销售；制造、加工、销售：母线槽、高低压电气成套设备、电器元件、电线电缆、电缆桥架</w:t>
                  </w:r>
                </w:p>
              </w:tc>
            </w:tr>
          </w:tbl>
          <w:p w14:paraId="28332ACE">
            <w:pPr>
              <w:pStyle w:val="53"/>
              <w:keepNext w:val="0"/>
              <w:keepLines w:val="0"/>
              <w:pageBreakBefore w:val="0"/>
              <w:widowControl/>
              <w:kinsoku/>
              <w:wordWrap/>
              <w:overflowPunct/>
              <w:topLinePunct w:val="0"/>
              <w:autoSpaceDE/>
              <w:autoSpaceDN/>
              <w:bidi w:val="0"/>
              <w:adjustRightInd w:val="0"/>
              <w:snapToGrid w:val="0"/>
              <w:spacing w:before="0" w:beforeLines="0" w:line="240" w:lineRule="auto"/>
              <w:jc w:val="center"/>
              <w:textAlignment w:val="auto"/>
              <w:rPr>
                <w:rFonts w:hint="eastAsia" w:ascii="仿宋" w:hAnsi="仿宋"/>
                <w:color w:val="auto"/>
                <w:sz w:val="24"/>
                <w:szCs w:val="28"/>
                <w:lang w:val="en-US" w:eastAsia="zh-CN"/>
              </w:rPr>
            </w:pPr>
            <w:r>
              <w:rPr>
                <w:rFonts w:hint="eastAsia" w:ascii="仿宋" w:hAnsi="仿宋"/>
                <w:color w:val="auto"/>
                <w:sz w:val="24"/>
                <w:szCs w:val="28"/>
                <w:lang w:eastAsia="zh-CN"/>
              </w:rPr>
              <w:t>表</w:t>
            </w:r>
            <w:r>
              <w:rPr>
                <w:rFonts w:hint="eastAsia" w:ascii="仿宋" w:hAnsi="仿宋"/>
                <w:color w:val="auto"/>
                <w:sz w:val="24"/>
                <w:szCs w:val="28"/>
                <w:lang w:val="en-US" w:eastAsia="zh-CN"/>
              </w:rPr>
              <w:t>3-5大气环境保护目标</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0"/>
              <w:gridCol w:w="1886"/>
              <w:gridCol w:w="892"/>
              <w:gridCol w:w="773"/>
              <w:gridCol w:w="1098"/>
              <w:gridCol w:w="723"/>
              <w:gridCol w:w="651"/>
              <w:gridCol w:w="751"/>
              <w:gridCol w:w="741"/>
            </w:tblGrid>
            <w:tr w14:paraId="54C095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530" w:type="dxa"/>
                  <w:vMerge w:val="restart"/>
                  <w:tcBorders>
                    <w:top w:val="single" w:color="auto" w:sz="12" w:space="0"/>
                    <w:left w:val="single" w:color="auto" w:sz="12" w:space="0"/>
                    <w:bottom w:val="single" w:color="auto" w:sz="6" w:space="0"/>
                    <w:right w:val="single" w:color="auto" w:sz="6" w:space="0"/>
                  </w:tcBorders>
                  <w:vAlign w:val="center"/>
                </w:tcPr>
                <w:p w14:paraId="5023CD8A">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序号</w:t>
                  </w:r>
                </w:p>
              </w:tc>
              <w:tc>
                <w:tcPr>
                  <w:tcW w:w="1886" w:type="dxa"/>
                  <w:vMerge w:val="restart"/>
                  <w:tcBorders>
                    <w:top w:val="single" w:color="auto" w:sz="12" w:space="0"/>
                    <w:left w:val="single" w:color="auto" w:sz="6" w:space="0"/>
                    <w:bottom w:val="single" w:color="auto" w:sz="6" w:space="0"/>
                    <w:right w:val="single" w:color="auto" w:sz="6" w:space="0"/>
                  </w:tcBorders>
                  <w:vAlign w:val="center"/>
                </w:tcPr>
                <w:p w14:paraId="511E13FC">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名称</w:t>
                  </w:r>
                </w:p>
              </w:tc>
              <w:tc>
                <w:tcPr>
                  <w:tcW w:w="1665" w:type="dxa"/>
                  <w:gridSpan w:val="2"/>
                  <w:tcBorders>
                    <w:top w:val="single" w:color="auto" w:sz="12" w:space="0"/>
                    <w:left w:val="single" w:color="auto" w:sz="6" w:space="0"/>
                    <w:bottom w:val="single" w:color="auto" w:sz="6" w:space="0"/>
                    <w:right w:val="single" w:color="auto" w:sz="6" w:space="0"/>
                  </w:tcBorders>
                  <w:vAlign w:val="center"/>
                </w:tcPr>
                <w:p w14:paraId="3250F3B7">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坐标（m）</w:t>
                  </w:r>
                </w:p>
              </w:tc>
              <w:tc>
                <w:tcPr>
                  <w:tcW w:w="1098" w:type="dxa"/>
                  <w:vMerge w:val="restart"/>
                  <w:tcBorders>
                    <w:top w:val="single" w:color="auto" w:sz="12" w:space="0"/>
                    <w:left w:val="single" w:color="auto" w:sz="6" w:space="0"/>
                    <w:bottom w:val="single" w:color="auto" w:sz="4" w:space="0"/>
                    <w:right w:val="single" w:color="auto" w:sz="6" w:space="0"/>
                  </w:tcBorders>
                  <w:vAlign w:val="center"/>
                </w:tcPr>
                <w:p w14:paraId="3BC50EF3">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保护对象</w:t>
                  </w:r>
                </w:p>
              </w:tc>
              <w:tc>
                <w:tcPr>
                  <w:tcW w:w="723" w:type="dxa"/>
                  <w:vMerge w:val="restart"/>
                  <w:tcBorders>
                    <w:top w:val="single" w:color="auto" w:sz="12" w:space="0"/>
                    <w:left w:val="single" w:color="auto" w:sz="6" w:space="0"/>
                    <w:bottom w:val="single" w:color="auto" w:sz="4" w:space="0"/>
                    <w:right w:val="single" w:color="auto" w:sz="6" w:space="0"/>
                  </w:tcBorders>
                  <w:vAlign w:val="center"/>
                </w:tcPr>
                <w:p w14:paraId="5CA9F161">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保护内容</w:t>
                  </w:r>
                </w:p>
              </w:tc>
              <w:tc>
                <w:tcPr>
                  <w:tcW w:w="651" w:type="dxa"/>
                  <w:vMerge w:val="restart"/>
                  <w:tcBorders>
                    <w:top w:val="single" w:color="auto" w:sz="12" w:space="0"/>
                    <w:left w:val="single" w:color="auto" w:sz="6" w:space="0"/>
                    <w:bottom w:val="single" w:color="auto" w:sz="4" w:space="0"/>
                    <w:right w:val="single" w:color="auto" w:sz="6" w:space="0"/>
                  </w:tcBorders>
                  <w:vAlign w:val="center"/>
                </w:tcPr>
                <w:p w14:paraId="03196ACE">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环境功能区</w:t>
                  </w:r>
                </w:p>
              </w:tc>
              <w:tc>
                <w:tcPr>
                  <w:tcW w:w="751" w:type="dxa"/>
                  <w:vMerge w:val="restart"/>
                  <w:tcBorders>
                    <w:top w:val="single" w:color="auto" w:sz="12" w:space="0"/>
                    <w:left w:val="single" w:color="auto" w:sz="6" w:space="0"/>
                    <w:bottom w:val="single" w:color="auto" w:sz="6" w:space="0"/>
                    <w:right w:val="single" w:color="auto" w:sz="6" w:space="0"/>
                  </w:tcBorders>
                  <w:vAlign w:val="center"/>
                </w:tcPr>
                <w:p w14:paraId="45B768F8">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相对厂址方位</w:t>
                  </w:r>
                </w:p>
              </w:tc>
              <w:tc>
                <w:tcPr>
                  <w:tcW w:w="741" w:type="dxa"/>
                  <w:vMerge w:val="restart"/>
                  <w:tcBorders>
                    <w:top w:val="single" w:color="auto" w:sz="12" w:space="0"/>
                    <w:left w:val="single" w:color="auto" w:sz="6" w:space="0"/>
                    <w:bottom w:val="single" w:color="auto" w:sz="6" w:space="0"/>
                    <w:right w:val="single" w:color="auto" w:sz="12" w:space="0"/>
                  </w:tcBorders>
                  <w:vAlign w:val="center"/>
                </w:tcPr>
                <w:p w14:paraId="7D034B13">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相对厂界距离m</w:t>
                  </w:r>
                </w:p>
              </w:tc>
            </w:tr>
            <w:tr w14:paraId="3A626B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continue"/>
                  <w:tcBorders>
                    <w:top w:val="single" w:color="auto" w:sz="12" w:space="0"/>
                    <w:left w:val="single" w:color="auto" w:sz="12" w:space="0"/>
                    <w:bottom w:val="single" w:color="auto" w:sz="6" w:space="0"/>
                    <w:right w:val="single" w:color="auto" w:sz="6" w:space="0"/>
                  </w:tcBorders>
                  <w:vAlign w:val="center"/>
                </w:tcPr>
                <w:p w14:paraId="09AE2935">
                  <w:pPr>
                    <w:pStyle w:val="137"/>
                    <w:rPr>
                      <w:rFonts w:hint="default" w:ascii="Times New Roman" w:hAnsi="Times New Roman" w:cs="Times New Roman"/>
                      <w:color w:val="auto"/>
                      <w:sz w:val="24"/>
                      <w:szCs w:val="24"/>
                    </w:rPr>
                  </w:pPr>
                </w:p>
              </w:tc>
              <w:tc>
                <w:tcPr>
                  <w:tcW w:w="1886" w:type="dxa"/>
                  <w:vMerge w:val="continue"/>
                  <w:tcBorders>
                    <w:top w:val="single" w:color="auto" w:sz="12" w:space="0"/>
                    <w:left w:val="single" w:color="auto" w:sz="6" w:space="0"/>
                    <w:bottom w:val="single" w:color="auto" w:sz="6" w:space="0"/>
                    <w:right w:val="single" w:color="auto" w:sz="6" w:space="0"/>
                  </w:tcBorders>
                  <w:vAlign w:val="center"/>
                </w:tcPr>
                <w:p w14:paraId="19FB6743">
                  <w:pPr>
                    <w:pStyle w:val="137"/>
                    <w:rPr>
                      <w:rFonts w:hint="default" w:ascii="Times New Roman" w:hAnsi="Times New Roman" w:cs="Times New Roman"/>
                      <w:color w:val="auto"/>
                      <w:sz w:val="24"/>
                      <w:szCs w:val="24"/>
                    </w:rPr>
                  </w:pPr>
                </w:p>
              </w:tc>
              <w:tc>
                <w:tcPr>
                  <w:tcW w:w="892" w:type="dxa"/>
                  <w:tcBorders>
                    <w:top w:val="single" w:color="auto" w:sz="6" w:space="0"/>
                    <w:left w:val="single" w:color="auto" w:sz="6" w:space="0"/>
                    <w:bottom w:val="single" w:color="auto" w:sz="6" w:space="0"/>
                    <w:right w:val="single" w:color="auto" w:sz="6" w:space="0"/>
                  </w:tcBorders>
                  <w:vAlign w:val="center"/>
                </w:tcPr>
                <w:p w14:paraId="2ACA619D">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X</w:t>
                  </w:r>
                </w:p>
              </w:tc>
              <w:tc>
                <w:tcPr>
                  <w:tcW w:w="773" w:type="dxa"/>
                  <w:tcBorders>
                    <w:top w:val="single" w:color="auto" w:sz="6" w:space="0"/>
                    <w:left w:val="single" w:color="auto" w:sz="6" w:space="0"/>
                    <w:bottom w:val="single" w:color="auto" w:sz="6" w:space="0"/>
                    <w:right w:val="single" w:color="auto" w:sz="6" w:space="0"/>
                  </w:tcBorders>
                  <w:vAlign w:val="center"/>
                </w:tcPr>
                <w:p w14:paraId="27A3E374">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Y</w:t>
                  </w:r>
                </w:p>
              </w:tc>
              <w:tc>
                <w:tcPr>
                  <w:tcW w:w="1098" w:type="dxa"/>
                  <w:vMerge w:val="continue"/>
                  <w:tcBorders>
                    <w:top w:val="single" w:color="auto" w:sz="12" w:space="0"/>
                    <w:left w:val="single" w:color="auto" w:sz="6" w:space="0"/>
                    <w:bottom w:val="single" w:color="auto" w:sz="4" w:space="0"/>
                    <w:right w:val="single" w:color="auto" w:sz="6" w:space="0"/>
                  </w:tcBorders>
                  <w:vAlign w:val="center"/>
                </w:tcPr>
                <w:p w14:paraId="4DD6B562">
                  <w:pPr>
                    <w:pStyle w:val="137"/>
                    <w:rPr>
                      <w:rFonts w:hint="default" w:ascii="Times New Roman" w:hAnsi="Times New Roman" w:cs="Times New Roman"/>
                      <w:color w:val="auto"/>
                      <w:sz w:val="24"/>
                      <w:szCs w:val="24"/>
                    </w:rPr>
                  </w:pPr>
                </w:p>
              </w:tc>
              <w:tc>
                <w:tcPr>
                  <w:tcW w:w="723" w:type="dxa"/>
                  <w:vMerge w:val="continue"/>
                  <w:tcBorders>
                    <w:top w:val="single" w:color="auto" w:sz="12" w:space="0"/>
                    <w:left w:val="single" w:color="auto" w:sz="6" w:space="0"/>
                    <w:bottom w:val="single" w:color="auto" w:sz="4" w:space="0"/>
                    <w:right w:val="single" w:color="auto" w:sz="6" w:space="0"/>
                  </w:tcBorders>
                  <w:vAlign w:val="center"/>
                </w:tcPr>
                <w:p w14:paraId="6B9FF140">
                  <w:pPr>
                    <w:pStyle w:val="137"/>
                    <w:rPr>
                      <w:rFonts w:hint="default" w:ascii="Times New Roman" w:hAnsi="Times New Roman" w:cs="Times New Roman"/>
                      <w:color w:val="auto"/>
                      <w:sz w:val="24"/>
                      <w:szCs w:val="24"/>
                    </w:rPr>
                  </w:pPr>
                </w:p>
              </w:tc>
              <w:tc>
                <w:tcPr>
                  <w:tcW w:w="651" w:type="dxa"/>
                  <w:vMerge w:val="continue"/>
                  <w:tcBorders>
                    <w:top w:val="single" w:color="auto" w:sz="12" w:space="0"/>
                    <w:left w:val="single" w:color="auto" w:sz="6" w:space="0"/>
                    <w:bottom w:val="single" w:color="auto" w:sz="4" w:space="0"/>
                    <w:right w:val="single" w:color="auto" w:sz="6" w:space="0"/>
                  </w:tcBorders>
                  <w:vAlign w:val="center"/>
                </w:tcPr>
                <w:p w14:paraId="56F2E656">
                  <w:pPr>
                    <w:pStyle w:val="137"/>
                    <w:rPr>
                      <w:rFonts w:hint="default" w:ascii="Times New Roman" w:hAnsi="Times New Roman" w:cs="Times New Roman"/>
                      <w:color w:val="auto"/>
                      <w:sz w:val="24"/>
                      <w:szCs w:val="24"/>
                    </w:rPr>
                  </w:pPr>
                </w:p>
              </w:tc>
              <w:tc>
                <w:tcPr>
                  <w:tcW w:w="751" w:type="dxa"/>
                  <w:vMerge w:val="continue"/>
                  <w:tcBorders>
                    <w:top w:val="single" w:color="auto" w:sz="12" w:space="0"/>
                    <w:left w:val="single" w:color="auto" w:sz="6" w:space="0"/>
                    <w:bottom w:val="single" w:color="auto" w:sz="6" w:space="0"/>
                    <w:right w:val="single" w:color="auto" w:sz="6" w:space="0"/>
                  </w:tcBorders>
                  <w:vAlign w:val="center"/>
                </w:tcPr>
                <w:p w14:paraId="7910BC4F">
                  <w:pPr>
                    <w:pStyle w:val="137"/>
                    <w:rPr>
                      <w:rFonts w:hint="default" w:ascii="Times New Roman" w:hAnsi="Times New Roman" w:cs="Times New Roman"/>
                      <w:color w:val="auto"/>
                      <w:sz w:val="24"/>
                      <w:szCs w:val="24"/>
                    </w:rPr>
                  </w:pPr>
                </w:p>
              </w:tc>
              <w:tc>
                <w:tcPr>
                  <w:tcW w:w="741" w:type="dxa"/>
                  <w:vMerge w:val="continue"/>
                  <w:tcBorders>
                    <w:top w:val="single" w:color="auto" w:sz="12" w:space="0"/>
                    <w:left w:val="single" w:color="auto" w:sz="6" w:space="0"/>
                    <w:bottom w:val="single" w:color="auto" w:sz="6" w:space="0"/>
                    <w:right w:val="single" w:color="auto" w:sz="12" w:space="0"/>
                  </w:tcBorders>
                  <w:vAlign w:val="center"/>
                </w:tcPr>
                <w:p w14:paraId="122F714F">
                  <w:pPr>
                    <w:pStyle w:val="137"/>
                    <w:rPr>
                      <w:rFonts w:hint="default" w:ascii="Times New Roman" w:hAnsi="Times New Roman" w:cs="Times New Roman"/>
                      <w:color w:val="auto"/>
                      <w:sz w:val="24"/>
                      <w:szCs w:val="24"/>
                    </w:rPr>
                  </w:pPr>
                </w:p>
              </w:tc>
            </w:tr>
            <w:tr w14:paraId="5BE510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530" w:type="dxa"/>
                  <w:tcBorders>
                    <w:top w:val="single" w:color="auto" w:sz="6" w:space="0"/>
                    <w:left w:val="single" w:color="auto" w:sz="12" w:space="0"/>
                    <w:bottom w:val="single" w:color="auto" w:sz="6" w:space="0"/>
                    <w:right w:val="single" w:color="auto" w:sz="6" w:space="0"/>
                  </w:tcBorders>
                  <w:vAlign w:val="center"/>
                </w:tcPr>
                <w:p w14:paraId="47573457">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1886" w:type="dxa"/>
                  <w:tcBorders>
                    <w:top w:val="single" w:color="auto" w:sz="6" w:space="0"/>
                    <w:left w:val="single" w:color="auto" w:sz="6" w:space="0"/>
                    <w:bottom w:val="single" w:color="auto" w:sz="6" w:space="0"/>
                    <w:right w:val="single" w:color="auto" w:sz="6" w:space="0"/>
                  </w:tcBorders>
                  <w:vAlign w:val="center"/>
                </w:tcPr>
                <w:p w14:paraId="4A6F4914">
                  <w:pPr>
                    <w:pStyle w:val="137"/>
                    <w:rPr>
                      <w:rFonts w:hint="default" w:ascii="Times New Roman" w:hAnsi="Times New Roman" w:eastAsia="仿宋" w:cs="Times New Roman"/>
                      <w:color w:val="auto"/>
                      <w:sz w:val="24"/>
                      <w:szCs w:val="24"/>
                      <w:lang w:eastAsia="zh-CN"/>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散户居民</w:t>
                  </w:r>
                </w:p>
              </w:tc>
              <w:tc>
                <w:tcPr>
                  <w:tcW w:w="892" w:type="dxa"/>
                  <w:tcBorders>
                    <w:top w:val="single" w:color="auto" w:sz="6" w:space="0"/>
                    <w:left w:val="single" w:color="auto" w:sz="6" w:space="0"/>
                    <w:bottom w:val="single" w:color="auto" w:sz="6" w:space="0"/>
                    <w:right w:val="single" w:color="auto" w:sz="6" w:space="0"/>
                  </w:tcBorders>
                  <w:vAlign w:val="center"/>
                </w:tcPr>
                <w:p w14:paraId="6D2E599F">
                  <w:pPr>
                    <w:pStyle w:val="137"/>
                    <w:rPr>
                      <w:rFonts w:hint="default" w:ascii="Times New Roman" w:hAnsi="Times New Roman" w:eastAsia="仿宋" w:cs="Times New Roman"/>
                      <w:color w:val="auto"/>
                      <w:sz w:val="24"/>
                      <w:szCs w:val="24"/>
                      <w:lang w:val="en-US" w:eastAsia="zh-CN"/>
                    </w:rPr>
                  </w:pPr>
                  <w:r>
                    <w:rPr>
                      <w:rFonts w:hint="default" w:ascii="Times New Roman" w:hAnsi="Times New Roman" w:cs="Times New Roman"/>
                      <w:color w:val="auto"/>
                      <w:sz w:val="24"/>
                      <w:szCs w:val="24"/>
                      <w:lang w:val="en-US" w:eastAsia="zh-CN"/>
                    </w:rPr>
                    <w:t>-420</w:t>
                  </w:r>
                </w:p>
              </w:tc>
              <w:tc>
                <w:tcPr>
                  <w:tcW w:w="773" w:type="dxa"/>
                  <w:tcBorders>
                    <w:top w:val="single" w:color="auto" w:sz="6" w:space="0"/>
                    <w:left w:val="single" w:color="auto" w:sz="6" w:space="0"/>
                    <w:bottom w:val="single" w:color="auto" w:sz="6" w:space="0"/>
                    <w:right w:val="single" w:color="auto" w:sz="6" w:space="0"/>
                  </w:tcBorders>
                  <w:vAlign w:val="center"/>
                </w:tcPr>
                <w:p w14:paraId="0D9B8B76">
                  <w:pPr>
                    <w:pStyle w:val="137"/>
                    <w:rPr>
                      <w:rFonts w:hint="default" w:ascii="Times New Roman" w:hAnsi="Times New Roman" w:eastAsia="仿宋" w:cs="Times New Roman"/>
                      <w:color w:val="auto"/>
                      <w:sz w:val="24"/>
                      <w:szCs w:val="24"/>
                      <w:lang w:val="en-US" w:eastAsia="zh-CN"/>
                    </w:rPr>
                  </w:pPr>
                  <w:r>
                    <w:rPr>
                      <w:rFonts w:hint="default" w:ascii="Times New Roman" w:hAnsi="Times New Roman" w:cs="Times New Roman"/>
                      <w:color w:val="auto"/>
                      <w:sz w:val="24"/>
                      <w:szCs w:val="24"/>
                      <w:lang w:val="en-US" w:eastAsia="zh-CN"/>
                    </w:rPr>
                    <w:t>0</w:t>
                  </w:r>
                </w:p>
              </w:tc>
              <w:tc>
                <w:tcPr>
                  <w:tcW w:w="1098" w:type="dxa"/>
                  <w:tcBorders>
                    <w:top w:val="single" w:color="auto" w:sz="4" w:space="0"/>
                    <w:left w:val="single" w:color="auto" w:sz="6" w:space="0"/>
                    <w:bottom w:val="single" w:color="auto" w:sz="6" w:space="0"/>
                    <w:right w:val="single" w:color="auto" w:sz="6" w:space="0"/>
                  </w:tcBorders>
                  <w:vAlign w:val="center"/>
                </w:tcPr>
                <w:p w14:paraId="405160F7">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约</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人</w:t>
                  </w:r>
                </w:p>
              </w:tc>
              <w:tc>
                <w:tcPr>
                  <w:tcW w:w="723" w:type="dxa"/>
                  <w:vMerge w:val="restart"/>
                  <w:tcBorders>
                    <w:top w:val="single" w:color="auto" w:sz="4" w:space="0"/>
                    <w:left w:val="single" w:color="auto" w:sz="6" w:space="0"/>
                    <w:right w:val="single" w:color="auto" w:sz="6" w:space="0"/>
                  </w:tcBorders>
                  <w:vAlign w:val="center"/>
                </w:tcPr>
                <w:p w14:paraId="7AE7B938">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环境空气</w:t>
                  </w:r>
                </w:p>
              </w:tc>
              <w:tc>
                <w:tcPr>
                  <w:tcW w:w="651" w:type="dxa"/>
                  <w:vMerge w:val="restart"/>
                  <w:tcBorders>
                    <w:top w:val="single" w:color="auto" w:sz="4" w:space="0"/>
                    <w:left w:val="single" w:color="auto" w:sz="6" w:space="0"/>
                    <w:right w:val="single" w:color="auto" w:sz="6" w:space="0"/>
                  </w:tcBorders>
                  <w:vAlign w:val="center"/>
                </w:tcPr>
                <w:p w14:paraId="79E3E24A">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二类功能区</w:t>
                  </w:r>
                </w:p>
              </w:tc>
              <w:tc>
                <w:tcPr>
                  <w:tcW w:w="751" w:type="dxa"/>
                  <w:vMerge w:val="restart"/>
                  <w:tcBorders>
                    <w:top w:val="single" w:color="auto" w:sz="6" w:space="0"/>
                    <w:left w:val="single" w:color="auto" w:sz="6" w:space="0"/>
                    <w:right w:val="single" w:color="auto" w:sz="6" w:space="0"/>
                  </w:tcBorders>
                  <w:vAlign w:val="center"/>
                </w:tcPr>
                <w:p w14:paraId="22F83F32">
                  <w:pPr>
                    <w:pStyle w:val="137"/>
                    <w:rPr>
                      <w:rFonts w:hint="default" w:ascii="Times New Roman" w:hAnsi="Times New Roman" w:eastAsia="仿宋" w:cs="Times New Roman"/>
                      <w:color w:val="auto"/>
                      <w:sz w:val="24"/>
                      <w:szCs w:val="24"/>
                      <w:lang w:eastAsia="zh-CN"/>
                    </w:rPr>
                  </w:pPr>
                  <w:r>
                    <w:rPr>
                      <w:rFonts w:hint="default" w:ascii="Times New Roman" w:hAnsi="Times New Roman" w:cs="Times New Roman"/>
                      <w:color w:val="auto"/>
                      <w:sz w:val="24"/>
                      <w:szCs w:val="24"/>
                      <w:lang w:val="en-US" w:eastAsia="zh-CN"/>
                    </w:rPr>
                    <w:t>W</w:t>
                  </w:r>
                </w:p>
              </w:tc>
              <w:tc>
                <w:tcPr>
                  <w:tcW w:w="741" w:type="dxa"/>
                  <w:tcBorders>
                    <w:top w:val="single" w:color="auto" w:sz="6" w:space="0"/>
                    <w:left w:val="single" w:color="auto" w:sz="6" w:space="0"/>
                    <w:bottom w:val="single" w:color="auto" w:sz="6" w:space="0"/>
                    <w:right w:val="single" w:color="auto" w:sz="12" w:space="0"/>
                  </w:tcBorders>
                  <w:vAlign w:val="center"/>
                </w:tcPr>
                <w:p w14:paraId="3441C953">
                  <w:pPr>
                    <w:pStyle w:val="137"/>
                    <w:rPr>
                      <w:rFonts w:hint="default" w:ascii="Times New Roman" w:hAnsi="Times New Roman" w:eastAsia="仿宋" w:cs="Times New Roman"/>
                      <w:color w:val="auto"/>
                      <w:sz w:val="24"/>
                      <w:szCs w:val="24"/>
                      <w:lang w:val="en-US" w:eastAsia="zh-CN"/>
                    </w:rPr>
                  </w:pPr>
                  <w:r>
                    <w:rPr>
                      <w:rFonts w:hint="default" w:ascii="Times New Roman" w:hAnsi="Times New Roman" w:cs="Times New Roman"/>
                      <w:color w:val="auto"/>
                      <w:sz w:val="24"/>
                      <w:szCs w:val="24"/>
                      <w:lang w:val="en-US" w:eastAsia="zh-CN"/>
                    </w:rPr>
                    <w:t>360</w:t>
                  </w:r>
                </w:p>
              </w:tc>
            </w:tr>
            <w:tr w14:paraId="6FD684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530" w:type="dxa"/>
                  <w:tcBorders>
                    <w:top w:val="single" w:color="auto" w:sz="6" w:space="0"/>
                    <w:left w:val="single" w:color="auto" w:sz="12" w:space="0"/>
                    <w:bottom w:val="single" w:color="auto" w:sz="6" w:space="0"/>
                    <w:right w:val="single" w:color="auto" w:sz="6" w:space="0"/>
                  </w:tcBorders>
                  <w:vAlign w:val="center"/>
                </w:tcPr>
                <w:p w14:paraId="650520F7">
                  <w:pPr>
                    <w:pStyle w:val="137"/>
                    <w:rPr>
                      <w:rFonts w:hint="default" w:ascii="Times New Roman" w:hAnsi="Times New Roman" w:eastAsia="仿宋" w:cs="Times New Roman"/>
                      <w:color w:val="auto"/>
                      <w:sz w:val="24"/>
                      <w:szCs w:val="24"/>
                      <w:lang w:val="en-US" w:eastAsia="zh-CN"/>
                    </w:rPr>
                  </w:pPr>
                  <w:r>
                    <w:rPr>
                      <w:rFonts w:hint="default" w:ascii="Times New Roman" w:hAnsi="Times New Roman" w:cs="Times New Roman"/>
                      <w:color w:val="auto"/>
                      <w:sz w:val="24"/>
                      <w:szCs w:val="24"/>
                      <w:lang w:val="en-US" w:eastAsia="zh-CN"/>
                    </w:rPr>
                    <w:t>2</w:t>
                  </w:r>
                </w:p>
              </w:tc>
              <w:tc>
                <w:tcPr>
                  <w:tcW w:w="1886" w:type="dxa"/>
                  <w:tcBorders>
                    <w:top w:val="single" w:color="auto" w:sz="6" w:space="0"/>
                    <w:left w:val="single" w:color="auto" w:sz="6" w:space="0"/>
                    <w:bottom w:val="single" w:color="auto" w:sz="6" w:space="0"/>
                    <w:right w:val="single" w:color="auto" w:sz="6" w:space="0"/>
                  </w:tcBorders>
                  <w:vAlign w:val="center"/>
                </w:tcPr>
                <w:p w14:paraId="78E70522">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散户居民</w:t>
                  </w:r>
                </w:p>
              </w:tc>
              <w:tc>
                <w:tcPr>
                  <w:tcW w:w="892" w:type="dxa"/>
                  <w:tcBorders>
                    <w:top w:val="single" w:color="auto" w:sz="6" w:space="0"/>
                    <w:left w:val="single" w:color="auto" w:sz="6" w:space="0"/>
                    <w:bottom w:val="single" w:color="auto" w:sz="6" w:space="0"/>
                    <w:right w:val="single" w:color="auto" w:sz="6" w:space="0"/>
                  </w:tcBorders>
                  <w:vAlign w:val="center"/>
                </w:tcPr>
                <w:p w14:paraId="02F2FFEB">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-470</w:t>
                  </w:r>
                </w:p>
              </w:tc>
              <w:tc>
                <w:tcPr>
                  <w:tcW w:w="773" w:type="dxa"/>
                  <w:tcBorders>
                    <w:top w:val="single" w:color="auto" w:sz="6" w:space="0"/>
                    <w:left w:val="single" w:color="auto" w:sz="6" w:space="0"/>
                    <w:bottom w:val="single" w:color="auto" w:sz="6" w:space="0"/>
                    <w:right w:val="single" w:color="auto" w:sz="6" w:space="0"/>
                  </w:tcBorders>
                  <w:vAlign w:val="center"/>
                </w:tcPr>
                <w:p w14:paraId="07C062A1">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w:t>
                  </w:r>
                </w:p>
              </w:tc>
              <w:tc>
                <w:tcPr>
                  <w:tcW w:w="1098" w:type="dxa"/>
                  <w:tcBorders>
                    <w:top w:val="single" w:color="auto" w:sz="4" w:space="0"/>
                    <w:left w:val="single" w:color="auto" w:sz="6" w:space="0"/>
                    <w:bottom w:val="single" w:color="auto" w:sz="6" w:space="0"/>
                    <w:right w:val="single" w:color="auto" w:sz="6" w:space="0"/>
                  </w:tcBorders>
                  <w:vAlign w:val="center"/>
                </w:tcPr>
                <w:p w14:paraId="562685D7">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约</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人</w:t>
                  </w:r>
                </w:p>
              </w:tc>
              <w:tc>
                <w:tcPr>
                  <w:tcW w:w="723" w:type="dxa"/>
                  <w:vMerge w:val="continue"/>
                  <w:tcBorders>
                    <w:left w:val="single" w:color="auto" w:sz="6" w:space="0"/>
                    <w:right w:val="single" w:color="auto" w:sz="6" w:space="0"/>
                  </w:tcBorders>
                  <w:vAlign w:val="center"/>
                </w:tcPr>
                <w:p w14:paraId="752E667C">
                  <w:pPr>
                    <w:pStyle w:val="137"/>
                    <w:rPr>
                      <w:rFonts w:hint="default" w:ascii="Times New Roman" w:hAnsi="Times New Roman" w:cs="Times New Roman"/>
                      <w:color w:val="auto"/>
                      <w:sz w:val="24"/>
                      <w:szCs w:val="24"/>
                    </w:rPr>
                  </w:pPr>
                </w:p>
              </w:tc>
              <w:tc>
                <w:tcPr>
                  <w:tcW w:w="651" w:type="dxa"/>
                  <w:vMerge w:val="continue"/>
                  <w:tcBorders>
                    <w:left w:val="single" w:color="auto" w:sz="6" w:space="0"/>
                    <w:right w:val="single" w:color="auto" w:sz="6" w:space="0"/>
                  </w:tcBorders>
                  <w:vAlign w:val="center"/>
                </w:tcPr>
                <w:p w14:paraId="4D9BBFC2">
                  <w:pPr>
                    <w:pStyle w:val="137"/>
                    <w:rPr>
                      <w:rFonts w:hint="default" w:ascii="Times New Roman" w:hAnsi="Times New Roman" w:cs="Times New Roman"/>
                      <w:color w:val="auto"/>
                      <w:sz w:val="24"/>
                      <w:szCs w:val="24"/>
                    </w:rPr>
                  </w:pPr>
                </w:p>
              </w:tc>
              <w:tc>
                <w:tcPr>
                  <w:tcW w:w="751" w:type="dxa"/>
                  <w:vMerge w:val="continue"/>
                  <w:tcBorders>
                    <w:left w:val="single" w:color="auto" w:sz="6" w:space="0"/>
                    <w:right w:val="single" w:color="auto" w:sz="6" w:space="0"/>
                  </w:tcBorders>
                  <w:vAlign w:val="center"/>
                </w:tcPr>
                <w:p w14:paraId="293F4E67">
                  <w:pPr>
                    <w:pStyle w:val="137"/>
                    <w:rPr>
                      <w:rFonts w:hint="default" w:ascii="Times New Roman" w:hAnsi="Times New Roman" w:cs="Times New Roman"/>
                      <w:color w:val="auto"/>
                      <w:sz w:val="24"/>
                      <w:szCs w:val="24"/>
                      <w:lang w:val="en-US" w:eastAsia="zh-CN"/>
                    </w:rPr>
                  </w:pPr>
                </w:p>
              </w:tc>
              <w:tc>
                <w:tcPr>
                  <w:tcW w:w="741" w:type="dxa"/>
                  <w:tcBorders>
                    <w:top w:val="single" w:color="auto" w:sz="6" w:space="0"/>
                    <w:left w:val="single" w:color="auto" w:sz="6" w:space="0"/>
                    <w:bottom w:val="single" w:color="auto" w:sz="6" w:space="0"/>
                    <w:right w:val="single" w:color="auto" w:sz="12" w:space="0"/>
                  </w:tcBorders>
                  <w:vAlign w:val="center"/>
                </w:tcPr>
                <w:p w14:paraId="6DF81A27">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410</w:t>
                  </w:r>
                </w:p>
              </w:tc>
            </w:tr>
            <w:tr w14:paraId="6B5FA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530" w:type="dxa"/>
                  <w:tcBorders>
                    <w:top w:val="single" w:color="auto" w:sz="6" w:space="0"/>
                    <w:left w:val="single" w:color="auto" w:sz="12" w:space="0"/>
                    <w:bottom w:val="single" w:color="auto" w:sz="6" w:space="0"/>
                    <w:right w:val="single" w:color="auto" w:sz="6" w:space="0"/>
                  </w:tcBorders>
                  <w:vAlign w:val="center"/>
                </w:tcPr>
                <w:p w14:paraId="5C6ACFDD">
                  <w:pPr>
                    <w:pStyle w:val="137"/>
                    <w:rPr>
                      <w:rFonts w:hint="default" w:ascii="Times New Roman" w:hAnsi="Times New Roman" w:eastAsia="仿宋" w:cs="Times New Roman"/>
                      <w:color w:val="auto"/>
                      <w:sz w:val="24"/>
                      <w:szCs w:val="24"/>
                      <w:lang w:val="en-US" w:eastAsia="zh-CN"/>
                    </w:rPr>
                  </w:pPr>
                  <w:r>
                    <w:rPr>
                      <w:rFonts w:hint="default" w:ascii="Times New Roman" w:hAnsi="Times New Roman" w:cs="Times New Roman"/>
                      <w:color w:val="auto"/>
                      <w:sz w:val="24"/>
                      <w:szCs w:val="24"/>
                      <w:lang w:val="en-US" w:eastAsia="zh-CN"/>
                    </w:rPr>
                    <w:t>3</w:t>
                  </w:r>
                </w:p>
              </w:tc>
              <w:tc>
                <w:tcPr>
                  <w:tcW w:w="1886" w:type="dxa"/>
                  <w:tcBorders>
                    <w:top w:val="single" w:color="auto" w:sz="6" w:space="0"/>
                    <w:left w:val="single" w:color="auto" w:sz="6" w:space="0"/>
                    <w:bottom w:val="single" w:color="auto" w:sz="6" w:space="0"/>
                    <w:right w:val="single" w:color="auto" w:sz="6" w:space="0"/>
                  </w:tcBorders>
                  <w:vAlign w:val="center"/>
                </w:tcPr>
                <w:p w14:paraId="0F6C5393">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散户居民</w:t>
                  </w:r>
                </w:p>
              </w:tc>
              <w:tc>
                <w:tcPr>
                  <w:tcW w:w="892" w:type="dxa"/>
                  <w:tcBorders>
                    <w:top w:val="single" w:color="auto" w:sz="6" w:space="0"/>
                    <w:left w:val="single" w:color="auto" w:sz="6" w:space="0"/>
                    <w:bottom w:val="single" w:color="auto" w:sz="6" w:space="0"/>
                    <w:right w:val="single" w:color="auto" w:sz="6" w:space="0"/>
                  </w:tcBorders>
                  <w:vAlign w:val="center"/>
                </w:tcPr>
                <w:p w14:paraId="3F833520">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-405</w:t>
                  </w:r>
                </w:p>
              </w:tc>
              <w:tc>
                <w:tcPr>
                  <w:tcW w:w="773" w:type="dxa"/>
                  <w:tcBorders>
                    <w:top w:val="single" w:color="auto" w:sz="6" w:space="0"/>
                    <w:left w:val="single" w:color="auto" w:sz="6" w:space="0"/>
                    <w:bottom w:val="single" w:color="auto" w:sz="6" w:space="0"/>
                    <w:right w:val="single" w:color="auto" w:sz="6" w:space="0"/>
                  </w:tcBorders>
                  <w:vAlign w:val="center"/>
                </w:tcPr>
                <w:p w14:paraId="2380F52D">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-85</w:t>
                  </w:r>
                </w:p>
              </w:tc>
              <w:tc>
                <w:tcPr>
                  <w:tcW w:w="1098" w:type="dxa"/>
                  <w:tcBorders>
                    <w:top w:val="single" w:color="auto" w:sz="4" w:space="0"/>
                    <w:left w:val="single" w:color="auto" w:sz="6" w:space="0"/>
                    <w:bottom w:val="single" w:color="auto" w:sz="6" w:space="0"/>
                    <w:right w:val="single" w:color="auto" w:sz="6" w:space="0"/>
                  </w:tcBorders>
                  <w:vAlign w:val="center"/>
                </w:tcPr>
                <w:p w14:paraId="7D12286B">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约</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人</w:t>
                  </w:r>
                </w:p>
              </w:tc>
              <w:tc>
                <w:tcPr>
                  <w:tcW w:w="723" w:type="dxa"/>
                  <w:vMerge w:val="continue"/>
                  <w:tcBorders>
                    <w:left w:val="single" w:color="auto" w:sz="6" w:space="0"/>
                    <w:right w:val="single" w:color="auto" w:sz="6" w:space="0"/>
                  </w:tcBorders>
                  <w:vAlign w:val="center"/>
                </w:tcPr>
                <w:p w14:paraId="7AEF144B">
                  <w:pPr>
                    <w:pStyle w:val="137"/>
                    <w:rPr>
                      <w:rFonts w:hint="default" w:ascii="Times New Roman" w:hAnsi="Times New Roman" w:cs="Times New Roman"/>
                      <w:color w:val="auto"/>
                      <w:sz w:val="24"/>
                      <w:szCs w:val="24"/>
                    </w:rPr>
                  </w:pPr>
                </w:p>
              </w:tc>
              <w:tc>
                <w:tcPr>
                  <w:tcW w:w="651" w:type="dxa"/>
                  <w:vMerge w:val="continue"/>
                  <w:tcBorders>
                    <w:left w:val="single" w:color="auto" w:sz="6" w:space="0"/>
                    <w:right w:val="single" w:color="auto" w:sz="6" w:space="0"/>
                  </w:tcBorders>
                  <w:vAlign w:val="center"/>
                </w:tcPr>
                <w:p w14:paraId="5DF4217F">
                  <w:pPr>
                    <w:pStyle w:val="137"/>
                    <w:rPr>
                      <w:rFonts w:hint="default" w:ascii="Times New Roman" w:hAnsi="Times New Roman" w:cs="Times New Roman"/>
                      <w:color w:val="auto"/>
                      <w:sz w:val="24"/>
                      <w:szCs w:val="24"/>
                    </w:rPr>
                  </w:pPr>
                </w:p>
              </w:tc>
              <w:tc>
                <w:tcPr>
                  <w:tcW w:w="751" w:type="dxa"/>
                  <w:vMerge w:val="continue"/>
                  <w:tcBorders>
                    <w:left w:val="single" w:color="auto" w:sz="6" w:space="0"/>
                    <w:right w:val="single" w:color="auto" w:sz="6" w:space="0"/>
                  </w:tcBorders>
                  <w:vAlign w:val="center"/>
                </w:tcPr>
                <w:p w14:paraId="452D0BC7">
                  <w:pPr>
                    <w:pStyle w:val="137"/>
                    <w:rPr>
                      <w:rFonts w:hint="default" w:ascii="Times New Roman" w:hAnsi="Times New Roman" w:cs="Times New Roman"/>
                      <w:color w:val="auto"/>
                      <w:sz w:val="24"/>
                      <w:szCs w:val="24"/>
                      <w:lang w:val="en-US" w:eastAsia="zh-CN"/>
                    </w:rPr>
                  </w:pPr>
                </w:p>
              </w:tc>
              <w:tc>
                <w:tcPr>
                  <w:tcW w:w="741" w:type="dxa"/>
                  <w:tcBorders>
                    <w:top w:val="single" w:color="auto" w:sz="6" w:space="0"/>
                    <w:left w:val="single" w:color="auto" w:sz="6" w:space="0"/>
                    <w:bottom w:val="single" w:color="auto" w:sz="6" w:space="0"/>
                    <w:right w:val="single" w:color="auto" w:sz="12" w:space="0"/>
                  </w:tcBorders>
                  <w:vAlign w:val="center"/>
                </w:tcPr>
                <w:p w14:paraId="6DD67451">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360</w:t>
                  </w:r>
                </w:p>
              </w:tc>
            </w:tr>
            <w:tr w14:paraId="2E2ED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530" w:type="dxa"/>
                  <w:tcBorders>
                    <w:top w:val="single" w:color="auto" w:sz="6" w:space="0"/>
                    <w:left w:val="single" w:color="auto" w:sz="12" w:space="0"/>
                    <w:bottom w:val="single" w:color="auto" w:sz="6" w:space="0"/>
                    <w:right w:val="single" w:color="auto" w:sz="6" w:space="0"/>
                  </w:tcBorders>
                  <w:vAlign w:val="center"/>
                </w:tcPr>
                <w:p w14:paraId="0F7F6DE8">
                  <w:pPr>
                    <w:pStyle w:val="137"/>
                    <w:rPr>
                      <w:rFonts w:hint="default" w:ascii="Times New Roman" w:hAnsi="Times New Roman" w:eastAsia="仿宋" w:cs="Times New Roman"/>
                      <w:color w:val="auto"/>
                      <w:sz w:val="24"/>
                      <w:szCs w:val="24"/>
                      <w:lang w:val="en-US" w:eastAsia="zh-CN"/>
                    </w:rPr>
                  </w:pPr>
                  <w:r>
                    <w:rPr>
                      <w:rFonts w:hint="default" w:ascii="Times New Roman" w:hAnsi="Times New Roman" w:cs="Times New Roman"/>
                      <w:color w:val="auto"/>
                      <w:sz w:val="24"/>
                      <w:szCs w:val="24"/>
                      <w:lang w:val="en-US" w:eastAsia="zh-CN"/>
                    </w:rPr>
                    <w:t>4</w:t>
                  </w:r>
                </w:p>
              </w:tc>
              <w:tc>
                <w:tcPr>
                  <w:tcW w:w="1886" w:type="dxa"/>
                  <w:tcBorders>
                    <w:top w:val="single" w:color="auto" w:sz="6" w:space="0"/>
                    <w:left w:val="single" w:color="auto" w:sz="6" w:space="0"/>
                    <w:bottom w:val="single" w:color="auto" w:sz="6" w:space="0"/>
                    <w:right w:val="single" w:color="auto" w:sz="6" w:space="0"/>
                  </w:tcBorders>
                  <w:vAlign w:val="center"/>
                </w:tcPr>
                <w:p w14:paraId="0A17E326">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散户居民</w:t>
                  </w:r>
                </w:p>
              </w:tc>
              <w:tc>
                <w:tcPr>
                  <w:tcW w:w="892" w:type="dxa"/>
                  <w:tcBorders>
                    <w:top w:val="single" w:color="auto" w:sz="6" w:space="0"/>
                    <w:left w:val="single" w:color="auto" w:sz="6" w:space="0"/>
                    <w:bottom w:val="single" w:color="auto" w:sz="6" w:space="0"/>
                    <w:right w:val="single" w:color="auto" w:sz="6" w:space="0"/>
                  </w:tcBorders>
                  <w:vAlign w:val="center"/>
                </w:tcPr>
                <w:p w14:paraId="4BB02867">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-450</w:t>
                  </w:r>
                </w:p>
              </w:tc>
              <w:tc>
                <w:tcPr>
                  <w:tcW w:w="773" w:type="dxa"/>
                  <w:tcBorders>
                    <w:top w:val="single" w:color="auto" w:sz="6" w:space="0"/>
                    <w:left w:val="single" w:color="auto" w:sz="6" w:space="0"/>
                    <w:bottom w:val="single" w:color="auto" w:sz="6" w:space="0"/>
                    <w:right w:val="single" w:color="auto" w:sz="6" w:space="0"/>
                  </w:tcBorders>
                  <w:vAlign w:val="center"/>
                </w:tcPr>
                <w:p w14:paraId="6E0C00DE">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-200</w:t>
                  </w:r>
                </w:p>
              </w:tc>
              <w:tc>
                <w:tcPr>
                  <w:tcW w:w="1098" w:type="dxa"/>
                  <w:tcBorders>
                    <w:top w:val="single" w:color="auto" w:sz="4" w:space="0"/>
                    <w:left w:val="single" w:color="auto" w:sz="6" w:space="0"/>
                    <w:bottom w:val="single" w:color="auto" w:sz="6" w:space="0"/>
                    <w:right w:val="single" w:color="auto" w:sz="6" w:space="0"/>
                  </w:tcBorders>
                  <w:vAlign w:val="center"/>
                </w:tcPr>
                <w:p w14:paraId="2ECA92DD">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约</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人</w:t>
                  </w:r>
                </w:p>
              </w:tc>
              <w:tc>
                <w:tcPr>
                  <w:tcW w:w="723" w:type="dxa"/>
                  <w:vMerge w:val="continue"/>
                  <w:tcBorders>
                    <w:left w:val="single" w:color="auto" w:sz="6" w:space="0"/>
                    <w:right w:val="single" w:color="auto" w:sz="6" w:space="0"/>
                  </w:tcBorders>
                  <w:vAlign w:val="center"/>
                </w:tcPr>
                <w:p w14:paraId="0B101BA8">
                  <w:pPr>
                    <w:pStyle w:val="137"/>
                    <w:rPr>
                      <w:rFonts w:hint="default" w:ascii="Times New Roman" w:hAnsi="Times New Roman" w:cs="Times New Roman"/>
                      <w:color w:val="auto"/>
                      <w:sz w:val="24"/>
                      <w:szCs w:val="24"/>
                    </w:rPr>
                  </w:pPr>
                </w:p>
              </w:tc>
              <w:tc>
                <w:tcPr>
                  <w:tcW w:w="651" w:type="dxa"/>
                  <w:vMerge w:val="continue"/>
                  <w:tcBorders>
                    <w:left w:val="single" w:color="auto" w:sz="6" w:space="0"/>
                    <w:right w:val="single" w:color="auto" w:sz="6" w:space="0"/>
                  </w:tcBorders>
                  <w:vAlign w:val="center"/>
                </w:tcPr>
                <w:p w14:paraId="2DFCFCA0">
                  <w:pPr>
                    <w:pStyle w:val="137"/>
                    <w:rPr>
                      <w:rFonts w:hint="default" w:ascii="Times New Roman" w:hAnsi="Times New Roman" w:cs="Times New Roman"/>
                      <w:color w:val="auto"/>
                      <w:sz w:val="24"/>
                      <w:szCs w:val="24"/>
                    </w:rPr>
                  </w:pPr>
                </w:p>
              </w:tc>
              <w:tc>
                <w:tcPr>
                  <w:tcW w:w="751" w:type="dxa"/>
                  <w:vMerge w:val="continue"/>
                  <w:tcBorders>
                    <w:left w:val="single" w:color="auto" w:sz="6" w:space="0"/>
                    <w:right w:val="single" w:color="auto" w:sz="6" w:space="0"/>
                  </w:tcBorders>
                  <w:vAlign w:val="center"/>
                </w:tcPr>
                <w:p w14:paraId="1D2460F7">
                  <w:pPr>
                    <w:pStyle w:val="137"/>
                    <w:rPr>
                      <w:rFonts w:hint="default" w:ascii="Times New Roman" w:hAnsi="Times New Roman" w:cs="Times New Roman"/>
                      <w:color w:val="auto"/>
                      <w:sz w:val="24"/>
                      <w:szCs w:val="24"/>
                      <w:lang w:val="en-US" w:eastAsia="zh-CN"/>
                    </w:rPr>
                  </w:pPr>
                </w:p>
              </w:tc>
              <w:tc>
                <w:tcPr>
                  <w:tcW w:w="741" w:type="dxa"/>
                  <w:tcBorders>
                    <w:top w:val="single" w:color="auto" w:sz="6" w:space="0"/>
                    <w:left w:val="single" w:color="auto" w:sz="6" w:space="0"/>
                    <w:bottom w:val="single" w:color="auto" w:sz="6" w:space="0"/>
                    <w:right w:val="single" w:color="auto" w:sz="12" w:space="0"/>
                  </w:tcBorders>
                  <w:vAlign w:val="center"/>
                </w:tcPr>
                <w:p w14:paraId="3770E886">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450</w:t>
                  </w:r>
                </w:p>
              </w:tc>
            </w:tr>
            <w:tr w14:paraId="346AD4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530" w:type="dxa"/>
                  <w:tcBorders>
                    <w:top w:val="single" w:color="auto" w:sz="6" w:space="0"/>
                    <w:left w:val="single" w:color="auto" w:sz="12" w:space="0"/>
                    <w:bottom w:val="single" w:color="auto" w:sz="6" w:space="0"/>
                    <w:right w:val="single" w:color="auto" w:sz="6" w:space="0"/>
                  </w:tcBorders>
                  <w:vAlign w:val="center"/>
                </w:tcPr>
                <w:p w14:paraId="55836BC2">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w:t>
                  </w:r>
                </w:p>
              </w:tc>
              <w:tc>
                <w:tcPr>
                  <w:tcW w:w="1886" w:type="dxa"/>
                  <w:tcBorders>
                    <w:top w:val="single" w:color="auto" w:sz="6" w:space="0"/>
                    <w:left w:val="single" w:color="auto" w:sz="6" w:space="0"/>
                    <w:bottom w:val="single" w:color="auto" w:sz="6" w:space="0"/>
                    <w:right w:val="single" w:color="auto" w:sz="6" w:space="0"/>
                  </w:tcBorders>
                  <w:vAlign w:val="center"/>
                </w:tcPr>
                <w:p w14:paraId="539228C3">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散户居民</w:t>
                  </w:r>
                </w:p>
              </w:tc>
              <w:tc>
                <w:tcPr>
                  <w:tcW w:w="892" w:type="dxa"/>
                  <w:tcBorders>
                    <w:top w:val="single" w:color="auto" w:sz="6" w:space="0"/>
                    <w:left w:val="single" w:color="auto" w:sz="6" w:space="0"/>
                    <w:bottom w:val="single" w:color="auto" w:sz="6" w:space="0"/>
                    <w:right w:val="single" w:color="auto" w:sz="6" w:space="0"/>
                  </w:tcBorders>
                  <w:vAlign w:val="center"/>
                </w:tcPr>
                <w:p w14:paraId="1E72214F">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-420</w:t>
                  </w:r>
                </w:p>
              </w:tc>
              <w:tc>
                <w:tcPr>
                  <w:tcW w:w="773" w:type="dxa"/>
                  <w:tcBorders>
                    <w:top w:val="single" w:color="auto" w:sz="6" w:space="0"/>
                    <w:left w:val="single" w:color="auto" w:sz="6" w:space="0"/>
                    <w:bottom w:val="single" w:color="auto" w:sz="6" w:space="0"/>
                    <w:right w:val="single" w:color="auto" w:sz="6" w:space="0"/>
                  </w:tcBorders>
                  <w:vAlign w:val="center"/>
                </w:tcPr>
                <w:p w14:paraId="5BF349D6">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-315</w:t>
                  </w:r>
                </w:p>
              </w:tc>
              <w:tc>
                <w:tcPr>
                  <w:tcW w:w="1098" w:type="dxa"/>
                  <w:tcBorders>
                    <w:top w:val="single" w:color="auto" w:sz="4" w:space="0"/>
                    <w:left w:val="single" w:color="auto" w:sz="6" w:space="0"/>
                    <w:bottom w:val="single" w:color="auto" w:sz="6" w:space="0"/>
                    <w:right w:val="single" w:color="auto" w:sz="6" w:space="0"/>
                  </w:tcBorders>
                  <w:vAlign w:val="center"/>
                </w:tcPr>
                <w:p w14:paraId="744CF616">
                  <w:pPr>
                    <w:pStyle w:val="13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约</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人</w:t>
                  </w:r>
                </w:p>
              </w:tc>
              <w:tc>
                <w:tcPr>
                  <w:tcW w:w="723" w:type="dxa"/>
                  <w:vMerge w:val="continue"/>
                  <w:tcBorders>
                    <w:left w:val="single" w:color="auto" w:sz="6" w:space="0"/>
                    <w:right w:val="single" w:color="auto" w:sz="6" w:space="0"/>
                  </w:tcBorders>
                  <w:vAlign w:val="center"/>
                </w:tcPr>
                <w:p w14:paraId="21B1709F">
                  <w:pPr>
                    <w:pStyle w:val="137"/>
                    <w:rPr>
                      <w:rFonts w:hint="default" w:ascii="Times New Roman" w:hAnsi="Times New Roman" w:cs="Times New Roman"/>
                      <w:color w:val="auto"/>
                      <w:sz w:val="24"/>
                      <w:szCs w:val="24"/>
                    </w:rPr>
                  </w:pPr>
                </w:p>
              </w:tc>
              <w:tc>
                <w:tcPr>
                  <w:tcW w:w="651" w:type="dxa"/>
                  <w:vMerge w:val="continue"/>
                  <w:tcBorders>
                    <w:left w:val="single" w:color="auto" w:sz="6" w:space="0"/>
                    <w:right w:val="single" w:color="auto" w:sz="6" w:space="0"/>
                  </w:tcBorders>
                  <w:vAlign w:val="center"/>
                </w:tcPr>
                <w:p w14:paraId="3126E698">
                  <w:pPr>
                    <w:pStyle w:val="137"/>
                    <w:rPr>
                      <w:rFonts w:hint="default" w:ascii="Times New Roman" w:hAnsi="Times New Roman" w:cs="Times New Roman"/>
                      <w:color w:val="auto"/>
                      <w:sz w:val="24"/>
                      <w:szCs w:val="24"/>
                    </w:rPr>
                  </w:pPr>
                </w:p>
              </w:tc>
              <w:tc>
                <w:tcPr>
                  <w:tcW w:w="751" w:type="dxa"/>
                  <w:vMerge w:val="continue"/>
                  <w:tcBorders>
                    <w:left w:val="single" w:color="auto" w:sz="6" w:space="0"/>
                    <w:right w:val="single" w:color="auto" w:sz="6" w:space="0"/>
                  </w:tcBorders>
                  <w:vAlign w:val="center"/>
                </w:tcPr>
                <w:p w14:paraId="1830D6C0">
                  <w:pPr>
                    <w:pStyle w:val="137"/>
                    <w:rPr>
                      <w:rFonts w:hint="default" w:ascii="Times New Roman" w:hAnsi="Times New Roman" w:cs="Times New Roman"/>
                      <w:color w:val="auto"/>
                      <w:sz w:val="24"/>
                      <w:szCs w:val="24"/>
                      <w:lang w:val="en-US" w:eastAsia="zh-CN"/>
                    </w:rPr>
                  </w:pPr>
                </w:p>
              </w:tc>
              <w:tc>
                <w:tcPr>
                  <w:tcW w:w="741" w:type="dxa"/>
                  <w:tcBorders>
                    <w:top w:val="single" w:color="auto" w:sz="6" w:space="0"/>
                    <w:left w:val="single" w:color="auto" w:sz="6" w:space="0"/>
                    <w:bottom w:val="single" w:color="auto" w:sz="6" w:space="0"/>
                    <w:right w:val="single" w:color="auto" w:sz="12" w:space="0"/>
                  </w:tcBorders>
                  <w:vAlign w:val="center"/>
                </w:tcPr>
                <w:p w14:paraId="715D369F">
                  <w:pPr>
                    <w:pStyle w:val="137"/>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490</w:t>
                  </w:r>
                </w:p>
              </w:tc>
            </w:tr>
            <w:tr w14:paraId="78D66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530" w:type="dxa"/>
                  <w:tcBorders>
                    <w:top w:val="single" w:color="auto" w:sz="6" w:space="0"/>
                    <w:left w:val="single" w:color="auto" w:sz="12" w:space="0"/>
                    <w:bottom w:val="single" w:color="auto" w:sz="6" w:space="0"/>
                    <w:right w:val="single" w:color="auto" w:sz="6" w:space="0"/>
                  </w:tcBorders>
                  <w:vAlign w:val="center"/>
                </w:tcPr>
                <w:p w14:paraId="5336C5DD">
                  <w:pPr>
                    <w:pStyle w:val="137"/>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6</w:t>
                  </w:r>
                </w:p>
              </w:tc>
              <w:tc>
                <w:tcPr>
                  <w:tcW w:w="1886" w:type="dxa"/>
                  <w:tcBorders>
                    <w:top w:val="single" w:color="auto" w:sz="6" w:space="0"/>
                    <w:left w:val="single" w:color="auto" w:sz="6" w:space="0"/>
                    <w:bottom w:val="single" w:color="auto" w:sz="6" w:space="0"/>
                    <w:right w:val="single" w:color="auto" w:sz="6" w:space="0"/>
                  </w:tcBorders>
                  <w:shd w:val="clear" w:color="auto" w:fill="auto"/>
                  <w:vAlign w:val="center"/>
                </w:tcPr>
                <w:p w14:paraId="21137F2F">
                  <w:pPr>
                    <w:pStyle w:val="137"/>
                    <w:ind w:firstLine="0" w:firstLineChars="0"/>
                    <w:rPr>
                      <w:rFonts w:hint="default" w:ascii="Times New Roman" w:hAnsi="Times New Roman" w:eastAsia="仿宋" w:cs="Times New Roman"/>
                      <w:color w:val="auto"/>
                      <w:kern w:val="0"/>
                      <w:sz w:val="24"/>
                      <w:szCs w:val="24"/>
                      <w:lang w:val="en-US" w:eastAsia="zh-CN" w:bidi="ar-SA"/>
                    </w:rPr>
                  </w:pP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散户居民</w:t>
                  </w:r>
                </w:p>
              </w:tc>
              <w:tc>
                <w:tcPr>
                  <w:tcW w:w="892" w:type="dxa"/>
                  <w:tcBorders>
                    <w:top w:val="single" w:color="auto" w:sz="6" w:space="0"/>
                    <w:left w:val="single" w:color="auto" w:sz="6" w:space="0"/>
                    <w:bottom w:val="single" w:color="auto" w:sz="6" w:space="0"/>
                    <w:right w:val="single" w:color="auto" w:sz="6" w:space="0"/>
                  </w:tcBorders>
                  <w:shd w:val="clear" w:color="auto" w:fill="auto"/>
                  <w:vAlign w:val="center"/>
                </w:tcPr>
                <w:p w14:paraId="409F6CAD">
                  <w:pPr>
                    <w:pStyle w:val="137"/>
                    <w:ind w:firstLine="0" w:firstLineChars="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lang w:val="en-US" w:eastAsia="zh-CN"/>
                    </w:rPr>
                    <w:t>0</w:t>
                  </w:r>
                </w:p>
              </w:tc>
              <w:tc>
                <w:tcPr>
                  <w:tcW w:w="773" w:type="dxa"/>
                  <w:tcBorders>
                    <w:top w:val="single" w:color="auto" w:sz="6" w:space="0"/>
                    <w:left w:val="single" w:color="auto" w:sz="6" w:space="0"/>
                    <w:bottom w:val="single" w:color="auto" w:sz="6" w:space="0"/>
                    <w:right w:val="single" w:color="auto" w:sz="6" w:space="0"/>
                  </w:tcBorders>
                  <w:shd w:val="clear" w:color="auto" w:fill="auto"/>
                  <w:vAlign w:val="center"/>
                </w:tcPr>
                <w:p w14:paraId="4A8BC543">
                  <w:pPr>
                    <w:pStyle w:val="137"/>
                    <w:ind w:firstLine="0" w:firstLineChars="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470</w:t>
                  </w:r>
                </w:p>
              </w:tc>
              <w:tc>
                <w:tcPr>
                  <w:tcW w:w="1098" w:type="dxa"/>
                  <w:tcBorders>
                    <w:top w:val="single" w:color="auto" w:sz="4" w:space="0"/>
                    <w:left w:val="single" w:color="auto" w:sz="6" w:space="0"/>
                    <w:bottom w:val="single" w:color="auto" w:sz="6" w:space="0"/>
                    <w:right w:val="single" w:color="auto" w:sz="6" w:space="0"/>
                  </w:tcBorders>
                  <w:shd w:val="clear" w:color="auto" w:fill="auto"/>
                  <w:vAlign w:val="center"/>
                </w:tcPr>
                <w:p w14:paraId="53797B95">
                  <w:pPr>
                    <w:pStyle w:val="137"/>
                    <w:ind w:firstLine="0" w:firstLineChars="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cs="Times New Roman"/>
                      <w:color w:val="auto"/>
                      <w:sz w:val="24"/>
                      <w:szCs w:val="24"/>
                    </w:rPr>
                    <w:t>约</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人</w:t>
                  </w:r>
                </w:p>
              </w:tc>
              <w:tc>
                <w:tcPr>
                  <w:tcW w:w="723" w:type="dxa"/>
                  <w:vMerge w:val="continue"/>
                  <w:tcBorders>
                    <w:left w:val="single" w:color="auto" w:sz="6" w:space="0"/>
                    <w:right w:val="single" w:color="auto" w:sz="6" w:space="0"/>
                  </w:tcBorders>
                  <w:vAlign w:val="center"/>
                </w:tcPr>
                <w:p w14:paraId="04D1DE34">
                  <w:pPr>
                    <w:pStyle w:val="137"/>
                    <w:rPr>
                      <w:rFonts w:hint="default" w:ascii="Times New Roman" w:hAnsi="Times New Roman" w:cs="Times New Roman"/>
                      <w:color w:val="auto"/>
                      <w:sz w:val="24"/>
                      <w:szCs w:val="24"/>
                    </w:rPr>
                  </w:pPr>
                </w:p>
              </w:tc>
              <w:tc>
                <w:tcPr>
                  <w:tcW w:w="651" w:type="dxa"/>
                  <w:vMerge w:val="continue"/>
                  <w:tcBorders>
                    <w:left w:val="single" w:color="auto" w:sz="6" w:space="0"/>
                    <w:right w:val="single" w:color="auto" w:sz="6" w:space="0"/>
                  </w:tcBorders>
                  <w:vAlign w:val="center"/>
                </w:tcPr>
                <w:p w14:paraId="01CBEC50">
                  <w:pPr>
                    <w:pStyle w:val="137"/>
                    <w:rPr>
                      <w:rFonts w:hint="default" w:ascii="Times New Roman" w:hAnsi="Times New Roman" w:cs="Times New Roman"/>
                      <w:color w:val="auto"/>
                      <w:sz w:val="24"/>
                      <w:szCs w:val="24"/>
                    </w:rPr>
                  </w:pPr>
                </w:p>
              </w:tc>
              <w:tc>
                <w:tcPr>
                  <w:tcW w:w="751" w:type="dxa"/>
                  <w:vMerge w:val="continue"/>
                  <w:tcBorders>
                    <w:left w:val="single" w:color="auto" w:sz="6" w:space="0"/>
                    <w:bottom w:val="single" w:color="auto" w:sz="6" w:space="0"/>
                    <w:right w:val="single" w:color="auto" w:sz="6" w:space="0"/>
                  </w:tcBorders>
                  <w:vAlign w:val="center"/>
                </w:tcPr>
                <w:p w14:paraId="11F1C5A8">
                  <w:pPr>
                    <w:pStyle w:val="137"/>
                    <w:rPr>
                      <w:rFonts w:hint="default" w:ascii="Times New Roman" w:hAnsi="Times New Roman" w:cs="Times New Roman"/>
                      <w:color w:val="auto"/>
                      <w:sz w:val="24"/>
                      <w:szCs w:val="24"/>
                      <w:lang w:val="en-US" w:eastAsia="zh-CN"/>
                    </w:rPr>
                  </w:pPr>
                </w:p>
              </w:tc>
              <w:tc>
                <w:tcPr>
                  <w:tcW w:w="741" w:type="dxa"/>
                  <w:tcBorders>
                    <w:top w:val="single" w:color="auto" w:sz="6" w:space="0"/>
                    <w:left w:val="single" w:color="auto" w:sz="6" w:space="0"/>
                    <w:bottom w:val="single" w:color="auto" w:sz="6" w:space="0"/>
                    <w:right w:val="single" w:color="auto" w:sz="12" w:space="0"/>
                  </w:tcBorders>
                  <w:vAlign w:val="center"/>
                </w:tcPr>
                <w:p w14:paraId="4690DD13">
                  <w:pPr>
                    <w:pStyle w:val="137"/>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460</w:t>
                  </w:r>
                </w:p>
              </w:tc>
            </w:tr>
            <w:tr w14:paraId="76CF6B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8045" w:type="dxa"/>
                  <w:gridSpan w:val="9"/>
                  <w:tcBorders>
                    <w:top w:val="single" w:color="auto" w:sz="6" w:space="0"/>
                    <w:left w:val="single" w:color="auto" w:sz="12" w:space="0"/>
                    <w:bottom w:val="single" w:color="auto" w:sz="12" w:space="0"/>
                    <w:right w:val="single" w:color="auto" w:sz="12" w:space="0"/>
                  </w:tcBorders>
                  <w:vAlign w:val="center"/>
                </w:tcPr>
                <w:p w14:paraId="25D61489">
                  <w:pPr>
                    <w:pStyle w:val="137"/>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注：X、Y坐标距离是以厂区中心为坐标原点</w:t>
                  </w:r>
                </w:p>
              </w:tc>
            </w:tr>
          </w:tbl>
          <w:p w14:paraId="108974BD">
            <w:pPr>
              <w:rPr>
                <w:rFonts w:hint="default"/>
                <w:color w:val="auto"/>
                <w:lang w:val="en-US" w:eastAsia="zh-CN"/>
              </w:rPr>
            </w:pPr>
          </w:p>
          <w:p w14:paraId="756D7C47">
            <w:pPr>
              <w:pStyle w:val="53"/>
              <w:spacing w:before="120"/>
              <w:rPr>
                <w:rFonts w:ascii="仿宋" w:hAnsi="仿宋"/>
                <w:color w:val="auto"/>
                <w:sz w:val="28"/>
              </w:rPr>
            </w:pPr>
            <w:r>
              <w:rPr>
                <w:rFonts w:ascii="仿宋" w:hAnsi="仿宋"/>
                <w:color w:val="auto"/>
                <w:sz w:val="28"/>
              </w:rPr>
              <w:t>2.</w:t>
            </w:r>
            <w:r>
              <w:rPr>
                <w:rFonts w:hint="eastAsia" w:ascii="仿宋" w:hAnsi="仿宋"/>
                <w:color w:val="auto"/>
                <w:sz w:val="28"/>
              </w:rPr>
              <w:t>声环境保护目标</w:t>
            </w:r>
          </w:p>
          <w:p w14:paraId="1474FE82">
            <w:pPr>
              <w:ind w:firstLine="560"/>
              <w:rPr>
                <w:color w:val="auto"/>
                <w:sz w:val="28"/>
              </w:rPr>
            </w:pPr>
            <w:r>
              <w:rPr>
                <w:rFonts w:hint="eastAsia"/>
                <w:color w:val="auto"/>
                <w:sz w:val="28"/>
              </w:rPr>
              <w:t>本项目厂界外50m范围内无声环境保护目标。</w:t>
            </w:r>
          </w:p>
          <w:p w14:paraId="5CDAC8F4">
            <w:pPr>
              <w:numPr>
                <w:ilvl w:val="0"/>
                <w:numId w:val="15"/>
              </w:numPr>
              <w:ind w:firstLine="0" w:firstLineChars="0"/>
              <w:rPr>
                <w:b/>
                <w:snapToGrid w:val="0"/>
                <w:color w:val="auto"/>
                <w:kern w:val="0"/>
                <w:sz w:val="28"/>
                <w:szCs w:val="30"/>
                <w:highlight w:val="none"/>
              </w:rPr>
            </w:pPr>
            <w:r>
              <w:rPr>
                <w:rFonts w:hint="eastAsia"/>
                <w:b/>
                <w:snapToGrid w:val="0"/>
                <w:color w:val="auto"/>
                <w:kern w:val="0"/>
                <w:sz w:val="28"/>
                <w:szCs w:val="30"/>
                <w:highlight w:val="none"/>
              </w:rPr>
              <w:t>地表水环境保护目标</w:t>
            </w:r>
          </w:p>
          <w:p w14:paraId="05A49D71">
            <w:pPr>
              <w:ind w:firstLine="560"/>
              <w:rPr>
                <w:color w:val="auto"/>
                <w:sz w:val="28"/>
              </w:rPr>
            </w:pPr>
            <w:r>
              <w:rPr>
                <w:rFonts w:hint="eastAsia"/>
                <w:color w:val="auto"/>
                <w:sz w:val="28"/>
              </w:rPr>
              <w:t>本项目</w:t>
            </w:r>
            <w:r>
              <w:rPr>
                <w:rFonts w:hint="eastAsia"/>
                <w:color w:val="auto"/>
                <w:sz w:val="28"/>
                <w:lang w:eastAsia="zh-CN"/>
              </w:rPr>
              <w:t>周边</w:t>
            </w:r>
            <w:r>
              <w:rPr>
                <w:rFonts w:hint="eastAsia"/>
                <w:color w:val="auto"/>
                <w:sz w:val="28"/>
                <w:lang w:val="en-US" w:eastAsia="zh-CN"/>
              </w:rPr>
              <w:t>500m范围内不涉及地表水环境保护目标</w:t>
            </w:r>
            <w:r>
              <w:rPr>
                <w:rFonts w:hint="eastAsia"/>
                <w:color w:val="auto"/>
                <w:sz w:val="28"/>
              </w:rPr>
              <w:t>。</w:t>
            </w:r>
          </w:p>
          <w:p w14:paraId="032D38A6">
            <w:pPr>
              <w:pStyle w:val="53"/>
              <w:spacing w:before="120"/>
              <w:rPr>
                <w:rFonts w:ascii="仿宋" w:hAnsi="仿宋"/>
                <w:color w:val="auto"/>
                <w:sz w:val="28"/>
              </w:rPr>
            </w:pPr>
            <w:r>
              <w:rPr>
                <w:rFonts w:hint="eastAsia" w:ascii="仿宋" w:hAnsi="仿宋"/>
                <w:color w:val="auto"/>
                <w:sz w:val="28"/>
                <w:lang w:val="en-US"/>
              </w:rPr>
              <w:t>4.</w:t>
            </w:r>
            <w:r>
              <w:rPr>
                <w:rFonts w:hint="eastAsia" w:ascii="仿宋" w:hAnsi="仿宋"/>
                <w:color w:val="auto"/>
                <w:sz w:val="28"/>
              </w:rPr>
              <w:t>地下水环境保护目标</w:t>
            </w:r>
          </w:p>
          <w:p w14:paraId="49426379">
            <w:pPr>
              <w:ind w:firstLine="560"/>
              <w:rPr>
                <w:color w:val="auto"/>
                <w:sz w:val="28"/>
              </w:rPr>
            </w:pPr>
            <w:r>
              <w:rPr>
                <w:rFonts w:hint="eastAsia"/>
                <w:color w:val="auto"/>
                <w:sz w:val="28"/>
              </w:rPr>
              <w:t>本项目厂界外500m范围内无地下水集中式饮用水水源和热水、矿泉水、温泉等特殊地下水资源。</w:t>
            </w:r>
          </w:p>
          <w:p w14:paraId="68FBFBFD">
            <w:pPr>
              <w:pStyle w:val="53"/>
              <w:spacing w:before="120"/>
              <w:rPr>
                <w:rFonts w:ascii="仿宋" w:hAnsi="仿宋"/>
                <w:color w:val="auto"/>
                <w:sz w:val="28"/>
                <w:lang w:val="en-US"/>
              </w:rPr>
            </w:pPr>
            <w:r>
              <w:rPr>
                <w:rFonts w:hint="eastAsia" w:ascii="仿宋" w:hAnsi="仿宋"/>
                <w:color w:val="auto"/>
                <w:sz w:val="28"/>
                <w:lang w:val="en-US"/>
              </w:rPr>
              <w:t>5.</w:t>
            </w:r>
            <w:r>
              <w:rPr>
                <w:rFonts w:hint="eastAsia" w:ascii="仿宋" w:hAnsi="仿宋"/>
                <w:color w:val="auto"/>
                <w:sz w:val="28"/>
              </w:rPr>
              <w:t>生态环境</w:t>
            </w:r>
          </w:p>
          <w:p w14:paraId="1E16A851">
            <w:pPr>
              <w:ind w:firstLine="560"/>
              <w:rPr>
                <w:color w:val="auto"/>
                <w:sz w:val="18"/>
                <w:szCs w:val="18"/>
                <w:lang w:val="zh-CN"/>
              </w:rPr>
            </w:pPr>
            <w:r>
              <w:rPr>
                <w:rFonts w:hint="eastAsia"/>
                <w:color w:val="auto"/>
                <w:sz w:val="28"/>
              </w:rPr>
              <w:t>本项目位于重庆市九龙坡区西彭镇森迪大道139号3号楼2层和3层</w:t>
            </w:r>
            <w:r>
              <w:rPr>
                <w:rFonts w:hint="eastAsia"/>
                <w:color w:val="auto"/>
                <w:sz w:val="28"/>
                <w:highlight w:val="none"/>
              </w:rPr>
              <w:t>，租</w:t>
            </w:r>
            <w:r>
              <w:rPr>
                <w:rFonts w:hint="eastAsia"/>
                <w:color w:val="auto"/>
                <w:sz w:val="28"/>
              </w:rPr>
              <w:t>用厂房进行建设，用地属性为</w:t>
            </w:r>
            <w:r>
              <w:rPr>
                <w:rFonts w:hint="eastAsia"/>
                <w:color w:val="auto"/>
                <w:sz w:val="28"/>
                <w:szCs w:val="28"/>
                <w:lang w:val="en-US" w:eastAsia="zh-CN"/>
              </w:rPr>
              <w:t>物流仓储用地</w:t>
            </w:r>
            <w:r>
              <w:rPr>
                <w:rFonts w:hint="eastAsia"/>
                <w:color w:val="auto"/>
                <w:sz w:val="28"/>
                <w:lang w:val="en-US" w:eastAsia="zh-CN"/>
              </w:rPr>
              <w:t>/</w:t>
            </w:r>
            <w:r>
              <w:rPr>
                <w:rFonts w:hint="eastAsia"/>
                <w:color w:val="auto"/>
                <w:sz w:val="28"/>
              </w:rPr>
              <w:t>工业用地，不涉及生态环境保护目标。</w:t>
            </w:r>
          </w:p>
        </w:tc>
      </w:tr>
      <w:tr w14:paraId="38C71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dxa"/>
            <w:tcMar>
              <w:left w:w="28" w:type="dxa"/>
              <w:right w:w="28" w:type="dxa"/>
            </w:tcMar>
            <w:vAlign w:val="center"/>
          </w:tcPr>
          <w:p w14:paraId="23A25F09">
            <w:pPr>
              <w:pStyle w:val="49"/>
              <w:rPr>
                <w:color w:val="auto"/>
              </w:rPr>
            </w:pPr>
            <w:r>
              <w:rPr>
                <w:rFonts w:hint="eastAsia"/>
                <w:color w:val="auto"/>
                <w:sz w:val="28"/>
              </w:rPr>
              <w:t>污染物排放控制标准</w:t>
            </w:r>
          </w:p>
        </w:tc>
        <w:tc>
          <w:tcPr>
            <w:tcW w:w="8291" w:type="dxa"/>
            <w:vAlign w:val="center"/>
          </w:tcPr>
          <w:p w14:paraId="5D02DFBB">
            <w:pPr>
              <w:pStyle w:val="53"/>
              <w:spacing w:before="120"/>
              <w:rPr>
                <w:rFonts w:ascii="仿宋" w:hAnsi="仿宋"/>
                <w:color w:val="auto"/>
                <w:sz w:val="28"/>
              </w:rPr>
            </w:pPr>
            <w:r>
              <w:rPr>
                <w:rFonts w:ascii="仿宋" w:hAnsi="仿宋"/>
                <w:color w:val="auto"/>
                <w:sz w:val="28"/>
              </w:rPr>
              <w:t>1.</w:t>
            </w:r>
            <w:r>
              <w:rPr>
                <w:rFonts w:hint="eastAsia" w:ascii="仿宋" w:hAnsi="仿宋"/>
                <w:color w:val="auto"/>
                <w:sz w:val="28"/>
              </w:rPr>
              <w:t>大气污染物排放标准</w:t>
            </w:r>
          </w:p>
          <w:p w14:paraId="441ED92B">
            <w:pPr>
              <w:ind w:firstLine="560"/>
              <w:jc w:val="left"/>
              <w:rPr>
                <w:rFonts w:hint="eastAsia"/>
                <w:i/>
                <w:iCs/>
                <w:color w:val="auto"/>
                <w:sz w:val="28"/>
                <w:szCs w:val="28"/>
              </w:rPr>
            </w:pPr>
            <w:r>
              <w:rPr>
                <w:rFonts w:hint="eastAsia" w:ascii="仿宋" w:hAnsi="仿宋" w:eastAsia="仿宋" w:cs="仿宋"/>
                <w:i/>
                <w:iCs/>
                <w:color w:val="auto"/>
                <w:sz w:val="28"/>
                <w:szCs w:val="28"/>
                <w:highlight w:val="none"/>
                <w:lang w:val="en-US" w:eastAsia="zh-CN"/>
              </w:rPr>
              <w:t>本项目</w:t>
            </w:r>
            <w:r>
              <w:rPr>
                <w:rFonts w:hint="eastAsia" w:cs="仿宋"/>
                <w:i/>
                <w:iCs/>
                <w:color w:val="auto"/>
                <w:sz w:val="28"/>
                <w:szCs w:val="28"/>
                <w:highlight w:val="none"/>
                <w:lang w:val="en-US" w:eastAsia="zh-CN"/>
              </w:rPr>
              <w:t>产生的废气主要为涂布</w:t>
            </w:r>
            <w:r>
              <w:rPr>
                <w:rFonts w:hint="eastAsia" w:ascii="仿宋" w:hAnsi="仿宋" w:eastAsia="仿宋" w:cs="仿宋"/>
                <w:i/>
                <w:iCs/>
                <w:color w:val="auto"/>
                <w:sz w:val="28"/>
                <w:szCs w:val="28"/>
                <w:highlight w:val="none"/>
                <w:lang w:val="en-US" w:eastAsia="zh-CN"/>
              </w:rPr>
              <w:t>、</w:t>
            </w:r>
            <w:r>
              <w:rPr>
                <w:rFonts w:hint="eastAsia" w:cs="仿宋"/>
                <w:i/>
                <w:iCs/>
                <w:color w:val="auto"/>
                <w:sz w:val="28"/>
                <w:szCs w:val="28"/>
                <w:highlight w:val="none"/>
                <w:lang w:val="en-US" w:eastAsia="zh-CN"/>
              </w:rPr>
              <w:t>烘干废气</w:t>
            </w:r>
            <w:r>
              <w:rPr>
                <w:rFonts w:hint="eastAsia" w:ascii="仿宋" w:hAnsi="仿宋" w:eastAsia="仿宋" w:cs="仿宋"/>
                <w:i/>
                <w:iCs/>
                <w:color w:val="auto"/>
                <w:sz w:val="28"/>
                <w:szCs w:val="28"/>
                <w:highlight w:val="none"/>
                <w:lang w:val="en-US" w:eastAsia="zh-CN"/>
              </w:rPr>
              <w:t>。</w:t>
            </w:r>
            <w:r>
              <w:rPr>
                <w:rFonts w:hint="eastAsia" w:cs="仿宋"/>
                <w:i/>
                <w:iCs/>
                <w:color w:val="auto"/>
                <w:sz w:val="28"/>
                <w:szCs w:val="28"/>
                <w:highlight w:val="none"/>
                <w:lang w:val="en-US" w:eastAsia="zh-CN"/>
              </w:rPr>
              <w:t>废气中</w:t>
            </w:r>
            <w:r>
              <w:rPr>
                <w:rFonts w:hint="eastAsia" w:ascii="仿宋" w:hAnsi="仿宋" w:eastAsia="仿宋" w:cs="仿宋"/>
                <w:bCs/>
                <w:i/>
                <w:iCs/>
                <w:color w:val="auto"/>
                <w:sz w:val="28"/>
                <w:szCs w:val="28"/>
                <w:highlight w:val="none"/>
                <w:lang w:val="en-US" w:eastAsia="zh-CN"/>
              </w:rPr>
              <w:t>非甲烷总烃</w:t>
            </w:r>
            <w:r>
              <w:rPr>
                <w:rFonts w:hint="eastAsia" w:cs="仿宋"/>
                <w:bCs/>
                <w:i/>
                <w:iCs/>
                <w:color w:val="auto"/>
                <w:sz w:val="28"/>
                <w:szCs w:val="28"/>
                <w:highlight w:val="none"/>
                <w:lang w:val="en-US" w:eastAsia="zh-CN"/>
              </w:rPr>
              <w:t>、颗粒物</w:t>
            </w:r>
            <w:r>
              <w:rPr>
                <w:rFonts w:hint="eastAsia" w:ascii="仿宋" w:hAnsi="仿宋" w:eastAsia="仿宋" w:cs="仿宋"/>
                <w:bCs/>
                <w:i/>
                <w:iCs/>
                <w:color w:val="auto"/>
                <w:sz w:val="28"/>
                <w:szCs w:val="28"/>
                <w:highlight w:val="none"/>
                <w:lang w:eastAsia="zh-CN"/>
              </w:rPr>
              <w:t>执行</w:t>
            </w:r>
            <w:r>
              <w:rPr>
                <w:rFonts w:hint="eastAsia" w:ascii="仿宋" w:hAnsi="仿宋" w:eastAsia="仿宋" w:cs="仿宋"/>
                <w:i/>
                <w:iCs/>
                <w:color w:val="auto"/>
                <w:sz w:val="28"/>
                <w:szCs w:val="28"/>
                <w:highlight w:val="none"/>
                <w:lang w:val="en-US" w:eastAsia="zh-CN"/>
              </w:rPr>
              <w:t>《合成树脂工业污染物排放标准》（GB31572-2015）及其修改单中的</w:t>
            </w:r>
            <w:r>
              <w:rPr>
                <w:rFonts w:hint="eastAsia" w:ascii="仿宋" w:hAnsi="仿宋" w:eastAsia="仿宋" w:cs="仿宋"/>
                <w:bCs/>
                <w:i/>
                <w:iCs/>
                <w:color w:val="auto"/>
                <w:sz w:val="28"/>
                <w:szCs w:val="28"/>
                <w:highlight w:val="none"/>
                <w:lang w:eastAsia="zh-CN"/>
              </w:rPr>
              <w:t>排放限值要求</w:t>
            </w:r>
            <w:r>
              <w:rPr>
                <w:rFonts w:hint="eastAsia" w:ascii="Times New Roman" w:hAnsi="Times New Roman" w:eastAsia="宋体" w:cs="Times New Roman"/>
                <w:bCs/>
                <w:i/>
                <w:iCs/>
                <w:color w:val="auto"/>
                <w:sz w:val="24"/>
                <w:szCs w:val="24"/>
                <w:lang w:val="en-US" w:eastAsia="zh-CN"/>
              </w:rPr>
              <w:t>；</w:t>
            </w:r>
            <w:r>
              <w:rPr>
                <w:rFonts w:hint="eastAsia" w:ascii="仿宋" w:hAnsi="仿宋" w:eastAsia="仿宋" w:cs="仿宋"/>
                <w:bCs/>
                <w:i/>
                <w:iCs/>
                <w:color w:val="auto"/>
                <w:sz w:val="28"/>
                <w:szCs w:val="28"/>
                <w:lang w:val="en-US" w:eastAsia="zh-CN"/>
              </w:rPr>
              <w:t>恶臭参照执行</w:t>
            </w:r>
            <w:r>
              <w:rPr>
                <w:rFonts w:hint="eastAsia" w:ascii="仿宋" w:hAnsi="仿宋" w:eastAsia="仿宋" w:cs="仿宋"/>
                <w:b w:val="0"/>
                <w:bCs/>
                <w:i/>
                <w:iCs/>
                <w:color w:val="auto"/>
                <w:sz w:val="28"/>
                <w:szCs w:val="28"/>
              </w:rPr>
              <w:t>《恶臭污染物排放标准》（GB14554-93）</w:t>
            </w:r>
            <w:r>
              <w:rPr>
                <w:rFonts w:hint="eastAsia" w:ascii="仿宋" w:hAnsi="仿宋" w:eastAsia="仿宋" w:cs="仿宋"/>
                <w:b w:val="0"/>
                <w:bCs/>
                <w:i/>
                <w:iCs/>
                <w:color w:val="auto"/>
                <w:sz w:val="28"/>
                <w:szCs w:val="28"/>
                <w:lang w:val="en-US" w:eastAsia="zh-CN"/>
              </w:rPr>
              <w:t>标准限值</w:t>
            </w:r>
            <w:r>
              <w:rPr>
                <w:rFonts w:hint="eastAsia" w:ascii="仿宋" w:hAnsi="仿宋" w:eastAsia="仿宋" w:cs="仿宋"/>
                <w:i/>
                <w:iCs/>
                <w:color w:val="auto"/>
                <w:sz w:val="28"/>
                <w:szCs w:val="28"/>
                <w:lang w:eastAsia="zh-CN"/>
              </w:rPr>
              <w:t>。</w:t>
            </w:r>
            <w:r>
              <w:rPr>
                <w:rFonts w:hint="eastAsia" w:ascii="仿宋" w:hAnsi="仿宋" w:eastAsia="仿宋" w:cs="仿宋"/>
                <w:i/>
                <w:iCs/>
                <w:color w:val="auto"/>
                <w:sz w:val="28"/>
                <w:szCs w:val="28"/>
              </w:rPr>
              <w:t>此外，</w:t>
            </w:r>
            <w:r>
              <w:rPr>
                <w:rFonts w:hint="eastAsia" w:ascii="仿宋" w:hAnsi="仿宋" w:eastAsia="仿宋" w:cs="仿宋"/>
                <w:i/>
                <w:iCs/>
                <w:color w:val="auto"/>
                <w:sz w:val="28"/>
                <w:szCs w:val="28"/>
                <w:lang w:val="en-US" w:eastAsia="zh-CN"/>
              </w:rPr>
              <w:t>车间外</w:t>
            </w:r>
            <w:r>
              <w:rPr>
                <w:rFonts w:hint="eastAsia" w:ascii="仿宋" w:hAnsi="仿宋" w:eastAsia="仿宋" w:cs="仿宋"/>
                <w:i/>
                <w:iCs/>
                <w:color w:val="auto"/>
                <w:sz w:val="28"/>
                <w:szCs w:val="28"/>
              </w:rPr>
              <w:t>非甲烷总烃无组织排放控制的基本要求执行《挥发性有机物无组织排放标准控制》（GB37822-2019）中附录A中的VOCs无组织排放监控要求。</w:t>
            </w:r>
            <w:r>
              <w:rPr>
                <w:rFonts w:hint="eastAsia" w:ascii="仿宋" w:hAnsi="仿宋" w:eastAsia="仿宋" w:cs="仿宋"/>
                <w:i/>
                <w:iCs/>
                <w:color w:val="auto"/>
                <w:sz w:val="28"/>
                <w:szCs w:val="28"/>
                <w:lang w:val="en-US" w:eastAsia="zh-CN"/>
              </w:rPr>
              <w:t>相关标准值如</w:t>
            </w:r>
            <w:r>
              <w:rPr>
                <w:rFonts w:hint="eastAsia" w:cs="仿宋"/>
                <w:i/>
                <w:iCs/>
                <w:color w:val="auto"/>
                <w:sz w:val="28"/>
                <w:szCs w:val="28"/>
                <w:lang w:val="en-US" w:eastAsia="zh-CN"/>
              </w:rPr>
              <w:t>下</w:t>
            </w:r>
            <w:r>
              <w:rPr>
                <w:rFonts w:hint="eastAsia" w:ascii="仿宋" w:hAnsi="仿宋" w:eastAsia="仿宋" w:cs="仿宋"/>
                <w:i/>
                <w:iCs/>
                <w:color w:val="auto"/>
                <w:sz w:val="28"/>
                <w:szCs w:val="28"/>
              </w:rPr>
              <w:t>。</w:t>
            </w:r>
          </w:p>
          <w:p w14:paraId="067241E7">
            <w:pPr>
              <w:snapToGrid w:val="0"/>
              <w:spacing w:line="460" w:lineRule="exact"/>
              <w:ind w:left="0" w:leftChars="0" w:firstLine="0" w:firstLineChars="0"/>
              <w:rPr>
                <w:rFonts w:hint="default" w:ascii="Times New Roman" w:hAnsi="Times New Roman" w:eastAsia="宋体" w:cs="Times New Roman"/>
                <w:b/>
                <w:color w:val="auto"/>
                <w:spacing w:val="0"/>
                <w:position w:val="0"/>
                <w:sz w:val="24"/>
                <w:szCs w:val="24"/>
                <w:lang w:val="en-US" w:eastAsia="zh-CN"/>
              </w:rPr>
            </w:pPr>
            <w:r>
              <w:rPr>
                <w:color w:val="auto"/>
                <w:sz w:val="24"/>
                <w:szCs w:val="24"/>
              </w:rPr>
              <w:t>表</w:t>
            </w:r>
            <w:r>
              <w:rPr>
                <w:rFonts w:hint="eastAsia"/>
                <w:color w:val="auto"/>
                <w:sz w:val="24"/>
                <w:szCs w:val="24"/>
              </w:rPr>
              <w:t>3-</w:t>
            </w:r>
            <w:r>
              <w:rPr>
                <w:rFonts w:hint="eastAsia"/>
                <w:color w:val="auto"/>
                <w:sz w:val="24"/>
                <w:szCs w:val="24"/>
                <w:lang w:val="en-US" w:eastAsia="zh-CN"/>
              </w:rPr>
              <w:t>6《合成树脂工业污染物排放标准》（GB 31572-2015，含2024年修改单）</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7" w:type="dxa"/>
                <w:bottom w:w="0" w:type="dxa"/>
                <w:right w:w="17" w:type="dxa"/>
              </w:tblCellMar>
            </w:tblPr>
            <w:tblGrid>
              <w:gridCol w:w="1094"/>
              <w:gridCol w:w="2320"/>
              <w:gridCol w:w="2261"/>
              <w:gridCol w:w="2390"/>
            </w:tblGrid>
            <w:tr w14:paraId="13A8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397" w:hRule="atLeast"/>
                <w:tblHeader/>
                <w:jc w:val="center"/>
              </w:trPr>
              <w:tc>
                <w:tcPr>
                  <w:tcW w:w="1261" w:type="dxa"/>
                  <w:noWrap w:val="0"/>
                  <w:vAlign w:val="center"/>
                </w:tcPr>
                <w:p w14:paraId="46894A48">
                  <w:pPr>
                    <w:pStyle w:val="52"/>
                    <w:tabs>
                      <w:tab w:val="left" w:pos="315"/>
                    </w:tabs>
                    <w:bidi w:val="0"/>
                    <w:jc w:val="center"/>
                    <w:rPr>
                      <w:rFonts w:hint="eastAsia" w:ascii="仿宋" w:hAnsi="仿宋" w:eastAsia="仿宋" w:cs="仿宋"/>
                      <w:b/>
                      <w:bCs/>
                      <w:i/>
                      <w:iCs/>
                      <w:color w:val="auto"/>
                      <w:sz w:val="24"/>
                      <w:szCs w:val="24"/>
                      <w:lang w:eastAsia="zh-CN"/>
                    </w:rPr>
                  </w:pPr>
                  <w:r>
                    <w:rPr>
                      <w:rFonts w:hint="eastAsia" w:ascii="仿宋" w:hAnsi="仿宋" w:eastAsia="仿宋" w:cs="仿宋"/>
                      <w:b/>
                      <w:bCs/>
                      <w:i/>
                      <w:iCs/>
                      <w:color w:val="auto"/>
                      <w:sz w:val="24"/>
                      <w:szCs w:val="24"/>
                      <w:lang w:eastAsia="zh-CN"/>
                    </w:rPr>
                    <w:t>污染物</w:t>
                  </w:r>
                </w:p>
              </w:tc>
              <w:tc>
                <w:tcPr>
                  <w:tcW w:w="2577" w:type="dxa"/>
                  <w:noWrap w:val="0"/>
                  <w:vAlign w:val="center"/>
                </w:tcPr>
                <w:p w14:paraId="42968500">
                  <w:pPr>
                    <w:pStyle w:val="52"/>
                    <w:tabs>
                      <w:tab w:val="left" w:pos="315"/>
                    </w:tabs>
                    <w:bidi w:val="0"/>
                    <w:jc w:val="center"/>
                    <w:rPr>
                      <w:rFonts w:hint="eastAsia" w:ascii="仿宋" w:hAnsi="仿宋" w:eastAsia="仿宋" w:cs="仿宋"/>
                      <w:b/>
                      <w:bCs/>
                      <w:i/>
                      <w:iCs/>
                      <w:color w:val="auto"/>
                      <w:sz w:val="24"/>
                      <w:szCs w:val="24"/>
                    </w:rPr>
                  </w:pPr>
                  <w:r>
                    <w:rPr>
                      <w:rFonts w:hint="eastAsia" w:ascii="仿宋" w:hAnsi="仿宋" w:eastAsia="仿宋" w:cs="仿宋"/>
                      <w:b/>
                      <w:bCs/>
                      <w:i/>
                      <w:iCs/>
                      <w:color w:val="auto"/>
                      <w:sz w:val="24"/>
                      <w:szCs w:val="24"/>
                    </w:rPr>
                    <w:t>最高允许排放浓度</w:t>
                  </w:r>
                </w:p>
                <w:p w14:paraId="390BED36">
                  <w:pPr>
                    <w:pStyle w:val="52"/>
                    <w:tabs>
                      <w:tab w:val="left" w:pos="315"/>
                    </w:tabs>
                    <w:bidi w:val="0"/>
                    <w:jc w:val="center"/>
                    <w:rPr>
                      <w:rFonts w:hint="eastAsia" w:ascii="仿宋" w:hAnsi="仿宋" w:eastAsia="仿宋" w:cs="仿宋"/>
                      <w:b/>
                      <w:bCs/>
                      <w:i/>
                      <w:iCs/>
                      <w:color w:val="auto"/>
                      <w:sz w:val="24"/>
                      <w:szCs w:val="24"/>
                    </w:rPr>
                  </w:pPr>
                  <w:r>
                    <w:rPr>
                      <w:rFonts w:hint="eastAsia" w:ascii="仿宋" w:hAnsi="仿宋" w:eastAsia="仿宋" w:cs="仿宋"/>
                      <w:b/>
                      <w:bCs/>
                      <w:i/>
                      <w:iCs/>
                      <w:color w:val="auto"/>
                      <w:sz w:val="24"/>
                      <w:szCs w:val="24"/>
                    </w:rPr>
                    <w:t>（mg/m</w:t>
                  </w:r>
                  <w:r>
                    <w:rPr>
                      <w:rFonts w:hint="eastAsia" w:ascii="仿宋" w:hAnsi="仿宋" w:eastAsia="仿宋" w:cs="仿宋"/>
                      <w:b/>
                      <w:bCs/>
                      <w:i/>
                      <w:iCs/>
                      <w:color w:val="auto"/>
                      <w:sz w:val="24"/>
                      <w:szCs w:val="24"/>
                      <w:vertAlign w:val="superscript"/>
                    </w:rPr>
                    <w:t>3</w:t>
                  </w:r>
                  <w:r>
                    <w:rPr>
                      <w:rFonts w:hint="eastAsia" w:ascii="仿宋" w:hAnsi="仿宋" w:eastAsia="仿宋" w:cs="仿宋"/>
                      <w:b/>
                      <w:bCs/>
                      <w:i/>
                      <w:iCs/>
                      <w:color w:val="auto"/>
                      <w:sz w:val="24"/>
                      <w:szCs w:val="24"/>
                    </w:rPr>
                    <w:t>）</w:t>
                  </w:r>
                </w:p>
              </w:tc>
              <w:tc>
                <w:tcPr>
                  <w:tcW w:w="2519" w:type="dxa"/>
                  <w:noWrap w:val="0"/>
                  <w:vAlign w:val="center"/>
                </w:tcPr>
                <w:p w14:paraId="2F435B8D">
                  <w:pPr>
                    <w:pStyle w:val="52"/>
                    <w:tabs>
                      <w:tab w:val="left" w:pos="315"/>
                    </w:tabs>
                    <w:bidi w:val="0"/>
                    <w:jc w:val="center"/>
                    <w:rPr>
                      <w:rFonts w:hint="eastAsia" w:ascii="仿宋" w:hAnsi="仿宋" w:eastAsia="仿宋" w:cs="仿宋"/>
                      <w:b/>
                      <w:bCs/>
                      <w:i/>
                      <w:iCs/>
                      <w:color w:val="auto"/>
                      <w:sz w:val="24"/>
                      <w:szCs w:val="24"/>
                    </w:rPr>
                  </w:pPr>
                  <w:r>
                    <w:rPr>
                      <w:rFonts w:hint="eastAsia" w:ascii="仿宋" w:hAnsi="仿宋" w:eastAsia="仿宋" w:cs="仿宋"/>
                      <w:b/>
                      <w:bCs/>
                      <w:i/>
                      <w:iCs/>
                      <w:color w:val="auto"/>
                      <w:sz w:val="24"/>
                      <w:szCs w:val="24"/>
                    </w:rPr>
                    <w:t>最高允许排放速率</w:t>
                  </w:r>
                  <w:bookmarkStart w:id="5" w:name="OLE_LINK199"/>
                </w:p>
                <w:p w14:paraId="6D25D2D9">
                  <w:pPr>
                    <w:pStyle w:val="52"/>
                    <w:tabs>
                      <w:tab w:val="left" w:pos="315"/>
                    </w:tabs>
                    <w:bidi w:val="0"/>
                    <w:jc w:val="center"/>
                    <w:rPr>
                      <w:rFonts w:hint="eastAsia" w:ascii="仿宋" w:hAnsi="仿宋" w:eastAsia="仿宋" w:cs="仿宋"/>
                      <w:b/>
                      <w:bCs/>
                      <w:i/>
                      <w:iCs/>
                      <w:color w:val="auto"/>
                      <w:sz w:val="24"/>
                      <w:szCs w:val="24"/>
                    </w:rPr>
                  </w:pPr>
                  <w:r>
                    <w:rPr>
                      <w:rFonts w:hint="eastAsia" w:ascii="仿宋" w:hAnsi="仿宋" w:eastAsia="仿宋" w:cs="仿宋"/>
                      <w:b/>
                      <w:bCs/>
                      <w:i/>
                      <w:iCs/>
                      <w:color w:val="auto"/>
                      <w:sz w:val="24"/>
                      <w:szCs w:val="24"/>
                    </w:rPr>
                    <w:t>（kg/h）</w:t>
                  </w:r>
                  <w:bookmarkEnd w:id="5"/>
                </w:p>
              </w:tc>
              <w:tc>
                <w:tcPr>
                  <w:tcW w:w="2661" w:type="dxa"/>
                  <w:noWrap w:val="0"/>
                  <w:vAlign w:val="center"/>
                </w:tcPr>
                <w:p w14:paraId="0AE0D34F">
                  <w:pPr>
                    <w:pStyle w:val="52"/>
                    <w:tabs>
                      <w:tab w:val="left" w:pos="315"/>
                    </w:tabs>
                    <w:bidi w:val="0"/>
                    <w:jc w:val="center"/>
                    <w:rPr>
                      <w:rFonts w:hint="eastAsia" w:ascii="仿宋" w:hAnsi="仿宋" w:eastAsia="仿宋" w:cs="仿宋"/>
                      <w:b/>
                      <w:bCs/>
                      <w:i/>
                      <w:iCs/>
                      <w:color w:val="auto"/>
                      <w:sz w:val="24"/>
                      <w:szCs w:val="24"/>
                    </w:rPr>
                  </w:pPr>
                  <w:r>
                    <w:rPr>
                      <w:rFonts w:hint="eastAsia" w:ascii="仿宋" w:hAnsi="仿宋" w:eastAsia="仿宋" w:cs="仿宋"/>
                      <w:b/>
                      <w:bCs/>
                      <w:i/>
                      <w:iCs/>
                      <w:color w:val="auto"/>
                      <w:sz w:val="24"/>
                      <w:szCs w:val="24"/>
                      <w:lang w:eastAsia="zh-CN"/>
                    </w:rPr>
                    <w:t>厂界</w:t>
                  </w:r>
                  <w:r>
                    <w:rPr>
                      <w:rFonts w:hint="eastAsia" w:ascii="仿宋" w:hAnsi="仿宋" w:eastAsia="仿宋" w:cs="仿宋"/>
                      <w:b/>
                      <w:bCs/>
                      <w:i/>
                      <w:iCs/>
                      <w:color w:val="auto"/>
                      <w:sz w:val="24"/>
                      <w:szCs w:val="24"/>
                    </w:rPr>
                    <w:t>无组织排放浓度限</w:t>
                  </w:r>
                  <w:bookmarkStart w:id="6" w:name="OLE_LINK198"/>
                  <w:r>
                    <w:rPr>
                      <w:rFonts w:hint="eastAsia" w:ascii="仿宋" w:hAnsi="仿宋" w:eastAsia="仿宋" w:cs="仿宋"/>
                      <w:b/>
                      <w:bCs/>
                      <w:i/>
                      <w:iCs/>
                      <w:color w:val="auto"/>
                      <w:sz w:val="24"/>
                      <w:szCs w:val="24"/>
                      <w:lang w:eastAsia="zh-CN"/>
                    </w:rPr>
                    <w:t>值</w:t>
                  </w:r>
                  <w:r>
                    <w:rPr>
                      <w:rFonts w:hint="eastAsia" w:ascii="仿宋" w:hAnsi="仿宋" w:eastAsia="仿宋" w:cs="仿宋"/>
                      <w:b/>
                      <w:bCs/>
                      <w:i/>
                      <w:iCs/>
                      <w:color w:val="auto"/>
                      <w:sz w:val="24"/>
                      <w:szCs w:val="24"/>
                    </w:rPr>
                    <w:t>（mg/m</w:t>
                  </w:r>
                  <w:r>
                    <w:rPr>
                      <w:rFonts w:hint="eastAsia" w:ascii="仿宋" w:hAnsi="仿宋" w:eastAsia="仿宋" w:cs="仿宋"/>
                      <w:b/>
                      <w:bCs/>
                      <w:i/>
                      <w:iCs/>
                      <w:color w:val="auto"/>
                      <w:sz w:val="24"/>
                      <w:szCs w:val="24"/>
                      <w:vertAlign w:val="superscript"/>
                    </w:rPr>
                    <w:t>3</w:t>
                  </w:r>
                  <w:r>
                    <w:rPr>
                      <w:rFonts w:hint="eastAsia" w:ascii="仿宋" w:hAnsi="仿宋" w:eastAsia="仿宋" w:cs="仿宋"/>
                      <w:b/>
                      <w:bCs/>
                      <w:i/>
                      <w:iCs/>
                      <w:color w:val="auto"/>
                      <w:sz w:val="24"/>
                      <w:szCs w:val="24"/>
                    </w:rPr>
                    <w:t>）</w:t>
                  </w:r>
                  <w:bookmarkEnd w:id="6"/>
                </w:p>
              </w:tc>
            </w:tr>
            <w:tr w14:paraId="356B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397" w:hRule="atLeast"/>
                <w:tblHeader/>
                <w:jc w:val="center"/>
              </w:trPr>
              <w:tc>
                <w:tcPr>
                  <w:tcW w:w="1261" w:type="dxa"/>
                  <w:noWrap w:val="0"/>
                  <w:vAlign w:val="center"/>
                </w:tcPr>
                <w:p w14:paraId="47979CEC">
                  <w:pPr>
                    <w:pStyle w:val="52"/>
                    <w:tabs>
                      <w:tab w:val="left" w:pos="315"/>
                    </w:tabs>
                    <w:bidi w:val="0"/>
                    <w:jc w:val="center"/>
                    <w:rPr>
                      <w:rFonts w:hint="eastAsia" w:ascii="仿宋" w:hAnsi="仿宋" w:eastAsia="仿宋" w:cs="仿宋"/>
                      <w:i/>
                      <w:iCs/>
                      <w:color w:val="auto"/>
                      <w:sz w:val="24"/>
                      <w:szCs w:val="24"/>
                      <w:lang w:val="en-US" w:eastAsia="zh-CN"/>
                    </w:rPr>
                  </w:pPr>
                  <w:bookmarkStart w:id="7" w:name="OLE_LINK155" w:colFirst="0" w:colLast="0"/>
                  <w:bookmarkStart w:id="8" w:name="OLE_LINK153" w:colFirst="3" w:colLast="3"/>
                  <w:bookmarkStart w:id="9" w:name="OLE_LINK156" w:colFirst="1" w:colLast="1"/>
                  <w:r>
                    <w:rPr>
                      <w:rFonts w:hint="eastAsia" w:ascii="仿宋" w:hAnsi="仿宋" w:eastAsia="仿宋" w:cs="仿宋"/>
                      <w:i/>
                      <w:iCs/>
                      <w:color w:val="auto"/>
                      <w:sz w:val="24"/>
                      <w:szCs w:val="24"/>
                      <w:lang w:val="en-US" w:eastAsia="zh-CN"/>
                    </w:rPr>
                    <w:t>颗粒物</w:t>
                  </w:r>
                </w:p>
              </w:tc>
              <w:tc>
                <w:tcPr>
                  <w:tcW w:w="2577" w:type="dxa"/>
                  <w:noWrap w:val="0"/>
                  <w:vAlign w:val="center"/>
                </w:tcPr>
                <w:p w14:paraId="214E404C">
                  <w:pPr>
                    <w:pStyle w:val="52"/>
                    <w:tabs>
                      <w:tab w:val="left" w:pos="315"/>
                    </w:tabs>
                    <w:bidi w:val="0"/>
                    <w:jc w:val="center"/>
                    <w:rPr>
                      <w:rFonts w:hint="eastAsia" w:ascii="仿宋" w:hAnsi="仿宋" w:eastAsia="仿宋" w:cs="仿宋"/>
                      <w:i/>
                      <w:iCs/>
                      <w:color w:val="auto"/>
                      <w:sz w:val="24"/>
                      <w:szCs w:val="24"/>
                      <w:lang w:val="en-US" w:eastAsia="zh-CN"/>
                    </w:rPr>
                  </w:pPr>
                  <w:r>
                    <w:rPr>
                      <w:rFonts w:hint="eastAsia" w:ascii="仿宋" w:hAnsi="仿宋" w:eastAsia="仿宋" w:cs="仿宋"/>
                      <w:i/>
                      <w:iCs/>
                      <w:color w:val="auto"/>
                      <w:sz w:val="24"/>
                      <w:szCs w:val="24"/>
                      <w:lang w:val="en-US" w:eastAsia="zh-CN"/>
                    </w:rPr>
                    <w:t>20</w:t>
                  </w:r>
                </w:p>
              </w:tc>
              <w:tc>
                <w:tcPr>
                  <w:tcW w:w="2519" w:type="dxa"/>
                  <w:noWrap w:val="0"/>
                  <w:vAlign w:val="center"/>
                </w:tcPr>
                <w:p w14:paraId="6A572F0F">
                  <w:pPr>
                    <w:pStyle w:val="52"/>
                    <w:tabs>
                      <w:tab w:val="left" w:pos="315"/>
                    </w:tabs>
                    <w:bidi w:val="0"/>
                    <w:jc w:val="center"/>
                    <w:rPr>
                      <w:rFonts w:hint="eastAsia" w:ascii="仿宋" w:hAnsi="仿宋" w:eastAsia="仿宋" w:cs="仿宋"/>
                      <w:i/>
                      <w:iCs/>
                      <w:color w:val="auto"/>
                      <w:sz w:val="24"/>
                      <w:szCs w:val="24"/>
                      <w:lang w:val="en-US" w:eastAsia="zh-CN"/>
                    </w:rPr>
                  </w:pPr>
                  <w:r>
                    <w:rPr>
                      <w:rFonts w:hint="eastAsia" w:ascii="仿宋" w:hAnsi="仿宋" w:eastAsia="仿宋" w:cs="仿宋"/>
                      <w:i/>
                      <w:iCs/>
                      <w:color w:val="auto"/>
                      <w:sz w:val="24"/>
                      <w:szCs w:val="24"/>
                      <w:lang w:val="en-US" w:eastAsia="zh-CN"/>
                    </w:rPr>
                    <w:t>/</w:t>
                  </w:r>
                </w:p>
              </w:tc>
              <w:tc>
                <w:tcPr>
                  <w:tcW w:w="2661" w:type="dxa"/>
                  <w:noWrap w:val="0"/>
                  <w:vAlign w:val="center"/>
                </w:tcPr>
                <w:p w14:paraId="264AB4A9">
                  <w:pPr>
                    <w:pStyle w:val="52"/>
                    <w:tabs>
                      <w:tab w:val="left" w:pos="315"/>
                    </w:tabs>
                    <w:bidi w:val="0"/>
                    <w:jc w:val="center"/>
                    <w:rPr>
                      <w:rFonts w:hint="eastAsia" w:ascii="仿宋" w:hAnsi="仿宋" w:eastAsia="仿宋" w:cs="仿宋"/>
                      <w:i/>
                      <w:iCs/>
                      <w:color w:val="auto"/>
                      <w:sz w:val="24"/>
                      <w:szCs w:val="24"/>
                      <w:lang w:val="en-US" w:eastAsia="zh-CN"/>
                    </w:rPr>
                  </w:pPr>
                  <w:r>
                    <w:rPr>
                      <w:rFonts w:hint="eastAsia" w:ascii="仿宋" w:hAnsi="仿宋" w:eastAsia="仿宋" w:cs="仿宋"/>
                      <w:i/>
                      <w:iCs/>
                      <w:color w:val="auto"/>
                      <w:sz w:val="24"/>
                      <w:szCs w:val="24"/>
                      <w:lang w:val="en-US" w:eastAsia="zh-CN"/>
                    </w:rPr>
                    <w:t>1.0</w:t>
                  </w:r>
                </w:p>
              </w:tc>
            </w:tr>
            <w:tr w14:paraId="7111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397" w:hRule="atLeast"/>
                <w:tblHeader/>
                <w:jc w:val="center"/>
              </w:trPr>
              <w:tc>
                <w:tcPr>
                  <w:tcW w:w="1261" w:type="dxa"/>
                  <w:noWrap w:val="0"/>
                  <w:vAlign w:val="center"/>
                </w:tcPr>
                <w:p w14:paraId="242EAF15">
                  <w:pPr>
                    <w:pStyle w:val="52"/>
                    <w:tabs>
                      <w:tab w:val="left" w:pos="315"/>
                    </w:tabs>
                    <w:bidi w:val="0"/>
                    <w:jc w:val="center"/>
                    <w:rPr>
                      <w:rFonts w:hint="eastAsia" w:ascii="仿宋" w:hAnsi="仿宋" w:eastAsia="仿宋" w:cs="仿宋"/>
                      <w:i/>
                      <w:iCs/>
                      <w:color w:val="auto"/>
                      <w:sz w:val="24"/>
                      <w:szCs w:val="24"/>
                      <w:lang w:eastAsia="zh-CN"/>
                    </w:rPr>
                  </w:pPr>
                  <w:r>
                    <w:rPr>
                      <w:rFonts w:hint="eastAsia" w:ascii="仿宋" w:hAnsi="仿宋" w:eastAsia="仿宋" w:cs="仿宋"/>
                      <w:i/>
                      <w:iCs/>
                      <w:color w:val="auto"/>
                      <w:sz w:val="24"/>
                      <w:szCs w:val="24"/>
                      <w:lang w:eastAsia="zh-CN"/>
                    </w:rPr>
                    <w:t>非甲烷总烃</w:t>
                  </w:r>
                </w:p>
              </w:tc>
              <w:tc>
                <w:tcPr>
                  <w:tcW w:w="2577" w:type="dxa"/>
                  <w:noWrap w:val="0"/>
                  <w:vAlign w:val="center"/>
                </w:tcPr>
                <w:p w14:paraId="0CE3FC3F">
                  <w:pPr>
                    <w:pStyle w:val="52"/>
                    <w:tabs>
                      <w:tab w:val="left" w:pos="315"/>
                    </w:tabs>
                    <w:bidi w:val="0"/>
                    <w:jc w:val="center"/>
                    <w:rPr>
                      <w:rFonts w:hint="eastAsia" w:ascii="仿宋" w:hAnsi="仿宋" w:eastAsia="仿宋" w:cs="仿宋"/>
                      <w:i/>
                      <w:iCs/>
                      <w:color w:val="auto"/>
                      <w:sz w:val="24"/>
                      <w:szCs w:val="24"/>
                    </w:rPr>
                  </w:pPr>
                  <w:r>
                    <w:rPr>
                      <w:rFonts w:hint="eastAsia" w:ascii="仿宋" w:hAnsi="仿宋" w:eastAsia="仿宋" w:cs="仿宋"/>
                      <w:i/>
                      <w:iCs/>
                      <w:color w:val="auto"/>
                      <w:sz w:val="24"/>
                      <w:szCs w:val="24"/>
                    </w:rPr>
                    <w:t>60</w:t>
                  </w:r>
                </w:p>
              </w:tc>
              <w:tc>
                <w:tcPr>
                  <w:tcW w:w="2519" w:type="dxa"/>
                  <w:noWrap w:val="0"/>
                  <w:vAlign w:val="center"/>
                </w:tcPr>
                <w:p w14:paraId="4F80679F">
                  <w:pPr>
                    <w:pStyle w:val="52"/>
                    <w:tabs>
                      <w:tab w:val="left" w:pos="315"/>
                    </w:tabs>
                    <w:bidi w:val="0"/>
                    <w:jc w:val="center"/>
                    <w:rPr>
                      <w:rFonts w:hint="eastAsia" w:ascii="仿宋" w:hAnsi="仿宋" w:eastAsia="仿宋" w:cs="仿宋"/>
                      <w:i/>
                      <w:iCs/>
                      <w:color w:val="auto"/>
                      <w:sz w:val="24"/>
                      <w:szCs w:val="24"/>
                    </w:rPr>
                  </w:pPr>
                  <w:r>
                    <w:rPr>
                      <w:rFonts w:hint="eastAsia" w:ascii="仿宋" w:hAnsi="仿宋" w:eastAsia="仿宋" w:cs="仿宋"/>
                      <w:i/>
                      <w:iCs/>
                      <w:color w:val="auto"/>
                      <w:sz w:val="24"/>
                      <w:szCs w:val="24"/>
                    </w:rPr>
                    <w:t>/</w:t>
                  </w:r>
                </w:p>
              </w:tc>
              <w:tc>
                <w:tcPr>
                  <w:tcW w:w="2661" w:type="dxa"/>
                  <w:noWrap w:val="0"/>
                  <w:vAlign w:val="center"/>
                </w:tcPr>
                <w:p w14:paraId="14B6CDC8">
                  <w:pPr>
                    <w:pStyle w:val="52"/>
                    <w:tabs>
                      <w:tab w:val="left" w:pos="315"/>
                    </w:tabs>
                    <w:bidi w:val="0"/>
                    <w:jc w:val="center"/>
                    <w:rPr>
                      <w:rFonts w:hint="eastAsia" w:ascii="仿宋" w:hAnsi="仿宋" w:eastAsia="仿宋" w:cs="仿宋"/>
                      <w:i/>
                      <w:iCs/>
                      <w:color w:val="auto"/>
                      <w:sz w:val="24"/>
                      <w:szCs w:val="24"/>
                    </w:rPr>
                  </w:pPr>
                  <w:r>
                    <w:rPr>
                      <w:rFonts w:hint="eastAsia" w:ascii="仿宋" w:hAnsi="仿宋" w:eastAsia="仿宋" w:cs="仿宋"/>
                      <w:i/>
                      <w:iCs/>
                      <w:color w:val="auto"/>
                      <w:sz w:val="24"/>
                      <w:szCs w:val="24"/>
                    </w:rPr>
                    <w:t>4.0</w:t>
                  </w:r>
                </w:p>
              </w:tc>
            </w:tr>
            <w:bookmarkEnd w:id="7"/>
            <w:bookmarkEnd w:id="8"/>
            <w:bookmarkEnd w:id="9"/>
          </w:tbl>
          <w:p w14:paraId="34D54831">
            <w:pPr>
              <w:autoSpaceDE w:val="0"/>
              <w:autoSpaceDN w:val="0"/>
              <w:adjustRightInd w:val="0"/>
              <w:spacing w:line="460" w:lineRule="exact"/>
              <w:ind w:firstLine="480" w:firstLineChars="200"/>
              <w:jc w:val="center"/>
              <w:textAlignment w:val="baseline"/>
              <w:rPr>
                <w:rFonts w:hint="eastAsia"/>
                <w:bCs/>
                <w:color w:val="auto"/>
                <w:sz w:val="24"/>
              </w:rPr>
            </w:pPr>
          </w:p>
          <w:p w14:paraId="0BB71BB0">
            <w:pPr>
              <w:autoSpaceDE w:val="0"/>
              <w:autoSpaceDN w:val="0"/>
              <w:adjustRightInd w:val="0"/>
              <w:spacing w:line="460" w:lineRule="exact"/>
              <w:ind w:firstLine="480" w:firstLineChars="200"/>
              <w:jc w:val="center"/>
              <w:textAlignment w:val="baseline"/>
              <w:rPr>
                <w:bCs/>
                <w:color w:val="auto"/>
                <w:sz w:val="24"/>
              </w:rPr>
            </w:pPr>
            <w:r>
              <w:rPr>
                <w:rFonts w:hint="eastAsia"/>
                <w:bCs/>
                <w:color w:val="auto"/>
                <w:sz w:val="24"/>
              </w:rPr>
              <w:t>表3</w:t>
            </w:r>
            <w:r>
              <w:rPr>
                <w:rFonts w:hint="eastAsia"/>
                <w:bCs/>
                <w:color w:val="auto"/>
                <w:sz w:val="24"/>
                <w:lang w:val="en-US" w:eastAsia="zh-CN"/>
              </w:rPr>
              <w:t>-7</w:t>
            </w:r>
            <w:r>
              <w:rPr>
                <w:bCs/>
                <w:color w:val="auto"/>
                <w:sz w:val="24"/>
              </w:rPr>
              <w:t>《恶臭污染物排放标准》（GB14554-93</w:t>
            </w:r>
            <w:r>
              <w:rPr>
                <w:rFonts w:hint="eastAsia"/>
                <w:bCs/>
                <w:color w:val="auto"/>
                <w:sz w:val="24"/>
              </w:rPr>
              <w:t>）</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3176"/>
              <w:gridCol w:w="3177"/>
            </w:tblGrid>
            <w:tr w14:paraId="0A68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pct"/>
                  <w:vMerge w:val="restart"/>
                  <w:noWrap w:val="0"/>
                  <w:vAlign w:val="center"/>
                </w:tcPr>
                <w:p w14:paraId="31F74BC2">
                  <w:pPr>
                    <w:pStyle w:val="11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污染物</w:t>
                  </w:r>
                </w:p>
              </w:tc>
              <w:tc>
                <w:tcPr>
                  <w:tcW w:w="1969" w:type="pct"/>
                  <w:noWrap w:val="0"/>
                  <w:vAlign w:val="center"/>
                </w:tcPr>
                <w:p w14:paraId="6D853CD5">
                  <w:pPr>
                    <w:pStyle w:val="11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排气筒高度</w:t>
                  </w:r>
                </w:p>
              </w:tc>
              <w:tc>
                <w:tcPr>
                  <w:tcW w:w="1969" w:type="pct"/>
                  <w:noWrap w:val="0"/>
                  <w:vAlign w:val="center"/>
                </w:tcPr>
                <w:p w14:paraId="6CFCEC26">
                  <w:pPr>
                    <w:pStyle w:val="117"/>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厂界标准值</w:t>
                  </w:r>
                </w:p>
              </w:tc>
            </w:tr>
            <w:tr w14:paraId="4187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pct"/>
                  <w:vMerge w:val="continue"/>
                  <w:noWrap w:val="0"/>
                  <w:vAlign w:val="center"/>
                </w:tcPr>
                <w:p w14:paraId="392707C3">
                  <w:pPr>
                    <w:pStyle w:val="117"/>
                    <w:rPr>
                      <w:rFonts w:hint="default" w:ascii="Times New Roman" w:hAnsi="Times New Roman" w:eastAsia="仿宋" w:cs="Times New Roman"/>
                      <w:color w:val="auto"/>
                      <w:sz w:val="24"/>
                      <w:szCs w:val="24"/>
                    </w:rPr>
                  </w:pPr>
                </w:p>
              </w:tc>
              <w:tc>
                <w:tcPr>
                  <w:tcW w:w="1969" w:type="pct"/>
                  <w:noWrap w:val="0"/>
                  <w:vAlign w:val="center"/>
                </w:tcPr>
                <w:p w14:paraId="69A9C330">
                  <w:pPr>
                    <w:pStyle w:val="11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15m</w:t>
                  </w:r>
                </w:p>
              </w:tc>
              <w:tc>
                <w:tcPr>
                  <w:tcW w:w="1969" w:type="pct"/>
                  <w:noWrap w:val="0"/>
                  <w:vAlign w:val="center"/>
                </w:tcPr>
                <w:p w14:paraId="20D4FB72">
                  <w:pPr>
                    <w:pStyle w:val="117"/>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二级</w:t>
                  </w:r>
                </w:p>
              </w:tc>
            </w:tr>
            <w:tr w14:paraId="5EAF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0" w:type="pct"/>
                  <w:noWrap w:val="0"/>
                  <w:vAlign w:val="center"/>
                </w:tcPr>
                <w:p w14:paraId="757137FB">
                  <w:pPr>
                    <w:pStyle w:val="11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臭气浓度</w:t>
                  </w:r>
                </w:p>
              </w:tc>
              <w:tc>
                <w:tcPr>
                  <w:tcW w:w="1969" w:type="pct"/>
                  <w:noWrap w:val="0"/>
                  <w:vAlign w:val="center"/>
                </w:tcPr>
                <w:p w14:paraId="2690F496">
                  <w:pPr>
                    <w:pStyle w:val="117"/>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2000（无量纲）</w:t>
                  </w:r>
                </w:p>
              </w:tc>
              <w:tc>
                <w:tcPr>
                  <w:tcW w:w="1969" w:type="pct"/>
                  <w:noWrap w:val="0"/>
                  <w:vAlign w:val="center"/>
                </w:tcPr>
                <w:p w14:paraId="7CEA2695">
                  <w:pPr>
                    <w:pStyle w:val="117"/>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20（无量纲）</w:t>
                  </w:r>
                </w:p>
              </w:tc>
            </w:tr>
          </w:tbl>
          <w:p w14:paraId="2B27A632">
            <w:pPr>
              <w:snapToGrid w:val="0"/>
              <w:spacing w:line="460" w:lineRule="exact"/>
              <w:ind w:firstLine="480" w:firstLineChars="200"/>
              <w:jc w:val="center"/>
              <w:rPr>
                <w:b/>
                <w:color w:val="auto"/>
                <w:sz w:val="24"/>
                <w:lang w:val="en-GB"/>
              </w:rPr>
            </w:pPr>
            <w:r>
              <w:rPr>
                <w:color w:val="auto"/>
                <w:sz w:val="24"/>
              </w:rPr>
              <w:t>表</w:t>
            </w:r>
            <w:r>
              <w:rPr>
                <w:rFonts w:hint="eastAsia"/>
                <w:color w:val="auto"/>
                <w:sz w:val="24"/>
              </w:rPr>
              <w:t>3-</w:t>
            </w:r>
            <w:r>
              <w:rPr>
                <w:rFonts w:hint="eastAsia"/>
                <w:color w:val="auto"/>
                <w:sz w:val="24"/>
                <w:lang w:val="en-US" w:eastAsia="zh-CN"/>
              </w:rPr>
              <w:t>8</w:t>
            </w:r>
            <w:r>
              <w:rPr>
                <w:color w:val="auto"/>
                <w:sz w:val="24"/>
              </w:rPr>
              <w:t>《挥发性有机物无组织排放控制标准》（GB37822-2019）</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599"/>
              <w:gridCol w:w="2783"/>
              <w:gridCol w:w="2266"/>
            </w:tblGrid>
            <w:tr w14:paraId="28D8F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23" w:type="pct"/>
                  <w:noWrap w:val="0"/>
                  <w:vAlign w:val="center"/>
                </w:tcPr>
                <w:p w14:paraId="4CCCCCE2">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4"/>
                      <w:szCs w:val="24"/>
                    </w:rPr>
                  </w:pPr>
                  <w:r>
                    <w:rPr>
                      <w:rFonts w:ascii="Times New Roman" w:hAnsi="Times New Roman"/>
                      <w:bCs/>
                      <w:color w:val="auto"/>
                      <w:sz w:val="24"/>
                      <w:szCs w:val="24"/>
                    </w:rPr>
                    <w:t>污染物项目</w:t>
                  </w:r>
                </w:p>
              </w:tc>
              <w:tc>
                <w:tcPr>
                  <w:tcW w:w="1010" w:type="pct"/>
                  <w:noWrap w:val="0"/>
                  <w:vAlign w:val="center"/>
                </w:tcPr>
                <w:p w14:paraId="37EF7516">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4"/>
                      <w:szCs w:val="24"/>
                    </w:rPr>
                  </w:pPr>
                  <w:r>
                    <w:rPr>
                      <w:rFonts w:ascii="Times New Roman" w:hAnsi="Times New Roman"/>
                      <w:bCs/>
                      <w:color w:val="auto"/>
                      <w:sz w:val="24"/>
                      <w:szCs w:val="24"/>
                    </w:rPr>
                    <w:t>特别排放限值</w:t>
                  </w:r>
                </w:p>
              </w:tc>
              <w:tc>
                <w:tcPr>
                  <w:tcW w:w="1744" w:type="pct"/>
                  <w:noWrap w:val="0"/>
                  <w:vAlign w:val="center"/>
                </w:tcPr>
                <w:p w14:paraId="6871180D">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4"/>
                      <w:szCs w:val="24"/>
                    </w:rPr>
                  </w:pPr>
                  <w:r>
                    <w:rPr>
                      <w:rFonts w:ascii="Times New Roman" w:hAnsi="Times New Roman"/>
                      <w:bCs/>
                      <w:color w:val="auto"/>
                      <w:sz w:val="24"/>
                      <w:szCs w:val="24"/>
                    </w:rPr>
                    <w:t>限值含义</w:t>
                  </w:r>
                </w:p>
              </w:tc>
              <w:tc>
                <w:tcPr>
                  <w:tcW w:w="1423" w:type="pct"/>
                  <w:noWrap w:val="0"/>
                  <w:vAlign w:val="center"/>
                </w:tcPr>
                <w:p w14:paraId="5D9735E8">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4"/>
                      <w:szCs w:val="24"/>
                    </w:rPr>
                  </w:pPr>
                  <w:r>
                    <w:rPr>
                      <w:rFonts w:hint="eastAsia" w:ascii="Times New Roman" w:hAnsi="Times New Roman"/>
                      <w:bCs/>
                      <w:color w:val="auto"/>
                      <w:sz w:val="24"/>
                      <w:szCs w:val="24"/>
                    </w:rPr>
                    <w:t>厂区内</w:t>
                  </w:r>
                  <w:r>
                    <w:rPr>
                      <w:rFonts w:ascii="Times New Roman" w:hAnsi="Times New Roman"/>
                      <w:bCs/>
                      <w:color w:val="auto"/>
                      <w:sz w:val="24"/>
                      <w:szCs w:val="24"/>
                    </w:rPr>
                    <w:t>无组织排放监控位置</w:t>
                  </w:r>
                </w:p>
              </w:tc>
            </w:tr>
            <w:tr w14:paraId="007E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vMerge w:val="restart"/>
                  <w:noWrap w:val="0"/>
                  <w:vAlign w:val="center"/>
                </w:tcPr>
                <w:p w14:paraId="1309D7B6">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4"/>
                      <w:szCs w:val="24"/>
                    </w:rPr>
                  </w:pPr>
                  <w:r>
                    <w:rPr>
                      <w:rFonts w:ascii="Times New Roman" w:hAnsi="Times New Roman"/>
                      <w:color w:val="auto"/>
                      <w:sz w:val="24"/>
                      <w:szCs w:val="24"/>
                    </w:rPr>
                    <w:t>非甲烷总烃（NMHC）</w:t>
                  </w:r>
                </w:p>
              </w:tc>
              <w:tc>
                <w:tcPr>
                  <w:tcW w:w="1010" w:type="pct"/>
                  <w:noWrap w:val="0"/>
                  <w:vAlign w:val="center"/>
                </w:tcPr>
                <w:p w14:paraId="64008B10">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Cs/>
                      <w:color w:val="auto"/>
                      <w:sz w:val="24"/>
                      <w:szCs w:val="24"/>
                      <w:lang w:val="en-US" w:eastAsia="zh-CN"/>
                    </w:rPr>
                  </w:pPr>
                  <w:r>
                    <w:rPr>
                      <w:rFonts w:hint="eastAsia" w:ascii="Times New Roman" w:hAnsi="Times New Roman" w:eastAsia="宋体"/>
                      <w:bCs/>
                      <w:color w:val="auto"/>
                      <w:sz w:val="24"/>
                      <w:szCs w:val="24"/>
                      <w:lang w:val="en-US" w:eastAsia="zh-CN"/>
                    </w:rPr>
                    <w:t>6</w:t>
                  </w:r>
                </w:p>
              </w:tc>
              <w:tc>
                <w:tcPr>
                  <w:tcW w:w="1744" w:type="pct"/>
                  <w:noWrap w:val="0"/>
                  <w:vAlign w:val="center"/>
                </w:tcPr>
                <w:p w14:paraId="0EA09A73">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4"/>
                      <w:szCs w:val="24"/>
                    </w:rPr>
                  </w:pPr>
                  <w:r>
                    <w:rPr>
                      <w:rFonts w:ascii="Times New Roman" w:hAnsi="Times New Roman"/>
                      <w:bCs/>
                      <w:color w:val="auto"/>
                      <w:sz w:val="24"/>
                      <w:szCs w:val="24"/>
                    </w:rPr>
                    <w:t>监控点处1h平均浓度值</w:t>
                  </w:r>
                </w:p>
              </w:tc>
              <w:tc>
                <w:tcPr>
                  <w:tcW w:w="1423" w:type="pct"/>
                  <w:vMerge w:val="restart"/>
                  <w:noWrap w:val="0"/>
                  <w:vAlign w:val="center"/>
                </w:tcPr>
                <w:p w14:paraId="78AECDB6">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4"/>
                      <w:szCs w:val="24"/>
                    </w:rPr>
                  </w:pPr>
                  <w:r>
                    <w:rPr>
                      <w:rFonts w:ascii="Times New Roman" w:hAnsi="Times New Roman"/>
                      <w:bCs/>
                      <w:color w:val="auto"/>
                      <w:sz w:val="24"/>
                      <w:szCs w:val="24"/>
                    </w:rPr>
                    <w:t>在厂房外设置监控点</w:t>
                  </w:r>
                </w:p>
              </w:tc>
            </w:tr>
            <w:tr w14:paraId="3C16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vMerge w:val="continue"/>
                  <w:noWrap w:val="0"/>
                  <w:vAlign w:val="center"/>
                </w:tcPr>
                <w:p w14:paraId="7741B7B5">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4"/>
                      <w:szCs w:val="24"/>
                    </w:rPr>
                  </w:pPr>
                </w:p>
              </w:tc>
              <w:tc>
                <w:tcPr>
                  <w:tcW w:w="1010" w:type="pct"/>
                  <w:noWrap w:val="0"/>
                  <w:vAlign w:val="center"/>
                </w:tcPr>
                <w:p w14:paraId="703AB6F7">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bCs/>
                      <w:color w:val="auto"/>
                      <w:sz w:val="24"/>
                      <w:szCs w:val="24"/>
                      <w:lang w:val="en-US" w:eastAsia="zh-CN"/>
                    </w:rPr>
                  </w:pPr>
                  <w:r>
                    <w:rPr>
                      <w:rFonts w:hint="eastAsia" w:ascii="Times New Roman" w:hAnsi="Times New Roman"/>
                      <w:bCs/>
                      <w:color w:val="auto"/>
                      <w:sz w:val="24"/>
                      <w:szCs w:val="24"/>
                      <w:lang w:val="en-US" w:eastAsia="zh-CN"/>
                    </w:rPr>
                    <w:t>20</w:t>
                  </w:r>
                </w:p>
              </w:tc>
              <w:tc>
                <w:tcPr>
                  <w:tcW w:w="1744" w:type="pct"/>
                  <w:noWrap w:val="0"/>
                  <w:vAlign w:val="center"/>
                </w:tcPr>
                <w:p w14:paraId="286FF5F1">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4"/>
                      <w:szCs w:val="24"/>
                    </w:rPr>
                  </w:pPr>
                  <w:r>
                    <w:rPr>
                      <w:rFonts w:ascii="Times New Roman" w:hAnsi="Times New Roman"/>
                      <w:bCs/>
                      <w:color w:val="auto"/>
                      <w:sz w:val="24"/>
                      <w:szCs w:val="24"/>
                    </w:rPr>
                    <w:t>监控点处任意一次浓度值</w:t>
                  </w:r>
                </w:p>
              </w:tc>
              <w:tc>
                <w:tcPr>
                  <w:tcW w:w="1423" w:type="pct"/>
                  <w:vMerge w:val="continue"/>
                  <w:noWrap w:val="0"/>
                  <w:vAlign w:val="top"/>
                </w:tcPr>
                <w:p w14:paraId="648A89C0">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bCs/>
                      <w:color w:val="auto"/>
                      <w:sz w:val="24"/>
                      <w:szCs w:val="24"/>
                    </w:rPr>
                  </w:pPr>
                </w:p>
              </w:tc>
            </w:tr>
          </w:tbl>
          <w:p w14:paraId="4CA86FCF">
            <w:pPr>
              <w:pStyle w:val="75"/>
              <w:spacing w:line="360" w:lineRule="auto"/>
              <w:ind w:firstLine="562" w:firstLineChars="200"/>
              <w:jc w:val="both"/>
              <w:rPr>
                <w:color w:val="auto"/>
                <w:sz w:val="28"/>
                <w:szCs w:val="28"/>
              </w:rPr>
            </w:pPr>
          </w:p>
          <w:p w14:paraId="60197114">
            <w:pPr>
              <w:pStyle w:val="53"/>
              <w:spacing w:before="120"/>
              <w:rPr>
                <w:rFonts w:ascii="仿宋" w:hAnsi="仿宋"/>
                <w:color w:val="auto"/>
                <w:sz w:val="28"/>
              </w:rPr>
            </w:pPr>
            <w:r>
              <w:rPr>
                <w:rFonts w:ascii="仿宋" w:hAnsi="仿宋"/>
                <w:color w:val="auto"/>
                <w:sz w:val="28"/>
              </w:rPr>
              <w:t>2.</w:t>
            </w:r>
            <w:r>
              <w:rPr>
                <w:rFonts w:hint="eastAsia" w:ascii="仿宋" w:hAnsi="仿宋"/>
                <w:color w:val="auto"/>
                <w:sz w:val="28"/>
              </w:rPr>
              <w:t>废水排放标准</w:t>
            </w:r>
          </w:p>
          <w:p w14:paraId="3C158C59">
            <w:pPr>
              <w:ind w:firstLine="560"/>
              <w:rPr>
                <w:color w:val="auto"/>
                <w:sz w:val="28"/>
              </w:rPr>
            </w:pPr>
            <w:r>
              <w:rPr>
                <w:rFonts w:hint="eastAsia"/>
                <w:color w:val="auto"/>
                <w:sz w:val="28"/>
              </w:rPr>
              <w:t>本项目主要为生活污水、地面清洁废水。定期排</w:t>
            </w:r>
            <w:r>
              <w:rPr>
                <w:rFonts w:hint="eastAsia"/>
                <w:color w:val="auto"/>
                <w:sz w:val="28"/>
                <w:lang w:eastAsia="zh-CN"/>
              </w:rPr>
              <w:t>放进入生化池</w:t>
            </w:r>
            <w:r>
              <w:rPr>
                <w:rFonts w:hint="eastAsia"/>
                <w:color w:val="auto"/>
                <w:sz w:val="28"/>
              </w:rPr>
              <w:t>处理，达到《污水综合排放标准》（GB8978-1996）三级标准后</w:t>
            </w:r>
            <w:r>
              <w:rPr>
                <w:color w:val="auto"/>
                <w:sz w:val="28"/>
              </w:rPr>
              <w:t>排入</w:t>
            </w:r>
            <w:r>
              <w:rPr>
                <w:rFonts w:hint="eastAsia"/>
                <w:color w:val="auto"/>
                <w:sz w:val="28"/>
              </w:rPr>
              <w:t>市政</w:t>
            </w:r>
            <w:r>
              <w:rPr>
                <w:color w:val="auto"/>
                <w:sz w:val="28"/>
              </w:rPr>
              <w:t>污水管网，</w:t>
            </w:r>
            <w:r>
              <w:rPr>
                <w:rFonts w:hint="eastAsia"/>
                <w:color w:val="auto"/>
                <w:sz w:val="28"/>
              </w:rPr>
              <w:t>根据区域排水规划调整，项目产生的污废水排入</w:t>
            </w:r>
            <w:r>
              <w:rPr>
                <w:rFonts w:hint="eastAsia"/>
                <w:color w:val="auto"/>
                <w:sz w:val="28"/>
                <w:lang w:eastAsia="zh-CN"/>
              </w:rPr>
              <w:t>西彭工业园区</w:t>
            </w:r>
            <w:r>
              <w:rPr>
                <w:rFonts w:hint="eastAsia"/>
                <w:color w:val="auto"/>
                <w:sz w:val="28"/>
              </w:rPr>
              <w:t>污水处理厂处理达《城镇污水处理厂污染物排放标准》（GB18918-2002）（含2006年、2025年修改单）一级A标准（COD、NH</w:t>
            </w:r>
            <w:r>
              <w:rPr>
                <w:rFonts w:hint="eastAsia"/>
                <w:color w:val="auto"/>
                <w:sz w:val="28"/>
                <w:vertAlign w:val="subscript"/>
              </w:rPr>
              <w:t>3</w:t>
            </w:r>
            <w:r>
              <w:rPr>
                <w:rFonts w:hint="eastAsia"/>
                <w:color w:val="auto"/>
                <w:sz w:val="28"/>
              </w:rPr>
              <w:t>-N、TP执行《地表水环境质量标准》（GB3838-2002）IV类标准）后尾水排入桥头河，最终汇入长江</w:t>
            </w:r>
            <w:r>
              <w:rPr>
                <w:color w:val="auto"/>
                <w:sz w:val="28"/>
              </w:rPr>
              <w:t>。</w:t>
            </w:r>
          </w:p>
          <w:p w14:paraId="34758E6B">
            <w:pPr>
              <w:pStyle w:val="92"/>
              <w:ind w:firstLine="480"/>
              <w:jc w:val="center"/>
              <w:rPr>
                <w:rFonts w:ascii="Times New Roman" w:hAnsi="Times New Roman" w:cs="Times New Roman"/>
                <w:color w:val="auto"/>
                <w:lang w:val="zh-CN"/>
              </w:rPr>
            </w:pPr>
            <w:r>
              <w:rPr>
                <w:rFonts w:ascii="Times New Roman" w:hAnsi="Times New Roman" w:cs="Times New Roman"/>
                <w:color w:val="auto"/>
                <w:lang w:val="zh-CN"/>
              </w:rPr>
              <w:t>表3-</w:t>
            </w:r>
            <w:r>
              <w:rPr>
                <w:rFonts w:hint="eastAsia" w:ascii="Times New Roman" w:hAnsi="Times New Roman" w:cs="Times New Roman"/>
                <w:color w:val="auto"/>
              </w:rPr>
              <w:t>10</w:t>
            </w:r>
            <w:r>
              <w:rPr>
                <w:rFonts w:ascii="Times New Roman" w:hAnsi="Times New Roman" w:cs="Times New Roman"/>
                <w:color w:val="auto"/>
                <w:lang w:val="zh-CN"/>
              </w:rPr>
              <w:t>水污染物排放标准限值单位：mg/L(pH除外)</w:t>
            </w:r>
          </w:p>
          <w:tbl>
            <w:tblPr>
              <w:tblStyle w:val="31"/>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28" w:type="dxa"/>
                <w:left w:w="28" w:type="dxa"/>
                <w:bottom w:w="28" w:type="dxa"/>
                <w:right w:w="28" w:type="dxa"/>
              </w:tblCellMar>
            </w:tblPr>
            <w:tblGrid>
              <w:gridCol w:w="1976"/>
              <w:gridCol w:w="662"/>
              <w:gridCol w:w="765"/>
              <w:gridCol w:w="800"/>
              <w:gridCol w:w="787"/>
              <w:gridCol w:w="631"/>
              <w:gridCol w:w="817"/>
              <w:gridCol w:w="808"/>
              <w:gridCol w:w="814"/>
            </w:tblGrid>
            <w:tr w14:paraId="10FB4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0" w:hRule="atLeast"/>
                <w:jc w:val="center"/>
              </w:trPr>
              <w:tc>
                <w:tcPr>
                  <w:tcW w:w="1183" w:type="pct"/>
                  <w:vAlign w:val="center"/>
                </w:tcPr>
                <w:p w14:paraId="53F21326">
                  <w:pPr>
                    <w:pStyle w:val="49"/>
                    <w:spacing w:line="240" w:lineRule="auto"/>
                    <w:jc w:val="center"/>
                    <w:rPr>
                      <w:color w:val="auto"/>
                      <w:sz w:val="24"/>
                    </w:rPr>
                  </w:pPr>
                  <w:r>
                    <w:rPr>
                      <w:rFonts w:hint="eastAsia"/>
                      <w:color w:val="auto"/>
                      <w:sz w:val="24"/>
                    </w:rPr>
                    <w:t>项目</w:t>
                  </w:r>
                </w:p>
              </w:tc>
              <w:tc>
                <w:tcPr>
                  <w:tcW w:w="416" w:type="pct"/>
                  <w:vAlign w:val="center"/>
                </w:tcPr>
                <w:p w14:paraId="1DDAD628">
                  <w:pPr>
                    <w:pStyle w:val="49"/>
                    <w:spacing w:line="240" w:lineRule="auto"/>
                    <w:jc w:val="center"/>
                    <w:rPr>
                      <w:color w:val="auto"/>
                      <w:sz w:val="24"/>
                    </w:rPr>
                  </w:pPr>
                  <w:r>
                    <w:rPr>
                      <w:rFonts w:hint="eastAsia"/>
                      <w:color w:val="auto"/>
                      <w:sz w:val="24"/>
                    </w:rPr>
                    <w:t>pH</w:t>
                  </w:r>
                </w:p>
              </w:tc>
              <w:tc>
                <w:tcPr>
                  <w:tcW w:w="480" w:type="pct"/>
                  <w:vAlign w:val="center"/>
                </w:tcPr>
                <w:p w14:paraId="4163DDA6">
                  <w:pPr>
                    <w:pStyle w:val="49"/>
                    <w:spacing w:line="240" w:lineRule="auto"/>
                    <w:jc w:val="center"/>
                    <w:rPr>
                      <w:color w:val="auto"/>
                      <w:sz w:val="24"/>
                    </w:rPr>
                  </w:pPr>
                  <w:r>
                    <w:rPr>
                      <w:rFonts w:hint="eastAsia"/>
                      <w:color w:val="auto"/>
                      <w:sz w:val="24"/>
                    </w:rPr>
                    <w:t>COD</w:t>
                  </w:r>
                </w:p>
              </w:tc>
              <w:tc>
                <w:tcPr>
                  <w:tcW w:w="502" w:type="pct"/>
                  <w:vAlign w:val="center"/>
                </w:tcPr>
                <w:p w14:paraId="315751EF">
                  <w:pPr>
                    <w:pStyle w:val="49"/>
                    <w:spacing w:line="240" w:lineRule="auto"/>
                    <w:jc w:val="center"/>
                    <w:rPr>
                      <w:color w:val="auto"/>
                      <w:sz w:val="24"/>
                    </w:rPr>
                  </w:pPr>
                  <w:r>
                    <w:rPr>
                      <w:rFonts w:hint="eastAsia"/>
                      <w:color w:val="auto"/>
                      <w:sz w:val="24"/>
                    </w:rPr>
                    <w:t>BOD</w:t>
                  </w:r>
                  <w:r>
                    <w:rPr>
                      <w:rFonts w:hint="eastAsia"/>
                      <w:color w:val="auto"/>
                      <w:sz w:val="24"/>
                      <w:vertAlign w:val="subscript"/>
                    </w:rPr>
                    <w:t>5</w:t>
                  </w:r>
                </w:p>
              </w:tc>
              <w:tc>
                <w:tcPr>
                  <w:tcW w:w="494" w:type="pct"/>
                  <w:vAlign w:val="center"/>
                </w:tcPr>
                <w:p w14:paraId="61FEF081">
                  <w:pPr>
                    <w:pStyle w:val="49"/>
                    <w:spacing w:line="240" w:lineRule="auto"/>
                    <w:jc w:val="center"/>
                    <w:rPr>
                      <w:color w:val="auto"/>
                      <w:sz w:val="24"/>
                    </w:rPr>
                  </w:pPr>
                  <w:r>
                    <w:rPr>
                      <w:rFonts w:hint="eastAsia"/>
                      <w:color w:val="auto"/>
                      <w:sz w:val="24"/>
                    </w:rPr>
                    <w:t>SS</w:t>
                  </w:r>
                </w:p>
              </w:tc>
              <w:tc>
                <w:tcPr>
                  <w:tcW w:w="397" w:type="pct"/>
                  <w:vAlign w:val="center"/>
                </w:tcPr>
                <w:p w14:paraId="01933038">
                  <w:pPr>
                    <w:pStyle w:val="49"/>
                    <w:spacing w:line="240" w:lineRule="auto"/>
                    <w:jc w:val="center"/>
                    <w:rPr>
                      <w:rFonts w:hint="eastAsia" w:eastAsia="仿宋"/>
                      <w:color w:val="auto"/>
                      <w:sz w:val="24"/>
                      <w:lang w:eastAsia="zh-CN"/>
                    </w:rPr>
                  </w:pPr>
                  <w:r>
                    <w:rPr>
                      <w:rFonts w:hint="eastAsia"/>
                      <w:color w:val="auto"/>
                      <w:sz w:val="24"/>
                    </w:rPr>
                    <w:t>氨氮</w:t>
                  </w:r>
                </w:p>
              </w:tc>
              <w:tc>
                <w:tcPr>
                  <w:tcW w:w="512" w:type="pct"/>
                  <w:vAlign w:val="center"/>
                </w:tcPr>
                <w:p w14:paraId="36042253">
                  <w:pPr>
                    <w:pStyle w:val="49"/>
                    <w:spacing w:line="240" w:lineRule="auto"/>
                    <w:jc w:val="center"/>
                    <w:rPr>
                      <w:rFonts w:hint="default" w:eastAsia="仿宋"/>
                      <w:color w:val="auto"/>
                      <w:sz w:val="24"/>
                      <w:lang w:val="en-US" w:eastAsia="zh-CN"/>
                    </w:rPr>
                  </w:pPr>
                  <w:r>
                    <w:rPr>
                      <w:rFonts w:hint="eastAsia"/>
                      <w:color w:val="auto"/>
                      <w:sz w:val="24"/>
                      <w:lang w:val="en-US" w:eastAsia="zh-CN"/>
                    </w:rPr>
                    <w:t>TP</w:t>
                  </w:r>
                </w:p>
              </w:tc>
              <w:tc>
                <w:tcPr>
                  <w:tcW w:w="506" w:type="pct"/>
                  <w:vAlign w:val="center"/>
                </w:tcPr>
                <w:p w14:paraId="5E392C20">
                  <w:pPr>
                    <w:pStyle w:val="49"/>
                    <w:spacing w:line="240" w:lineRule="auto"/>
                    <w:jc w:val="center"/>
                    <w:rPr>
                      <w:rFonts w:hint="default"/>
                      <w:color w:val="auto"/>
                      <w:sz w:val="24"/>
                      <w:lang w:val="en-US" w:eastAsia="zh-CN"/>
                    </w:rPr>
                  </w:pPr>
                  <w:r>
                    <w:rPr>
                      <w:rFonts w:hint="eastAsia"/>
                      <w:color w:val="auto"/>
                      <w:sz w:val="24"/>
                      <w:lang w:val="en-US" w:eastAsia="zh-CN"/>
                    </w:rPr>
                    <w:t>TN</w:t>
                  </w:r>
                </w:p>
              </w:tc>
              <w:tc>
                <w:tcPr>
                  <w:tcW w:w="506" w:type="pct"/>
                  <w:vAlign w:val="center"/>
                </w:tcPr>
                <w:p w14:paraId="7F72B629">
                  <w:pPr>
                    <w:pStyle w:val="49"/>
                    <w:spacing w:line="240" w:lineRule="auto"/>
                    <w:jc w:val="center"/>
                    <w:rPr>
                      <w:rFonts w:hint="eastAsia"/>
                      <w:color w:val="auto"/>
                      <w:sz w:val="24"/>
                      <w:lang w:val="en-US" w:eastAsia="zh-CN"/>
                    </w:rPr>
                  </w:pPr>
                  <w:r>
                    <w:rPr>
                      <w:rFonts w:hint="eastAsia"/>
                      <w:color w:val="auto"/>
                      <w:sz w:val="24"/>
                      <w:lang w:val="en-US" w:eastAsia="zh-CN"/>
                    </w:rPr>
                    <w:t>石油类</w:t>
                  </w:r>
                </w:p>
              </w:tc>
            </w:tr>
            <w:tr w14:paraId="7D755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0" w:hRule="atLeast"/>
                <w:jc w:val="center"/>
              </w:trPr>
              <w:tc>
                <w:tcPr>
                  <w:tcW w:w="1183" w:type="pct"/>
                  <w:vAlign w:val="center"/>
                </w:tcPr>
                <w:p w14:paraId="0A2D6AAE">
                  <w:pPr>
                    <w:pStyle w:val="49"/>
                    <w:spacing w:line="240" w:lineRule="auto"/>
                    <w:jc w:val="center"/>
                    <w:rPr>
                      <w:color w:val="auto"/>
                      <w:sz w:val="24"/>
                    </w:rPr>
                  </w:pPr>
                  <w:r>
                    <w:rPr>
                      <w:rFonts w:hint="eastAsia"/>
                      <w:color w:val="auto"/>
                      <w:sz w:val="24"/>
                    </w:rPr>
                    <w:t>《污水综合排放标准》（GB</w:t>
                  </w:r>
                </w:p>
                <w:p w14:paraId="7C85971E">
                  <w:pPr>
                    <w:pStyle w:val="49"/>
                    <w:spacing w:line="240" w:lineRule="auto"/>
                    <w:jc w:val="center"/>
                    <w:rPr>
                      <w:color w:val="auto"/>
                      <w:sz w:val="24"/>
                    </w:rPr>
                  </w:pPr>
                  <w:r>
                    <w:rPr>
                      <w:rFonts w:hint="eastAsia"/>
                      <w:color w:val="auto"/>
                      <w:sz w:val="24"/>
                    </w:rPr>
                    <w:t>8978-1996）三级标准</w:t>
                  </w:r>
                </w:p>
              </w:tc>
              <w:tc>
                <w:tcPr>
                  <w:tcW w:w="416" w:type="pct"/>
                  <w:vAlign w:val="center"/>
                </w:tcPr>
                <w:p w14:paraId="7E097A9D">
                  <w:pPr>
                    <w:pStyle w:val="49"/>
                    <w:spacing w:line="240" w:lineRule="auto"/>
                    <w:jc w:val="center"/>
                    <w:rPr>
                      <w:color w:val="auto"/>
                      <w:sz w:val="24"/>
                    </w:rPr>
                  </w:pPr>
                  <w:r>
                    <w:rPr>
                      <w:rFonts w:hint="eastAsia"/>
                      <w:color w:val="auto"/>
                      <w:sz w:val="24"/>
                    </w:rPr>
                    <w:t>6~9</w:t>
                  </w:r>
                </w:p>
              </w:tc>
              <w:tc>
                <w:tcPr>
                  <w:tcW w:w="480" w:type="pct"/>
                  <w:vAlign w:val="center"/>
                </w:tcPr>
                <w:p w14:paraId="548A7192">
                  <w:pPr>
                    <w:pStyle w:val="49"/>
                    <w:spacing w:line="240" w:lineRule="auto"/>
                    <w:jc w:val="center"/>
                    <w:rPr>
                      <w:color w:val="auto"/>
                      <w:sz w:val="24"/>
                    </w:rPr>
                  </w:pPr>
                  <w:r>
                    <w:rPr>
                      <w:rFonts w:hint="eastAsia"/>
                      <w:color w:val="auto"/>
                      <w:sz w:val="24"/>
                    </w:rPr>
                    <w:t>500</w:t>
                  </w:r>
                </w:p>
              </w:tc>
              <w:tc>
                <w:tcPr>
                  <w:tcW w:w="502" w:type="pct"/>
                  <w:vAlign w:val="center"/>
                </w:tcPr>
                <w:p w14:paraId="5E192321">
                  <w:pPr>
                    <w:pStyle w:val="49"/>
                    <w:spacing w:line="240" w:lineRule="auto"/>
                    <w:jc w:val="center"/>
                    <w:rPr>
                      <w:color w:val="auto"/>
                      <w:sz w:val="24"/>
                    </w:rPr>
                  </w:pPr>
                  <w:r>
                    <w:rPr>
                      <w:rFonts w:hint="eastAsia"/>
                      <w:color w:val="auto"/>
                      <w:sz w:val="24"/>
                    </w:rPr>
                    <w:t>300</w:t>
                  </w:r>
                </w:p>
              </w:tc>
              <w:tc>
                <w:tcPr>
                  <w:tcW w:w="494" w:type="pct"/>
                  <w:vAlign w:val="center"/>
                </w:tcPr>
                <w:p w14:paraId="698B3370">
                  <w:pPr>
                    <w:pStyle w:val="49"/>
                    <w:spacing w:line="240" w:lineRule="auto"/>
                    <w:jc w:val="center"/>
                    <w:rPr>
                      <w:color w:val="auto"/>
                      <w:sz w:val="24"/>
                    </w:rPr>
                  </w:pPr>
                  <w:r>
                    <w:rPr>
                      <w:rFonts w:hint="eastAsia"/>
                      <w:color w:val="auto"/>
                      <w:sz w:val="24"/>
                    </w:rPr>
                    <w:t>400</w:t>
                  </w:r>
                </w:p>
              </w:tc>
              <w:tc>
                <w:tcPr>
                  <w:tcW w:w="397" w:type="pct"/>
                  <w:vAlign w:val="center"/>
                </w:tcPr>
                <w:p w14:paraId="2554D1A4">
                  <w:pPr>
                    <w:pStyle w:val="49"/>
                    <w:spacing w:line="240" w:lineRule="auto"/>
                    <w:jc w:val="center"/>
                    <w:rPr>
                      <w:color w:val="auto"/>
                      <w:sz w:val="24"/>
                    </w:rPr>
                  </w:pPr>
                  <w:r>
                    <w:rPr>
                      <w:rFonts w:hint="eastAsia"/>
                      <w:color w:val="auto"/>
                      <w:sz w:val="24"/>
                    </w:rPr>
                    <w:t>45</w:t>
                  </w:r>
                  <w:r>
                    <w:rPr>
                      <w:rFonts w:hint="eastAsia"/>
                      <w:color w:val="auto"/>
                      <w:sz w:val="24"/>
                      <w:vertAlign w:val="superscript"/>
                      <w:lang w:eastAsia="zh-CN"/>
                    </w:rPr>
                    <w:t>①</w:t>
                  </w:r>
                </w:p>
              </w:tc>
              <w:tc>
                <w:tcPr>
                  <w:tcW w:w="512" w:type="pct"/>
                  <w:vAlign w:val="center"/>
                </w:tcPr>
                <w:p w14:paraId="24ACBD92">
                  <w:pPr>
                    <w:widowControl/>
                    <w:ind w:firstLine="0" w:firstLineChars="0"/>
                    <w:jc w:val="center"/>
                    <w:rPr>
                      <w:rFonts w:hint="eastAsia" w:eastAsia="仿宋" w:cs="仿宋"/>
                      <w:color w:val="auto"/>
                      <w:sz w:val="24"/>
                      <w:highlight w:val="none"/>
                      <w:lang w:val="en-US" w:eastAsia="zh-CN"/>
                    </w:rPr>
                  </w:pPr>
                  <w:r>
                    <w:rPr>
                      <w:rFonts w:hint="eastAsia" w:cs="仿宋"/>
                      <w:color w:val="auto"/>
                      <w:sz w:val="24"/>
                      <w:highlight w:val="none"/>
                      <w:lang w:val="en-US" w:eastAsia="zh-CN"/>
                    </w:rPr>
                    <w:t>8</w:t>
                  </w:r>
                  <w:r>
                    <w:rPr>
                      <w:rFonts w:hint="eastAsia"/>
                      <w:color w:val="auto"/>
                      <w:sz w:val="24"/>
                      <w:vertAlign w:val="superscript"/>
                      <w:lang w:eastAsia="zh-CN"/>
                    </w:rPr>
                    <w:t>①</w:t>
                  </w:r>
                </w:p>
              </w:tc>
              <w:tc>
                <w:tcPr>
                  <w:tcW w:w="506" w:type="pct"/>
                  <w:vAlign w:val="center"/>
                </w:tcPr>
                <w:p w14:paraId="1A3BC2DC">
                  <w:pPr>
                    <w:widowControl/>
                    <w:ind w:firstLine="0" w:firstLineChars="0"/>
                    <w:jc w:val="center"/>
                    <w:rPr>
                      <w:rFonts w:hint="default" w:eastAsia="仿宋" w:cs="仿宋"/>
                      <w:color w:val="auto"/>
                      <w:sz w:val="24"/>
                      <w:highlight w:val="none"/>
                      <w:lang w:val="en-US" w:eastAsia="zh-CN"/>
                    </w:rPr>
                  </w:pPr>
                  <w:r>
                    <w:rPr>
                      <w:rFonts w:hint="eastAsia" w:cs="仿宋"/>
                      <w:color w:val="auto"/>
                      <w:sz w:val="24"/>
                      <w:highlight w:val="none"/>
                      <w:lang w:val="en-US" w:eastAsia="zh-CN"/>
                    </w:rPr>
                    <w:t>70</w:t>
                  </w:r>
                  <w:r>
                    <w:rPr>
                      <w:rFonts w:hint="eastAsia"/>
                      <w:color w:val="auto"/>
                      <w:sz w:val="24"/>
                      <w:vertAlign w:val="superscript"/>
                      <w:lang w:eastAsia="zh-CN"/>
                    </w:rPr>
                    <w:t>①</w:t>
                  </w:r>
                </w:p>
              </w:tc>
              <w:tc>
                <w:tcPr>
                  <w:tcW w:w="506" w:type="pct"/>
                  <w:vAlign w:val="center"/>
                </w:tcPr>
                <w:p w14:paraId="7E8C6E45">
                  <w:pPr>
                    <w:widowControl/>
                    <w:ind w:firstLine="0" w:firstLineChars="0"/>
                    <w:jc w:val="center"/>
                    <w:rPr>
                      <w:rFonts w:hint="default" w:eastAsia="仿宋" w:cs="仿宋"/>
                      <w:color w:val="auto"/>
                      <w:sz w:val="24"/>
                      <w:highlight w:val="none"/>
                      <w:lang w:val="en-US" w:eastAsia="zh-CN"/>
                    </w:rPr>
                  </w:pPr>
                  <w:r>
                    <w:rPr>
                      <w:rFonts w:hint="eastAsia" w:cs="仿宋"/>
                      <w:color w:val="auto"/>
                      <w:sz w:val="24"/>
                      <w:highlight w:val="none"/>
                      <w:lang w:val="en-US" w:eastAsia="zh-CN"/>
                    </w:rPr>
                    <w:t>20</w:t>
                  </w:r>
                </w:p>
              </w:tc>
            </w:tr>
            <w:tr w14:paraId="71818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0" w:hRule="atLeast"/>
                <w:jc w:val="center"/>
              </w:trPr>
              <w:tc>
                <w:tcPr>
                  <w:tcW w:w="1183" w:type="pct"/>
                  <w:vAlign w:val="center"/>
                </w:tcPr>
                <w:p w14:paraId="7EF875C1">
                  <w:pPr>
                    <w:pStyle w:val="49"/>
                    <w:spacing w:line="240" w:lineRule="auto"/>
                    <w:jc w:val="center"/>
                    <w:rPr>
                      <w:color w:val="auto"/>
                      <w:sz w:val="24"/>
                    </w:rPr>
                  </w:pPr>
                  <w:r>
                    <w:rPr>
                      <w:color w:val="auto"/>
                      <w:sz w:val="24"/>
                    </w:rPr>
                    <w:t>《地表水环境质量标准》（GB3838-2002）IV类标准</w:t>
                  </w:r>
                </w:p>
              </w:tc>
              <w:tc>
                <w:tcPr>
                  <w:tcW w:w="416" w:type="pct"/>
                  <w:vAlign w:val="center"/>
                </w:tcPr>
                <w:p w14:paraId="39377D4C">
                  <w:pPr>
                    <w:pStyle w:val="49"/>
                    <w:spacing w:line="240" w:lineRule="auto"/>
                    <w:jc w:val="center"/>
                    <w:rPr>
                      <w:color w:val="auto"/>
                      <w:sz w:val="24"/>
                    </w:rPr>
                  </w:pPr>
                  <w:r>
                    <w:rPr>
                      <w:rFonts w:hint="eastAsia"/>
                      <w:color w:val="auto"/>
                      <w:sz w:val="24"/>
                    </w:rPr>
                    <w:t>6~9</w:t>
                  </w:r>
                </w:p>
              </w:tc>
              <w:tc>
                <w:tcPr>
                  <w:tcW w:w="480" w:type="pct"/>
                  <w:vAlign w:val="center"/>
                </w:tcPr>
                <w:p w14:paraId="0D6DA3CC">
                  <w:pPr>
                    <w:pStyle w:val="49"/>
                    <w:spacing w:line="240" w:lineRule="auto"/>
                    <w:jc w:val="center"/>
                    <w:rPr>
                      <w:rFonts w:hint="default" w:eastAsia="仿宋"/>
                      <w:color w:val="auto"/>
                      <w:sz w:val="24"/>
                      <w:lang w:val="en-US" w:eastAsia="zh-CN"/>
                    </w:rPr>
                  </w:pPr>
                  <w:r>
                    <w:rPr>
                      <w:rFonts w:hint="eastAsia"/>
                      <w:color w:val="auto"/>
                      <w:sz w:val="24"/>
                      <w:lang w:val="en-US" w:eastAsia="zh-CN"/>
                    </w:rPr>
                    <w:t>30</w:t>
                  </w:r>
                </w:p>
              </w:tc>
              <w:tc>
                <w:tcPr>
                  <w:tcW w:w="502" w:type="pct"/>
                  <w:vAlign w:val="center"/>
                </w:tcPr>
                <w:p w14:paraId="2AB53EF6">
                  <w:pPr>
                    <w:pStyle w:val="49"/>
                    <w:spacing w:line="240" w:lineRule="auto"/>
                    <w:jc w:val="center"/>
                    <w:rPr>
                      <w:color w:val="auto"/>
                      <w:sz w:val="24"/>
                    </w:rPr>
                  </w:pPr>
                  <w:r>
                    <w:rPr>
                      <w:rFonts w:hint="eastAsia" w:cs="仿宋"/>
                      <w:color w:val="auto"/>
                      <w:kern w:val="0"/>
                      <w:sz w:val="24"/>
                      <w:lang w:bidi="ar"/>
                    </w:rPr>
                    <w:t>/</w:t>
                  </w:r>
                </w:p>
              </w:tc>
              <w:tc>
                <w:tcPr>
                  <w:tcW w:w="494" w:type="pct"/>
                  <w:vAlign w:val="center"/>
                </w:tcPr>
                <w:p w14:paraId="23791873">
                  <w:pPr>
                    <w:pStyle w:val="49"/>
                    <w:spacing w:line="240" w:lineRule="auto"/>
                    <w:jc w:val="center"/>
                    <w:rPr>
                      <w:color w:val="auto"/>
                      <w:sz w:val="24"/>
                    </w:rPr>
                  </w:pPr>
                  <w:r>
                    <w:rPr>
                      <w:rFonts w:hint="eastAsia" w:cs="仿宋"/>
                      <w:color w:val="auto"/>
                      <w:kern w:val="0"/>
                      <w:sz w:val="24"/>
                      <w:lang w:bidi="ar"/>
                    </w:rPr>
                    <w:t>/</w:t>
                  </w:r>
                </w:p>
              </w:tc>
              <w:tc>
                <w:tcPr>
                  <w:tcW w:w="397" w:type="pct"/>
                  <w:vAlign w:val="center"/>
                </w:tcPr>
                <w:p w14:paraId="3E837D0A">
                  <w:pPr>
                    <w:pStyle w:val="49"/>
                    <w:spacing w:line="240" w:lineRule="auto"/>
                    <w:jc w:val="center"/>
                    <w:rPr>
                      <w:rFonts w:hint="default" w:eastAsia="仿宋"/>
                      <w:color w:val="auto"/>
                      <w:sz w:val="24"/>
                      <w:lang w:val="en-US" w:eastAsia="zh-CN"/>
                    </w:rPr>
                  </w:pPr>
                  <w:r>
                    <w:rPr>
                      <w:rFonts w:hint="eastAsia"/>
                      <w:color w:val="auto"/>
                      <w:sz w:val="24"/>
                      <w:lang w:val="en-US" w:eastAsia="zh-CN"/>
                    </w:rPr>
                    <w:t>1.5</w:t>
                  </w:r>
                </w:p>
              </w:tc>
              <w:tc>
                <w:tcPr>
                  <w:tcW w:w="512" w:type="pct"/>
                  <w:vAlign w:val="center"/>
                </w:tcPr>
                <w:p w14:paraId="08BB08A3">
                  <w:pPr>
                    <w:pStyle w:val="49"/>
                    <w:spacing w:line="240" w:lineRule="auto"/>
                    <w:jc w:val="center"/>
                    <w:rPr>
                      <w:rFonts w:hint="default" w:eastAsia="仿宋" w:cs="仿宋"/>
                      <w:color w:val="auto"/>
                      <w:sz w:val="24"/>
                      <w:lang w:val="en-US" w:eastAsia="zh-CN"/>
                    </w:rPr>
                  </w:pPr>
                  <w:r>
                    <w:rPr>
                      <w:rFonts w:hint="eastAsia" w:cs="仿宋"/>
                      <w:color w:val="auto"/>
                      <w:sz w:val="24"/>
                      <w:lang w:val="en-US" w:eastAsia="zh-CN"/>
                    </w:rPr>
                    <w:t>0.3</w:t>
                  </w:r>
                </w:p>
              </w:tc>
              <w:tc>
                <w:tcPr>
                  <w:tcW w:w="506" w:type="pct"/>
                  <w:vAlign w:val="center"/>
                </w:tcPr>
                <w:p w14:paraId="7099491E">
                  <w:pPr>
                    <w:pStyle w:val="49"/>
                    <w:spacing w:line="240" w:lineRule="auto"/>
                    <w:jc w:val="center"/>
                    <w:rPr>
                      <w:rFonts w:cs="仿宋"/>
                      <w:color w:val="auto"/>
                      <w:sz w:val="24"/>
                    </w:rPr>
                  </w:pPr>
                  <w:r>
                    <w:rPr>
                      <w:rFonts w:hint="eastAsia" w:cs="仿宋"/>
                      <w:color w:val="auto"/>
                      <w:kern w:val="0"/>
                      <w:sz w:val="24"/>
                      <w:lang w:bidi="ar"/>
                    </w:rPr>
                    <w:t>/</w:t>
                  </w:r>
                </w:p>
              </w:tc>
              <w:tc>
                <w:tcPr>
                  <w:tcW w:w="506" w:type="pct"/>
                  <w:vAlign w:val="center"/>
                </w:tcPr>
                <w:p w14:paraId="551B2A92">
                  <w:pPr>
                    <w:pStyle w:val="49"/>
                    <w:spacing w:line="240" w:lineRule="auto"/>
                    <w:jc w:val="center"/>
                    <w:rPr>
                      <w:rFonts w:cs="仿宋"/>
                      <w:color w:val="auto"/>
                      <w:sz w:val="24"/>
                    </w:rPr>
                  </w:pPr>
                  <w:r>
                    <w:rPr>
                      <w:rFonts w:hint="eastAsia" w:cs="仿宋"/>
                      <w:color w:val="auto"/>
                      <w:kern w:val="0"/>
                      <w:sz w:val="24"/>
                      <w:lang w:bidi="ar"/>
                    </w:rPr>
                    <w:t>/</w:t>
                  </w:r>
                </w:p>
              </w:tc>
            </w:tr>
            <w:tr w14:paraId="5D404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0" w:hRule="atLeast"/>
                <w:jc w:val="center"/>
              </w:trPr>
              <w:tc>
                <w:tcPr>
                  <w:tcW w:w="1183" w:type="pct"/>
                  <w:vAlign w:val="center"/>
                </w:tcPr>
                <w:p w14:paraId="050A0956">
                  <w:pPr>
                    <w:pStyle w:val="49"/>
                    <w:spacing w:line="240" w:lineRule="auto"/>
                    <w:jc w:val="center"/>
                    <w:rPr>
                      <w:color w:val="auto"/>
                      <w:sz w:val="24"/>
                    </w:rPr>
                  </w:pPr>
                  <w:r>
                    <w:rPr>
                      <w:rFonts w:hint="eastAsia"/>
                      <w:color w:val="auto"/>
                      <w:sz w:val="24"/>
                    </w:rPr>
                    <w:t>《城镇污水处理厂污染物排放标准》（GB18918-2002）</w:t>
                  </w:r>
                </w:p>
                <w:p w14:paraId="13E5FE3E">
                  <w:pPr>
                    <w:pStyle w:val="49"/>
                    <w:spacing w:line="240" w:lineRule="auto"/>
                    <w:jc w:val="center"/>
                    <w:rPr>
                      <w:color w:val="auto"/>
                      <w:sz w:val="24"/>
                    </w:rPr>
                  </w:pPr>
                  <w:r>
                    <w:rPr>
                      <w:rFonts w:hint="eastAsia"/>
                      <w:color w:val="auto"/>
                      <w:sz w:val="24"/>
                    </w:rPr>
                    <w:t>一级A标准</w:t>
                  </w:r>
                </w:p>
              </w:tc>
              <w:tc>
                <w:tcPr>
                  <w:tcW w:w="416" w:type="pct"/>
                  <w:vAlign w:val="center"/>
                </w:tcPr>
                <w:p w14:paraId="5369C625">
                  <w:pPr>
                    <w:pStyle w:val="49"/>
                    <w:spacing w:line="240" w:lineRule="auto"/>
                    <w:jc w:val="center"/>
                    <w:rPr>
                      <w:color w:val="auto"/>
                      <w:sz w:val="24"/>
                    </w:rPr>
                  </w:pPr>
                  <w:r>
                    <w:rPr>
                      <w:rFonts w:hint="eastAsia"/>
                      <w:color w:val="auto"/>
                      <w:sz w:val="24"/>
                    </w:rPr>
                    <w:t>6~9</w:t>
                  </w:r>
                </w:p>
              </w:tc>
              <w:tc>
                <w:tcPr>
                  <w:tcW w:w="480" w:type="pct"/>
                  <w:vAlign w:val="center"/>
                </w:tcPr>
                <w:p w14:paraId="6C2193EF">
                  <w:pPr>
                    <w:pStyle w:val="49"/>
                    <w:spacing w:line="240" w:lineRule="auto"/>
                    <w:jc w:val="center"/>
                    <w:rPr>
                      <w:color w:val="auto"/>
                      <w:sz w:val="24"/>
                    </w:rPr>
                  </w:pPr>
                  <w:r>
                    <w:rPr>
                      <w:rFonts w:hint="eastAsia" w:cs="仿宋"/>
                      <w:color w:val="auto"/>
                      <w:kern w:val="0"/>
                      <w:sz w:val="24"/>
                      <w:lang w:bidi="ar"/>
                    </w:rPr>
                    <w:t>/</w:t>
                  </w:r>
                </w:p>
              </w:tc>
              <w:tc>
                <w:tcPr>
                  <w:tcW w:w="502" w:type="pct"/>
                  <w:vAlign w:val="center"/>
                </w:tcPr>
                <w:p w14:paraId="797DA623">
                  <w:pPr>
                    <w:pStyle w:val="49"/>
                    <w:spacing w:line="240" w:lineRule="auto"/>
                    <w:jc w:val="center"/>
                    <w:rPr>
                      <w:color w:val="auto"/>
                      <w:sz w:val="24"/>
                    </w:rPr>
                  </w:pPr>
                  <w:r>
                    <w:rPr>
                      <w:rFonts w:hint="eastAsia"/>
                      <w:color w:val="auto"/>
                      <w:sz w:val="24"/>
                    </w:rPr>
                    <w:t>10</w:t>
                  </w:r>
                </w:p>
              </w:tc>
              <w:tc>
                <w:tcPr>
                  <w:tcW w:w="494" w:type="pct"/>
                  <w:vAlign w:val="center"/>
                </w:tcPr>
                <w:p w14:paraId="526F9CB6">
                  <w:pPr>
                    <w:pStyle w:val="49"/>
                    <w:spacing w:line="240" w:lineRule="auto"/>
                    <w:jc w:val="center"/>
                    <w:rPr>
                      <w:color w:val="auto"/>
                      <w:sz w:val="24"/>
                    </w:rPr>
                  </w:pPr>
                  <w:r>
                    <w:rPr>
                      <w:rFonts w:hint="eastAsia"/>
                      <w:color w:val="auto"/>
                      <w:sz w:val="24"/>
                    </w:rPr>
                    <w:t>10</w:t>
                  </w:r>
                </w:p>
              </w:tc>
              <w:tc>
                <w:tcPr>
                  <w:tcW w:w="397" w:type="pct"/>
                  <w:vAlign w:val="center"/>
                </w:tcPr>
                <w:p w14:paraId="118C1B7F">
                  <w:pPr>
                    <w:pStyle w:val="49"/>
                    <w:spacing w:line="240" w:lineRule="auto"/>
                    <w:jc w:val="center"/>
                    <w:rPr>
                      <w:color w:val="auto"/>
                      <w:sz w:val="24"/>
                    </w:rPr>
                  </w:pPr>
                  <w:r>
                    <w:rPr>
                      <w:rFonts w:hint="eastAsia" w:cs="仿宋"/>
                      <w:color w:val="auto"/>
                      <w:kern w:val="0"/>
                      <w:sz w:val="24"/>
                      <w:lang w:bidi="ar"/>
                    </w:rPr>
                    <w:t>/</w:t>
                  </w:r>
                </w:p>
              </w:tc>
              <w:tc>
                <w:tcPr>
                  <w:tcW w:w="512" w:type="pct"/>
                  <w:vAlign w:val="center"/>
                </w:tcPr>
                <w:p w14:paraId="41A79273">
                  <w:pPr>
                    <w:widowControl/>
                    <w:ind w:firstLine="0" w:firstLineChars="0"/>
                    <w:jc w:val="center"/>
                    <w:rPr>
                      <w:rFonts w:cs="仿宋"/>
                      <w:color w:val="auto"/>
                      <w:sz w:val="24"/>
                    </w:rPr>
                  </w:pPr>
                  <w:r>
                    <w:rPr>
                      <w:rFonts w:hint="eastAsia" w:cs="仿宋"/>
                      <w:color w:val="auto"/>
                      <w:kern w:val="0"/>
                      <w:sz w:val="24"/>
                      <w:lang w:bidi="ar"/>
                    </w:rPr>
                    <w:t>/</w:t>
                  </w:r>
                </w:p>
              </w:tc>
              <w:tc>
                <w:tcPr>
                  <w:tcW w:w="506" w:type="pct"/>
                  <w:vAlign w:val="center"/>
                </w:tcPr>
                <w:p w14:paraId="68F286A3">
                  <w:pPr>
                    <w:widowControl/>
                    <w:ind w:firstLine="0" w:firstLineChars="0"/>
                    <w:jc w:val="center"/>
                    <w:rPr>
                      <w:rFonts w:hint="default" w:eastAsia="仿宋" w:cs="仿宋"/>
                      <w:color w:val="auto"/>
                      <w:sz w:val="24"/>
                      <w:lang w:val="en-US" w:eastAsia="zh-CN"/>
                    </w:rPr>
                  </w:pPr>
                  <w:r>
                    <w:rPr>
                      <w:rFonts w:hint="eastAsia" w:cs="仿宋"/>
                      <w:color w:val="auto"/>
                      <w:sz w:val="24"/>
                      <w:lang w:val="en-US" w:eastAsia="zh-CN"/>
                    </w:rPr>
                    <w:t>15</w:t>
                  </w:r>
                </w:p>
              </w:tc>
              <w:tc>
                <w:tcPr>
                  <w:tcW w:w="506" w:type="pct"/>
                  <w:vAlign w:val="center"/>
                </w:tcPr>
                <w:p w14:paraId="02F2910F">
                  <w:pPr>
                    <w:widowControl/>
                    <w:ind w:firstLine="0" w:firstLineChars="0"/>
                    <w:jc w:val="center"/>
                    <w:rPr>
                      <w:rFonts w:hint="eastAsia" w:eastAsia="仿宋" w:cs="仿宋"/>
                      <w:color w:val="auto"/>
                      <w:sz w:val="24"/>
                      <w:lang w:val="en-US" w:eastAsia="zh-CN"/>
                    </w:rPr>
                  </w:pPr>
                  <w:r>
                    <w:rPr>
                      <w:rFonts w:hint="eastAsia" w:cs="仿宋"/>
                      <w:color w:val="auto"/>
                      <w:sz w:val="24"/>
                      <w:lang w:val="en-US" w:eastAsia="zh-CN"/>
                    </w:rPr>
                    <w:t>1</w:t>
                  </w:r>
                </w:p>
              </w:tc>
            </w:tr>
            <w:tr w14:paraId="3B413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10" w:hRule="atLeast"/>
                <w:jc w:val="center"/>
              </w:trPr>
              <w:tc>
                <w:tcPr>
                  <w:tcW w:w="5000" w:type="pct"/>
                  <w:gridSpan w:val="9"/>
                  <w:vAlign w:val="center"/>
                </w:tcPr>
                <w:p w14:paraId="3D267A36">
                  <w:pPr>
                    <w:widowControl/>
                    <w:spacing w:line="240" w:lineRule="auto"/>
                    <w:ind w:firstLine="0" w:firstLineChars="0"/>
                    <w:jc w:val="center"/>
                    <w:rPr>
                      <w:rFonts w:hint="eastAsia" w:cs="仿宋"/>
                      <w:color w:val="auto"/>
                      <w:kern w:val="0"/>
                      <w:sz w:val="24"/>
                      <w:lang w:bidi="ar"/>
                    </w:rPr>
                  </w:pPr>
                  <w:r>
                    <w:rPr>
                      <w:rFonts w:hint="eastAsia" w:cs="仿宋"/>
                      <w:color w:val="auto"/>
                      <w:kern w:val="0"/>
                      <w:sz w:val="24"/>
                      <w:lang w:bidi="ar"/>
                    </w:rPr>
                    <w:t>注：①氨氮、TP、TN参照执行《污水排入城镇下水道水质标准》（GB/T31962-2015）</w:t>
                  </w:r>
                </w:p>
              </w:tc>
            </w:tr>
          </w:tbl>
          <w:p w14:paraId="455A470E">
            <w:pPr>
              <w:pStyle w:val="53"/>
              <w:spacing w:before="120"/>
              <w:rPr>
                <w:rFonts w:ascii="仿宋" w:hAnsi="仿宋"/>
                <w:color w:val="auto"/>
                <w:sz w:val="28"/>
              </w:rPr>
            </w:pPr>
            <w:r>
              <w:rPr>
                <w:rFonts w:ascii="仿宋" w:hAnsi="仿宋"/>
                <w:color w:val="auto"/>
                <w:sz w:val="28"/>
              </w:rPr>
              <w:t>3.</w:t>
            </w:r>
            <w:r>
              <w:rPr>
                <w:rFonts w:hint="eastAsia" w:ascii="仿宋" w:hAnsi="仿宋"/>
                <w:color w:val="auto"/>
                <w:sz w:val="28"/>
              </w:rPr>
              <w:t>噪声排放标准</w:t>
            </w:r>
          </w:p>
          <w:p w14:paraId="64FE2808">
            <w:pPr>
              <w:ind w:firstLine="560"/>
              <w:rPr>
                <w:color w:val="auto"/>
                <w:sz w:val="28"/>
              </w:rPr>
            </w:pPr>
            <w:r>
              <w:rPr>
                <w:rFonts w:hint="eastAsia"/>
                <w:color w:val="auto"/>
                <w:sz w:val="28"/>
              </w:rPr>
              <w:t>本项目位于重庆市九龙坡区西彭镇森迪大道139号3号楼2层和3层，根据《重庆市中心城区声环境功能区划分方案（2023年）》可知，项目所在区域属于3类声功能区</w:t>
            </w:r>
            <w:r>
              <w:rPr>
                <w:rFonts w:hint="eastAsia"/>
                <w:color w:val="auto"/>
                <w:sz w:val="28"/>
                <w:lang w:eastAsia="zh-CN"/>
              </w:rPr>
              <w:t>，</w:t>
            </w:r>
            <w:r>
              <w:rPr>
                <w:rFonts w:hint="eastAsia"/>
                <w:i/>
                <w:iCs/>
                <w:color w:val="auto"/>
                <w:sz w:val="28"/>
              </w:rPr>
              <w:t>项目施工期噪声执行《建筑施工噪声排放标准》（GB12523-20</w:t>
            </w:r>
            <w:r>
              <w:rPr>
                <w:rFonts w:hint="eastAsia"/>
                <w:i/>
                <w:iCs/>
                <w:color w:val="auto"/>
                <w:sz w:val="28"/>
                <w:lang w:val="en-US" w:eastAsia="zh-CN"/>
              </w:rPr>
              <w:t>25</w:t>
            </w:r>
            <w:r>
              <w:rPr>
                <w:rFonts w:hint="eastAsia"/>
                <w:i/>
                <w:iCs/>
                <w:color w:val="auto"/>
                <w:sz w:val="28"/>
              </w:rPr>
              <w:t>）</w:t>
            </w:r>
            <w:r>
              <w:rPr>
                <w:rFonts w:hint="eastAsia"/>
                <w:color w:val="auto"/>
                <w:sz w:val="28"/>
              </w:rPr>
              <w:t>，营运期产生的噪声执行《工业企业厂界环境噪声排放标准》（GB12348-2008）中3类标准，详见表3-11、3-12。</w:t>
            </w:r>
          </w:p>
          <w:p w14:paraId="0FDD6156">
            <w:pPr>
              <w:pStyle w:val="75"/>
              <w:jc w:val="both"/>
              <w:rPr>
                <w:color w:val="auto"/>
              </w:rPr>
            </w:pPr>
            <w:r>
              <w:rPr>
                <w:rFonts w:hint="eastAsia"/>
                <w:color w:val="auto"/>
                <w:sz w:val="24"/>
              </w:rPr>
              <w:t>表3-</w:t>
            </w:r>
            <w:r>
              <w:rPr>
                <w:rFonts w:hint="eastAsia"/>
                <w:color w:val="auto"/>
                <w:sz w:val="24"/>
                <w:lang w:val="en-US"/>
              </w:rPr>
              <w:t>11</w:t>
            </w:r>
            <w:r>
              <w:rPr>
                <w:rFonts w:hint="eastAsia"/>
                <w:color w:val="auto"/>
                <w:sz w:val="24"/>
              </w:rPr>
              <w:t>《建筑施工噪声排放标准》（GB12523-20</w:t>
            </w:r>
            <w:r>
              <w:rPr>
                <w:rFonts w:hint="eastAsia"/>
                <w:color w:val="auto"/>
                <w:sz w:val="24"/>
                <w:lang w:val="en-US" w:eastAsia="zh-CN"/>
              </w:rPr>
              <w:t>25</w:t>
            </w:r>
            <w:r>
              <w:rPr>
                <w:rFonts w:hint="eastAsia"/>
                <w:color w:val="auto"/>
                <w:sz w:val="24"/>
              </w:rPr>
              <w:t>）单位：dB（A）</w:t>
            </w:r>
          </w:p>
          <w:tbl>
            <w:tblPr>
              <w:tblStyle w:val="32"/>
              <w:tblW w:w="8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6"/>
              <w:gridCol w:w="4167"/>
            </w:tblGrid>
            <w:tr w14:paraId="7138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6" w:type="dxa"/>
                  <w:vAlign w:val="center"/>
                </w:tcPr>
                <w:p w14:paraId="037DED87">
                  <w:pPr>
                    <w:pStyle w:val="48"/>
                    <w:rPr>
                      <w:color w:val="auto"/>
                      <w:szCs w:val="18"/>
                    </w:rPr>
                  </w:pPr>
                  <w:r>
                    <w:rPr>
                      <w:rFonts w:hint="eastAsia"/>
                      <w:color w:val="auto"/>
                      <w:sz w:val="24"/>
                      <w:szCs w:val="18"/>
                    </w:rPr>
                    <w:t>昼间</w:t>
                  </w:r>
                </w:p>
              </w:tc>
              <w:tc>
                <w:tcPr>
                  <w:tcW w:w="4167" w:type="dxa"/>
                  <w:vAlign w:val="center"/>
                </w:tcPr>
                <w:p w14:paraId="6893A1D7">
                  <w:pPr>
                    <w:pStyle w:val="48"/>
                    <w:rPr>
                      <w:color w:val="auto"/>
                      <w:szCs w:val="18"/>
                    </w:rPr>
                  </w:pPr>
                  <w:r>
                    <w:rPr>
                      <w:rFonts w:hint="eastAsia"/>
                      <w:color w:val="auto"/>
                      <w:sz w:val="24"/>
                      <w:szCs w:val="18"/>
                    </w:rPr>
                    <w:t>夜间</w:t>
                  </w:r>
                </w:p>
              </w:tc>
            </w:tr>
            <w:tr w14:paraId="4E77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6" w:type="dxa"/>
                  <w:vAlign w:val="center"/>
                </w:tcPr>
                <w:p w14:paraId="1E759F23">
                  <w:pPr>
                    <w:pStyle w:val="48"/>
                    <w:rPr>
                      <w:color w:val="auto"/>
                      <w:szCs w:val="18"/>
                    </w:rPr>
                  </w:pPr>
                  <w:r>
                    <w:rPr>
                      <w:color w:val="auto"/>
                      <w:sz w:val="24"/>
                      <w:szCs w:val="18"/>
                    </w:rPr>
                    <w:t>70</w:t>
                  </w:r>
                </w:p>
              </w:tc>
              <w:tc>
                <w:tcPr>
                  <w:tcW w:w="4167" w:type="dxa"/>
                  <w:vAlign w:val="center"/>
                </w:tcPr>
                <w:p w14:paraId="6F4284B1">
                  <w:pPr>
                    <w:pStyle w:val="48"/>
                    <w:rPr>
                      <w:color w:val="auto"/>
                      <w:szCs w:val="18"/>
                    </w:rPr>
                  </w:pPr>
                  <w:r>
                    <w:rPr>
                      <w:color w:val="auto"/>
                      <w:sz w:val="24"/>
                      <w:szCs w:val="18"/>
                    </w:rPr>
                    <w:t>55</w:t>
                  </w:r>
                </w:p>
              </w:tc>
            </w:tr>
          </w:tbl>
          <w:p w14:paraId="0D332787">
            <w:pPr>
              <w:pStyle w:val="75"/>
              <w:jc w:val="both"/>
              <w:rPr>
                <w:color w:val="auto"/>
              </w:rPr>
            </w:pPr>
            <w:r>
              <w:rPr>
                <w:rFonts w:hint="eastAsia"/>
                <w:color w:val="auto"/>
                <w:sz w:val="24"/>
              </w:rPr>
              <w:t>表3-</w:t>
            </w:r>
            <w:r>
              <w:rPr>
                <w:rFonts w:hint="eastAsia"/>
                <w:color w:val="auto"/>
                <w:sz w:val="24"/>
                <w:lang w:val="en-US"/>
              </w:rPr>
              <w:t>12</w:t>
            </w:r>
            <w:r>
              <w:rPr>
                <w:rFonts w:hint="eastAsia"/>
                <w:color w:val="auto"/>
                <w:sz w:val="24"/>
              </w:rPr>
              <w:t>《工业企业厂界环境噪声排放标准》（GB12348-2008）单位：dB（A）</w:t>
            </w:r>
          </w:p>
          <w:tbl>
            <w:tblPr>
              <w:tblStyle w:val="32"/>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4"/>
              <w:gridCol w:w="1995"/>
              <w:gridCol w:w="2093"/>
            </w:tblGrid>
            <w:tr w14:paraId="781B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4" w:type="dxa"/>
                  <w:vAlign w:val="center"/>
                </w:tcPr>
                <w:p w14:paraId="221088FB">
                  <w:pPr>
                    <w:pStyle w:val="48"/>
                    <w:rPr>
                      <w:color w:val="auto"/>
                      <w:szCs w:val="18"/>
                    </w:rPr>
                  </w:pPr>
                  <w:r>
                    <w:rPr>
                      <w:rFonts w:hint="eastAsia"/>
                      <w:color w:val="auto"/>
                      <w:sz w:val="24"/>
                      <w:szCs w:val="18"/>
                    </w:rPr>
                    <w:t>声环境功能类别</w:t>
                  </w:r>
                </w:p>
              </w:tc>
              <w:tc>
                <w:tcPr>
                  <w:tcW w:w="1995" w:type="dxa"/>
                  <w:vAlign w:val="center"/>
                </w:tcPr>
                <w:p w14:paraId="2D12D784">
                  <w:pPr>
                    <w:pStyle w:val="48"/>
                    <w:rPr>
                      <w:color w:val="auto"/>
                      <w:szCs w:val="18"/>
                    </w:rPr>
                  </w:pPr>
                  <w:r>
                    <w:rPr>
                      <w:rFonts w:hint="eastAsia"/>
                      <w:color w:val="auto"/>
                      <w:sz w:val="24"/>
                      <w:szCs w:val="18"/>
                    </w:rPr>
                    <w:t>昼间</w:t>
                  </w:r>
                </w:p>
              </w:tc>
              <w:tc>
                <w:tcPr>
                  <w:tcW w:w="2093" w:type="dxa"/>
                  <w:vAlign w:val="center"/>
                </w:tcPr>
                <w:p w14:paraId="1039D9BC">
                  <w:pPr>
                    <w:pStyle w:val="48"/>
                    <w:rPr>
                      <w:color w:val="auto"/>
                      <w:szCs w:val="18"/>
                    </w:rPr>
                  </w:pPr>
                  <w:r>
                    <w:rPr>
                      <w:rFonts w:hint="eastAsia"/>
                      <w:color w:val="auto"/>
                      <w:sz w:val="24"/>
                      <w:szCs w:val="18"/>
                    </w:rPr>
                    <w:t>夜间</w:t>
                  </w:r>
                </w:p>
              </w:tc>
            </w:tr>
            <w:tr w14:paraId="0480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4" w:type="dxa"/>
                  <w:vAlign w:val="center"/>
                </w:tcPr>
                <w:p w14:paraId="5D5CEF54">
                  <w:pPr>
                    <w:pStyle w:val="48"/>
                    <w:rPr>
                      <w:color w:val="auto"/>
                      <w:szCs w:val="18"/>
                    </w:rPr>
                  </w:pPr>
                  <w:r>
                    <w:rPr>
                      <w:color w:val="auto"/>
                      <w:sz w:val="24"/>
                      <w:szCs w:val="18"/>
                    </w:rPr>
                    <w:t>3</w:t>
                  </w:r>
                  <w:r>
                    <w:rPr>
                      <w:rFonts w:hint="eastAsia"/>
                      <w:color w:val="auto"/>
                      <w:sz w:val="24"/>
                      <w:szCs w:val="18"/>
                    </w:rPr>
                    <w:t>类</w:t>
                  </w:r>
                </w:p>
              </w:tc>
              <w:tc>
                <w:tcPr>
                  <w:tcW w:w="1995" w:type="dxa"/>
                  <w:vAlign w:val="center"/>
                </w:tcPr>
                <w:p w14:paraId="6AC89F19">
                  <w:pPr>
                    <w:pStyle w:val="48"/>
                    <w:rPr>
                      <w:color w:val="auto"/>
                      <w:szCs w:val="18"/>
                    </w:rPr>
                  </w:pPr>
                  <w:r>
                    <w:rPr>
                      <w:color w:val="auto"/>
                      <w:sz w:val="24"/>
                      <w:szCs w:val="18"/>
                    </w:rPr>
                    <w:t>65</w:t>
                  </w:r>
                </w:p>
              </w:tc>
              <w:tc>
                <w:tcPr>
                  <w:tcW w:w="2093" w:type="dxa"/>
                  <w:vAlign w:val="center"/>
                </w:tcPr>
                <w:p w14:paraId="012471F4">
                  <w:pPr>
                    <w:pStyle w:val="48"/>
                    <w:rPr>
                      <w:color w:val="auto"/>
                      <w:szCs w:val="18"/>
                    </w:rPr>
                  </w:pPr>
                  <w:r>
                    <w:rPr>
                      <w:color w:val="auto"/>
                      <w:sz w:val="24"/>
                      <w:szCs w:val="18"/>
                    </w:rPr>
                    <w:t>55</w:t>
                  </w:r>
                </w:p>
              </w:tc>
            </w:tr>
          </w:tbl>
          <w:p w14:paraId="3C929BF2">
            <w:pPr>
              <w:pStyle w:val="53"/>
              <w:spacing w:before="120"/>
              <w:rPr>
                <w:rFonts w:ascii="仿宋" w:hAnsi="仿宋"/>
                <w:color w:val="auto"/>
                <w:sz w:val="28"/>
              </w:rPr>
            </w:pPr>
            <w:r>
              <w:rPr>
                <w:rFonts w:ascii="仿宋" w:hAnsi="仿宋"/>
                <w:color w:val="auto"/>
                <w:sz w:val="28"/>
              </w:rPr>
              <w:t>4.</w:t>
            </w:r>
            <w:r>
              <w:rPr>
                <w:rFonts w:hint="eastAsia" w:ascii="仿宋" w:hAnsi="仿宋"/>
                <w:color w:val="auto"/>
                <w:sz w:val="28"/>
              </w:rPr>
              <w:t>固废排放标准</w:t>
            </w:r>
          </w:p>
          <w:p w14:paraId="2DEBB126">
            <w:pPr>
              <w:ind w:firstLine="560"/>
              <w:rPr>
                <w:rFonts w:hint="default" w:eastAsia="仿宋"/>
                <w:color w:val="auto"/>
                <w:sz w:val="28"/>
                <w:lang w:val="en-US" w:eastAsia="zh-CN"/>
              </w:rPr>
            </w:pPr>
            <w:r>
              <w:rPr>
                <w:rFonts w:hint="eastAsia"/>
                <w:color w:val="auto"/>
                <w:sz w:val="28"/>
                <w:lang w:val="zh-CN"/>
              </w:rPr>
              <w:t>一般固体废物：</w:t>
            </w:r>
            <w:r>
              <w:rPr>
                <w:rFonts w:hint="eastAsia"/>
                <w:i/>
                <w:iCs/>
                <w:color w:val="auto"/>
                <w:sz w:val="28"/>
                <w:lang w:val="zh-CN"/>
              </w:rPr>
              <w:t>参照《</w:t>
            </w:r>
            <w:r>
              <w:rPr>
                <w:rFonts w:hint="eastAsia"/>
                <w:color w:val="auto"/>
                <w:sz w:val="28"/>
                <w:lang w:val="zh-CN"/>
              </w:rPr>
              <w:t>一般工业固体废物贮存和填埋污染控制标准》（GB18599-2020）中相关要求，要求贮存过程应满足相应防渗漏、防雨淋、防扬散等环境保护要求；同时一般固体废物分类执行《固体废物分类与代码目录（2024）》相关要求；堆场不得混入生活垃圾或危险废物。</w:t>
            </w:r>
          </w:p>
          <w:p w14:paraId="1B5A3B84">
            <w:pPr>
              <w:ind w:firstLine="560"/>
              <w:rPr>
                <w:color w:val="auto"/>
              </w:rPr>
            </w:pPr>
            <w:r>
              <w:rPr>
                <w:rFonts w:hint="eastAsia"/>
                <w:color w:val="auto"/>
                <w:sz w:val="28"/>
                <w:lang w:val="zh-CN"/>
              </w:rPr>
              <w:t>危险废物：按《国家危险废物名录》（2025年版）、《危险废物贮存污染控制标准》（GB18597-20</w:t>
            </w:r>
            <w:r>
              <w:rPr>
                <w:rFonts w:hint="eastAsia"/>
                <w:color w:val="auto"/>
                <w:sz w:val="28"/>
              </w:rPr>
              <w:t>23</w:t>
            </w:r>
            <w:r>
              <w:rPr>
                <w:rFonts w:hint="eastAsia"/>
                <w:color w:val="auto"/>
                <w:sz w:val="28"/>
                <w:lang w:val="zh-CN"/>
              </w:rPr>
              <w:t>）进行识别、贮存和管理，危险废物转移执行《危险废物转移管理办法》中相关要求。</w:t>
            </w:r>
          </w:p>
        </w:tc>
      </w:tr>
      <w:tr w14:paraId="31EAB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5" w:hRule="atLeast"/>
          <w:jc w:val="center"/>
        </w:trPr>
        <w:tc>
          <w:tcPr>
            <w:tcW w:w="699" w:type="dxa"/>
            <w:vAlign w:val="center"/>
          </w:tcPr>
          <w:p w14:paraId="7193B0D3">
            <w:pPr>
              <w:pStyle w:val="49"/>
              <w:rPr>
                <w:color w:val="auto"/>
              </w:rPr>
            </w:pPr>
            <w:r>
              <w:rPr>
                <w:rFonts w:hint="eastAsia"/>
                <w:color w:val="auto"/>
                <w:sz w:val="28"/>
              </w:rPr>
              <w:t>总量控制指标</w:t>
            </w:r>
          </w:p>
        </w:tc>
        <w:tc>
          <w:tcPr>
            <w:tcW w:w="8291" w:type="dxa"/>
            <w:vAlign w:val="center"/>
          </w:tcPr>
          <w:p w14:paraId="0499A201">
            <w:pPr>
              <w:spacing w:before="120" w:beforeLines="50"/>
              <w:ind w:firstLine="560"/>
              <w:rPr>
                <w:color w:val="auto"/>
                <w:sz w:val="28"/>
              </w:rPr>
            </w:pPr>
            <w:r>
              <w:rPr>
                <w:rFonts w:hint="eastAsia"/>
                <w:color w:val="auto"/>
                <w:sz w:val="28"/>
              </w:rPr>
              <w:t>实施污染物排放总量控制是污染控制管理的重要举措，污染物排放应在确保满足达到排放标准的前提下，排放总量还需满足区域的污染物排放总量控制目标。本项目总量控制污染物排放见表3-13。</w:t>
            </w:r>
          </w:p>
          <w:p w14:paraId="651E072E">
            <w:pPr>
              <w:pStyle w:val="75"/>
              <w:rPr>
                <w:color w:val="auto"/>
              </w:rPr>
            </w:pPr>
            <w:r>
              <w:rPr>
                <w:rFonts w:hint="eastAsia"/>
                <w:color w:val="auto"/>
                <w:sz w:val="24"/>
              </w:rPr>
              <w:t>表</w:t>
            </w:r>
            <w:r>
              <w:rPr>
                <w:color w:val="auto"/>
                <w:sz w:val="24"/>
              </w:rPr>
              <w:t>3-</w:t>
            </w:r>
            <w:r>
              <w:rPr>
                <w:rFonts w:hint="eastAsia"/>
                <w:color w:val="auto"/>
                <w:sz w:val="24"/>
                <w:lang w:val="en-US"/>
              </w:rPr>
              <w:t>13</w:t>
            </w:r>
            <w:r>
              <w:rPr>
                <w:rFonts w:hint="eastAsia"/>
                <w:color w:val="auto"/>
                <w:sz w:val="24"/>
              </w:rPr>
              <w:t>污染物总量控制指标表单位：</w:t>
            </w:r>
            <w:r>
              <w:rPr>
                <w:color w:val="auto"/>
                <w:sz w:val="24"/>
              </w:rPr>
              <w:t>t/a</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526"/>
              <w:gridCol w:w="1573"/>
              <w:gridCol w:w="1657"/>
              <w:gridCol w:w="1778"/>
            </w:tblGrid>
            <w:tr w14:paraId="1342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6" w:type="pct"/>
                  <w:vAlign w:val="center"/>
                </w:tcPr>
                <w:p w14:paraId="724CDD1D">
                  <w:pPr>
                    <w:pStyle w:val="48"/>
                    <w:rPr>
                      <w:color w:val="auto"/>
                    </w:rPr>
                  </w:pPr>
                  <w:r>
                    <w:rPr>
                      <w:rFonts w:hint="eastAsia"/>
                      <w:color w:val="auto"/>
                      <w:sz w:val="24"/>
                    </w:rPr>
                    <w:t>类别</w:t>
                  </w:r>
                </w:p>
              </w:tc>
              <w:tc>
                <w:tcPr>
                  <w:tcW w:w="946" w:type="pct"/>
                  <w:vAlign w:val="center"/>
                </w:tcPr>
                <w:p w14:paraId="63F61D3F">
                  <w:pPr>
                    <w:pStyle w:val="48"/>
                    <w:rPr>
                      <w:color w:val="auto"/>
                    </w:rPr>
                  </w:pPr>
                  <w:r>
                    <w:rPr>
                      <w:rFonts w:hint="eastAsia"/>
                      <w:color w:val="auto"/>
                      <w:sz w:val="24"/>
                    </w:rPr>
                    <w:t>污染物</w:t>
                  </w:r>
                </w:p>
              </w:tc>
              <w:tc>
                <w:tcPr>
                  <w:tcW w:w="975" w:type="pct"/>
                  <w:vAlign w:val="center"/>
                </w:tcPr>
                <w:p w14:paraId="46EDCFA0">
                  <w:pPr>
                    <w:pStyle w:val="48"/>
                    <w:rPr>
                      <w:color w:val="auto"/>
                      <w:sz w:val="24"/>
                    </w:rPr>
                  </w:pPr>
                  <w:r>
                    <w:rPr>
                      <w:rFonts w:hint="eastAsia"/>
                      <w:color w:val="auto"/>
                      <w:sz w:val="24"/>
                    </w:rPr>
                    <w:t>排入污水处理厂总量</w:t>
                  </w:r>
                </w:p>
              </w:tc>
              <w:tc>
                <w:tcPr>
                  <w:tcW w:w="1027" w:type="pct"/>
                  <w:shd w:val="clear" w:color="auto" w:fill="auto"/>
                  <w:vAlign w:val="center"/>
                </w:tcPr>
                <w:p w14:paraId="0F388C06">
                  <w:pPr>
                    <w:pStyle w:val="48"/>
                    <w:rPr>
                      <w:color w:val="auto"/>
                    </w:rPr>
                  </w:pPr>
                  <w:r>
                    <w:rPr>
                      <w:rFonts w:hint="eastAsia"/>
                      <w:color w:val="auto"/>
                      <w:sz w:val="24"/>
                    </w:rPr>
                    <w:t>排入外环境的量</w:t>
                  </w:r>
                </w:p>
              </w:tc>
              <w:tc>
                <w:tcPr>
                  <w:tcW w:w="1102" w:type="pct"/>
                  <w:vAlign w:val="center"/>
                </w:tcPr>
                <w:p w14:paraId="3DDFA3DD">
                  <w:pPr>
                    <w:pStyle w:val="48"/>
                    <w:rPr>
                      <w:color w:val="auto"/>
                      <w:sz w:val="24"/>
                    </w:rPr>
                  </w:pPr>
                  <w:r>
                    <w:rPr>
                      <w:rFonts w:hint="eastAsia"/>
                      <w:color w:val="auto"/>
                      <w:sz w:val="24"/>
                    </w:rPr>
                    <w:t>总量指标</w:t>
                  </w:r>
                </w:p>
              </w:tc>
            </w:tr>
            <w:tr w14:paraId="386F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6" w:type="pct"/>
                  <w:vAlign w:val="center"/>
                </w:tcPr>
                <w:p w14:paraId="4B243703">
                  <w:pPr>
                    <w:pStyle w:val="48"/>
                    <w:rPr>
                      <w:color w:val="auto"/>
                    </w:rPr>
                  </w:pPr>
                  <w:r>
                    <w:rPr>
                      <w:rFonts w:hint="eastAsia"/>
                      <w:color w:val="auto"/>
                      <w:sz w:val="24"/>
                    </w:rPr>
                    <w:t>大气污染物</w:t>
                  </w:r>
                </w:p>
              </w:tc>
              <w:tc>
                <w:tcPr>
                  <w:tcW w:w="946" w:type="pct"/>
                  <w:vAlign w:val="center"/>
                </w:tcPr>
                <w:p w14:paraId="047A344A">
                  <w:pPr>
                    <w:pStyle w:val="48"/>
                    <w:rPr>
                      <w:color w:val="auto"/>
                      <w:highlight w:val="none"/>
                    </w:rPr>
                  </w:pPr>
                  <w:r>
                    <w:rPr>
                      <w:rFonts w:hint="eastAsia"/>
                      <w:color w:val="auto"/>
                      <w:sz w:val="24"/>
                      <w:highlight w:val="none"/>
                    </w:rPr>
                    <w:t>非甲烷总烃</w:t>
                  </w:r>
                </w:p>
              </w:tc>
              <w:tc>
                <w:tcPr>
                  <w:tcW w:w="975" w:type="pct"/>
                  <w:vAlign w:val="center"/>
                </w:tcPr>
                <w:p w14:paraId="13B52C7F">
                  <w:pPr>
                    <w:pStyle w:val="48"/>
                    <w:rPr>
                      <w:i/>
                      <w:iCs/>
                      <w:color w:val="auto"/>
                      <w:sz w:val="24"/>
                      <w:highlight w:val="none"/>
                    </w:rPr>
                  </w:pPr>
                  <w:r>
                    <w:rPr>
                      <w:i/>
                      <w:iCs/>
                      <w:color w:val="auto"/>
                      <w:sz w:val="24"/>
                      <w:highlight w:val="none"/>
                    </w:rPr>
                    <w:t>/</w:t>
                  </w:r>
                </w:p>
              </w:tc>
              <w:tc>
                <w:tcPr>
                  <w:tcW w:w="1027" w:type="pct"/>
                  <w:shd w:val="clear" w:color="auto" w:fill="auto"/>
                  <w:vAlign w:val="center"/>
                </w:tcPr>
                <w:p w14:paraId="06910C45">
                  <w:pPr>
                    <w:pStyle w:val="48"/>
                    <w:rPr>
                      <w:rFonts w:hint="default" w:eastAsia="仿宋"/>
                      <w:i/>
                      <w:iCs/>
                      <w:color w:val="auto"/>
                      <w:sz w:val="24"/>
                      <w:szCs w:val="40"/>
                      <w:highlight w:val="none"/>
                      <w:lang w:val="en-US" w:eastAsia="zh-CN"/>
                    </w:rPr>
                  </w:pPr>
                  <w:r>
                    <w:rPr>
                      <w:rFonts w:hint="eastAsia"/>
                      <w:i/>
                      <w:iCs/>
                      <w:color w:val="auto"/>
                      <w:sz w:val="24"/>
                      <w:szCs w:val="40"/>
                      <w:highlight w:val="none"/>
                      <w:lang w:val="en-US" w:eastAsia="zh-CN"/>
                    </w:rPr>
                    <w:t>0.069</w:t>
                  </w:r>
                </w:p>
              </w:tc>
              <w:tc>
                <w:tcPr>
                  <w:tcW w:w="1102" w:type="pct"/>
                  <w:shd w:val="clear" w:color="auto" w:fill="auto"/>
                  <w:vAlign w:val="center"/>
                </w:tcPr>
                <w:p w14:paraId="55D6BD28">
                  <w:pPr>
                    <w:pStyle w:val="48"/>
                    <w:rPr>
                      <w:rFonts w:hint="default" w:eastAsia="仿宋"/>
                      <w:i/>
                      <w:iCs/>
                      <w:color w:val="auto"/>
                      <w:sz w:val="24"/>
                      <w:szCs w:val="40"/>
                      <w:highlight w:val="none"/>
                      <w:lang w:val="en-US" w:eastAsia="zh-CN"/>
                    </w:rPr>
                  </w:pPr>
                  <w:r>
                    <w:rPr>
                      <w:rFonts w:hint="eastAsia"/>
                      <w:i/>
                      <w:iCs/>
                      <w:color w:val="auto"/>
                      <w:sz w:val="24"/>
                      <w:szCs w:val="40"/>
                      <w:highlight w:val="none"/>
                      <w:lang w:val="en-US" w:eastAsia="zh-CN"/>
                    </w:rPr>
                    <w:t>0.069</w:t>
                  </w:r>
                </w:p>
              </w:tc>
            </w:tr>
            <w:tr w14:paraId="1EB1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6" w:type="pct"/>
                  <w:vMerge w:val="restart"/>
                  <w:vAlign w:val="center"/>
                </w:tcPr>
                <w:p w14:paraId="289E24F5">
                  <w:pPr>
                    <w:pStyle w:val="48"/>
                    <w:rPr>
                      <w:color w:val="auto"/>
                      <w:sz w:val="24"/>
                    </w:rPr>
                  </w:pPr>
                  <w:r>
                    <w:rPr>
                      <w:rFonts w:hint="eastAsia"/>
                      <w:color w:val="auto"/>
                      <w:sz w:val="24"/>
                    </w:rPr>
                    <w:t>水污染物</w:t>
                  </w:r>
                </w:p>
              </w:tc>
              <w:tc>
                <w:tcPr>
                  <w:tcW w:w="946" w:type="pct"/>
                  <w:vAlign w:val="center"/>
                </w:tcPr>
                <w:p w14:paraId="00F08366">
                  <w:pPr>
                    <w:pStyle w:val="48"/>
                    <w:rPr>
                      <w:color w:val="auto"/>
                      <w:sz w:val="24"/>
                      <w:highlight w:val="none"/>
                    </w:rPr>
                  </w:pPr>
                  <w:r>
                    <w:rPr>
                      <w:rFonts w:hint="eastAsia"/>
                      <w:color w:val="auto"/>
                      <w:sz w:val="24"/>
                      <w:highlight w:val="none"/>
                    </w:rPr>
                    <w:t>C</w:t>
                  </w:r>
                  <w:r>
                    <w:rPr>
                      <w:color w:val="auto"/>
                      <w:sz w:val="24"/>
                      <w:highlight w:val="none"/>
                    </w:rPr>
                    <w:t>OD</w:t>
                  </w:r>
                </w:p>
              </w:tc>
              <w:tc>
                <w:tcPr>
                  <w:tcW w:w="975" w:type="pct"/>
                  <w:vAlign w:val="center"/>
                </w:tcPr>
                <w:p w14:paraId="6FDCECFE">
                  <w:pPr>
                    <w:pStyle w:val="48"/>
                    <w:rPr>
                      <w:rFonts w:hint="default" w:eastAsia="仿宋"/>
                      <w:i/>
                      <w:iCs/>
                      <w:color w:val="auto"/>
                      <w:sz w:val="24"/>
                      <w:highlight w:val="none"/>
                      <w:lang w:val="en-US" w:eastAsia="zh-CN"/>
                    </w:rPr>
                  </w:pPr>
                  <w:r>
                    <w:rPr>
                      <w:rFonts w:hint="eastAsia"/>
                      <w:i/>
                      <w:iCs/>
                      <w:color w:val="auto"/>
                      <w:sz w:val="24"/>
                      <w:highlight w:val="none"/>
                      <w:lang w:val="en-US" w:eastAsia="zh-CN"/>
                    </w:rPr>
                    <w:t>0.250</w:t>
                  </w:r>
                </w:p>
              </w:tc>
              <w:tc>
                <w:tcPr>
                  <w:tcW w:w="1027" w:type="pct"/>
                  <w:shd w:val="clear" w:color="auto" w:fill="auto"/>
                  <w:vAlign w:val="center"/>
                </w:tcPr>
                <w:p w14:paraId="3642B6C9">
                  <w:pPr>
                    <w:pStyle w:val="48"/>
                    <w:rPr>
                      <w:rFonts w:hint="default" w:eastAsia="仿宋"/>
                      <w:i/>
                      <w:iCs/>
                      <w:color w:val="auto"/>
                      <w:sz w:val="24"/>
                      <w:highlight w:val="yellow"/>
                      <w:lang w:val="en-US" w:eastAsia="zh-CN"/>
                    </w:rPr>
                  </w:pPr>
                  <w:r>
                    <w:rPr>
                      <w:rFonts w:hint="eastAsia"/>
                      <w:i/>
                      <w:iCs/>
                      <w:color w:val="auto"/>
                      <w:sz w:val="24"/>
                      <w:highlight w:val="none"/>
                      <w:lang w:val="en-US" w:eastAsia="zh-CN"/>
                    </w:rPr>
                    <w:t>0.015</w:t>
                  </w:r>
                </w:p>
              </w:tc>
              <w:tc>
                <w:tcPr>
                  <w:tcW w:w="1102" w:type="pct"/>
                  <w:shd w:val="clear" w:color="auto" w:fill="auto"/>
                  <w:vAlign w:val="center"/>
                </w:tcPr>
                <w:p w14:paraId="320C7719">
                  <w:pPr>
                    <w:pStyle w:val="48"/>
                    <w:ind w:firstLine="0" w:firstLineChars="0"/>
                    <w:rPr>
                      <w:rFonts w:hint="default" w:ascii="仿宋" w:hAnsi="仿宋" w:eastAsia="仿宋" w:cs="Times New Roman"/>
                      <w:i/>
                      <w:iCs/>
                      <w:color w:val="auto"/>
                      <w:kern w:val="2"/>
                      <w:sz w:val="24"/>
                      <w:szCs w:val="24"/>
                      <w:highlight w:val="yellow"/>
                      <w:lang w:val="en-US" w:eastAsia="zh-CN" w:bidi="ar-SA"/>
                    </w:rPr>
                  </w:pPr>
                  <w:r>
                    <w:rPr>
                      <w:rFonts w:hint="eastAsia"/>
                      <w:i/>
                      <w:iCs/>
                      <w:color w:val="auto"/>
                      <w:sz w:val="24"/>
                      <w:highlight w:val="none"/>
                      <w:lang w:val="en-US" w:eastAsia="zh-CN"/>
                    </w:rPr>
                    <w:t>0.015</w:t>
                  </w:r>
                </w:p>
              </w:tc>
            </w:tr>
            <w:tr w14:paraId="25E9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6" w:type="pct"/>
                  <w:vMerge w:val="continue"/>
                  <w:vAlign w:val="center"/>
                </w:tcPr>
                <w:p w14:paraId="14834AD0">
                  <w:pPr>
                    <w:pStyle w:val="48"/>
                    <w:rPr>
                      <w:color w:val="auto"/>
                      <w:sz w:val="24"/>
                    </w:rPr>
                  </w:pPr>
                </w:p>
              </w:tc>
              <w:tc>
                <w:tcPr>
                  <w:tcW w:w="946" w:type="pct"/>
                  <w:vAlign w:val="center"/>
                </w:tcPr>
                <w:p w14:paraId="5E9615AE">
                  <w:pPr>
                    <w:pStyle w:val="48"/>
                    <w:rPr>
                      <w:color w:val="auto"/>
                      <w:sz w:val="24"/>
                      <w:highlight w:val="none"/>
                    </w:rPr>
                  </w:pPr>
                  <w:r>
                    <w:rPr>
                      <w:color w:val="auto"/>
                      <w:sz w:val="24"/>
                      <w:highlight w:val="none"/>
                    </w:rPr>
                    <w:t>NH</w:t>
                  </w:r>
                  <w:r>
                    <w:rPr>
                      <w:color w:val="auto"/>
                      <w:sz w:val="24"/>
                      <w:highlight w:val="none"/>
                      <w:vertAlign w:val="subscript"/>
                    </w:rPr>
                    <w:t>3</w:t>
                  </w:r>
                  <w:r>
                    <w:rPr>
                      <w:color w:val="auto"/>
                      <w:sz w:val="24"/>
                      <w:highlight w:val="none"/>
                    </w:rPr>
                    <w:t>-N</w:t>
                  </w:r>
                </w:p>
              </w:tc>
              <w:tc>
                <w:tcPr>
                  <w:tcW w:w="975" w:type="pct"/>
                  <w:vAlign w:val="center"/>
                </w:tcPr>
                <w:p w14:paraId="5DFEC3F2">
                  <w:pPr>
                    <w:pStyle w:val="48"/>
                    <w:rPr>
                      <w:rFonts w:hint="default" w:eastAsia="仿宋"/>
                      <w:i/>
                      <w:iCs/>
                      <w:color w:val="auto"/>
                      <w:sz w:val="24"/>
                      <w:highlight w:val="none"/>
                      <w:lang w:val="en-US" w:eastAsia="zh-CN"/>
                    </w:rPr>
                  </w:pPr>
                  <w:r>
                    <w:rPr>
                      <w:rFonts w:hint="eastAsia"/>
                      <w:i/>
                      <w:iCs/>
                      <w:color w:val="auto"/>
                      <w:sz w:val="24"/>
                      <w:highlight w:val="none"/>
                      <w:lang w:val="en-US" w:eastAsia="zh-CN"/>
                    </w:rPr>
                    <w:t>0.022</w:t>
                  </w:r>
                </w:p>
              </w:tc>
              <w:tc>
                <w:tcPr>
                  <w:tcW w:w="1027" w:type="pct"/>
                  <w:shd w:val="clear" w:color="auto" w:fill="auto"/>
                  <w:vAlign w:val="center"/>
                </w:tcPr>
                <w:p w14:paraId="467C18EC">
                  <w:pPr>
                    <w:pStyle w:val="48"/>
                    <w:rPr>
                      <w:rFonts w:hint="default" w:eastAsia="仿宋"/>
                      <w:i/>
                      <w:iCs/>
                      <w:color w:val="auto"/>
                      <w:sz w:val="24"/>
                      <w:highlight w:val="none"/>
                      <w:lang w:val="en-US" w:eastAsia="zh-CN"/>
                    </w:rPr>
                  </w:pPr>
                  <w:r>
                    <w:rPr>
                      <w:rFonts w:hint="eastAsia"/>
                      <w:i/>
                      <w:iCs/>
                      <w:color w:val="auto"/>
                      <w:sz w:val="24"/>
                      <w:highlight w:val="none"/>
                      <w:lang w:val="en-US" w:eastAsia="zh-CN"/>
                    </w:rPr>
                    <w:t>0.0007</w:t>
                  </w:r>
                </w:p>
              </w:tc>
              <w:tc>
                <w:tcPr>
                  <w:tcW w:w="1102" w:type="pct"/>
                  <w:shd w:val="clear" w:color="auto" w:fill="auto"/>
                  <w:vAlign w:val="center"/>
                </w:tcPr>
                <w:p w14:paraId="42EBC4DD">
                  <w:pPr>
                    <w:pStyle w:val="48"/>
                    <w:ind w:firstLine="0" w:firstLineChars="0"/>
                    <w:rPr>
                      <w:rFonts w:hint="default" w:ascii="仿宋" w:hAnsi="仿宋" w:eastAsia="仿宋" w:cs="Times New Roman"/>
                      <w:i/>
                      <w:iCs/>
                      <w:color w:val="auto"/>
                      <w:kern w:val="2"/>
                      <w:sz w:val="24"/>
                      <w:szCs w:val="24"/>
                      <w:highlight w:val="none"/>
                      <w:lang w:val="en-US" w:eastAsia="zh-CN" w:bidi="ar-SA"/>
                    </w:rPr>
                  </w:pPr>
                  <w:r>
                    <w:rPr>
                      <w:rFonts w:hint="eastAsia"/>
                      <w:i/>
                      <w:iCs/>
                      <w:color w:val="auto"/>
                      <w:sz w:val="24"/>
                      <w:highlight w:val="none"/>
                      <w:lang w:val="en-US" w:eastAsia="zh-CN"/>
                    </w:rPr>
                    <w:t>0.0007</w:t>
                  </w:r>
                </w:p>
              </w:tc>
            </w:tr>
          </w:tbl>
          <w:p w14:paraId="49555344">
            <w:pPr>
              <w:ind w:firstLine="0" w:firstLineChars="0"/>
              <w:rPr>
                <w:color w:val="auto"/>
              </w:rPr>
            </w:pPr>
          </w:p>
        </w:tc>
      </w:tr>
    </w:tbl>
    <w:p w14:paraId="22A609C9">
      <w:pPr>
        <w:ind w:firstLine="560"/>
        <w:rPr>
          <w:snapToGrid w:val="0"/>
          <w:color w:val="auto"/>
          <w:sz w:val="28"/>
          <w:szCs w:val="36"/>
        </w:rPr>
        <w:sectPr>
          <w:pgSz w:w="11906" w:h="16838"/>
          <w:pgMar w:top="1701" w:right="1531" w:bottom="1701" w:left="1531" w:header="851" w:footer="851" w:gutter="0"/>
          <w:cols w:space="720" w:num="1"/>
          <w:docGrid w:linePitch="312" w:charSpace="0"/>
        </w:sectPr>
      </w:pPr>
    </w:p>
    <w:p w14:paraId="72E161C1">
      <w:pPr>
        <w:pStyle w:val="28"/>
        <w:ind w:firstLine="600"/>
        <w:rPr>
          <w:rFonts w:eastAsia="仿宋"/>
          <w:color w:val="auto"/>
        </w:rPr>
      </w:pPr>
      <w:r>
        <w:rPr>
          <w:rFonts w:hint="eastAsia" w:eastAsia="仿宋"/>
          <w:snapToGrid w:val="0"/>
          <w:color w:val="auto"/>
        </w:rPr>
        <w:t>四、主要环境影响和保护措施</w:t>
      </w:r>
    </w:p>
    <w:tbl>
      <w:tblPr>
        <w:tblStyle w:val="3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7"/>
        <w:gridCol w:w="8351"/>
      </w:tblGrid>
      <w:tr w14:paraId="53E57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9" w:hRule="atLeast"/>
          <w:jc w:val="center"/>
        </w:trPr>
        <w:tc>
          <w:tcPr>
            <w:tcW w:w="557" w:type="dxa"/>
            <w:tcMar>
              <w:left w:w="28" w:type="dxa"/>
              <w:right w:w="28" w:type="dxa"/>
            </w:tcMar>
            <w:vAlign w:val="center"/>
          </w:tcPr>
          <w:p w14:paraId="1DBBCF39">
            <w:pPr>
              <w:pStyle w:val="49"/>
              <w:rPr>
                <w:bCs/>
                <w:color w:val="auto"/>
              </w:rPr>
            </w:pPr>
            <w:r>
              <w:rPr>
                <w:rFonts w:hint="eastAsia"/>
                <w:color w:val="auto"/>
                <w:sz w:val="28"/>
              </w:rPr>
              <w:t>施工期环境保护措施</w:t>
            </w:r>
          </w:p>
        </w:tc>
        <w:tc>
          <w:tcPr>
            <w:tcW w:w="8351" w:type="dxa"/>
            <w:vAlign w:val="center"/>
          </w:tcPr>
          <w:p w14:paraId="4FA7E0E8">
            <w:pPr>
              <w:pStyle w:val="53"/>
              <w:spacing w:before="120"/>
              <w:rPr>
                <w:rFonts w:ascii="仿宋" w:hAnsi="仿宋"/>
                <w:color w:val="auto"/>
                <w:sz w:val="28"/>
              </w:rPr>
            </w:pPr>
            <w:r>
              <w:rPr>
                <w:rFonts w:hint="eastAsia" w:ascii="仿宋" w:hAnsi="仿宋"/>
                <w:color w:val="auto"/>
                <w:sz w:val="28"/>
                <w:lang w:val="en-US"/>
              </w:rPr>
              <w:t>4.</w:t>
            </w:r>
            <w:r>
              <w:rPr>
                <w:rFonts w:ascii="仿宋" w:hAnsi="仿宋"/>
                <w:color w:val="auto"/>
                <w:sz w:val="28"/>
              </w:rPr>
              <w:t>1</w:t>
            </w:r>
            <w:r>
              <w:rPr>
                <w:rFonts w:hint="eastAsia" w:ascii="仿宋" w:hAnsi="仿宋"/>
                <w:color w:val="auto"/>
                <w:sz w:val="28"/>
              </w:rPr>
              <w:t>施工期环境保护措施</w:t>
            </w:r>
          </w:p>
          <w:p w14:paraId="72048B70">
            <w:pPr>
              <w:ind w:firstLine="560"/>
              <w:rPr>
                <w:color w:val="auto"/>
                <w:sz w:val="28"/>
                <w:szCs w:val="28"/>
                <w:highlight w:val="yellow"/>
              </w:rPr>
            </w:pPr>
            <w:r>
              <w:rPr>
                <w:rFonts w:hint="eastAsia"/>
                <w:color w:val="auto"/>
                <w:sz w:val="28"/>
              </w:rPr>
              <w:t>本项目租赁园区生产厂房进行生产。仅需进行简单室内装修及设备安装，施工期影响为短暂影响，仅进行简单影响分析。</w:t>
            </w:r>
          </w:p>
          <w:p w14:paraId="5EE1865C">
            <w:pPr>
              <w:pStyle w:val="53"/>
              <w:spacing w:before="120"/>
              <w:rPr>
                <w:rFonts w:ascii="仿宋" w:hAnsi="仿宋"/>
                <w:color w:val="auto"/>
                <w:sz w:val="28"/>
              </w:rPr>
            </w:pPr>
            <w:r>
              <w:rPr>
                <w:rFonts w:hint="eastAsia" w:ascii="仿宋" w:hAnsi="仿宋"/>
                <w:color w:val="auto"/>
                <w:sz w:val="28"/>
                <w:lang w:val="en-US"/>
              </w:rPr>
              <w:t>4.1.1</w:t>
            </w:r>
            <w:r>
              <w:rPr>
                <w:rFonts w:hint="eastAsia" w:ascii="仿宋" w:hAnsi="仿宋"/>
                <w:color w:val="auto"/>
                <w:sz w:val="28"/>
              </w:rPr>
              <w:t>废气</w:t>
            </w:r>
          </w:p>
          <w:p w14:paraId="1F6F6652">
            <w:pPr>
              <w:ind w:firstLine="560"/>
              <w:rPr>
                <w:rFonts w:hint="eastAsia" w:eastAsia="仿宋"/>
                <w:color w:val="auto"/>
                <w:sz w:val="28"/>
                <w:lang w:eastAsia="zh-CN"/>
              </w:rPr>
            </w:pPr>
            <w:r>
              <w:rPr>
                <w:rFonts w:hint="eastAsia"/>
                <w:color w:val="auto"/>
                <w:sz w:val="28"/>
              </w:rPr>
              <w:t>施工期废气主要为设备安装过程中产生的粉尘，由于主要在室内施工，工程量小，通过洒水降尘等措施可有效降低施工期扬尘对周边环境的影响。</w:t>
            </w:r>
          </w:p>
          <w:p w14:paraId="27273E4A">
            <w:pPr>
              <w:pStyle w:val="53"/>
              <w:spacing w:before="120"/>
              <w:rPr>
                <w:rFonts w:ascii="仿宋" w:hAnsi="仿宋"/>
                <w:color w:val="auto"/>
                <w:sz w:val="28"/>
              </w:rPr>
            </w:pPr>
            <w:r>
              <w:rPr>
                <w:rFonts w:hint="eastAsia" w:ascii="仿宋" w:hAnsi="仿宋"/>
                <w:color w:val="auto"/>
                <w:sz w:val="28"/>
                <w:lang w:val="en-US"/>
              </w:rPr>
              <w:t>4.1.</w:t>
            </w:r>
            <w:r>
              <w:rPr>
                <w:rFonts w:ascii="仿宋" w:hAnsi="仿宋"/>
                <w:color w:val="auto"/>
                <w:sz w:val="28"/>
              </w:rPr>
              <w:t>2</w:t>
            </w:r>
            <w:r>
              <w:rPr>
                <w:rFonts w:hint="eastAsia" w:ascii="仿宋" w:hAnsi="仿宋"/>
                <w:color w:val="auto"/>
                <w:sz w:val="28"/>
              </w:rPr>
              <w:t>废水</w:t>
            </w:r>
          </w:p>
          <w:p w14:paraId="02533416">
            <w:pPr>
              <w:ind w:firstLine="560"/>
              <w:rPr>
                <w:rFonts w:hint="eastAsia" w:eastAsia="仿宋"/>
                <w:color w:val="auto"/>
                <w:sz w:val="28"/>
                <w:lang w:eastAsia="zh-CN"/>
              </w:rPr>
            </w:pPr>
            <w:r>
              <w:rPr>
                <w:rFonts w:hint="eastAsia"/>
                <w:color w:val="auto"/>
                <w:sz w:val="28"/>
              </w:rPr>
              <w:t>本项目施工期产生的废水主要为生活污水，生活污水经厂区生化池处理后排入市政管网。</w:t>
            </w:r>
          </w:p>
          <w:p w14:paraId="40407D08">
            <w:pPr>
              <w:pStyle w:val="53"/>
              <w:spacing w:before="120"/>
              <w:rPr>
                <w:rFonts w:ascii="仿宋" w:hAnsi="仿宋"/>
                <w:color w:val="auto"/>
                <w:sz w:val="28"/>
              </w:rPr>
            </w:pPr>
            <w:r>
              <w:rPr>
                <w:rFonts w:hint="eastAsia" w:ascii="仿宋" w:hAnsi="仿宋"/>
                <w:color w:val="auto"/>
                <w:sz w:val="28"/>
                <w:lang w:val="en-US"/>
              </w:rPr>
              <w:t>4.1.</w:t>
            </w:r>
            <w:r>
              <w:rPr>
                <w:rFonts w:ascii="仿宋" w:hAnsi="仿宋"/>
                <w:color w:val="auto"/>
                <w:sz w:val="28"/>
              </w:rPr>
              <w:t>3</w:t>
            </w:r>
            <w:r>
              <w:rPr>
                <w:rFonts w:hint="eastAsia" w:ascii="仿宋" w:hAnsi="仿宋"/>
                <w:color w:val="auto"/>
                <w:sz w:val="28"/>
              </w:rPr>
              <w:t>噪声</w:t>
            </w:r>
          </w:p>
          <w:p w14:paraId="2BED1065">
            <w:pPr>
              <w:ind w:firstLine="560"/>
              <w:rPr>
                <w:color w:val="auto"/>
                <w:sz w:val="28"/>
              </w:rPr>
            </w:pPr>
            <w:r>
              <w:rPr>
                <w:rFonts w:hint="eastAsia"/>
                <w:color w:val="auto"/>
                <w:sz w:val="28"/>
              </w:rPr>
              <w:t>本项目施工期产生噪声主要为设备安装和调试噪声，经过设备减振和厂房隔声处理。</w:t>
            </w:r>
          </w:p>
          <w:p w14:paraId="6ED5B486">
            <w:pPr>
              <w:pStyle w:val="53"/>
              <w:spacing w:before="120"/>
              <w:rPr>
                <w:rFonts w:ascii="仿宋" w:hAnsi="仿宋"/>
                <w:color w:val="auto"/>
                <w:sz w:val="28"/>
                <w:lang w:val="en-US"/>
              </w:rPr>
            </w:pPr>
            <w:r>
              <w:rPr>
                <w:rFonts w:hint="eastAsia" w:ascii="仿宋" w:hAnsi="仿宋"/>
                <w:color w:val="auto"/>
                <w:sz w:val="28"/>
                <w:lang w:val="en-US"/>
              </w:rPr>
              <w:t>4.1.</w:t>
            </w:r>
            <w:r>
              <w:rPr>
                <w:rFonts w:ascii="仿宋" w:hAnsi="仿宋"/>
                <w:color w:val="auto"/>
                <w:sz w:val="28"/>
              </w:rPr>
              <w:t>4</w:t>
            </w:r>
            <w:r>
              <w:rPr>
                <w:rFonts w:hint="eastAsia" w:ascii="仿宋" w:hAnsi="仿宋"/>
                <w:color w:val="auto"/>
                <w:sz w:val="28"/>
              </w:rPr>
              <w:t>固废</w:t>
            </w:r>
          </w:p>
          <w:p w14:paraId="5615463E">
            <w:pPr>
              <w:ind w:firstLine="560"/>
              <w:rPr>
                <w:color w:val="auto"/>
                <w:sz w:val="28"/>
              </w:rPr>
            </w:pPr>
            <w:r>
              <w:rPr>
                <w:rFonts w:hint="eastAsia"/>
                <w:color w:val="auto"/>
                <w:sz w:val="28"/>
              </w:rPr>
              <w:t>本项目施工期产生的固体废弃物包括废包装、废材料和人员生活垃圾等，废包装和废材料收集后外售利用，生活垃圾由环卫部门统一收集后处置。</w:t>
            </w:r>
          </w:p>
          <w:p w14:paraId="5F0355EF">
            <w:pPr>
              <w:ind w:firstLine="560"/>
              <w:rPr>
                <w:color w:val="auto"/>
              </w:rPr>
            </w:pPr>
            <w:r>
              <w:rPr>
                <w:rFonts w:hint="eastAsia"/>
                <w:color w:val="auto"/>
                <w:sz w:val="28"/>
              </w:rPr>
              <w:t>本项目施工期通过采取上述措施后，施工期产生的污染物不会对环境产生不利影响。</w:t>
            </w:r>
          </w:p>
        </w:tc>
      </w:tr>
    </w:tbl>
    <w:p w14:paraId="73A4B1DA">
      <w:pPr>
        <w:pStyle w:val="49"/>
        <w:rPr>
          <w:bCs/>
          <w:color w:val="auto"/>
        </w:rPr>
        <w:sectPr>
          <w:pgSz w:w="11906" w:h="16838"/>
          <w:pgMar w:top="1701" w:right="1531" w:bottom="1701" w:left="1531" w:header="851" w:footer="851" w:gutter="0"/>
          <w:cols w:space="720" w:num="1"/>
          <w:docGrid w:linePitch="312" w:charSpace="0"/>
        </w:sectPr>
      </w:pPr>
    </w:p>
    <w:tbl>
      <w:tblPr>
        <w:tblStyle w:val="3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36"/>
        <w:gridCol w:w="8486"/>
      </w:tblGrid>
      <w:tr w14:paraId="3DCF9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45" w:hRule="atLeast"/>
          <w:jc w:val="center"/>
        </w:trPr>
        <w:tc>
          <w:tcPr>
            <w:tcW w:w="145" w:type="pct"/>
            <w:tcMar>
              <w:left w:w="28" w:type="dxa"/>
              <w:right w:w="28" w:type="dxa"/>
            </w:tcMar>
            <w:vAlign w:val="center"/>
          </w:tcPr>
          <w:p w14:paraId="3DE2D939">
            <w:pPr>
              <w:pStyle w:val="49"/>
              <w:rPr>
                <w:bCs/>
                <w:color w:val="auto"/>
              </w:rPr>
            </w:pPr>
            <w:r>
              <w:rPr>
                <w:rFonts w:hint="eastAsia"/>
                <w:bCs/>
                <w:color w:val="auto"/>
                <w:sz w:val="28"/>
              </w:rPr>
              <w:t>运营期环境影响和保护措施</w:t>
            </w:r>
          </w:p>
        </w:tc>
        <w:tc>
          <w:tcPr>
            <w:tcW w:w="4854" w:type="pct"/>
            <w:vAlign w:val="center"/>
          </w:tcPr>
          <w:p w14:paraId="3ECCC368">
            <w:pPr>
              <w:pStyle w:val="53"/>
              <w:spacing w:before="120"/>
              <w:rPr>
                <w:rFonts w:ascii="仿宋" w:hAnsi="仿宋"/>
                <w:color w:val="auto"/>
                <w:sz w:val="28"/>
              </w:rPr>
            </w:pPr>
            <w:r>
              <w:rPr>
                <w:rFonts w:hint="eastAsia" w:ascii="仿宋" w:hAnsi="仿宋"/>
                <w:color w:val="auto"/>
                <w:sz w:val="28"/>
                <w:lang w:val="en-US"/>
              </w:rPr>
              <w:t>4.2</w:t>
            </w:r>
            <w:r>
              <w:rPr>
                <w:rFonts w:hint="eastAsia" w:ascii="仿宋" w:hAnsi="仿宋"/>
                <w:color w:val="auto"/>
                <w:sz w:val="28"/>
              </w:rPr>
              <w:t>废气环境影响及保护措施</w:t>
            </w:r>
          </w:p>
          <w:p w14:paraId="5501C65A">
            <w:pPr>
              <w:ind w:firstLine="560"/>
              <w:rPr>
                <w:rFonts w:hint="default" w:eastAsia="仿宋"/>
                <w:b/>
                <w:color w:val="auto"/>
                <w:sz w:val="28"/>
                <w:lang w:val="en-US" w:eastAsia="zh-CN"/>
              </w:rPr>
            </w:pPr>
            <w:r>
              <w:rPr>
                <w:rFonts w:hint="eastAsia"/>
                <w:color w:val="auto"/>
                <w:sz w:val="28"/>
              </w:rPr>
              <w:t>本项目投入使用后，大气污染主要为</w:t>
            </w:r>
            <w:r>
              <w:rPr>
                <w:rFonts w:hint="eastAsia"/>
                <w:color w:val="auto"/>
                <w:sz w:val="28"/>
                <w:lang w:eastAsia="zh-CN"/>
              </w:rPr>
              <w:t>涂胶、烘烤</w:t>
            </w:r>
            <w:r>
              <w:rPr>
                <w:rFonts w:hint="eastAsia"/>
                <w:color w:val="auto"/>
                <w:sz w:val="28"/>
              </w:rPr>
              <w:t>废气</w:t>
            </w:r>
            <w:r>
              <w:rPr>
                <w:rFonts w:hint="eastAsia"/>
                <w:color w:val="auto"/>
                <w:sz w:val="28"/>
                <w:lang w:val="en-US" w:eastAsia="zh-CN"/>
              </w:rPr>
              <w:t>G2-</w:t>
            </w:r>
            <w:r>
              <w:rPr>
                <w:rFonts w:hint="eastAsia"/>
                <w:color w:val="auto"/>
                <w:sz w:val="28"/>
                <w:highlight w:val="none"/>
              </w:rPr>
              <w:t>1、G2</w:t>
            </w:r>
            <w:r>
              <w:rPr>
                <w:rFonts w:hint="eastAsia"/>
                <w:color w:val="auto"/>
                <w:sz w:val="28"/>
                <w:highlight w:val="none"/>
                <w:lang w:val="en-US" w:eastAsia="zh-CN"/>
              </w:rPr>
              <w:t>-2、G3-1、G3-2</w:t>
            </w:r>
            <w:r>
              <w:rPr>
                <w:rFonts w:hint="eastAsia"/>
                <w:color w:val="auto"/>
                <w:sz w:val="28"/>
                <w:lang w:val="en-US" w:eastAsia="zh-CN"/>
              </w:rPr>
              <w:t>。</w:t>
            </w:r>
          </w:p>
          <w:p w14:paraId="5BB6CB35">
            <w:pPr>
              <w:pStyle w:val="53"/>
              <w:spacing w:before="120"/>
              <w:rPr>
                <w:rFonts w:ascii="仿宋" w:hAnsi="仿宋"/>
                <w:color w:val="auto"/>
                <w:sz w:val="28"/>
              </w:rPr>
            </w:pPr>
            <w:r>
              <w:rPr>
                <w:rFonts w:hint="eastAsia" w:ascii="仿宋" w:hAnsi="仿宋"/>
                <w:color w:val="auto"/>
                <w:sz w:val="28"/>
                <w:lang w:val="en-US"/>
              </w:rPr>
              <w:t>4.2</w:t>
            </w:r>
            <w:r>
              <w:rPr>
                <w:rFonts w:ascii="仿宋" w:hAnsi="仿宋"/>
                <w:color w:val="auto"/>
                <w:sz w:val="28"/>
              </w:rPr>
              <w:t>.1</w:t>
            </w:r>
            <w:r>
              <w:rPr>
                <w:rFonts w:hint="eastAsia" w:ascii="仿宋" w:hAnsi="仿宋"/>
                <w:color w:val="auto"/>
                <w:sz w:val="28"/>
              </w:rPr>
              <w:t>废气污染源强核算</w:t>
            </w:r>
          </w:p>
          <w:p w14:paraId="442D1718">
            <w:pPr>
              <w:spacing w:before="120" w:beforeLines="50"/>
              <w:ind w:firstLine="562"/>
              <w:rPr>
                <w:b/>
                <w:color w:val="auto"/>
                <w:sz w:val="28"/>
              </w:rPr>
            </w:pPr>
            <w:r>
              <w:rPr>
                <w:rFonts w:hint="eastAsia"/>
                <w:b/>
                <w:color w:val="auto"/>
                <w:sz w:val="28"/>
              </w:rPr>
              <w:t>源强核算概述：</w:t>
            </w:r>
          </w:p>
          <w:p w14:paraId="5F7CA917">
            <w:pPr>
              <w:ind w:firstLine="562"/>
              <w:rPr>
                <w:rFonts w:hint="eastAsia"/>
                <w:color w:val="auto"/>
                <w:sz w:val="28"/>
                <w:szCs w:val="28"/>
                <w:highlight w:val="none"/>
              </w:rPr>
            </w:pPr>
            <w:r>
              <w:rPr>
                <w:rFonts w:hint="eastAsia"/>
                <w:b/>
                <w:bCs/>
                <w:color w:val="auto"/>
                <w:sz w:val="28"/>
                <w:szCs w:val="28"/>
              </w:rPr>
              <w:t>①</w:t>
            </w:r>
            <w:r>
              <w:rPr>
                <w:rFonts w:hint="eastAsia"/>
                <w:b/>
                <w:bCs/>
                <w:color w:val="auto"/>
                <w:sz w:val="28"/>
                <w:szCs w:val="28"/>
                <w:lang w:eastAsia="zh-CN"/>
              </w:rPr>
              <w:t>涂布废气、烘烤废气</w:t>
            </w:r>
          </w:p>
          <w:p w14:paraId="50F905A9">
            <w:pPr>
              <w:ind w:firstLine="560"/>
              <w:rPr>
                <w:i/>
                <w:iCs/>
                <w:color w:val="auto"/>
                <w:sz w:val="28"/>
              </w:rPr>
            </w:pPr>
            <w:r>
              <w:rPr>
                <w:rFonts w:hint="eastAsia"/>
                <w:i/>
                <w:iCs/>
                <w:color w:val="auto"/>
                <w:sz w:val="28"/>
              </w:rPr>
              <w:t>非甲烷总烃</w:t>
            </w:r>
          </w:p>
          <w:p w14:paraId="14E55DD9">
            <w:pPr>
              <w:ind w:firstLine="560"/>
              <w:rPr>
                <w:rFonts w:hint="eastAsia"/>
                <w:i/>
                <w:iCs/>
                <w:color w:val="auto"/>
                <w:sz w:val="28"/>
                <w:lang w:eastAsia="zh-CN"/>
              </w:rPr>
            </w:pPr>
            <w:r>
              <w:rPr>
                <w:rFonts w:hint="eastAsia"/>
                <w:i/>
                <w:iCs/>
                <w:color w:val="auto"/>
                <w:sz w:val="28"/>
                <w:lang w:eastAsia="zh-CN"/>
              </w:rPr>
              <w:t>本项目使用的胶水主要成分为丙烯酸酯类合成树脂，在烘胶过程中产生有机废气，本次以非甲烷总烃计；参考</w:t>
            </w:r>
            <w:r>
              <w:rPr>
                <w:rFonts w:hint="eastAsia"/>
                <w:i/>
                <w:iCs/>
                <w:color w:val="auto"/>
                <w:sz w:val="28"/>
              </w:rPr>
              <w:t>《292塑料制品行业系数手册》中“2929塑料零件及其他塑料制品制造行业系数表”推荐，挥发性有机物产生系数为2.7kg/t产品。本项目</w:t>
            </w:r>
            <w:r>
              <w:rPr>
                <w:rFonts w:hint="eastAsia"/>
                <w:i/>
                <w:iCs/>
                <w:color w:val="auto"/>
                <w:sz w:val="28"/>
                <w:lang w:val="en-US" w:eastAsia="zh-CN"/>
              </w:rPr>
              <w:t>胶水的用量为80t/a，非甲烷总烃的产生量为0.216t/a</w:t>
            </w:r>
            <w:r>
              <w:rPr>
                <w:rFonts w:hint="eastAsia"/>
                <w:i/>
                <w:iCs/>
                <w:color w:val="auto"/>
                <w:sz w:val="28"/>
                <w:lang w:eastAsia="zh-CN"/>
              </w:rPr>
              <w:t>；此外，烘干过程中可能产生极少量的颗粒物和臭气，因此涂胶、烘干废气污染物包括颗粒物和非甲烷总烃、臭气浓度。由于颗粒物产生量较少，本次评价不进行量化分析。</w:t>
            </w:r>
          </w:p>
          <w:p w14:paraId="5C5BECCB">
            <w:pPr>
              <w:pStyle w:val="142"/>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b/>
                <w:bCs w:val="0"/>
                <w:i/>
                <w:iCs/>
                <w:color w:val="auto"/>
                <w:sz w:val="28"/>
                <w:szCs w:val="28"/>
                <w:lang w:val="en-US" w:eastAsia="zh-CN"/>
              </w:rPr>
            </w:pPr>
            <w:r>
              <w:rPr>
                <w:rFonts w:hint="eastAsia" w:ascii="仿宋" w:hAnsi="仿宋" w:eastAsia="仿宋" w:cs="仿宋"/>
                <w:i/>
                <w:iCs/>
                <w:color w:val="auto"/>
                <w:sz w:val="28"/>
                <w:szCs w:val="28"/>
                <w:lang w:val="en-US" w:eastAsia="zh-CN"/>
              </w:rPr>
              <w:t>本</w:t>
            </w:r>
            <w:r>
              <w:rPr>
                <w:rFonts w:hint="eastAsia" w:ascii="仿宋" w:hAnsi="仿宋" w:eastAsia="仿宋" w:cs="仿宋"/>
                <w:b w:val="0"/>
                <w:bCs/>
                <w:i/>
                <w:iCs/>
                <w:color w:val="auto"/>
                <w:sz w:val="28"/>
                <w:szCs w:val="28"/>
                <w:lang w:val="en-US" w:eastAsia="zh-CN"/>
              </w:rPr>
              <w:t>项目拟将涂布和烘干阶段产生的废气通过设</w:t>
            </w:r>
            <w:r>
              <w:rPr>
                <w:rFonts w:hint="eastAsia" w:ascii="仿宋" w:hAnsi="仿宋" w:eastAsia="仿宋" w:cs="仿宋"/>
                <w:b w:val="0"/>
                <w:bCs/>
                <w:i/>
                <w:iCs/>
                <w:color w:val="auto"/>
                <w:sz w:val="28"/>
                <w:szCs w:val="28"/>
                <w:highlight w:val="none"/>
                <w:lang w:val="en-US" w:eastAsia="zh-CN"/>
              </w:rPr>
              <w:t>置集气罩</w:t>
            </w:r>
            <w:r>
              <w:rPr>
                <w:rFonts w:hint="eastAsia" w:ascii="仿宋" w:hAnsi="仿宋" w:eastAsia="仿宋" w:cs="仿宋"/>
                <w:b w:val="0"/>
                <w:bCs/>
                <w:i/>
                <w:iCs/>
                <w:color w:val="auto"/>
                <w:sz w:val="28"/>
                <w:szCs w:val="28"/>
                <w:lang w:val="en-US" w:eastAsia="zh-CN"/>
              </w:rPr>
              <w:t>收集，项目涂布烘干为一体，拟在涂布烘干一体机（烘干工序密闭）进出口和贴合机上方设置集气罩，收集效率取80%，</w:t>
            </w:r>
            <w:r>
              <w:rPr>
                <w:rFonts w:hint="eastAsia" w:ascii="仿宋" w:hAnsi="仿宋" w:eastAsia="仿宋" w:cs="仿宋"/>
                <w:b w:val="0"/>
                <w:bCs/>
                <w:i/>
                <w:iCs/>
                <w:color w:val="auto"/>
                <w:sz w:val="28"/>
                <w:szCs w:val="28"/>
              </w:rPr>
              <w:t>经</w:t>
            </w:r>
            <w:r>
              <w:rPr>
                <w:rFonts w:hint="eastAsia" w:ascii="仿宋" w:hAnsi="仿宋" w:eastAsia="仿宋" w:cs="仿宋"/>
                <w:b w:val="0"/>
                <w:bCs/>
                <w:i/>
                <w:iCs/>
                <w:color w:val="auto"/>
                <w:sz w:val="28"/>
                <w:szCs w:val="28"/>
                <w:lang w:eastAsia="zh-CN"/>
              </w:rPr>
              <w:t>过滤棉</w:t>
            </w:r>
            <w:r>
              <w:rPr>
                <w:rFonts w:hint="eastAsia" w:ascii="仿宋" w:hAnsi="仿宋" w:eastAsia="仿宋" w:cs="仿宋"/>
                <w:b w:val="0"/>
                <w:bCs/>
                <w:i/>
                <w:iCs/>
                <w:color w:val="auto"/>
                <w:sz w:val="28"/>
                <w:szCs w:val="28"/>
                <w:lang w:val="en-US" w:eastAsia="zh-CN"/>
              </w:rPr>
              <w:t>+二级</w:t>
            </w:r>
            <w:r>
              <w:rPr>
                <w:rFonts w:hint="eastAsia" w:ascii="仿宋" w:hAnsi="仿宋" w:eastAsia="仿宋" w:cs="仿宋"/>
                <w:b w:val="0"/>
                <w:bCs/>
                <w:i/>
                <w:iCs/>
                <w:color w:val="auto"/>
                <w:sz w:val="28"/>
                <w:szCs w:val="28"/>
              </w:rPr>
              <w:t>活性炭吸附装置进行处理</w:t>
            </w:r>
            <w:r>
              <w:rPr>
                <w:rFonts w:hint="eastAsia" w:ascii="仿宋" w:hAnsi="仿宋" w:eastAsia="仿宋" w:cs="仿宋"/>
                <w:b w:val="0"/>
                <w:bCs/>
                <w:i/>
                <w:iCs/>
                <w:color w:val="auto"/>
                <w:sz w:val="28"/>
                <w:szCs w:val="28"/>
                <w:lang w:val="en-US" w:eastAsia="zh-CN"/>
              </w:rPr>
              <w:t>后</w:t>
            </w:r>
            <w:r>
              <w:rPr>
                <w:rFonts w:hint="eastAsia" w:ascii="仿宋" w:hAnsi="仿宋" w:eastAsia="仿宋" w:cs="仿宋"/>
                <w:b w:val="0"/>
                <w:bCs/>
                <w:i/>
                <w:iCs/>
                <w:color w:val="auto"/>
                <w:sz w:val="28"/>
                <w:szCs w:val="28"/>
              </w:rPr>
              <w:t>经15m排气筒（</w:t>
            </w:r>
            <w:r>
              <w:rPr>
                <w:rFonts w:hint="eastAsia" w:ascii="仿宋" w:hAnsi="仿宋" w:eastAsia="仿宋" w:cs="仿宋"/>
                <w:b w:val="0"/>
                <w:bCs/>
                <w:i/>
                <w:iCs/>
                <w:color w:val="auto"/>
                <w:sz w:val="28"/>
                <w:szCs w:val="28"/>
                <w:lang w:val="en-US" w:eastAsia="zh-CN"/>
              </w:rPr>
              <w:t>DA001</w:t>
            </w:r>
            <w:r>
              <w:rPr>
                <w:rFonts w:hint="eastAsia" w:ascii="仿宋" w:hAnsi="仿宋" w:eastAsia="仿宋" w:cs="仿宋"/>
                <w:b w:val="0"/>
                <w:bCs/>
                <w:i/>
                <w:iCs/>
                <w:color w:val="auto"/>
                <w:sz w:val="28"/>
                <w:szCs w:val="28"/>
              </w:rPr>
              <w:t>）排放</w:t>
            </w:r>
            <w:r>
              <w:rPr>
                <w:rFonts w:hint="eastAsia" w:ascii="仿宋" w:hAnsi="仿宋" w:eastAsia="仿宋" w:cs="仿宋"/>
                <w:b w:val="0"/>
                <w:bCs/>
                <w:i/>
                <w:iCs/>
                <w:color w:val="auto"/>
                <w:sz w:val="28"/>
                <w:szCs w:val="28"/>
                <w:lang w:eastAsia="zh-CN"/>
              </w:rPr>
              <w:t>。</w:t>
            </w:r>
            <w:r>
              <w:rPr>
                <w:rFonts w:hint="eastAsia" w:ascii="仿宋" w:hAnsi="仿宋" w:eastAsia="仿宋" w:cs="仿宋"/>
                <w:b w:val="0"/>
                <w:bCs/>
                <w:i/>
                <w:iCs/>
                <w:color w:val="auto"/>
                <w:sz w:val="28"/>
                <w:szCs w:val="28"/>
                <w:lang w:val="en-US" w:eastAsia="zh-CN"/>
              </w:rPr>
              <w:t>活性炭综合处理效率约60%，</w:t>
            </w:r>
            <w:r>
              <w:rPr>
                <w:rFonts w:hint="eastAsia" w:ascii="仿宋" w:hAnsi="仿宋" w:eastAsia="仿宋" w:cs="仿宋"/>
                <w:b w:val="0"/>
                <w:bCs/>
                <w:i/>
                <w:iCs/>
                <w:color w:val="auto"/>
                <w:sz w:val="28"/>
                <w:szCs w:val="28"/>
                <w:highlight w:val="none"/>
                <w:lang w:val="en-US" w:eastAsia="zh-CN"/>
              </w:rPr>
              <w:t>处理后的有组织排放量为0.069t/a，工作时间为每日6h，年工作时间240天，排放速率0.048kg/h。</w:t>
            </w:r>
          </w:p>
          <w:p w14:paraId="13448D0B">
            <w:pPr>
              <w:ind w:firstLine="560"/>
              <w:rPr>
                <w:color w:val="auto"/>
                <w:sz w:val="28"/>
                <w:szCs w:val="28"/>
              </w:rPr>
            </w:pPr>
            <w:r>
              <w:rPr>
                <w:rFonts w:hint="eastAsia"/>
                <w:color w:val="auto"/>
                <w:sz w:val="28"/>
                <w:szCs w:val="28"/>
              </w:rPr>
              <w:t>根据建设单位提供资料可知，本次项目设</w:t>
            </w:r>
            <w:r>
              <w:rPr>
                <w:rFonts w:hint="eastAsia"/>
                <w:color w:val="auto"/>
                <w:sz w:val="28"/>
                <w:szCs w:val="28"/>
                <w:lang w:val="en-US" w:eastAsia="zh-CN"/>
              </w:rPr>
              <w:t>2台</w:t>
            </w:r>
            <w:r>
              <w:rPr>
                <w:rFonts w:hint="eastAsia"/>
                <w:color w:val="auto"/>
                <w:sz w:val="28"/>
                <w:szCs w:val="28"/>
                <w:lang w:eastAsia="zh-CN"/>
              </w:rPr>
              <w:t>涂胶烘干一体机和</w:t>
            </w:r>
            <w:r>
              <w:rPr>
                <w:rFonts w:hint="eastAsia"/>
                <w:color w:val="auto"/>
                <w:sz w:val="28"/>
                <w:szCs w:val="28"/>
                <w:lang w:val="en-US" w:eastAsia="zh-CN"/>
              </w:rPr>
              <w:t>1台贴合机</w:t>
            </w:r>
            <w:r>
              <w:rPr>
                <w:rFonts w:hint="eastAsia"/>
                <w:color w:val="auto"/>
                <w:sz w:val="28"/>
                <w:szCs w:val="28"/>
              </w:rPr>
              <w:t>，</w:t>
            </w:r>
            <w:r>
              <w:rPr>
                <w:rFonts w:hint="eastAsia"/>
                <w:color w:val="auto"/>
                <w:sz w:val="28"/>
                <w:szCs w:val="28"/>
                <w:lang w:eastAsia="zh-CN"/>
              </w:rPr>
              <w:t>其中涂胶烘干一体机</w:t>
            </w:r>
            <w:r>
              <w:rPr>
                <w:rFonts w:hint="eastAsia"/>
                <w:color w:val="auto"/>
                <w:sz w:val="28"/>
                <w:szCs w:val="28"/>
                <w:lang w:val="en-US" w:eastAsia="zh-CN"/>
              </w:rPr>
              <w:t>生产线宽度为1.4m，</w:t>
            </w:r>
            <w:r>
              <w:rPr>
                <w:rFonts w:hint="eastAsia"/>
                <w:color w:val="auto"/>
                <w:sz w:val="28"/>
                <w:szCs w:val="28"/>
                <w:lang w:eastAsia="zh-CN"/>
              </w:rPr>
              <w:t>涂胶烘干一体机</w:t>
            </w:r>
            <w:r>
              <w:rPr>
                <w:rFonts w:hint="eastAsia"/>
                <w:color w:val="auto"/>
                <w:sz w:val="28"/>
                <w:szCs w:val="28"/>
                <w:lang w:val="en-US" w:eastAsia="zh-CN"/>
              </w:rPr>
              <w:t>进口集气罩为1m*1.4m，出口集气罩尺寸为0.5m*1.4m；贴合机集气罩尺寸为1.5m*0.5m，</w:t>
            </w:r>
            <w:r>
              <w:rPr>
                <w:rFonts w:hint="eastAsia"/>
                <w:color w:val="auto"/>
                <w:sz w:val="28"/>
                <w:szCs w:val="28"/>
              </w:rPr>
              <w:t>根据《简明通风</w:t>
            </w:r>
            <w:r>
              <w:rPr>
                <w:color w:val="auto"/>
                <w:sz w:val="28"/>
                <w:szCs w:val="28"/>
              </w:rPr>
              <w:t>设计手册</w:t>
            </w:r>
            <w:r>
              <w:rPr>
                <w:rFonts w:hint="eastAsia"/>
                <w:color w:val="auto"/>
                <w:sz w:val="28"/>
                <w:szCs w:val="28"/>
              </w:rPr>
              <w:t>》中集气罩的设计原则，顶吸集气罩风量按如下公式进行计算：</w:t>
            </w:r>
          </w:p>
          <w:p w14:paraId="52A8ED02">
            <w:pPr>
              <w:ind w:firstLine="560"/>
              <w:jc w:val="center"/>
              <w:rPr>
                <w:color w:val="auto"/>
                <w:sz w:val="28"/>
                <w:szCs w:val="28"/>
              </w:rPr>
            </w:pPr>
            <w:r>
              <w:rPr>
                <w:i/>
                <w:color w:val="auto"/>
                <w:sz w:val="28"/>
                <w:szCs w:val="28"/>
              </w:rPr>
              <w:t>Q</w:t>
            </w:r>
            <w:r>
              <w:rPr>
                <w:color w:val="auto"/>
                <w:sz w:val="28"/>
                <w:szCs w:val="28"/>
              </w:rPr>
              <w:t>=</w:t>
            </w:r>
            <w:r>
              <w:rPr>
                <w:i/>
                <w:color w:val="auto"/>
                <w:sz w:val="28"/>
                <w:szCs w:val="28"/>
              </w:rPr>
              <w:t>K</w:t>
            </w:r>
            <w:r>
              <w:rPr>
                <w:rFonts w:hint="eastAsia"/>
                <w:color w:val="auto"/>
                <w:sz w:val="28"/>
                <w:szCs w:val="28"/>
              </w:rPr>
              <w:t>×</w:t>
            </w:r>
            <w:r>
              <w:rPr>
                <w:i/>
                <w:color w:val="auto"/>
                <w:sz w:val="28"/>
                <w:szCs w:val="28"/>
              </w:rPr>
              <w:t>V</w:t>
            </w:r>
            <w:r>
              <w:rPr>
                <w:color w:val="auto"/>
                <w:sz w:val="28"/>
                <w:szCs w:val="28"/>
                <w:vertAlign w:val="subscript"/>
              </w:rPr>
              <w:t>0</w:t>
            </w:r>
            <w:r>
              <w:rPr>
                <w:rFonts w:hint="eastAsia"/>
                <w:color w:val="auto"/>
                <w:sz w:val="28"/>
                <w:szCs w:val="28"/>
              </w:rPr>
              <w:t>×</w:t>
            </w:r>
            <w:r>
              <w:rPr>
                <w:i/>
                <w:color w:val="auto"/>
                <w:sz w:val="28"/>
                <w:szCs w:val="28"/>
              </w:rPr>
              <w:t>P</w:t>
            </w:r>
            <w:r>
              <w:rPr>
                <w:rFonts w:hint="eastAsia"/>
                <w:i/>
                <w:color w:val="auto"/>
                <w:sz w:val="28"/>
                <w:szCs w:val="28"/>
              </w:rPr>
              <w:t>×</w:t>
            </w:r>
            <w:r>
              <w:rPr>
                <w:i/>
                <w:color w:val="auto"/>
                <w:sz w:val="28"/>
                <w:szCs w:val="28"/>
              </w:rPr>
              <w:t>h</w:t>
            </w:r>
            <w:r>
              <w:rPr>
                <w:rFonts w:hint="eastAsia"/>
                <w:color w:val="auto"/>
                <w:sz w:val="28"/>
                <w:szCs w:val="28"/>
              </w:rPr>
              <w:t>×</w:t>
            </w:r>
            <w:r>
              <w:rPr>
                <w:color w:val="auto"/>
                <w:sz w:val="28"/>
                <w:szCs w:val="28"/>
              </w:rPr>
              <w:t>3600</w:t>
            </w:r>
          </w:p>
          <w:p w14:paraId="512BB7A6">
            <w:pPr>
              <w:ind w:firstLine="560"/>
              <w:rPr>
                <w:color w:val="auto"/>
                <w:sz w:val="28"/>
                <w:szCs w:val="28"/>
              </w:rPr>
            </w:pPr>
            <w:r>
              <w:rPr>
                <w:rFonts w:hint="eastAsia"/>
                <w:color w:val="auto"/>
                <w:sz w:val="28"/>
                <w:szCs w:val="28"/>
              </w:rPr>
              <w:t>其中：</w:t>
            </w:r>
            <w:r>
              <w:rPr>
                <w:i/>
                <w:iCs/>
                <w:color w:val="auto"/>
                <w:sz w:val="28"/>
                <w:szCs w:val="28"/>
              </w:rPr>
              <w:t>Q</w:t>
            </w:r>
            <w:r>
              <w:rPr>
                <w:rFonts w:hint="eastAsia"/>
                <w:color w:val="auto"/>
                <w:sz w:val="28"/>
                <w:szCs w:val="28"/>
              </w:rPr>
              <w:t>—集气罩风量，</w:t>
            </w:r>
            <w:r>
              <w:rPr>
                <w:color w:val="auto"/>
                <w:sz w:val="28"/>
                <w:szCs w:val="28"/>
              </w:rPr>
              <w:t>m</w:t>
            </w:r>
            <w:r>
              <w:rPr>
                <w:color w:val="auto"/>
                <w:sz w:val="28"/>
                <w:szCs w:val="28"/>
                <w:vertAlign w:val="superscript"/>
              </w:rPr>
              <w:t>3</w:t>
            </w:r>
            <w:r>
              <w:rPr>
                <w:color w:val="auto"/>
                <w:sz w:val="28"/>
                <w:szCs w:val="28"/>
              </w:rPr>
              <w:t>/h</w:t>
            </w:r>
            <w:r>
              <w:rPr>
                <w:rFonts w:hint="eastAsia"/>
                <w:color w:val="auto"/>
                <w:sz w:val="28"/>
                <w:szCs w:val="28"/>
              </w:rPr>
              <w:t>；</w:t>
            </w:r>
          </w:p>
          <w:p w14:paraId="5E2D8F5B">
            <w:pPr>
              <w:ind w:firstLine="560"/>
              <w:rPr>
                <w:color w:val="auto"/>
                <w:sz w:val="28"/>
                <w:szCs w:val="28"/>
              </w:rPr>
            </w:pPr>
            <w:r>
              <w:rPr>
                <w:i/>
                <w:iCs/>
                <w:color w:val="auto"/>
                <w:sz w:val="28"/>
                <w:szCs w:val="28"/>
              </w:rPr>
              <w:t>K</w:t>
            </w:r>
            <w:r>
              <w:rPr>
                <w:rFonts w:hint="eastAsia"/>
                <w:color w:val="auto"/>
                <w:sz w:val="28"/>
                <w:szCs w:val="28"/>
              </w:rPr>
              <w:t>—安全系数，取</w:t>
            </w:r>
            <w:r>
              <w:rPr>
                <w:color w:val="auto"/>
                <w:sz w:val="28"/>
                <w:szCs w:val="28"/>
              </w:rPr>
              <w:t>1.4</w:t>
            </w:r>
            <w:r>
              <w:rPr>
                <w:rFonts w:hint="eastAsia"/>
                <w:color w:val="auto"/>
                <w:sz w:val="28"/>
                <w:szCs w:val="28"/>
              </w:rPr>
              <w:t>；</w:t>
            </w:r>
          </w:p>
          <w:p w14:paraId="456B54EB">
            <w:pPr>
              <w:rPr>
                <w:color w:val="auto"/>
                <w:sz w:val="28"/>
                <w:szCs w:val="28"/>
              </w:rPr>
            </w:pPr>
            <w:r>
              <w:rPr>
                <w:i/>
                <w:iCs/>
                <w:color w:val="auto"/>
                <w:sz w:val="28"/>
                <w:szCs w:val="28"/>
              </w:rPr>
              <w:t>h</w:t>
            </w:r>
            <w:r>
              <w:rPr>
                <w:rFonts w:hint="eastAsia"/>
                <w:color w:val="auto"/>
                <w:sz w:val="28"/>
                <w:szCs w:val="28"/>
              </w:rPr>
              <w:t>—控制点距吸气口的距离，</w:t>
            </w:r>
            <w:r>
              <w:rPr>
                <w:color w:val="auto"/>
                <w:sz w:val="28"/>
                <w:szCs w:val="28"/>
              </w:rPr>
              <w:t>m</w:t>
            </w:r>
            <w:r>
              <w:rPr>
                <w:rFonts w:hint="eastAsia"/>
                <w:color w:val="auto"/>
                <w:sz w:val="28"/>
                <w:szCs w:val="28"/>
              </w:rPr>
              <w:t>（</w:t>
            </w:r>
            <w:r>
              <w:rPr>
                <w:color w:val="auto"/>
                <w:sz w:val="28"/>
                <w:szCs w:val="28"/>
              </w:rPr>
              <w:t>0.</w:t>
            </w:r>
            <w:r>
              <w:rPr>
                <w:rFonts w:hint="eastAsia"/>
                <w:color w:val="auto"/>
                <w:sz w:val="28"/>
                <w:szCs w:val="28"/>
                <w:lang w:val="en-US" w:eastAsia="zh-CN"/>
              </w:rPr>
              <w:t>4</w:t>
            </w:r>
            <w:r>
              <w:rPr>
                <w:color w:val="auto"/>
                <w:sz w:val="28"/>
                <w:szCs w:val="28"/>
              </w:rPr>
              <w:t>m</w:t>
            </w:r>
            <w:r>
              <w:rPr>
                <w:rFonts w:hint="eastAsia"/>
                <w:color w:val="auto"/>
                <w:sz w:val="28"/>
                <w:szCs w:val="28"/>
              </w:rPr>
              <w:t>）；</w:t>
            </w:r>
          </w:p>
          <w:p w14:paraId="285E10C9">
            <w:pPr>
              <w:ind w:firstLine="560"/>
              <w:rPr>
                <w:color w:val="auto"/>
                <w:sz w:val="28"/>
                <w:szCs w:val="28"/>
              </w:rPr>
            </w:pPr>
            <w:r>
              <w:rPr>
                <w:i/>
                <w:iCs/>
                <w:color w:val="auto"/>
                <w:sz w:val="28"/>
                <w:szCs w:val="28"/>
              </w:rPr>
              <w:t>P</w:t>
            </w:r>
            <w:r>
              <w:rPr>
                <w:rFonts w:hint="eastAsia"/>
                <w:color w:val="auto"/>
                <w:sz w:val="28"/>
                <w:szCs w:val="28"/>
              </w:rPr>
              <w:t>—集气罩敞开面</w:t>
            </w:r>
            <w:r>
              <w:rPr>
                <w:color w:val="auto"/>
                <w:sz w:val="28"/>
                <w:szCs w:val="28"/>
              </w:rPr>
              <w:t>周长</w:t>
            </w:r>
            <w:r>
              <w:rPr>
                <w:rFonts w:hint="eastAsia"/>
                <w:color w:val="auto"/>
                <w:sz w:val="28"/>
                <w:szCs w:val="28"/>
              </w:rPr>
              <w:t>，</w:t>
            </w:r>
            <w:r>
              <w:rPr>
                <w:color w:val="auto"/>
                <w:sz w:val="28"/>
                <w:szCs w:val="28"/>
              </w:rPr>
              <w:t>m</w:t>
            </w:r>
            <w:r>
              <w:rPr>
                <w:rFonts w:hint="eastAsia"/>
                <w:color w:val="auto"/>
                <w:sz w:val="28"/>
                <w:szCs w:val="28"/>
              </w:rPr>
              <w:t>；</w:t>
            </w:r>
          </w:p>
          <w:p w14:paraId="64C860FF">
            <w:pPr>
              <w:widowControl/>
              <w:ind w:firstLine="560"/>
              <w:jc w:val="left"/>
              <w:rPr>
                <w:color w:val="auto"/>
              </w:rPr>
            </w:pPr>
            <w:r>
              <w:rPr>
                <w:i/>
                <w:iCs/>
                <w:color w:val="auto"/>
                <w:sz w:val="28"/>
                <w:szCs w:val="28"/>
              </w:rPr>
              <w:t>V</w:t>
            </w:r>
            <w:r>
              <w:rPr>
                <w:i/>
                <w:iCs/>
                <w:color w:val="auto"/>
                <w:sz w:val="28"/>
                <w:szCs w:val="28"/>
                <w:vertAlign w:val="subscript"/>
              </w:rPr>
              <w:t>0</w:t>
            </w:r>
            <w:r>
              <w:rPr>
                <w:rFonts w:hint="eastAsia"/>
                <w:color w:val="auto"/>
                <w:sz w:val="28"/>
                <w:szCs w:val="28"/>
              </w:rPr>
              <w:t>—污染源气体流速，</w:t>
            </w:r>
            <w:r>
              <w:rPr>
                <w:color w:val="auto"/>
                <w:sz w:val="28"/>
                <w:szCs w:val="28"/>
              </w:rPr>
              <w:t>m/s</w:t>
            </w:r>
            <w:r>
              <w:rPr>
                <w:rFonts w:hint="eastAsia"/>
                <w:color w:val="auto"/>
                <w:sz w:val="28"/>
                <w:szCs w:val="28"/>
              </w:rPr>
              <w:t>（取</w:t>
            </w:r>
            <w:r>
              <w:rPr>
                <w:color w:val="auto"/>
                <w:sz w:val="28"/>
                <w:szCs w:val="28"/>
              </w:rPr>
              <w:t>0.</w:t>
            </w:r>
            <w:r>
              <w:rPr>
                <w:rFonts w:hint="eastAsia"/>
                <w:color w:val="auto"/>
                <w:sz w:val="28"/>
                <w:szCs w:val="28"/>
              </w:rPr>
              <w:t>3</w:t>
            </w:r>
            <w:r>
              <w:rPr>
                <w:color w:val="auto"/>
                <w:sz w:val="28"/>
                <w:szCs w:val="28"/>
              </w:rPr>
              <w:t>m/s</w:t>
            </w:r>
            <w:r>
              <w:rPr>
                <w:rFonts w:hint="eastAsia"/>
                <w:color w:val="auto"/>
                <w:sz w:val="28"/>
                <w:szCs w:val="28"/>
              </w:rPr>
              <w:t>）</w:t>
            </w:r>
          </w:p>
          <w:p w14:paraId="3EBD83AD">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eastAsia="仿宋"/>
                <w:color w:val="auto"/>
                <w:sz w:val="28"/>
                <w:szCs w:val="28"/>
                <w:highlight w:val="yellow"/>
                <w:lang w:val="en-US" w:eastAsia="zh-CN"/>
              </w:rPr>
            </w:pPr>
            <w:r>
              <w:rPr>
                <w:rFonts w:cs="仿宋"/>
                <w:color w:val="auto"/>
                <w:kern w:val="0"/>
                <w:sz w:val="28"/>
                <w:szCs w:val="28"/>
                <w:lang w:bidi="ar"/>
              </w:rPr>
              <w:t>根据公式计算得出，</w:t>
            </w:r>
            <w:r>
              <w:rPr>
                <w:rFonts w:hint="eastAsia" w:cs="仿宋"/>
                <w:i/>
                <w:iCs/>
                <w:color w:val="auto"/>
                <w:kern w:val="0"/>
                <w:sz w:val="28"/>
                <w:szCs w:val="28"/>
                <w:lang w:val="en-US" w:eastAsia="zh-CN" w:bidi="ar"/>
              </w:rPr>
              <w:t>1台</w:t>
            </w:r>
            <w:r>
              <w:rPr>
                <w:rFonts w:hint="eastAsia"/>
                <w:i/>
                <w:iCs/>
                <w:color w:val="auto"/>
                <w:sz w:val="28"/>
                <w:szCs w:val="28"/>
                <w:lang w:eastAsia="zh-CN"/>
              </w:rPr>
              <w:t>涂胶烘干一体机</w:t>
            </w:r>
            <w:r>
              <w:rPr>
                <w:rFonts w:hint="eastAsia"/>
                <w:i/>
                <w:iCs/>
                <w:color w:val="auto"/>
                <w:sz w:val="28"/>
                <w:szCs w:val="28"/>
                <w:lang w:val="en-US" w:eastAsia="zh-CN"/>
              </w:rPr>
              <w:t>进口</w:t>
            </w:r>
            <w:r>
              <w:rPr>
                <w:rFonts w:cs="仿宋"/>
                <w:i/>
                <w:iCs/>
                <w:color w:val="auto"/>
                <w:kern w:val="0"/>
                <w:sz w:val="28"/>
                <w:szCs w:val="28"/>
                <w:lang w:bidi="ar"/>
              </w:rPr>
              <w:t>集气罩的风量为</w:t>
            </w:r>
            <w:r>
              <w:rPr>
                <w:rFonts w:hint="eastAsia" w:cs="仿宋"/>
                <w:i/>
                <w:iCs/>
                <w:color w:val="auto"/>
                <w:kern w:val="0"/>
                <w:sz w:val="28"/>
                <w:szCs w:val="28"/>
                <w:lang w:val="en-US" w:eastAsia="zh-CN" w:bidi="ar"/>
              </w:rPr>
              <w:t>2903.04</w:t>
            </w:r>
            <w:r>
              <w:rPr>
                <w:rFonts w:cs="仿宋"/>
                <w:i/>
                <w:iCs/>
                <w:color w:val="auto"/>
                <w:kern w:val="0"/>
                <w:sz w:val="28"/>
                <w:szCs w:val="28"/>
                <w:lang w:bidi="ar"/>
              </w:rPr>
              <w:t>m</w:t>
            </w:r>
            <w:r>
              <w:rPr>
                <w:rFonts w:ascii="Arial" w:hAnsi="Arial" w:eastAsia="宋体" w:cs="Arial"/>
                <w:i/>
                <w:iCs/>
                <w:color w:val="auto"/>
                <w:kern w:val="0"/>
                <w:sz w:val="28"/>
                <w:szCs w:val="28"/>
                <w:lang w:bidi="ar"/>
              </w:rPr>
              <w:t>³</w:t>
            </w:r>
            <w:r>
              <w:rPr>
                <w:rFonts w:hint="eastAsia" w:cs="仿宋"/>
                <w:i/>
                <w:iCs/>
                <w:color w:val="auto"/>
                <w:kern w:val="0"/>
                <w:sz w:val="28"/>
                <w:szCs w:val="28"/>
                <w:lang w:bidi="ar"/>
              </w:rPr>
              <w:t>/h，</w:t>
            </w:r>
            <w:r>
              <w:rPr>
                <w:rFonts w:hint="eastAsia" w:cs="仿宋"/>
                <w:i/>
                <w:iCs/>
                <w:color w:val="auto"/>
                <w:kern w:val="0"/>
                <w:sz w:val="28"/>
                <w:szCs w:val="28"/>
                <w:lang w:eastAsia="zh-CN" w:bidi="ar"/>
              </w:rPr>
              <w:t>出口</w:t>
            </w:r>
            <w:r>
              <w:rPr>
                <w:rFonts w:cs="仿宋"/>
                <w:i/>
                <w:iCs/>
                <w:color w:val="auto"/>
                <w:kern w:val="0"/>
                <w:sz w:val="28"/>
                <w:szCs w:val="28"/>
                <w:lang w:bidi="ar"/>
              </w:rPr>
              <w:t>集气罩的风量为</w:t>
            </w:r>
            <w:r>
              <w:rPr>
                <w:rFonts w:hint="eastAsia" w:cs="仿宋"/>
                <w:i/>
                <w:iCs/>
                <w:color w:val="auto"/>
                <w:kern w:val="0"/>
                <w:sz w:val="28"/>
                <w:szCs w:val="28"/>
                <w:lang w:val="en-US" w:eastAsia="zh-CN" w:bidi="ar"/>
              </w:rPr>
              <w:t>2298.24</w:t>
            </w:r>
            <w:r>
              <w:rPr>
                <w:rFonts w:cs="仿宋"/>
                <w:i/>
                <w:iCs/>
                <w:color w:val="auto"/>
                <w:kern w:val="0"/>
                <w:sz w:val="28"/>
                <w:szCs w:val="28"/>
                <w:lang w:bidi="ar"/>
              </w:rPr>
              <w:t>m</w:t>
            </w:r>
            <w:r>
              <w:rPr>
                <w:rFonts w:ascii="Arial" w:hAnsi="Arial" w:eastAsia="宋体" w:cs="Arial"/>
                <w:i/>
                <w:iCs/>
                <w:color w:val="auto"/>
                <w:kern w:val="0"/>
                <w:sz w:val="28"/>
                <w:szCs w:val="28"/>
                <w:lang w:bidi="ar"/>
              </w:rPr>
              <w:t>³</w:t>
            </w:r>
            <w:r>
              <w:rPr>
                <w:rFonts w:hint="eastAsia" w:cs="仿宋"/>
                <w:i/>
                <w:iCs/>
                <w:color w:val="auto"/>
                <w:kern w:val="0"/>
                <w:sz w:val="28"/>
                <w:szCs w:val="28"/>
                <w:lang w:bidi="ar"/>
              </w:rPr>
              <w:t>/h</w:t>
            </w:r>
            <w:r>
              <w:rPr>
                <w:rFonts w:hint="eastAsia" w:cs="仿宋"/>
                <w:i/>
                <w:iCs/>
                <w:color w:val="auto"/>
                <w:kern w:val="0"/>
                <w:sz w:val="28"/>
                <w:szCs w:val="28"/>
                <w:lang w:eastAsia="zh-CN" w:bidi="ar"/>
              </w:rPr>
              <w:t>，由于涂布烘干机一用一备，因此本次风量计算考虑</w:t>
            </w:r>
            <w:r>
              <w:rPr>
                <w:rFonts w:hint="eastAsia" w:cs="仿宋"/>
                <w:i/>
                <w:iCs/>
                <w:color w:val="auto"/>
                <w:kern w:val="0"/>
                <w:sz w:val="28"/>
                <w:szCs w:val="28"/>
                <w:lang w:val="en-US" w:eastAsia="zh-CN" w:bidi="ar"/>
              </w:rPr>
              <w:t>1台涂布烘干机，1台贴合机的风量为2419.2</w:t>
            </w:r>
            <w:r>
              <w:rPr>
                <w:rFonts w:cs="仿宋"/>
                <w:i/>
                <w:iCs/>
                <w:color w:val="auto"/>
                <w:kern w:val="0"/>
                <w:sz w:val="28"/>
                <w:szCs w:val="28"/>
                <w:lang w:bidi="ar"/>
              </w:rPr>
              <w:t>m</w:t>
            </w:r>
            <w:r>
              <w:rPr>
                <w:rFonts w:ascii="Arial" w:hAnsi="Arial" w:eastAsia="宋体" w:cs="Arial"/>
                <w:i/>
                <w:iCs/>
                <w:color w:val="auto"/>
                <w:kern w:val="0"/>
                <w:sz w:val="28"/>
                <w:szCs w:val="28"/>
                <w:lang w:bidi="ar"/>
              </w:rPr>
              <w:t>³</w:t>
            </w:r>
            <w:r>
              <w:rPr>
                <w:rFonts w:hint="eastAsia" w:cs="仿宋"/>
                <w:i/>
                <w:iCs/>
                <w:color w:val="auto"/>
                <w:kern w:val="0"/>
                <w:sz w:val="28"/>
                <w:szCs w:val="28"/>
                <w:lang w:bidi="ar"/>
              </w:rPr>
              <w:t>/h</w:t>
            </w:r>
            <w:r>
              <w:rPr>
                <w:rFonts w:hint="eastAsia" w:cs="仿宋"/>
                <w:i/>
                <w:iCs/>
                <w:color w:val="auto"/>
                <w:kern w:val="0"/>
                <w:sz w:val="28"/>
                <w:szCs w:val="28"/>
                <w:lang w:eastAsia="zh-CN" w:bidi="ar"/>
              </w:rPr>
              <w:t>，考虑风损等因子，总风量取</w:t>
            </w:r>
            <w:r>
              <w:rPr>
                <w:rFonts w:hint="eastAsia" w:cs="仿宋"/>
                <w:i/>
                <w:iCs/>
                <w:color w:val="auto"/>
                <w:kern w:val="0"/>
                <w:sz w:val="28"/>
                <w:szCs w:val="28"/>
                <w:lang w:val="en-US" w:eastAsia="zh-CN" w:bidi="ar"/>
              </w:rPr>
              <w:t>8000</w:t>
            </w:r>
            <w:r>
              <w:rPr>
                <w:rFonts w:cs="仿宋"/>
                <w:i/>
                <w:iCs/>
                <w:color w:val="auto"/>
                <w:kern w:val="0"/>
                <w:sz w:val="28"/>
                <w:szCs w:val="28"/>
                <w:lang w:bidi="ar"/>
              </w:rPr>
              <w:t>m</w:t>
            </w:r>
            <w:r>
              <w:rPr>
                <w:rFonts w:ascii="Arial" w:hAnsi="Arial" w:eastAsia="宋体" w:cs="Arial"/>
                <w:i/>
                <w:iCs/>
                <w:color w:val="auto"/>
                <w:kern w:val="0"/>
                <w:sz w:val="28"/>
                <w:szCs w:val="28"/>
                <w:lang w:bidi="ar"/>
              </w:rPr>
              <w:t>³</w:t>
            </w:r>
            <w:r>
              <w:rPr>
                <w:rFonts w:hint="eastAsia" w:cs="仿宋"/>
                <w:i/>
                <w:iCs/>
                <w:color w:val="auto"/>
                <w:kern w:val="0"/>
                <w:sz w:val="28"/>
                <w:szCs w:val="28"/>
                <w:lang w:bidi="ar"/>
              </w:rPr>
              <w:t>/h</w:t>
            </w:r>
            <w:r>
              <w:rPr>
                <w:rFonts w:hint="eastAsia" w:cs="仿宋"/>
                <w:i/>
                <w:iCs/>
                <w:color w:val="auto"/>
                <w:kern w:val="0"/>
                <w:sz w:val="28"/>
                <w:szCs w:val="28"/>
                <w:lang w:eastAsia="zh-CN" w:bidi="ar"/>
              </w:rPr>
              <w:t>。</w:t>
            </w:r>
          </w:p>
          <w:p w14:paraId="4A470690">
            <w:pPr>
              <w:spacing w:line="460" w:lineRule="exact"/>
              <w:ind w:firstLine="480" w:firstLineChars="200"/>
              <w:jc w:val="center"/>
              <w:rPr>
                <w:rStyle w:val="143"/>
                <w:color w:val="auto"/>
                <w:sz w:val="24"/>
              </w:rPr>
            </w:pPr>
            <w:r>
              <w:rPr>
                <w:rStyle w:val="143"/>
                <w:color w:val="auto"/>
                <w:sz w:val="24"/>
              </w:rPr>
              <w:t>表</w:t>
            </w:r>
            <w:r>
              <w:rPr>
                <w:rStyle w:val="143"/>
                <w:rFonts w:hint="eastAsia"/>
                <w:color w:val="auto"/>
                <w:sz w:val="24"/>
              </w:rPr>
              <w:t>4.2-</w:t>
            </w:r>
            <w:r>
              <w:rPr>
                <w:rStyle w:val="143"/>
                <w:rFonts w:hint="eastAsia"/>
                <w:color w:val="auto"/>
                <w:sz w:val="24"/>
                <w:lang w:val="en-US" w:eastAsia="zh-CN"/>
              </w:rPr>
              <w:t>1涂布和烘烤</w:t>
            </w:r>
            <w:r>
              <w:rPr>
                <w:rStyle w:val="143"/>
                <w:rFonts w:hint="eastAsia"/>
                <w:color w:val="auto"/>
                <w:sz w:val="24"/>
              </w:rPr>
              <w:t>废气产</w:t>
            </w:r>
            <w:r>
              <w:rPr>
                <w:rStyle w:val="143"/>
                <w:rFonts w:hint="eastAsia"/>
                <w:color w:val="auto"/>
                <w:sz w:val="24"/>
                <w:lang w:eastAsia="zh-CN"/>
              </w:rPr>
              <w:t>生</w:t>
            </w:r>
            <w:r>
              <w:rPr>
                <w:rStyle w:val="143"/>
                <w:rFonts w:hint="eastAsia"/>
                <w:color w:val="auto"/>
                <w:sz w:val="24"/>
              </w:rPr>
              <w:t>情况一览表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7"/>
              <w:gridCol w:w="943"/>
              <w:gridCol w:w="738"/>
              <w:gridCol w:w="990"/>
              <w:gridCol w:w="978"/>
              <w:gridCol w:w="1089"/>
              <w:gridCol w:w="2642"/>
            </w:tblGrid>
            <w:tr w14:paraId="4BDD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1" w:type="pct"/>
                  <w:vMerge w:val="restart"/>
                  <w:noWrap w:val="0"/>
                  <w:vAlign w:val="center"/>
                </w:tcPr>
                <w:p w14:paraId="2F43C8B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产污环节</w:t>
                  </w:r>
                </w:p>
              </w:tc>
              <w:tc>
                <w:tcPr>
                  <w:tcW w:w="571" w:type="pct"/>
                  <w:vMerge w:val="restart"/>
                  <w:noWrap w:val="0"/>
                  <w:vAlign w:val="center"/>
                </w:tcPr>
                <w:p w14:paraId="6B8EBE00">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排放形式</w:t>
                  </w:r>
                </w:p>
              </w:tc>
              <w:tc>
                <w:tcPr>
                  <w:tcW w:w="447" w:type="pct"/>
                  <w:vMerge w:val="restart"/>
                  <w:noWrap w:val="0"/>
                  <w:vAlign w:val="center"/>
                </w:tcPr>
                <w:p w14:paraId="3324346B">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污染物种类</w:t>
                  </w:r>
                </w:p>
              </w:tc>
              <w:tc>
                <w:tcPr>
                  <w:tcW w:w="1850" w:type="pct"/>
                  <w:gridSpan w:val="3"/>
                  <w:noWrap w:val="0"/>
                  <w:vAlign w:val="center"/>
                </w:tcPr>
                <w:p w14:paraId="1D276D3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产生情况</w:t>
                  </w:r>
                </w:p>
              </w:tc>
              <w:tc>
                <w:tcPr>
                  <w:tcW w:w="1599" w:type="pct"/>
                  <w:vMerge w:val="restart"/>
                  <w:noWrap w:val="0"/>
                  <w:vAlign w:val="center"/>
                </w:tcPr>
                <w:p w14:paraId="6D9CA278">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rPr>
                    <w:t>处理措施</w:t>
                  </w:r>
                </w:p>
              </w:tc>
            </w:tr>
            <w:tr w14:paraId="3878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 w:hRule="atLeast"/>
                <w:jc w:val="center"/>
              </w:trPr>
              <w:tc>
                <w:tcPr>
                  <w:tcW w:w="531" w:type="pct"/>
                  <w:vMerge w:val="continue"/>
                  <w:noWrap w:val="0"/>
                  <w:vAlign w:val="center"/>
                </w:tcPr>
                <w:p w14:paraId="66E86C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p>
              </w:tc>
              <w:tc>
                <w:tcPr>
                  <w:tcW w:w="571" w:type="pct"/>
                  <w:vMerge w:val="continue"/>
                  <w:noWrap w:val="0"/>
                  <w:vAlign w:val="center"/>
                </w:tcPr>
                <w:p w14:paraId="62DB23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p>
              </w:tc>
              <w:tc>
                <w:tcPr>
                  <w:tcW w:w="447" w:type="pct"/>
                  <w:vMerge w:val="continue"/>
                  <w:noWrap w:val="0"/>
                  <w:vAlign w:val="center"/>
                </w:tcPr>
                <w:p w14:paraId="1DD9B9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p>
              </w:tc>
              <w:tc>
                <w:tcPr>
                  <w:tcW w:w="599" w:type="pct"/>
                  <w:noWrap w:val="0"/>
                  <w:vAlign w:val="center"/>
                </w:tcPr>
                <w:p w14:paraId="6A29F5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产生量t/a</w:t>
                  </w:r>
                </w:p>
              </w:tc>
              <w:tc>
                <w:tcPr>
                  <w:tcW w:w="592" w:type="pct"/>
                  <w:noWrap w:val="0"/>
                  <w:vAlign w:val="center"/>
                </w:tcPr>
                <w:p w14:paraId="7243A7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产生速率kg/h</w:t>
                  </w:r>
                </w:p>
              </w:tc>
              <w:tc>
                <w:tcPr>
                  <w:tcW w:w="658" w:type="pct"/>
                  <w:noWrap w:val="0"/>
                  <w:vAlign w:val="center"/>
                </w:tcPr>
                <w:p w14:paraId="6A5679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产生浓度mg/m</w:t>
                  </w:r>
                  <w:r>
                    <w:rPr>
                      <w:rFonts w:hint="eastAsia" w:ascii="仿宋" w:hAnsi="仿宋" w:eastAsia="仿宋" w:cs="仿宋"/>
                      <w:color w:val="auto"/>
                      <w:sz w:val="24"/>
                      <w:szCs w:val="24"/>
                      <w:vertAlign w:val="superscript"/>
                    </w:rPr>
                    <w:t>3</w:t>
                  </w:r>
                </w:p>
              </w:tc>
              <w:tc>
                <w:tcPr>
                  <w:tcW w:w="1599" w:type="pct"/>
                  <w:vMerge w:val="continue"/>
                  <w:noWrap w:val="0"/>
                  <w:vAlign w:val="center"/>
                </w:tcPr>
                <w:p w14:paraId="3365E7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p>
              </w:tc>
            </w:tr>
            <w:tr w14:paraId="5166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531" w:type="pct"/>
                  <w:vMerge w:val="restart"/>
                  <w:noWrap w:val="0"/>
                  <w:vAlign w:val="center"/>
                </w:tcPr>
                <w:p w14:paraId="5C5D591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cs="仿宋"/>
                      <w:color w:val="auto"/>
                      <w:sz w:val="24"/>
                      <w:szCs w:val="24"/>
                      <w:lang w:val="en-US" w:eastAsia="zh-CN"/>
                    </w:rPr>
                    <w:t>涂布</w:t>
                  </w:r>
                  <w:r>
                    <w:rPr>
                      <w:rFonts w:hint="eastAsia" w:ascii="仿宋" w:hAnsi="仿宋" w:eastAsia="仿宋" w:cs="仿宋"/>
                      <w:color w:val="auto"/>
                      <w:sz w:val="24"/>
                      <w:szCs w:val="24"/>
                      <w:lang w:val="en-US" w:eastAsia="zh-CN"/>
                    </w:rPr>
                    <w:t>和烘</w:t>
                  </w:r>
                  <w:r>
                    <w:rPr>
                      <w:rFonts w:hint="eastAsia" w:ascii="仿宋" w:hAnsi="仿宋" w:cs="仿宋"/>
                      <w:color w:val="auto"/>
                      <w:sz w:val="24"/>
                      <w:szCs w:val="24"/>
                      <w:lang w:val="en-US" w:eastAsia="zh-CN"/>
                    </w:rPr>
                    <w:t>干</w:t>
                  </w:r>
                </w:p>
              </w:tc>
              <w:tc>
                <w:tcPr>
                  <w:tcW w:w="571" w:type="pct"/>
                  <w:noWrap w:val="0"/>
                  <w:vAlign w:val="center"/>
                </w:tcPr>
                <w:p w14:paraId="41214CC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有</w:t>
                  </w:r>
                  <w:r>
                    <w:rPr>
                      <w:rFonts w:hint="eastAsia" w:ascii="仿宋" w:hAnsi="仿宋" w:eastAsia="仿宋" w:cs="仿宋"/>
                      <w:color w:val="auto"/>
                      <w:sz w:val="24"/>
                      <w:szCs w:val="24"/>
                    </w:rPr>
                    <w:t>组织</w:t>
                  </w:r>
                </w:p>
              </w:tc>
              <w:tc>
                <w:tcPr>
                  <w:tcW w:w="447" w:type="pct"/>
                  <w:vMerge w:val="restart"/>
                  <w:noWrap w:val="0"/>
                  <w:vAlign w:val="center"/>
                </w:tcPr>
                <w:p w14:paraId="0910FD0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非甲烷总烃</w:t>
                  </w:r>
                </w:p>
              </w:tc>
              <w:tc>
                <w:tcPr>
                  <w:tcW w:w="599" w:type="pct"/>
                  <w:noWrap w:val="0"/>
                  <w:vAlign w:val="center"/>
                </w:tcPr>
                <w:p w14:paraId="228A6E6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i/>
                      <w:iCs/>
                      <w:color w:val="auto"/>
                      <w:sz w:val="24"/>
                      <w:szCs w:val="24"/>
                      <w:highlight w:val="none"/>
                      <w:lang w:val="en-US" w:eastAsia="zh-CN"/>
                    </w:rPr>
                  </w:pPr>
                  <w:r>
                    <w:rPr>
                      <w:rFonts w:hint="eastAsia" w:ascii="仿宋" w:hAnsi="仿宋" w:cs="仿宋"/>
                      <w:i/>
                      <w:iCs/>
                      <w:color w:val="auto"/>
                      <w:sz w:val="24"/>
                      <w:szCs w:val="24"/>
                      <w:highlight w:val="none"/>
                      <w:lang w:val="en-US" w:eastAsia="zh-CN"/>
                    </w:rPr>
                    <w:t>0.173</w:t>
                  </w:r>
                </w:p>
              </w:tc>
              <w:tc>
                <w:tcPr>
                  <w:tcW w:w="592" w:type="pct"/>
                  <w:noWrap w:val="0"/>
                  <w:vAlign w:val="center"/>
                </w:tcPr>
                <w:p w14:paraId="37C53152">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i/>
                      <w:iCs/>
                      <w:color w:val="auto"/>
                      <w:sz w:val="24"/>
                      <w:szCs w:val="24"/>
                      <w:highlight w:val="none"/>
                      <w:lang w:val="en-US" w:eastAsia="zh-CN"/>
                    </w:rPr>
                  </w:pPr>
                  <w:r>
                    <w:rPr>
                      <w:rFonts w:hint="eastAsia" w:ascii="仿宋" w:hAnsi="仿宋" w:cs="仿宋"/>
                      <w:i/>
                      <w:iCs/>
                      <w:color w:val="auto"/>
                      <w:sz w:val="24"/>
                      <w:szCs w:val="24"/>
                      <w:highlight w:val="none"/>
                      <w:lang w:val="en-US" w:eastAsia="zh-CN"/>
                    </w:rPr>
                    <w:t>0.12</w:t>
                  </w:r>
                </w:p>
              </w:tc>
              <w:tc>
                <w:tcPr>
                  <w:tcW w:w="658" w:type="pct"/>
                  <w:noWrap w:val="0"/>
                  <w:vAlign w:val="center"/>
                </w:tcPr>
                <w:p w14:paraId="317CB0EE">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i/>
                      <w:iCs/>
                      <w:color w:val="auto"/>
                      <w:sz w:val="24"/>
                      <w:szCs w:val="24"/>
                      <w:highlight w:val="yellow"/>
                      <w:lang w:val="en-US" w:eastAsia="zh-CN"/>
                    </w:rPr>
                  </w:pPr>
                  <w:r>
                    <w:rPr>
                      <w:rFonts w:hint="eastAsia" w:ascii="仿宋" w:hAnsi="仿宋" w:cs="仿宋"/>
                      <w:i/>
                      <w:iCs/>
                      <w:color w:val="auto"/>
                      <w:sz w:val="24"/>
                      <w:szCs w:val="24"/>
                      <w:highlight w:val="none"/>
                      <w:lang w:val="en-US" w:eastAsia="zh-CN"/>
                    </w:rPr>
                    <w:t>15</w:t>
                  </w:r>
                </w:p>
              </w:tc>
              <w:tc>
                <w:tcPr>
                  <w:tcW w:w="1599" w:type="pct"/>
                  <w:noWrap w:val="0"/>
                  <w:vAlign w:val="center"/>
                </w:tcPr>
                <w:p w14:paraId="70D4BD8C">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i/>
                      <w:iCs/>
                      <w:color w:val="auto"/>
                      <w:sz w:val="24"/>
                      <w:szCs w:val="24"/>
                      <w:lang w:val="en-US" w:eastAsia="zh-CN"/>
                    </w:rPr>
                  </w:pPr>
                  <w:r>
                    <w:rPr>
                      <w:rFonts w:hint="eastAsia" w:ascii="仿宋" w:hAnsi="仿宋" w:cs="仿宋"/>
                      <w:i/>
                      <w:iCs/>
                      <w:color w:val="auto"/>
                      <w:sz w:val="24"/>
                      <w:szCs w:val="24"/>
                      <w:lang w:val="en-US" w:eastAsia="zh-CN"/>
                    </w:rPr>
                    <w:t>过滤棉+</w:t>
                  </w:r>
                  <w:r>
                    <w:rPr>
                      <w:rFonts w:hint="eastAsia" w:ascii="仿宋" w:hAnsi="仿宋" w:eastAsia="仿宋" w:cs="仿宋"/>
                      <w:i/>
                      <w:iCs/>
                      <w:color w:val="auto"/>
                      <w:sz w:val="24"/>
                      <w:szCs w:val="24"/>
                      <w:lang w:val="en-US" w:eastAsia="zh-CN"/>
                    </w:rPr>
                    <w:t>两级活性炭吸附装置+15m排气筒（1#）</w:t>
                  </w:r>
                </w:p>
              </w:tc>
            </w:tr>
            <w:tr w14:paraId="12A2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531" w:type="pct"/>
                  <w:vMerge w:val="continue"/>
                  <w:noWrap w:val="0"/>
                  <w:vAlign w:val="center"/>
                </w:tcPr>
                <w:p w14:paraId="4FC4788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571" w:type="pct"/>
                  <w:noWrap w:val="0"/>
                  <w:vAlign w:val="center"/>
                </w:tcPr>
                <w:p w14:paraId="6F95FEC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无组织</w:t>
                  </w:r>
                </w:p>
              </w:tc>
              <w:tc>
                <w:tcPr>
                  <w:tcW w:w="447" w:type="pct"/>
                  <w:vMerge w:val="continue"/>
                  <w:noWrap w:val="0"/>
                  <w:vAlign w:val="center"/>
                </w:tcPr>
                <w:p w14:paraId="07242D2F">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auto"/>
                      <w:sz w:val="24"/>
                      <w:szCs w:val="24"/>
                    </w:rPr>
                  </w:pPr>
                </w:p>
              </w:tc>
              <w:tc>
                <w:tcPr>
                  <w:tcW w:w="599" w:type="pct"/>
                  <w:noWrap w:val="0"/>
                  <w:vAlign w:val="center"/>
                </w:tcPr>
                <w:p w14:paraId="20066683">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i/>
                      <w:iCs/>
                      <w:color w:val="auto"/>
                      <w:sz w:val="24"/>
                      <w:szCs w:val="24"/>
                      <w:highlight w:val="none"/>
                      <w:lang w:val="en-US" w:eastAsia="zh-CN"/>
                    </w:rPr>
                  </w:pPr>
                  <w:r>
                    <w:rPr>
                      <w:rFonts w:hint="eastAsia" w:ascii="仿宋" w:hAnsi="仿宋" w:cs="仿宋"/>
                      <w:i/>
                      <w:iCs/>
                      <w:color w:val="auto"/>
                      <w:sz w:val="24"/>
                      <w:szCs w:val="24"/>
                      <w:highlight w:val="none"/>
                      <w:lang w:val="en-US" w:eastAsia="zh-CN"/>
                    </w:rPr>
                    <w:t>0.043</w:t>
                  </w:r>
                </w:p>
              </w:tc>
              <w:tc>
                <w:tcPr>
                  <w:tcW w:w="592" w:type="pct"/>
                  <w:noWrap w:val="0"/>
                  <w:vAlign w:val="center"/>
                </w:tcPr>
                <w:p w14:paraId="5C841991">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i/>
                      <w:iCs/>
                      <w:color w:val="auto"/>
                      <w:sz w:val="24"/>
                      <w:szCs w:val="24"/>
                      <w:highlight w:val="none"/>
                      <w:lang w:val="en-US" w:eastAsia="zh-CN"/>
                    </w:rPr>
                  </w:pPr>
                  <w:r>
                    <w:rPr>
                      <w:rFonts w:hint="eastAsia" w:ascii="仿宋" w:hAnsi="仿宋" w:cs="仿宋"/>
                      <w:i/>
                      <w:iCs/>
                      <w:color w:val="auto"/>
                      <w:sz w:val="24"/>
                      <w:szCs w:val="24"/>
                      <w:highlight w:val="none"/>
                      <w:lang w:val="en-US" w:eastAsia="zh-CN"/>
                    </w:rPr>
                    <w:t>0.03</w:t>
                  </w:r>
                </w:p>
              </w:tc>
              <w:tc>
                <w:tcPr>
                  <w:tcW w:w="658" w:type="pct"/>
                  <w:noWrap w:val="0"/>
                  <w:vAlign w:val="center"/>
                </w:tcPr>
                <w:p w14:paraId="30BF53A9">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i/>
                      <w:iCs/>
                      <w:color w:val="auto"/>
                      <w:sz w:val="24"/>
                      <w:szCs w:val="24"/>
                      <w:highlight w:val="none"/>
                      <w:lang w:val="en-US" w:eastAsia="zh-CN"/>
                    </w:rPr>
                  </w:pPr>
                  <w:r>
                    <w:rPr>
                      <w:rFonts w:hint="eastAsia" w:ascii="仿宋" w:hAnsi="仿宋" w:eastAsia="仿宋" w:cs="仿宋"/>
                      <w:i/>
                      <w:iCs/>
                      <w:color w:val="auto"/>
                      <w:sz w:val="24"/>
                      <w:szCs w:val="24"/>
                      <w:highlight w:val="none"/>
                      <w:lang w:val="en-US" w:eastAsia="zh-CN"/>
                    </w:rPr>
                    <w:t>/</w:t>
                  </w:r>
                </w:p>
              </w:tc>
              <w:tc>
                <w:tcPr>
                  <w:tcW w:w="1599" w:type="pct"/>
                  <w:noWrap w:val="0"/>
                  <w:vAlign w:val="center"/>
                </w:tcPr>
                <w:p w14:paraId="797B07E6">
                  <w:pPr>
                    <w:pStyle w:val="9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i/>
                      <w:iCs/>
                      <w:color w:val="auto"/>
                      <w:sz w:val="24"/>
                      <w:szCs w:val="24"/>
                    </w:rPr>
                  </w:pPr>
                  <w:r>
                    <w:rPr>
                      <w:rFonts w:hint="eastAsia" w:ascii="仿宋" w:hAnsi="仿宋" w:eastAsia="仿宋" w:cs="仿宋"/>
                      <w:i/>
                      <w:iCs/>
                      <w:color w:val="auto"/>
                      <w:sz w:val="24"/>
                      <w:szCs w:val="24"/>
                    </w:rPr>
                    <w:t>车间加强通风</w:t>
                  </w:r>
                </w:p>
              </w:tc>
            </w:tr>
          </w:tbl>
          <w:p w14:paraId="1E6D1F43">
            <w:pPr>
              <w:pStyle w:val="56"/>
              <w:ind w:left="0" w:leftChars="0" w:firstLine="0" w:firstLineChars="0"/>
              <w:rPr>
                <w:color w:val="auto"/>
                <w:sz w:val="28"/>
                <w:szCs w:val="21"/>
              </w:rPr>
            </w:pPr>
          </w:p>
          <w:p w14:paraId="7F10A454">
            <w:pPr>
              <w:widowControl/>
              <w:ind w:firstLine="560"/>
              <w:rPr>
                <w:color w:val="auto"/>
                <w:sz w:val="28"/>
              </w:rPr>
            </w:pPr>
            <w:r>
              <w:rPr>
                <w:rFonts w:hint="eastAsia"/>
                <w:color w:val="auto"/>
                <w:sz w:val="28"/>
              </w:rPr>
              <w:t>项目非甲烷总烃平衡示意图见下图</w:t>
            </w:r>
          </w:p>
          <w:p w14:paraId="2502BF44">
            <w:pPr>
              <w:ind w:firstLine="0" w:firstLineChars="0"/>
              <w:rPr>
                <w:color w:val="auto"/>
                <w:sz w:val="28"/>
              </w:rPr>
            </w:pPr>
            <w:r>
              <w:rPr>
                <w:color w:val="auto"/>
              </w:rPr>
              <mc:AlternateContent>
                <mc:Choice Requires="wpc">
                  <w:drawing>
                    <wp:inline distT="0" distB="0" distL="114300" distR="114300">
                      <wp:extent cx="5165725" cy="3331210"/>
                      <wp:effectExtent l="4445" t="4445" r="11430" b="17145"/>
                      <wp:docPr id="63" name="画布 63"/>
                      <wp:cNvGraphicFramePr/>
                      <a:graphic xmlns:a="http://schemas.openxmlformats.org/drawingml/2006/main">
                        <a:graphicData uri="http://schemas.microsoft.com/office/word/2010/wordprocessingCanvas">
                          <wpc:wpc>
                            <wpc:bg/>
                            <wpc:whole>
                              <a:ln>
                                <a:solidFill>
                                  <a:schemeClr val="tx1"/>
                                </a:solidFill>
                              </a:ln>
                            </wpc:whole>
                            <wps:wsp>
                              <wps:cNvPr id="125" name="直接连接符 137"/>
                              <wps:cNvCnPr/>
                              <wps:spPr>
                                <a:xfrm>
                                  <a:off x="1070610" y="2159000"/>
                                  <a:ext cx="398145" cy="444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6" name="肘形连接符 138"/>
                              <wps:cNvCnPr/>
                              <wps:spPr>
                                <a:xfrm rot="10800000">
                                  <a:off x="1737360" y="1158240"/>
                                  <a:ext cx="124460" cy="1558925"/>
                                </a:xfrm>
                                <a:prstGeom prst="bentConnector3">
                                  <a:avLst>
                                    <a:gd name="adj1" fmla="val 291327"/>
                                  </a:avLst>
                                </a:prstGeom>
                                <a:ln>
                                  <a:solidFill>
                                    <a:schemeClr val="tx1"/>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27" name="文本框 139"/>
                              <wps:cNvSpPr txBox="1"/>
                              <wps:spPr>
                                <a:xfrm>
                                  <a:off x="1737360" y="846455"/>
                                  <a:ext cx="1134745" cy="6229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A5D29D">
                                    <w:pPr>
                                      <w:spacing w:line="240" w:lineRule="auto"/>
                                      <w:ind w:firstLine="0" w:firstLineChars="0"/>
                                      <w:rPr>
                                        <w:rFonts w:hint="default" w:eastAsia="仿宋"/>
                                        <w:lang w:val="en-US" w:eastAsia="zh-CN"/>
                                      </w:rPr>
                                    </w:pPr>
                                    <w:r>
                                      <w:rPr>
                                        <w:rFonts w:hint="eastAsia"/>
                                      </w:rPr>
                                      <w:t>有组织收集量：</w:t>
                                    </w:r>
                                    <w:r>
                                      <w:rPr>
                                        <w:rFonts w:hint="eastAsia"/>
                                        <w:lang w:val="en-US" w:eastAsia="zh-CN"/>
                                      </w:rPr>
                                      <w:t>0.173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文本框 140"/>
                              <wps:cNvSpPr txBox="1"/>
                              <wps:spPr>
                                <a:xfrm>
                                  <a:off x="1861820" y="2414270"/>
                                  <a:ext cx="961390" cy="6057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582490">
                                    <w:pPr>
                                      <w:spacing w:line="240" w:lineRule="auto"/>
                                      <w:ind w:firstLine="0" w:firstLineChars="0"/>
                                      <w:rPr>
                                        <w:rFonts w:hint="default" w:eastAsia="仿宋"/>
                                        <w:lang w:val="en-US" w:eastAsia="zh-CN"/>
                                      </w:rPr>
                                    </w:pPr>
                                    <w:r>
                                      <w:rPr>
                                        <w:rFonts w:hint="eastAsia"/>
                                      </w:rPr>
                                      <w:t>无组织排入大气环境量</w:t>
                                    </w:r>
                                    <w:r>
                                      <w:rPr>
                                        <w:rFonts w:hint="eastAsia"/>
                                        <w:color w:val="auto"/>
                                      </w:rPr>
                                      <w:t>:</w:t>
                                    </w:r>
                                    <w:r>
                                      <w:rPr>
                                        <w:rFonts w:hint="eastAsia"/>
                                        <w:color w:val="auto"/>
                                        <w:lang w:val="en-US" w:eastAsia="zh-CN"/>
                                      </w:rPr>
                                      <w:t>0.043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直接连接符 141"/>
                              <wps:cNvCnPr/>
                              <wps:spPr>
                                <a:xfrm>
                                  <a:off x="2872105" y="1158240"/>
                                  <a:ext cx="30289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30" name="肘形连接符 142"/>
                              <wps:cNvCnPr/>
                              <wps:spPr>
                                <a:xfrm rot="10800000" flipH="1" flipV="1">
                                  <a:off x="3451225" y="444500"/>
                                  <a:ext cx="60960" cy="1190625"/>
                                </a:xfrm>
                                <a:prstGeom prst="bentConnector3">
                                  <a:avLst>
                                    <a:gd name="adj1" fmla="val -390625"/>
                                  </a:avLst>
                                </a:prstGeom>
                                <a:ln>
                                  <a:solidFill>
                                    <a:schemeClr val="tx1"/>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31" name="文本框 143"/>
                              <wps:cNvSpPr txBox="1"/>
                              <wps:spPr>
                                <a:xfrm>
                                  <a:off x="3460115" y="215265"/>
                                  <a:ext cx="10217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F79412">
                                    <w:pPr>
                                      <w:spacing w:line="240" w:lineRule="auto"/>
                                      <w:ind w:firstLine="0" w:firstLineChars="0"/>
                                      <w:rPr>
                                        <w:rFonts w:hint="default" w:eastAsia="仿宋"/>
                                        <w:lang w:val="en-US" w:eastAsia="zh-CN"/>
                                      </w:rPr>
                                    </w:pPr>
                                    <w:r>
                                      <w:rPr>
                                        <w:rFonts w:hint="eastAsia"/>
                                      </w:rPr>
                                      <w:t>排入大气环境量</w:t>
                                    </w:r>
                                    <w:r>
                                      <w:rPr>
                                        <w:rFonts w:hint="eastAsia"/>
                                        <w:color w:val="auto"/>
                                      </w:rPr>
                                      <w:t>:</w:t>
                                    </w:r>
                                    <w:r>
                                      <w:rPr>
                                        <w:rFonts w:hint="eastAsia"/>
                                        <w:color w:val="auto"/>
                                        <w:lang w:val="en-US" w:eastAsia="zh-CN"/>
                                      </w:rPr>
                                      <w:t>0.069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文本框 145"/>
                              <wps:cNvSpPr txBox="1"/>
                              <wps:spPr>
                                <a:xfrm>
                                  <a:off x="3504565" y="1340485"/>
                                  <a:ext cx="1148080" cy="698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B16773">
                                    <w:pPr>
                                      <w:spacing w:line="240" w:lineRule="auto"/>
                                      <w:ind w:firstLine="0" w:firstLineChars="0"/>
                                      <w:rPr>
                                        <w:rFonts w:hint="default" w:eastAsia="仿宋"/>
                                        <w:lang w:val="en-US" w:eastAsia="zh-CN"/>
                                      </w:rPr>
                                    </w:pPr>
                                    <w:r>
                                      <w:rPr>
                                        <w:rFonts w:hint="eastAsia"/>
                                        <w:lang w:eastAsia="zh-CN"/>
                                      </w:rPr>
                                      <w:t>过滤棉</w:t>
                                    </w:r>
                                    <w:r>
                                      <w:rPr>
                                        <w:rFonts w:hint="eastAsia"/>
                                        <w:lang w:val="en-US" w:eastAsia="zh-CN"/>
                                      </w:rPr>
                                      <w:t>+</w:t>
                                    </w:r>
                                    <w:r>
                                      <w:rPr>
                                        <w:rFonts w:hint="eastAsia"/>
                                        <w:lang w:eastAsia="zh-CN"/>
                                      </w:rPr>
                                      <w:t>二级活性炭</w:t>
                                    </w:r>
                                    <w:r>
                                      <w:rPr>
                                        <w:rFonts w:hint="eastAsia"/>
                                      </w:rPr>
                                      <w:t>吸附处理量</w:t>
                                    </w:r>
                                    <w:r>
                                      <w:rPr>
                                        <w:rFonts w:hint="eastAsia"/>
                                        <w:color w:val="auto"/>
                                      </w:rPr>
                                      <w:t>:</w:t>
                                    </w:r>
                                    <w:r>
                                      <w:rPr>
                                        <w:rFonts w:hint="eastAsia"/>
                                        <w:color w:val="auto"/>
                                        <w:lang w:val="en-US" w:eastAsia="zh-CN"/>
                                      </w:rPr>
                                      <w:t>0.104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187325" y="1647190"/>
                                  <a:ext cx="904875" cy="762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F0B85F">
                                    <w:pPr>
                                      <w:ind w:firstLine="0" w:firstLineChars="0"/>
                                      <w:rPr>
                                        <w:rFonts w:hint="default" w:eastAsia="仿宋"/>
                                        <w:lang w:val="en-US" w:eastAsia="zh-CN"/>
                                      </w:rPr>
                                    </w:pPr>
                                    <w:r>
                                      <w:rPr>
                                        <w:rFonts w:hint="eastAsia"/>
                                      </w:rPr>
                                      <w:t>非甲烷总烃产生量</w:t>
                                    </w:r>
                                    <w:r>
                                      <w:rPr>
                                        <w:rFonts w:hint="eastAsia"/>
                                        <w:color w:val="auto"/>
                                        <w:lang w:val="en-US" w:eastAsia="zh-CN"/>
                                      </w:rPr>
                                      <w:t>0.216</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62.3pt;width:406.75pt;" coordsize="5165725,3331210" editas="canvas" o:gfxdata="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">
                      <o:lock v:ext="edit" aspectratio="f"/>
                      <v:shape id="_x0000_s1026" o:spid="_x0000_s1026" style="position:absolute;left:0;top:0;height:3331210;width:5165725;" filled="f" stroked="t" coordsize="21600,21600" o:gfxdata="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Bz&#10;eQn/1QAAAAUBAAAPAAAAAAAAAAEAIAAAACIAAABkcnMvZG93bnJldi54bWxQSwECFAAUAAAACACH&#10;TuJAOvmL9AwFAAAcGgAADgAAAAAAAAABACAAAAAkAQAAZHJzL2Uyb0RvYy54bWxQSwUGAAAAAAYA&#10;BgBZAQAAoggAAAAA&#10;">
                        <v:fill on="f" focussize="0,0"/>
                        <v:stroke color="#000000 [3213]" joinstyle="round"/>
                        <v:imagedata o:title=""/>
                        <o:lock v:ext="edit" aspectratio="f"/>
                      </v:shape>
                      <v:line id="直接连接符 137" o:spid="_x0000_s1026" o:spt="20" style="position:absolute;left:1070610;top:2159000;height:4445;width:398145;" filled="f" stroked="t" coordsize="21600,21600" o:gfxdata="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RL5O1wAAAAUBAAAPAAAAAAAAAAEAIAAAACIAAABkcnMvZG93bnJldi54bWxQSwEC&#10;FAAUAAAACACHTuJA52dDD/UBAADEAwAADgAAAAAAAAABACAAAAAmAQAAZHJzL2Uyb0RvYy54bWxQ&#10;SwUGAAAAAAYABgBZAQAAjQUAAAAA&#10;">
                        <v:fill on="f" focussize="0,0"/>
                        <v:stroke weight="1pt" color="#000000 [3213]" miterlimit="8" joinstyle="miter"/>
                        <v:imagedata o:title=""/>
                        <o:lock v:ext="edit" aspectratio="f"/>
                      </v:line>
                      <v:shape id="肘形连接符 138" o:spid="_x0000_s1026" o:spt="34" type="#_x0000_t34" style="position:absolute;left:1737360;top:1158240;height:1558925;width:124460;rotation:11796480f;" filled="f" stroked="t" coordsize="21600,21600" o:gfxdata="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LaiW+1gAAAAUBAAAPAAAAAAAAAAEAIAAAACIA&#10;AABkcnMvZG93bnJldi54bWxQSwECFAAUAAAACACHTuJAGY6xUUQCAABqBAAADgAAAAAAAAABACAA&#10;AAAlAQAAZHJzL2Uyb0RvYy54bWxQSwUGAAAAAAYABgBZAQAA2wUAAAAA&#10;" adj="62927">
                        <v:fill on="f" focussize="0,0"/>
                        <v:stroke weight="1pt" color="#000000 [3213]" miterlimit="8" joinstyle="miter" startarrow="block" endarrow="block"/>
                        <v:imagedata o:title=""/>
                        <o:lock v:ext="edit" aspectratio="f"/>
                      </v:shape>
                      <v:shape id="文本框 139" o:spid="_x0000_s1026" o:spt="202" type="#_x0000_t202" style="position:absolute;left:1737360;top:846455;height:622935;width:1134745;" fillcolor="#FFFFFF [3201]" filled="t" stroked="t" coordsize="21600,21600" o:gfxdata="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7O2FNQAAAAFAQAADwAAAAAAAAABACAAAAAiAAAAZHJzL2Rvd25yZXYueG1sUEsBAhQA&#10;FAAAAAgAh07iQLvNeeBoAgAAxgQAAA4AAAAAAAAAAQAgAAAAIwEAAGRycy9lMm9Eb2MueG1sUEsF&#10;BgAAAAAGAAYAWQEAAP0FAAAAAA==&#10;">
                        <v:fill on="t" focussize="0,0"/>
                        <v:stroke weight="0.5pt" color="#000000 [3204]" joinstyle="round"/>
                        <v:imagedata o:title=""/>
                        <o:lock v:ext="edit" aspectratio="f"/>
                        <v:textbox>
                          <w:txbxContent>
                            <w:p w14:paraId="11A5D29D">
                              <w:pPr>
                                <w:spacing w:line="240" w:lineRule="auto"/>
                                <w:ind w:firstLine="0" w:firstLineChars="0"/>
                                <w:rPr>
                                  <w:rFonts w:hint="default" w:eastAsia="仿宋"/>
                                  <w:lang w:val="en-US" w:eastAsia="zh-CN"/>
                                </w:rPr>
                              </w:pPr>
                              <w:r>
                                <w:rPr>
                                  <w:rFonts w:hint="eastAsia"/>
                                </w:rPr>
                                <w:t>有组织收集量：</w:t>
                              </w:r>
                              <w:r>
                                <w:rPr>
                                  <w:rFonts w:hint="eastAsia"/>
                                  <w:lang w:val="en-US" w:eastAsia="zh-CN"/>
                                </w:rPr>
                                <w:t>0.173</w:t>
                              </w:r>
                            </w:p>
                          </w:txbxContent>
                        </v:textbox>
                      </v:shape>
                      <v:shape id="文本框 140" o:spid="_x0000_s1026" o:spt="202" type="#_x0000_t202" style="position:absolute;left:1861820;top:2414270;height:605790;width:961390;" fillcolor="#FFFFFF [3201]" filled="t" stroked="t" coordsize="21600,21600" o:gfxdata="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uzthTUAAAABQEAAA8AAAAAAAAAAQAgAAAAIgAAAGRycy9kb3ducmV2LnhtbFBLAQIUABQAAAAI&#10;AIdO4kDHJXj5YwIAAMYEAAAOAAAAAAAAAAEAIAAAACMBAABkcnMvZTJvRG9jLnhtbFBLBQYAAAAA&#10;BgAGAFkBAAD4BQAAAAA=&#10;">
                        <v:fill on="t" focussize="0,0"/>
                        <v:stroke weight="0.5pt" color="#000000 [3204]" joinstyle="round"/>
                        <v:imagedata o:title=""/>
                        <o:lock v:ext="edit" aspectratio="f"/>
                        <v:textbox>
                          <w:txbxContent>
                            <w:p w14:paraId="12582490">
                              <w:pPr>
                                <w:spacing w:line="240" w:lineRule="auto"/>
                                <w:ind w:firstLine="0" w:firstLineChars="0"/>
                                <w:rPr>
                                  <w:rFonts w:hint="default" w:eastAsia="仿宋"/>
                                  <w:lang w:val="en-US" w:eastAsia="zh-CN"/>
                                </w:rPr>
                              </w:pPr>
                              <w:r>
                                <w:rPr>
                                  <w:rFonts w:hint="eastAsia"/>
                                </w:rPr>
                                <w:t>无组织排入大气环境量</w:t>
                              </w:r>
                              <w:r>
                                <w:rPr>
                                  <w:rFonts w:hint="eastAsia"/>
                                  <w:color w:val="auto"/>
                                </w:rPr>
                                <w:t>:</w:t>
                              </w:r>
                              <w:r>
                                <w:rPr>
                                  <w:rFonts w:hint="eastAsia"/>
                                  <w:color w:val="auto"/>
                                  <w:lang w:val="en-US" w:eastAsia="zh-CN"/>
                                </w:rPr>
                                <w:t>0.043</w:t>
                              </w:r>
                            </w:p>
                          </w:txbxContent>
                        </v:textbox>
                      </v:shape>
                      <v:line id="直接连接符 141" o:spid="_x0000_s1026" o:spt="20" style="position:absolute;left:2872105;top:1158240;height:0;width:302895;" filled="f" stroked="t" coordsize="21600,21600" o:gfxdata="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RL5O1wAAAAUBAAAPAAAAAAAAAAEAIAAAACIAAABkcnMvZG93bnJldi54bWxQSwECFAAU&#10;AAAACACHTuJAShpV9/IBAADBAwAADgAAAAAAAAABACAAAAAmAQAAZHJzL2Uyb0RvYy54bWxQSwUG&#10;AAAAAAYABgBZAQAAigUAAAAA&#10;">
                        <v:fill on="f" focussize="0,0"/>
                        <v:stroke weight="1pt" color="#000000 [3213]" miterlimit="8" joinstyle="miter"/>
                        <v:imagedata o:title=""/>
                        <o:lock v:ext="edit" aspectratio="f"/>
                      </v:line>
                      <v:shape id="肘形连接符 142" o:spid="_x0000_s1026" o:spt="34" type="#_x0000_t34" style="position:absolute;left:3451225;top:444500;flip:x y;height:1190625;width:60960;rotation:11796480f;" filled="f" stroked="t" coordsize="21600,21600" o:gfxdata="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XUN8dMAAAAFAQAADwAAAAAAAAAB&#10;ACAAAAAiAAAAZHJzL2Rvd25yZXYueG1sUEsBAhQAFAAAAAgAh07iQCJeB51OAgAAfQQAAA4AAAAA&#10;AAAAAQAgAAAAIgEAAGRycy9lMm9Eb2MueG1sUEsFBgAAAAAGAAYAWQEAAOIFAAAAAA==&#10;" adj="-84375">
                        <v:fill on="f" focussize="0,0"/>
                        <v:stroke weight="1pt" color="#000000 [3213]" miterlimit="8" joinstyle="miter" startarrow="block" endarrow="block"/>
                        <v:imagedata o:title=""/>
                        <o:lock v:ext="edit" aspectratio="f"/>
                      </v:shape>
                      <v:shape id="文本框 143" o:spid="_x0000_s1026" o:spt="202" type="#_x0000_t202" style="position:absolute;left:3460115;top:215265;height:424180;width:1021715;" fillcolor="#FFFFFF [3201]" filled="t" stroked="t" coordsize="21600,21600" o:gfxdata="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7O2FNQAAAAFAQAADwAAAAAAAAABACAAAAAiAAAAZHJzL2Rvd25yZXYueG1sUEsBAhQA&#10;FAAAAAgAh07iQIzkgk1oAgAAxgQAAA4AAAAAAAAAAQAgAAAAIwEAAGRycy9lMm9Eb2MueG1sUEsF&#10;BgAAAAAGAAYAWQEAAP0FAAAAAA==&#10;">
                        <v:fill on="t" focussize="0,0"/>
                        <v:stroke weight="0.5pt" color="#000000 [3204]" joinstyle="round"/>
                        <v:imagedata o:title=""/>
                        <o:lock v:ext="edit" aspectratio="f"/>
                        <v:textbox>
                          <w:txbxContent>
                            <w:p w14:paraId="1EF79412">
                              <w:pPr>
                                <w:spacing w:line="240" w:lineRule="auto"/>
                                <w:ind w:firstLine="0" w:firstLineChars="0"/>
                                <w:rPr>
                                  <w:rFonts w:hint="default" w:eastAsia="仿宋"/>
                                  <w:lang w:val="en-US" w:eastAsia="zh-CN"/>
                                </w:rPr>
                              </w:pPr>
                              <w:r>
                                <w:rPr>
                                  <w:rFonts w:hint="eastAsia"/>
                                </w:rPr>
                                <w:t>排入大气环境量</w:t>
                              </w:r>
                              <w:r>
                                <w:rPr>
                                  <w:rFonts w:hint="eastAsia"/>
                                  <w:color w:val="auto"/>
                                </w:rPr>
                                <w:t>:</w:t>
                              </w:r>
                              <w:r>
                                <w:rPr>
                                  <w:rFonts w:hint="eastAsia"/>
                                  <w:color w:val="auto"/>
                                  <w:lang w:val="en-US" w:eastAsia="zh-CN"/>
                                </w:rPr>
                                <w:t>0.069</w:t>
                              </w:r>
                            </w:p>
                          </w:txbxContent>
                        </v:textbox>
                      </v:shape>
                      <v:shape id="文本框 145" o:spid="_x0000_s1026" o:spt="202" type="#_x0000_t202" style="position:absolute;left:3504565;top:1340485;height:698500;width:1148080;" fillcolor="#FFFFFF [3201]" filled="t" stroked="t" coordsize="21600,21600" o:gfxdata="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bs7YU1AAAAAUBAAAPAAAAAAAAAAEAIAAAACIAAABkcnMvZG93bnJldi54bWxQSwECFAAU&#10;AAAACACHTuJAVUCdrGcCAADHBAAADgAAAAAAAAABACAAAAAjAQAAZHJzL2Uyb0RvYy54bWxQSwUG&#10;AAAAAAYABgBZAQAA/AUAAAAA&#10;">
                        <v:fill on="t" focussize="0,0"/>
                        <v:stroke weight="0.5pt" color="#000000 [3204]" joinstyle="round"/>
                        <v:imagedata o:title=""/>
                        <o:lock v:ext="edit" aspectratio="f"/>
                        <v:textbox>
                          <w:txbxContent>
                            <w:p w14:paraId="7AB16773">
                              <w:pPr>
                                <w:spacing w:line="240" w:lineRule="auto"/>
                                <w:ind w:firstLine="0" w:firstLineChars="0"/>
                                <w:rPr>
                                  <w:rFonts w:hint="default" w:eastAsia="仿宋"/>
                                  <w:lang w:val="en-US" w:eastAsia="zh-CN"/>
                                </w:rPr>
                              </w:pPr>
                              <w:r>
                                <w:rPr>
                                  <w:rFonts w:hint="eastAsia"/>
                                  <w:lang w:eastAsia="zh-CN"/>
                                </w:rPr>
                                <w:t>过滤棉</w:t>
                              </w:r>
                              <w:r>
                                <w:rPr>
                                  <w:rFonts w:hint="eastAsia"/>
                                  <w:lang w:val="en-US" w:eastAsia="zh-CN"/>
                                </w:rPr>
                                <w:t>+</w:t>
                              </w:r>
                              <w:r>
                                <w:rPr>
                                  <w:rFonts w:hint="eastAsia"/>
                                  <w:lang w:eastAsia="zh-CN"/>
                                </w:rPr>
                                <w:t>二级活性炭</w:t>
                              </w:r>
                              <w:r>
                                <w:rPr>
                                  <w:rFonts w:hint="eastAsia"/>
                                </w:rPr>
                                <w:t>吸附处理量</w:t>
                              </w:r>
                              <w:r>
                                <w:rPr>
                                  <w:rFonts w:hint="eastAsia"/>
                                  <w:color w:val="auto"/>
                                </w:rPr>
                                <w:t>:</w:t>
                              </w:r>
                              <w:r>
                                <w:rPr>
                                  <w:rFonts w:hint="eastAsia"/>
                                  <w:color w:val="auto"/>
                                  <w:lang w:val="en-US" w:eastAsia="zh-CN"/>
                                </w:rPr>
                                <w:t>0.104</w:t>
                              </w:r>
                            </w:p>
                          </w:txbxContent>
                        </v:textbox>
                      </v:shape>
                      <v:shape id="_x0000_s1026" o:spid="_x0000_s1026" o:spt="202" type="#_x0000_t202" style="position:absolute;left:187325;top:1647190;height:762000;width:904875;" fillcolor="#FFFFFF [3201]" filled="t" stroked="t" coordsize="21600,21600" o:gfxdata="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s7YU1AAAAAUBAAAPAAAAAAAAAAEAIAAAACIAAABkcnMvZG93bnJldi54bWxQSwECFAAUAAAA&#10;CACHTuJAl1yqVmQCAADDBAAADgAAAAAAAAABACAAAAAjAQAAZHJzL2Uyb0RvYy54bWxQSwUGAAAA&#10;AAYABgBZAQAA+QUAAAAA&#10;">
                        <v:fill on="t" focussize="0,0"/>
                        <v:stroke weight="0.5pt" color="#000000 [3204]" joinstyle="round"/>
                        <v:imagedata o:title=""/>
                        <o:lock v:ext="edit" aspectratio="f"/>
                        <v:textbox>
                          <w:txbxContent>
                            <w:p w14:paraId="63F0B85F">
                              <w:pPr>
                                <w:ind w:firstLine="0" w:firstLineChars="0"/>
                                <w:rPr>
                                  <w:rFonts w:hint="default" w:eastAsia="仿宋"/>
                                  <w:lang w:val="en-US" w:eastAsia="zh-CN"/>
                                </w:rPr>
                              </w:pPr>
                              <w:r>
                                <w:rPr>
                                  <w:rFonts w:hint="eastAsia"/>
                                </w:rPr>
                                <w:t>非甲烷总烃产生量</w:t>
                              </w:r>
                              <w:r>
                                <w:rPr>
                                  <w:rFonts w:hint="eastAsia"/>
                                  <w:color w:val="auto"/>
                                  <w:lang w:val="en-US" w:eastAsia="zh-CN"/>
                                </w:rPr>
                                <w:t>0.216</w:t>
                              </w:r>
                            </w:p>
                          </w:txbxContent>
                        </v:textbox>
                      </v:shape>
                      <w10:wrap type="none"/>
                      <w10:anchorlock/>
                    </v:group>
                  </w:pict>
                </mc:Fallback>
              </mc:AlternateContent>
            </w:r>
          </w:p>
          <w:p w14:paraId="641155AD">
            <w:pPr>
              <w:widowControl/>
              <w:ind w:firstLine="0" w:firstLineChars="0"/>
              <w:jc w:val="center"/>
              <w:rPr>
                <w:rFonts w:hint="default" w:eastAsia="仿宋"/>
                <w:color w:val="auto"/>
                <w:sz w:val="28"/>
                <w:lang w:val="en-US" w:eastAsia="zh-CN"/>
              </w:rPr>
            </w:pPr>
            <w:r>
              <w:rPr>
                <w:rFonts w:hint="eastAsia"/>
                <w:color w:val="auto"/>
                <w:sz w:val="24"/>
                <w:szCs w:val="32"/>
              </w:rPr>
              <w:t>图4-2：项目非甲烷总烃平衡图</w:t>
            </w:r>
            <w:r>
              <w:rPr>
                <w:rFonts w:hint="eastAsia"/>
                <w:color w:val="auto"/>
                <w:sz w:val="24"/>
                <w:szCs w:val="32"/>
                <w:lang w:val="en-US" w:eastAsia="zh-CN"/>
              </w:rPr>
              <w:t>t/a</w:t>
            </w:r>
          </w:p>
          <w:p w14:paraId="5F933DBD">
            <w:pPr>
              <w:rPr>
                <w:rFonts w:hint="eastAsia" w:cs="仿宋"/>
                <w:b w:val="0"/>
                <w:bCs/>
                <w:color w:val="auto"/>
                <w:sz w:val="28"/>
                <w:szCs w:val="40"/>
                <w:lang w:eastAsia="zh-CN"/>
              </w:rPr>
            </w:pPr>
          </w:p>
          <w:p w14:paraId="4F86051F">
            <w:pPr>
              <w:ind w:firstLine="560"/>
              <w:rPr>
                <w:color w:val="auto"/>
              </w:rPr>
            </w:pPr>
            <w:r>
              <w:rPr>
                <w:rFonts w:hint="eastAsia"/>
                <w:color w:val="auto"/>
                <w:sz w:val="28"/>
              </w:rPr>
              <w:t>废气污染源强核算结果及相关参数见表4-3。</w:t>
            </w:r>
          </w:p>
        </w:tc>
      </w:tr>
    </w:tbl>
    <w:p w14:paraId="7FC00279">
      <w:pPr>
        <w:ind w:firstLine="0" w:firstLineChars="0"/>
        <w:rPr>
          <w:color w:val="auto"/>
          <w:sz w:val="28"/>
        </w:rPr>
      </w:pPr>
    </w:p>
    <w:p w14:paraId="5CF97D05">
      <w:pPr>
        <w:pStyle w:val="49"/>
        <w:rPr>
          <w:bCs/>
          <w:color w:val="auto"/>
        </w:rPr>
        <w:sectPr>
          <w:pgSz w:w="11906" w:h="16838"/>
          <w:pgMar w:top="1701" w:right="1531" w:bottom="1701" w:left="1531" w:header="851" w:footer="851" w:gutter="0"/>
          <w:cols w:space="720" w:num="1"/>
          <w:docGrid w:linePitch="312" w:charSpace="0"/>
        </w:sectPr>
      </w:pPr>
    </w:p>
    <w:tbl>
      <w:tblPr>
        <w:tblStyle w:val="31"/>
        <w:tblW w:w="152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4646"/>
      </w:tblGrid>
      <w:tr w14:paraId="1CBE5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7" w:type="dxa"/>
            <w:tcMar>
              <w:left w:w="28" w:type="dxa"/>
              <w:right w:w="28" w:type="dxa"/>
            </w:tcMar>
            <w:vAlign w:val="center"/>
          </w:tcPr>
          <w:p w14:paraId="131CCEAD">
            <w:pPr>
              <w:pStyle w:val="49"/>
              <w:rPr>
                <w:bCs/>
                <w:color w:val="auto"/>
              </w:rPr>
            </w:pPr>
            <w:r>
              <w:rPr>
                <w:rFonts w:hint="eastAsia"/>
                <w:bCs/>
                <w:color w:val="auto"/>
                <w:sz w:val="28"/>
              </w:rPr>
              <w:t>运营期环境影响和保护措施</w:t>
            </w:r>
          </w:p>
        </w:tc>
        <w:tc>
          <w:tcPr>
            <w:tcW w:w="14646" w:type="dxa"/>
            <w:vAlign w:val="center"/>
          </w:tcPr>
          <w:p w14:paraId="1DB37D47">
            <w:pPr>
              <w:pStyle w:val="75"/>
              <w:rPr>
                <w:color w:val="auto"/>
              </w:rPr>
            </w:pPr>
            <w:r>
              <w:rPr>
                <w:rFonts w:hint="eastAsia"/>
                <w:color w:val="auto"/>
                <w:sz w:val="24"/>
              </w:rPr>
              <w:t>表4-</w:t>
            </w:r>
            <w:r>
              <w:rPr>
                <w:rFonts w:hint="eastAsia"/>
                <w:color w:val="auto"/>
                <w:sz w:val="24"/>
                <w:lang w:val="en-US"/>
              </w:rPr>
              <w:t>3</w:t>
            </w:r>
            <w:r>
              <w:rPr>
                <w:rFonts w:hint="eastAsia"/>
                <w:color w:val="auto"/>
                <w:sz w:val="24"/>
              </w:rPr>
              <w:t>废气污染源强核算结果及相关参数一览表</w:t>
            </w:r>
          </w:p>
          <w:tbl>
            <w:tblPr>
              <w:tblStyle w:val="31"/>
              <w:tblW w:w="14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
              <w:gridCol w:w="725"/>
              <w:gridCol w:w="1134"/>
              <w:gridCol w:w="433"/>
              <w:gridCol w:w="767"/>
              <w:gridCol w:w="750"/>
              <w:gridCol w:w="716"/>
              <w:gridCol w:w="784"/>
              <w:gridCol w:w="500"/>
              <w:gridCol w:w="573"/>
              <w:gridCol w:w="480"/>
              <w:gridCol w:w="765"/>
              <w:gridCol w:w="810"/>
              <w:gridCol w:w="705"/>
              <w:gridCol w:w="700"/>
              <w:gridCol w:w="750"/>
              <w:gridCol w:w="667"/>
              <w:gridCol w:w="750"/>
              <w:gridCol w:w="500"/>
              <w:gridCol w:w="566"/>
              <w:gridCol w:w="462"/>
              <w:gridCol w:w="476"/>
            </w:tblGrid>
            <w:tr w14:paraId="1D50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53" w:type="dxa"/>
                  <w:vMerge w:val="restart"/>
                  <w:vAlign w:val="center"/>
                </w:tcPr>
                <w:p w14:paraId="3419C62B">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序号</w:t>
                  </w:r>
                </w:p>
              </w:tc>
              <w:tc>
                <w:tcPr>
                  <w:tcW w:w="725" w:type="dxa"/>
                  <w:vMerge w:val="restart"/>
                  <w:vAlign w:val="center"/>
                </w:tcPr>
                <w:p w14:paraId="683C9D68">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污染源</w:t>
                  </w:r>
                </w:p>
              </w:tc>
              <w:tc>
                <w:tcPr>
                  <w:tcW w:w="1134" w:type="dxa"/>
                  <w:vMerge w:val="restart"/>
                  <w:vAlign w:val="center"/>
                </w:tcPr>
                <w:p w14:paraId="4AA17FEC">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污染物</w:t>
                  </w:r>
                </w:p>
              </w:tc>
              <w:tc>
                <w:tcPr>
                  <w:tcW w:w="433" w:type="dxa"/>
                  <w:vMerge w:val="restart"/>
                  <w:vAlign w:val="center"/>
                </w:tcPr>
                <w:p w14:paraId="751EE7C3">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核算方法</w:t>
                  </w:r>
                </w:p>
              </w:tc>
              <w:tc>
                <w:tcPr>
                  <w:tcW w:w="3017" w:type="dxa"/>
                  <w:gridSpan w:val="4"/>
                  <w:vAlign w:val="center"/>
                </w:tcPr>
                <w:p w14:paraId="57CAECE9">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污染物产生</w:t>
                  </w:r>
                </w:p>
              </w:tc>
              <w:tc>
                <w:tcPr>
                  <w:tcW w:w="1553" w:type="dxa"/>
                  <w:gridSpan w:val="3"/>
                  <w:vAlign w:val="center"/>
                </w:tcPr>
                <w:p w14:paraId="56780A4B">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治理设施</w:t>
                  </w:r>
                </w:p>
              </w:tc>
              <w:tc>
                <w:tcPr>
                  <w:tcW w:w="7151" w:type="dxa"/>
                  <w:gridSpan w:val="11"/>
                  <w:vAlign w:val="center"/>
                </w:tcPr>
                <w:p w14:paraId="7747571B">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污染物排放</w:t>
                  </w:r>
                </w:p>
              </w:tc>
            </w:tr>
            <w:tr w14:paraId="4279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53" w:type="dxa"/>
                  <w:vMerge w:val="continue"/>
                  <w:vAlign w:val="center"/>
                </w:tcPr>
                <w:p w14:paraId="5D443476">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25" w:type="dxa"/>
                  <w:vMerge w:val="continue"/>
                  <w:vAlign w:val="center"/>
                </w:tcPr>
                <w:p w14:paraId="7B0DBC51">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1134" w:type="dxa"/>
                  <w:vMerge w:val="continue"/>
                  <w:vAlign w:val="center"/>
                </w:tcPr>
                <w:p w14:paraId="5A146479">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433" w:type="dxa"/>
                  <w:vMerge w:val="continue"/>
                  <w:vAlign w:val="center"/>
                </w:tcPr>
                <w:p w14:paraId="7EA0B055">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67" w:type="dxa"/>
                  <w:vMerge w:val="restart"/>
                  <w:vAlign w:val="center"/>
                </w:tcPr>
                <w:p w14:paraId="31FD450A">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废气</w:t>
                  </w:r>
                </w:p>
                <w:p w14:paraId="542E6500">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产生量m</w:t>
                  </w:r>
                  <w:r>
                    <w:rPr>
                      <w:rFonts w:hint="default" w:ascii="Times New Roman" w:hAnsi="Times New Roman" w:cs="Times New Roman"/>
                      <w:snapToGrid w:val="0"/>
                      <w:color w:val="auto"/>
                      <w:sz w:val="24"/>
                      <w:szCs w:val="24"/>
                      <w:vertAlign w:val="superscript"/>
                    </w:rPr>
                    <w:t>3</w:t>
                  </w:r>
                  <w:r>
                    <w:rPr>
                      <w:rFonts w:hint="default" w:ascii="Times New Roman" w:hAnsi="Times New Roman" w:cs="Times New Roman"/>
                      <w:snapToGrid w:val="0"/>
                      <w:color w:val="auto"/>
                      <w:sz w:val="24"/>
                      <w:szCs w:val="24"/>
                    </w:rPr>
                    <w:t>/h</w:t>
                  </w:r>
                </w:p>
              </w:tc>
              <w:tc>
                <w:tcPr>
                  <w:tcW w:w="750" w:type="dxa"/>
                  <w:vMerge w:val="restart"/>
                  <w:vAlign w:val="center"/>
                </w:tcPr>
                <w:p w14:paraId="7289CC2A">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产生质量浓度mg/m</w:t>
                  </w:r>
                  <w:r>
                    <w:rPr>
                      <w:rFonts w:hint="default" w:ascii="Times New Roman" w:hAnsi="Times New Roman" w:cs="Times New Roman"/>
                      <w:snapToGrid w:val="0"/>
                      <w:color w:val="auto"/>
                      <w:sz w:val="24"/>
                      <w:szCs w:val="24"/>
                      <w:vertAlign w:val="superscript"/>
                    </w:rPr>
                    <w:t>3</w:t>
                  </w:r>
                </w:p>
              </w:tc>
              <w:tc>
                <w:tcPr>
                  <w:tcW w:w="716" w:type="dxa"/>
                  <w:vMerge w:val="restart"/>
                  <w:vAlign w:val="center"/>
                </w:tcPr>
                <w:p w14:paraId="0A04C45A">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产生速率kg/h</w:t>
                  </w:r>
                </w:p>
              </w:tc>
              <w:tc>
                <w:tcPr>
                  <w:tcW w:w="784" w:type="dxa"/>
                  <w:vMerge w:val="restart"/>
                  <w:vAlign w:val="center"/>
                </w:tcPr>
                <w:p w14:paraId="79AD952A">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产生量t/a</w:t>
                  </w:r>
                </w:p>
              </w:tc>
              <w:tc>
                <w:tcPr>
                  <w:tcW w:w="500" w:type="dxa"/>
                  <w:vMerge w:val="restart"/>
                  <w:vAlign w:val="center"/>
                </w:tcPr>
                <w:p w14:paraId="40AF0EFF">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收集效率%</w:t>
                  </w:r>
                </w:p>
              </w:tc>
              <w:tc>
                <w:tcPr>
                  <w:tcW w:w="573" w:type="dxa"/>
                  <w:vMerge w:val="restart"/>
                  <w:vAlign w:val="center"/>
                </w:tcPr>
                <w:p w14:paraId="231780CF">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治理工艺</w:t>
                  </w:r>
                </w:p>
              </w:tc>
              <w:tc>
                <w:tcPr>
                  <w:tcW w:w="480" w:type="dxa"/>
                  <w:vMerge w:val="restart"/>
                  <w:vAlign w:val="center"/>
                </w:tcPr>
                <w:p w14:paraId="71DAF563">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去除效率%</w:t>
                  </w:r>
                </w:p>
              </w:tc>
              <w:tc>
                <w:tcPr>
                  <w:tcW w:w="2980" w:type="dxa"/>
                  <w:gridSpan w:val="4"/>
                  <w:vAlign w:val="center"/>
                </w:tcPr>
                <w:p w14:paraId="6B916F17">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有组织</w:t>
                  </w:r>
                </w:p>
              </w:tc>
              <w:tc>
                <w:tcPr>
                  <w:tcW w:w="1417" w:type="dxa"/>
                  <w:gridSpan w:val="2"/>
                  <w:vAlign w:val="center"/>
                </w:tcPr>
                <w:p w14:paraId="4260EB62">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无组织</w:t>
                  </w:r>
                </w:p>
              </w:tc>
              <w:tc>
                <w:tcPr>
                  <w:tcW w:w="750" w:type="dxa"/>
                  <w:vMerge w:val="restart"/>
                  <w:vAlign w:val="center"/>
                </w:tcPr>
                <w:p w14:paraId="78C616DA">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排放时间</w:t>
                  </w:r>
                </w:p>
              </w:tc>
              <w:tc>
                <w:tcPr>
                  <w:tcW w:w="1528" w:type="dxa"/>
                  <w:gridSpan w:val="3"/>
                  <w:vAlign w:val="center"/>
                </w:tcPr>
                <w:p w14:paraId="07D2E477">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排气筒</w:t>
                  </w:r>
                </w:p>
              </w:tc>
              <w:tc>
                <w:tcPr>
                  <w:tcW w:w="476" w:type="dxa"/>
                  <w:vMerge w:val="restart"/>
                  <w:vAlign w:val="center"/>
                </w:tcPr>
                <w:p w14:paraId="3DE21215">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排放口类型</w:t>
                  </w:r>
                </w:p>
              </w:tc>
            </w:tr>
            <w:tr w14:paraId="234D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53" w:type="dxa"/>
                  <w:vMerge w:val="continue"/>
                  <w:vAlign w:val="center"/>
                </w:tcPr>
                <w:p w14:paraId="39CEFDFB">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25" w:type="dxa"/>
                  <w:vMerge w:val="continue"/>
                  <w:vAlign w:val="center"/>
                </w:tcPr>
                <w:p w14:paraId="49906FCE">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1134" w:type="dxa"/>
                  <w:vMerge w:val="continue"/>
                  <w:vAlign w:val="center"/>
                </w:tcPr>
                <w:p w14:paraId="7B3D349B">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433" w:type="dxa"/>
                  <w:vMerge w:val="continue"/>
                  <w:vAlign w:val="center"/>
                </w:tcPr>
                <w:p w14:paraId="3E6090BA">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67" w:type="dxa"/>
                  <w:vMerge w:val="continue"/>
                  <w:vAlign w:val="center"/>
                </w:tcPr>
                <w:p w14:paraId="1C8B0BB6">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50" w:type="dxa"/>
                  <w:vMerge w:val="continue"/>
                  <w:vAlign w:val="center"/>
                </w:tcPr>
                <w:p w14:paraId="321205E5">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16" w:type="dxa"/>
                  <w:vMerge w:val="continue"/>
                  <w:vAlign w:val="center"/>
                </w:tcPr>
                <w:p w14:paraId="3C130C9D">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84" w:type="dxa"/>
                  <w:vMerge w:val="continue"/>
                  <w:vAlign w:val="center"/>
                </w:tcPr>
                <w:p w14:paraId="7EB5C7A1">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500" w:type="dxa"/>
                  <w:vMerge w:val="continue"/>
                  <w:vAlign w:val="center"/>
                </w:tcPr>
                <w:p w14:paraId="1FE6E8E6">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573" w:type="dxa"/>
                  <w:vMerge w:val="continue"/>
                  <w:vAlign w:val="center"/>
                </w:tcPr>
                <w:p w14:paraId="57E52740">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480" w:type="dxa"/>
                  <w:vMerge w:val="continue"/>
                  <w:vAlign w:val="center"/>
                </w:tcPr>
                <w:p w14:paraId="299D89B6">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65" w:type="dxa"/>
                  <w:vMerge w:val="restart"/>
                  <w:vAlign w:val="center"/>
                </w:tcPr>
                <w:p w14:paraId="267326BE">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废气排放量m</w:t>
                  </w:r>
                  <w:r>
                    <w:rPr>
                      <w:rFonts w:hint="default" w:ascii="Times New Roman" w:hAnsi="Times New Roman" w:cs="Times New Roman"/>
                      <w:snapToGrid w:val="0"/>
                      <w:color w:val="auto"/>
                      <w:sz w:val="24"/>
                      <w:szCs w:val="24"/>
                      <w:vertAlign w:val="superscript"/>
                    </w:rPr>
                    <w:t>3</w:t>
                  </w:r>
                  <w:r>
                    <w:rPr>
                      <w:rFonts w:hint="default" w:ascii="Times New Roman" w:hAnsi="Times New Roman" w:cs="Times New Roman"/>
                      <w:snapToGrid w:val="0"/>
                      <w:color w:val="auto"/>
                      <w:sz w:val="24"/>
                      <w:szCs w:val="24"/>
                    </w:rPr>
                    <w:t>/h</w:t>
                  </w:r>
                </w:p>
              </w:tc>
              <w:tc>
                <w:tcPr>
                  <w:tcW w:w="810" w:type="dxa"/>
                  <w:vMerge w:val="restart"/>
                  <w:vAlign w:val="center"/>
                </w:tcPr>
                <w:p w14:paraId="27F0AF22">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排放质量浓度mg/m</w:t>
                  </w:r>
                  <w:r>
                    <w:rPr>
                      <w:rFonts w:hint="default" w:ascii="Times New Roman" w:hAnsi="Times New Roman" w:cs="Times New Roman"/>
                      <w:snapToGrid w:val="0"/>
                      <w:color w:val="auto"/>
                      <w:sz w:val="24"/>
                      <w:szCs w:val="24"/>
                      <w:vertAlign w:val="superscript"/>
                    </w:rPr>
                    <w:t>3</w:t>
                  </w:r>
                </w:p>
              </w:tc>
              <w:tc>
                <w:tcPr>
                  <w:tcW w:w="1405" w:type="dxa"/>
                  <w:gridSpan w:val="2"/>
                  <w:vAlign w:val="center"/>
                </w:tcPr>
                <w:p w14:paraId="025E7784">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排放量</w:t>
                  </w:r>
                </w:p>
              </w:tc>
              <w:tc>
                <w:tcPr>
                  <w:tcW w:w="1417" w:type="dxa"/>
                  <w:gridSpan w:val="2"/>
                  <w:vAlign w:val="center"/>
                </w:tcPr>
                <w:p w14:paraId="42B4BE6E">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排放量</w:t>
                  </w:r>
                </w:p>
              </w:tc>
              <w:tc>
                <w:tcPr>
                  <w:tcW w:w="750" w:type="dxa"/>
                  <w:vMerge w:val="continue"/>
                  <w:vAlign w:val="center"/>
                </w:tcPr>
                <w:p w14:paraId="6B049DF2">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500" w:type="dxa"/>
                  <w:vAlign w:val="center"/>
                </w:tcPr>
                <w:p w14:paraId="3652939F">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高度</w:t>
                  </w:r>
                </w:p>
              </w:tc>
              <w:tc>
                <w:tcPr>
                  <w:tcW w:w="566" w:type="dxa"/>
                  <w:vAlign w:val="center"/>
                </w:tcPr>
                <w:p w14:paraId="59B1C84F">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直径</w:t>
                  </w:r>
                </w:p>
              </w:tc>
              <w:tc>
                <w:tcPr>
                  <w:tcW w:w="462" w:type="dxa"/>
                  <w:vAlign w:val="center"/>
                </w:tcPr>
                <w:p w14:paraId="7F5072CE">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温度</w:t>
                  </w:r>
                </w:p>
              </w:tc>
              <w:tc>
                <w:tcPr>
                  <w:tcW w:w="476" w:type="dxa"/>
                  <w:vMerge w:val="continue"/>
                  <w:vAlign w:val="center"/>
                </w:tcPr>
                <w:p w14:paraId="01B193D9">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r>
            <w:tr w14:paraId="6084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53" w:type="dxa"/>
                  <w:vMerge w:val="continue"/>
                  <w:vAlign w:val="center"/>
                </w:tcPr>
                <w:p w14:paraId="0A1CB307">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25" w:type="dxa"/>
                  <w:vMerge w:val="continue"/>
                  <w:vAlign w:val="center"/>
                </w:tcPr>
                <w:p w14:paraId="764D4C18">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1134" w:type="dxa"/>
                  <w:vMerge w:val="continue"/>
                  <w:vAlign w:val="center"/>
                </w:tcPr>
                <w:p w14:paraId="7B7AAC07">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433" w:type="dxa"/>
                  <w:vMerge w:val="continue"/>
                  <w:vAlign w:val="center"/>
                </w:tcPr>
                <w:p w14:paraId="16D4E269">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67" w:type="dxa"/>
                  <w:vMerge w:val="continue"/>
                  <w:vAlign w:val="center"/>
                </w:tcPr>
                <w:p w14:paraId="743476A4">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50" w:type="dxa"/>
                  <w:vMerge w:val="continue"/>
                  <w:vAlign w:val="center"/>
                </w:tcPr>
                <w:p w14:paraId="3013689B">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16" w:type="dxa"/>
                  <w:vMerge w:val="continue"/>
                  <w:vAlign w:val="center"/>
                </w:tcPr>
                <w:p w14:paraId="1FAA014E">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84" w:type="dxa"/>
                  <w:vMerge w:val="continue"/>
                  <w:vAlign w:val="center"/>
                </w:tcPr>
                <w:p w14:paraId="59577B3A">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500" w:type="dxa"/>
                  <w:vMerge w:val="continue"/>
                  <w:vAlign w:val="center"/>
                </w:tcPr>
                <w:p w14:paraId="4890EE4E">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573" w:type="dxa"/>
                  <w:vMerge w:val="continue"/>
                  <w:vAlign w:val="center"/>
                </w:tcPr>
                <w:p w14:paraId="256DF686">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480" w:type="dxa"/>
                  <w:vMerge w:val="continue"/>
                  <w:vAlign w:val="center"/>
                </w:tcPr>
                <w:p w14:paraId="3340778A">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c>
                <w:tcPr>
                  <w:tcW w:w="765" w:type="dxa"/>
                  <w:vMerge w:val="continue"/>
                  <w:vAlign w:val="center"/>
                </w:tcPr>
                <w:p w14:paraId="64A6723C">
                  <w:pPr>
                    <w:pStyle w:val="27"/>
                    <w:keepNext w:val="0"/>
                    <w:keepLines w:val="0"/>
                    <w:pageBreakBefore w:val="0"/>
                    <w:kinsoku/>
                    <w:wordWrap/>
                    <w:overflowPunct/>
                    <w:topLinePunct w:val="0"/>
                    <w:autoSpaceDE/>
                    <w:autoSpaceDN/>
                    <w:bidi w:val="0"/>
                    <w:spacing w:before="0" w:beforeAutospacing="0" w:after="0" w:afterAutospacing="0" w:line="240" w:lineRule="auto"/>
                    <w:ind w:firstLine="0" w:firstLineChars="0"/>
                    <w:jc w:val="center"/>
                    <w:rPr>
                      <w:rFonts w:hint="default" w:ascii="Times New Roman" w:hAnsi="Times New Roman" w:cs="Times New Roman"/>
                      <w:snapToGrid w:val="0"/>
                      <w:color w:val="auto"/>
                      <w:sz w:val="24"/>
                      <w:szCs w:val="24"/>
                      <w:lang w:val="en-US"/>
                    </w:rPr>
                  </w:pPr>
                </w:p>
              </w:tc>
              <w:tc>
                <w:tcPr>
                  <w:tcW w:w="810" w:type="dxa"/>
                  <w:vMerge w:val="continue"/>
                  <w:vAlign w:val="center"/>
                </w:tcPr>
                <w:p w14:paraId="6F9841FB">
                  <w:pPr>
                    <w:pStyle w:val="27"/>
                    <w:keepNext w:val="0"/>
                    <w:keepLines w:val="0"/>
                    <w:pageBreakBefore w:val="0"/>
                    <w:kinsoku/>
                    <w:wordWrap/>
                    <w:overflowPunct/>
                    <w:topLinePunct w:val="0"/>
                    <w:autoSpaceDE/>
                    <w:autoSpaceDN/>
                    <w:bidi w:val="0"/>
                    <w:spacing w:before="0" w:beforeAutospacing="0" w:after="0" w:afterAutospacing="0" w:line="240" w:lineRule="auto"/>
                    <w:ind w:firstLine="0" w:firstLineChars="0"/>
                    <w:jc w:val="center"/>
                    <w:rPr>
                      <w:rFonts w:hint="default" w:ascii="Times New Roman" w:hAnsi="Times New Roman" w:cs="Times New Roman"/>
                      <w:snapToGrid w:val="0"/>
                      <w:color w:val="auto"/>
                      <w:sz w:val="24"/>
                      <w:szCs w:val="24"/>
                      <w:lang w:val="en-US"/>
                    </w:rPr>
                  </w:pPr>
                </w:p>
              </w:tc>
              <w:tc>
                <w:tcPr>
                  <w:tcW w:w="705" w:type="dxa"/>
                  <w:vAlign w:val="center"/>
                </w:tcPr>
                <w:p w14:paraId="0006B014">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kg/h</w:t>
                  </w:r>
                </w:p>
              </w:tc>
              <w:tc>
                <w:tcPr>
                  <w:tcW w:w="700" w:type="dxa"/>
                  <w:vAlign w:val="center"/>
                </w:tcPr>
                <w:p w14:paraId="5EC99C0B">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t/a</w:t>
                  </w:r>
                </w:p>
              </w:tc>
              <w:tc>
                <w:tcPr>
                  <w:tcW w:w="750" w:type="dxa"/>
                  <w:vAlign w:val="center"/>
                </w:tcPr>
                <w:p w14:paraId="03853316">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kg/h</w:t>
                  </w:r>
                </w:p>
              </w:tc>
              <w:tc>
                <w:tcPr>
                  <w:tcW w:w="667" w:type="dxa"/>
                  <w:vAlign w:val="center"/>
                </w:tcPr>
                <w:p w14:paraId="6E2F3E89">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t/a</w:t>
                  </w:r>
                </w:p>
              </w:tc>
              <w:tc>
                <w:tcPr>
                  <w:tcW w:w="750" w:type="dxa"/>
                  <w:vAlign w:val="center"/>
                </w:tcPr>
                <w:p w14:paraId="0F14D437">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h</w:t>
                  </w:r>
                </w:p>
              </w:tc>
              <w:tc>
                <w:tcPr>
                  <w:tcW w:w="500" w:type="dxa"/>
                  <w:vAlign w:val="center"/>
                </w:tcPr>
                <w:p w14:paraId="3517335A">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m</w:t>
                  </w:r>
                </w:p>
              </w:tc>
              <w:tc>
                <w:tcPr>
                  <w:tcW w:w="566" w:type="dxa"/>
                  <w:vAlign w:val="center"/>
                </w:tcPr>
                <w:p w14:paraId="4D41C740">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m</w:t>
                  </w:r>
                </w:p>
              </w:tc>
              <w:tc>
                <w:tcPr>
                  <w:tcW w:w="462" w:type="dxa"/>
                  <w:vAlign w:val="center"/>
                </w:tcPr>
                <w:p w14:paraId="61FD87A9">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w:t>
                  </w:r>
                </w:p>
              </w:tc>
              <w:tc>
                <w:tcPr>
                  <w:tcW w:w="476" w:type="dxa"/>
                  <w:vMerge w:val="continue"/>
                  <w:vAlign w:val="center"/>
                </w:tcPr>
                <w:p w14:paraId="6626185D">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p>
              </w:tc>
            </w:tr>
            <w:tr w14:paraId="6A99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53" w:type="dxa"/>
                  <w:vAlign w:val="center"/>
                </w:tcPr>
                <w:p w14:paraId="5921086F">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snapToGrid w:val="0"/>
                      <w:color w:val="auto"/>
                      <w:sz w:val="24"/>
                      <w:szCs w:val="24"/>
                    </w:rPr>
                  </w:pPr>
                  <w:r>
                    <w:rPr>
                      <w:rFonts w:hint="default" w:ascii="Times New Roman" w:hAnsi="Times New Roman" w:cs="Times New Roman"/>
                      <w:snapToGrid w:val="0"/>
                      <w:color w:val="auto"/>
                      <w:sz w:val="24"/>
                      <w:szCs w:val="24"/>
                    </w:rPr>
                    <w:t>1</w:t>
                  </w:r>
                </w:p>
              </w:tc>
              <w:tc>
                <w:tcPr>
                  <w:tcW w:w="725" w:type="dxa"/>
                  <w:vMerge w:val="restart"/>
                  <w:vAlign w:val="center"/>
                </w:tcPr>
                <w:p w14:paraId="5A6D1DFF">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i/>
                      <w:iCs/>
                      <w:snapToGrid w:val="0"/>
                      <w:color w:val="auto"/>
                      <w:sz w:val="24"/>
                      <w:szCs w:val="24"/>
                      <w:highlight w:val="yellow"/>
                    </w:rPr>
                  </w:pPr>
                  <w:r>
                    <w:rPr>
                      <w:rFonts w:hint="eastAsia" w:ascii="Times New Roman" w:hAnsi="Times New Roman" w:cs="Times New Roman"/>
                      <w:i/>
                      <w:iCs/>
                      <w:snapToGrid w:val="0"/>
                      <w:color w:val="auto"/>
                      <w:sz w:val="24"/>
                      <w:szCs w:val="24"/>
                      <w:lang w:eastAsia="zh-CN"/>
                    </w:rPr>
                    <w:t>涂</w:t>
                  </w:r>
                  <w:r>
                    <w:rPr>
                      <w:rFonts w:hint="default" w:ascii="Times New Roman" w:hAnsi="Times New Roman" w:cs="Times New Roman"/>
                      <w:i/>
                      <w:iCs/>
                      <w:snapToGrid w:val="0"/>
                      <w:color w:val="auto"/>
                      <w:sz w:val="24"/>
                      <w:szCs w:val="24"/>
                    </w:rPr>
                    <w:t>胶、烘</w:t>
                  </w:r>
                  <w:r>
                    <w:rPr>
                      <w:rFonts w:hint="eastAsia" w:ascii="Times New Roman" w:hAnsi="Times New Roman" w:cs="Times New Roman"/>
                      <w:i/>
                      <w:iCs/>
                      <w:snapToGrid w:val="0"/>
                      <w:color w:val="auto"/>
                      <w:sz w:val="24"/>
                      <w:szCs w:val="24"/>
                      <w:lang w:eastAsia="zh-CN"/>
                    </w:rPr>
                    <w:t>烤</w:t>
                  </w:r>
                  <w:r>
                    <w:rPr>
                      <w:rFonts w:hint="default" w:ascii="Times New Roman" w:hAnsi="Times New Roman" w:cs="Times New Roman"/>
                      <w:i/>
                      <w:iCs/>
                      <w:snapToGrid w:val="0"/>
                      <w:color w:val="auto"/>
                      <w:sz w:val="24"/>
                      <w:szCs w:val="24"/>
                    </w:rPr>
                    <w:t>有机废气</w:t>
                  </w:r>
                </w:p>
              </w:tc>
              <w:tc>
                <w:tcPr>
                  <w:tcW w:w="1134" w:type="dxa"/>
                  <w:vAlign w:val="center"/>
                </w:tcPr>
                <w:p w14:paraId="49086A6A">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snapToGrid w:val="0"/>
                      <w:color w:val="auto"/>
                      <w:sz w:val="24"/>
                      <w:szCs w:val="24"/>
                      <w:lang w:eastAsia="zh-CN"/>
                    </w:rPr>
                  </w:pPr>
                  <w:r>
                    <w:rPr>
                      <w:rFonts w:hint="eastAsia" w:ascii="Times New Roman" w:hAnsi="Times New Roman" w:cs="Times New Roman"/>
                      <w:i/>
                      <w:iCs/>
                      <w:snapToGrid w:val="0"/>
                      <w:color w:val="auto"/>
                      <w:sz w:val="24"/>
                      <w:szCs w:val="24"/>
                      <w:lang w:eastAsia="zh-CN"/>
                    </w:rPr>
                    <w:t>非甲烷总烃</w:t>
                  </w:r>
                </w:p>
              </w:tc>
              <w:tc>
                <w:tcPr>
                  <w:tcW w:w="433" w:type="dxa"/>
                  <w:vMerge w:val="restart"/>
                  <w:vAlign w:val="center"/>
                </w:tcPr>
                <w:p w14:paraId="3A20CAE0">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i/>
                      <w:iCs/>
                      <w:snapToGrid w:val="0"/>
                      <w:color w:val="auto"/>
                      <w:sz w:val="24"/>
                      <w:szCs w:val="24"/>
                    </w:rPr>
                  </w:pPr>
                  <w:r>
                    <w:rPr>
                      <w:rFonts w:hint="default" w:ascii="Times New Roman" w:hAnsi="Times New Roman" w:cs="Times New Roman"/>
                      <w:i/>
                      <w:iCs/>
                      <w:snapToGrid w:val="0"/>
                      <w:color w:val="auto"/>
                      <w:sz w:val="24"/>
                      <w:szCs w:val="24"/>
                    </w:rPr>
                    <w:t>产污系数法</w:t>
                  </w:r>
                </w:p>
                <w:p w14:paraId="1E5AE3AD">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i/>
                      <w:iCs/>
                      <w:snapToGrid w:val="0"/>
                      <w:color w:val="auto"/>
                      <w:sz w:val="24"/>
                      <w:szCs w:val="24"/>
                    </w:rPr>
                  </w:pPr>
                </w:p>
              </w:tc>
              <w:tc>
                <w:tcPr>
                  <w:tcW w:w="767" w:type="dxa"/>
                  <w:vAlign w:val="center"/>
                </w:tcPr>
                <w:p w14:paraId="0642CE4B">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8000</w:t>
                  </w:r>
                </w:p>
              </w:tc>
              <w:tc>
                <w:tcPr>
                  <w:tcW w:w="750" w:type="dxa"/>
                  <w:vAlign w:val="center"/>
                </w:tcPr>
                <w:p w14:paraId="1F779594">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18.75</w:t>
                  </w:r>
                </w:p>
              </w:tc>
              <w:tc>
                <w:tcPr>
                  <w:tcW w:w="716" w:type="dxa"/>
                  <w:vAlign w:val="center"/>
                </w:tcPr>
                <w:p w14:paraId="5EB600C7">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iCs/>
                      <w:color w:val="auto"/>
                      <w:kern w:val="0"/>
                      <w:sz w:val="24"/>
                      <w:szCs w:val="24"/>
                      <w:lang w:val="en-US" w:eastAsia="zh-CN"/>
                    </w:rPr>
                  </w:pPr>
                  <w:r>
                    <w:rPr>
                      <w:rFonts w:hint="eastAsia" w:ascii="Times New Roman" w:hAnsi="Times New Roman" w:cs="Times New Roman"/>
                      <w:i/>
                      <w:iCs/>
                      <w:color w:val="auto"/>
                      <w:kern w:val="0"/>
                      <w:sz w:val="24"/>
                      <w:szCs w:val="24"/>
                      <w:lang w:val="en-US" w:eastAsia="zh-CN"/>
                    </w:rPr>
                    <w:t>0.15</w:t>
                  </w:r>
                </w:p>
              </w:tc>
              <w:tc>
                <w:tcPr>
                  <w:tcW w:w="784" w:type="dxa"/>
                  <w:vAlign w:val="center"/>
                </w:tcPr>
                <w:p w14:paraId="4EA58167">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0.216</w:t>
                  </w:r>
                </w:p>
              </w:tc>
              <w:tc>
                <w:tcPr>
                  <w:tcW w:w="500" w:type="dxa"/>
                  <w:vAlign w:val="center"/>
                </w:tcPr>
                <w:p w14:paraId="76A5E279">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snapToGrid w:val="0"/>
                      <w:color w:val="auto"/>
                      <w:sz w:val="24"/>
                      <w:szCs w:val="24"/>
                      <w:highlight w:val="yellow"/>
                      <w:lang w:val="en-US" w:eastAsia="zh-CN"/>
                    </w:rPr>
                  </w:pPr>
                  <w:r>
                    <w:rPr>
                      <w:rFonts w:hint="eastAsia" w:ascii="Times New Roman" w:hAnsi="Times New Roman" w:cs="Times New Roman"/>
                      <w:i/>
                      <w:iCs/>
                      <w:snapToGrid w:val="0"/>
                      <w:color w:val="auto"/>
                      <w:sz w:val="24"/>
                      <w:szCs w:val="24"/>
                      <w:highlight w:val="none"/>
                      <w:lang w:val="en-US" w:eastAsia="zh-CN"/>
                    </w:rPr>
                    <w:t>80</w:t>
                  </w:r>
                </w:p>
              </w:tc>
              <w:tc>
                <w:tcPr>
                  <w:tcW w:w="573" w:type="dxa"/>
                  <w:vMerge w:val="restart"/>
                  <w:vAlign w:val="center"/>
                </w:tcPr>
                <w:p w14:paraId="68C70618">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snapToGrid w:val="0"/>
                      <w:color w:val="auto"/>
                      <w:sz w:val="24"/>
                      <w:szCs w:val="24"/>
                      <w:highlight w:val="yellow"/>
                      <w:lang w:eastAsia="zh-CN"/>
                    </w:rPr>
                  </w:pPr>
                  <w:r>
                    <w:rPr>
                      <w:rFonts w:hint="eastAsia" w:ascii="Times New Roman" w:hAnsi="Times New Roman" w:cs="Times New Roman"/>
                      <w:i/>
                      <w:iCs/>
                      <w:snapToGrid w:val="0"/>
                      <w:color w:val="auto"/>
                      <w:sz w:val="24"/>
                      <w:szCs w:val="24"/>
                      <w:highlight w:val="none"/>
                      <w:lang w:eastAsia="zh-CN"/>
                    </w:rPr>
                    <w:t>过滤棉</w:t>
                  </w:r>
                  <w:r>
                    <w:rPr>
                      <w:rFonts w:hint="eastAsia" w:ascii="Times New Roman" w:hAnsi="Times New Roman" w:cs="Times New Roman"/>
                      <w:i/>
                      <w:iCs/>
                      <w:snapToGrid w:val="0"/>
                      <w:color w:val="auto"/>
                      <w:sz w:val="24"/>
                      <w:szCs w:val="24"/>
                      <w:highlight w:val="none"/>
                      <w:lang w:val="en-US" w:eastAsia="zh-CN"/>
                    </w:rPr>
                    <w:t>+</w:t>
                  </w:r>
                  <w:r>
                    <w:rPr>
                      <w:rFonts w:hint="eastAsia" w:ascii="Times New Roman" w:hAnsi="Times New Roman" w:cs="Times New Roman"/>
                      <w:i/>
                      <w:iCs/>
                      <w:snapToGrid w:val="0"/>
                      <w:color w:val="auto"/>
                      <w:sz w:val="24"/>
                      <w:szCs w:val="24"/>
                      <w:highlight w:val="none"/>
                      <w:lang w:eastAsia="zh-CN"/>
                    </w:rPr>
                    <w:t>二级活性炭</w:t>
                  </w:r>
                </w:p>
              </w:tc>
              <w:tc>
                <w:tcPr>
                  <w:tcW w:w="480" w:type="dxa"/>
                  <w:vAlign w:val="center"/>
                </w:tcPr>
                <w:p w14:paraId="2F9B8137">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60</w:t>
                  </w:r>
                </w:p>
              </w:tc>
              <w:tc>
                <w:tcPr>
                  <w:tcW w:w="765" w:type="dxa"/>
                  <w:vAlign w:val="center"/>
                </w:tcPr>
                <w:p w14:paraId="1DBB7073">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8000</w:t>
                  </w:r>
                </w:p>
              </w:tc>
              <w:tc>
                <w:tcPr>
                  <w:tcW w:w="810" w:type="dxa"/>
                  <w:vAlign w:val="center"/>
                </w:tcPr>
                <w:p w14:paraId="636FD76F">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iCs/>
                      <w:snapToGrid w:val="0"/>
                      <w:color w:val="auto"/>
                      <w:sz w:val="24"/>
                      <w:szCs w:val="24"/>
                      <w:highlight w:val="none"/>
                      <w:lang w:val="en-US" w:eastAsia="zh-CN"/>
                    </w:rPr>
                  </w:pPr>
                  <w:r>
                    <w:rPr>
                      <w:rFonts w:hint="eastAsia" w:ascii="Times New Roman" w:hAnsi="Times New Roman" w:cs="Times New Roman"/>
                      <w:i/>
                      <w:iCs/>
                      <w:snapToGrid w:val="0"/>
                      <w:color w:val="auto"/>
                      <w:sz w:val="24"/>
                      <w:szCs w:val="24"/>
                      <w:highlight w:val="none"/>
                      <w:lang w:val="en-US" w:eastAsia="zh-CN"/>
                    </w:rPr>
                    <w:t>6</w:t>
                  </w:r>
                </w:p>
              </w:tc>
              <w:tc>
                <w:tcPr>
                  <w:tcW w:w="705" w:type="dxa"/>
                  <w:vAlign w:val="center"/>
                </w:tcPr>
                <w:p w14:paraId="4481B084">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iCs/>
                      <w:snapToGrid w:val="0"/>
                      <w:color w:val="auto"/>
                      <w:sz w:val="24"/>
                      <w:szCs w:val="24"/>
                      <w:highlight w:val="none"/>
                      <w:lang w:val="en-US" w:eastAsia="zh-CN"/>
                    </w:rPr>
                  </w:pPr>
                  <w:r>
                    <w:rPr>
                      <w:rFonts w:hint="eastAsia" w:ascii="Times New Roman" w:hAnsi="Times New Roman" w:cs="Times New Roman"/>
                      <w:i/>
                      <w:iCs/>
                      <w:snapToGrid w:val="0"/>
                      <w:color w:val="auto"/>
                      <w:sz w:val="24"/>
                      <w:szCs w:val="24"/>
                      <w:highlight w:val="none"/>
                      <w:lang w:val="en-US" w:eastAsia="zh-CN"/>
                    </w:rPr>
                    <w:t>0.048</w:t>
                  </w:r>
                </w:p>
              </w:tc>
              <w:tc>
                <w:tcPr>
                  <w:tcW w:w="700" w:type="dxa"/>
                  <w:vAlign w:val="center"/>
                </w:tcPr>
                <w:p w14:paraId="60FDBCBE">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snapToGrid w:val="0"/>
                      <w:color w:val="auto"/>
                      <w:sz w:val="24"/>
                      <w:szCs w:val="24"/>
                      <w:highlight w:val="none"/>
                      <w:lang w:val="en-US" w:eastAsia="zh-CN"/>
                    </w:rPr>
                  </w:pPr>
                  <w:r>
                    <w:rPr>
                      <w:rFonts w:hint="eastAsia" w:ascii="Times New Roman" w:hAnsi="Times New Roman" w:cs="Times New Roman"/>
                      <w:i/>
                      <w:iCs/>
                      <w:snapToGrid w:val="0"/>
                      <w:color w:val="auto"/>
                      <w:sz w:val="24"/>
                      <w:szCs w:val="24"/>
                      <w:highlight w:val="none"/>
                      <w:lang w:val="en-US" w:eastAsia="zh-CN"/>
                    </w:rPr>
                    <w:t>0.069</w:t>
                  </w:r>
                </w:p>
              </w:tc>
              <w:tc>
                <w:tcPr>
                  <w:tcW w:w="750" w:type="dxa"/>
                  <w:vAlign w:val="center"/>
                </w:tcPr>
                <w:p w14:paraId="31283778">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iCs/>
                      <w:color w:val="auto"/>
                      <w:kern w:val="2"/>
                      <w:sz w:val="24"/>
                      <w:szCs w:val="20"/>
                      <w:lang w:val="en-US" w:eastAsia="zh-CN" w:bidi="ar-SA"/>
                    </w:rPr>
                  </w:pPr>
                  <w:r>
                    <w:rPr>
                      <w:rFonts w:hint="eastAsia" w:ascii="Times New Roman" w:hAnsi="Times New Roman" w:cs="Times New Roman"/>
                      <w:i/>
                      <w:iCs/>
                      <w:color w:val="auto"/>
                      <w:kern w:val="2"/>
                      <w:sz w:val="24"/>
                      <w:szCs w:val="20"/>
                      <w:lang w:val="en-US" w:eastAsia="zh-CN" w:bidi="ar-SA"/>
                    </w:rPr>
                    <w:t>0.030</w:t>
                  </w:r>
                </w:p>
              </w:tc>
              <w:tc>
                <w:tcPr>
                  <w:tcW w:w="667" w:type="dxa"/>
                  <w:vAlign w:val="center"/>
                </w:tcPr>
                <w:p w14:paraId="35EC264A">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color w:val="auto"/>
                      <w:kern w:val="2"/>
                      <w:sz w:val="24"/>
                      <w:szCs w:val="20"/>
                      <w:lang w:val="en-US" w:eastAsia="zh-CN" w:bidi="ar-SA"/>
                    </w:rPr>
                  </w:pPr>
                  <w:r>
                    <w:rPr>
                      <w:rFonts w:hint="eastAsia" w:ascii="Times New Roman" w:hAnsi="Times New Roman" w:cs="Times New Roman"/>
                      <w:i/>
                      <w:iCs/>
                      <w:color w:val="auto"/>
                      <w:kern w:val="2"/>
                      <w:sz w:val="24"/>
                      <w:szCs w:val="20"/>
                      <w:lang w:val="en-US" w:eastAsia="zh-CN" w:bidi="ar-SA"/>
                    </w:rPr>
                    <w:t>0.043</w:t>
                  </w:r>
                </w:p>
              </w:tc>
              <w:tc>
                <w:tcPr>
                  <w:tcW w:w="750" w:type="dxa"/>
                  <w:vAlign w:val="center"/>
                </w:tcPr>
                <w:p w14:paraId="4EE590E0">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1440</w:t>
                  </w:r>
                </w:p>
              </w:tc>
              <w:tc>
                <w:tcPr>
                  <w:tcW w:w="500" w:type="dxa"/>
                  <w:vAlign w:val="center"/>
                </w:tcPr>
                <w:p w14:paraId="1466C17D">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15</w:t>
                  </w:r>
                </w:p>
              </w:tc>
              <w:tc>
                <w:tcPr>
                  <w:tcW w:w="566" w:type="dxa"/>
                  <w:vAlign w:val="center"/>
                </w:tcPr>
                <w:p w14:paraId="2162D9B3">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snapToGrid w:val="0"/>
                      <w:color w:val="auto"/>
                      <w:sz w:val="24"/>
                      <w:szCs w:val="24"/>
                      <w:highlight w:val="yellow"/>
                      <w:lang w:val="en-US" w:eastAsia="zh-CN"/>
                    </w:rPr>
                  </w:pPr>
                  <w:r>
                    <w:rPr>
                      <w:rFonts w:hint="eastAsia" w:ascii="Times New Roman" w:hAnsi="Times New Roman" w:cs="Times New Roman"/>
                      <w:i/>
                      <w:iCs/>
                      <w:snapToGrid w:val="0"/>
                      <w:color w:val="auto"/>
                      <w:sz w:val="24"/>
                      <w:szCs w:val="24"/>
                      <w:highlight w:val="none"/>
                      <w:lang w:val="en-US" w:eastAsia="zh-CN"/>
                    </w:rPr>
                    <w:t>0.5</w:t>
                  </w:r>
                </w:p>
              </w:tc>
              <w:tc>
                <w:tcPr>
                  <w:tcW w:w="462" w:type="dxa"/>
                  <w:vAlign w:val="center"/>
                </w:tcPr>
                <w:p w14:paraId="537E598C">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i/>
                      <w:iCs/>
                      <w:snapToGrid w:val="0"/>
                      <w:color w:val="auto"/>
                      <w:sz w:val="24"/>
                      <w:szCs w:val="24"/>
                    </w:rPr>
                  </w:pPr>
                  <w:r>
                    <w:rPr>
                      <w:rFonts w:hint="default" w:ascii="Times New Roman" w:hAnsi="Times New Roman" w:cs="Times New Roman"/>
                      <w:i/>
                      <w:iCs/>
                      <w:snapToGrid w:val="0"/>
                      <w:color w:val="auto"/>
                      <w:sz w:val="24"/>
                      <w:szCs w:val="24"/>
                    </w:rPr>
                    <w:t>环境温度</w:t>
                  </w:r>
                </w:p>
              </w:tc>
              <w:tc>
                <w:tcPr>
                  <w:tcW w:w="476" w:type="dxa"/>
                  <w:vAlign w:val="center"/>
                </w:tcPr>
                <w:p w14:paraId="67C8279E">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i/>
                      <w:iCs/>
                      <w:snapToGrid w:val="0"/>
                      <w:color w:val="auto"/>
                      <w:sz w:val="24"/>
                      <w:szCs w:val="24"/>
                    </w:rPr>
                  </w:pPr>
                  <w:r>
                    <w:rPr>
                      <w:rFonts w:hint="default" w:ascii="Times New Roman" w:hAnsi="Times New Roman" w:cs="Times New Roman"/>
                      <w:i/>
                      <w:iCs/>
                      <w:snapToGrid w:val="0"/>
                      <w:color w:val="auto"/>
                      <w:sz w:val="24"/>
                      <w:szCs w:val="24"/>
                    </w:rPr>
                    <w:t>一般</w:t>
                  </w:r>
                </w:p>
              </w:tc>
            </w:tr>
            <w:tr w14:paraId="3462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53" w:type="dxa"/>
                  <w:vAlign w:val="center"/>
                </w:tcPr>
                <w:p w14:paraId="71C3D7EF">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snapToGrid w:val="0"/>
                      <w:color w:val="auto"/>
                      <w:sz w:val="24"/>
                      <w:szCs w:val="24"/>
                      <w:lang w:val="en-US" w:eastAsia="zh-CN"/>
                    </w:rPr>
                  </w:pPr>
                  <w:r>
                    <w:rPr>
                      <w:rFonts w:hint="eastAsia" w:ascii="Times New Roman" w:hAnsi="Times New Roman" w:cs="Times New Roman"/>
                      <w:snapToGrid w:val="0"/>
                      <w:color w:val="auto"/>
                      <w:sz w:val="24"/>
                      <w:szCs w:val="24"/>
                      <w:lang w:val="en-US" w:eastAsia="zh-CN"/>
                    </w:rPr>
                    <w:t>2</w:t>
                  </w:r>
                </w:p>
              </w:tc>
              <w:tc>
                <w:tcPr>
                  <w:tcW w:w="725" w:type="dxa"/>
                  <w:vMerge w:val="continue"/>
                  <w:vAlign w:val="center"/>
                </w:tcPr>
                <w:p w14:paraId="1F1E006C">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i/>
                      <w:iCs/>
                      <w:snapToGrid w:val="0"/>
                      <w:color w:val="auto"/>
                      <w:sz w:val="24"/>
                      <w:szCs w:val="24"/>
                      <w:lang w:eastAsia="zh-CN"/>
                    </w:rPr>
                  </w:pPr>
                </w:p>
              </w:tc>
              <w:tc>
                <w:tcPr>
                  <w:tcW w:w="1134" w:type="dxa"/>
                  <w:vAlign w:val="center"/>
                </w:tcPr>
                <w:p w14:paraId="3E61C246">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i/>
                      <w:iCs/>
                      <w:snapToGrid w:val="0"/>
                      <w:color w:val="auto"/>
                      <w:sz w:val="24"/>
                      <w:szCs w:val="24"/>
                      <w:lang w:eastAsia="zh-CN"/>
                    </w:rPr>
                  </w:pPr>
                  <w:r>
                    <w:rPr>
                      <w:rFonts w:hint="eastAsia" w:ascii="Times New Roman" w:hAnsi="Times New Roman" w:cs="Times New Roman"/>
                      <w:i/>
                      <w:iCs/>
                      <w:snapToGrid w:val="0"/>
                      <w:color w:val="auto"/>
                      <w:sz w:val="24"/>
                      <w:szCs w:val="24"/>
                      <w:lang w:eastAsia="zh-CN"/>
                    </w:rPr>
                    <w:t>颗粒物</w:t>
                  </w:r>
                </w:p>
              </w:tc>
              <w:tc>
                <w:tcPr>
                  <w:tcW w:w="433" w:type="dxa"/>
                  <w:vMerge w:val="continue"/>
                  <w:vAlign w:val="center"/>
                </w:tcPr>
                <w:p w14:paraId="438AE688">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i/>
                      <w:iCs/>
                      <w:snapToGrid w:val="0"/>
                      <w:color w:val="auto"/>
                      <w:sz w:val="24"/>
                      <w:szCs w:val="24"/>
                    </w:rPr>
                  </w:pPr>
                </w:p>
              </w:tc>
              <w:tc>
                <w:tcPr>
                  <w:tcW w:w="767" w:type="dxa"/>
                  <w:vAlign w:val="center"/>
                </w:tcPr>
                <w:p w14:paraId="5955BFDC">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8000</w:t>
                  </w:r>
                </w:p>
              </w:tc>
              <w:tc>
                <w:tcPr>
                  <w:tcW w:w="750" w:type="dxa"/>
                  <w:vAlign w:val="center"/>
                </w:tcPr>
                <w:p w14:paraId="4AAA0EDD">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w:t>
                  </w:r>
                </w:p>
              </w:tc>
              <w:tc>
                <w:tcPr>
                  <w:tcW w:w="716" w:type="dxa"/>
                  <w:vAlign w:val="center"/>
                </w:tcPr>
                <w:p w14:paraId="03C5826C">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iCs/>
                      <w:color w:val="auto"/>
                      <w:kern w:val="0"/>
                      <w:sz w:val="24"/>
                      <w:szCs w:val="24"/>
                      <w:lang w:val="en-US" w:eastAsia="zh-CN"/>
                    </w:rPr>
                  </w:pPr>
                  <w:r>
                    <w:rPr>
                      <w:rFonts w:hint="eastAsia" w:ascii="Times New Roman" w:hAnsi="Times New Roman" w:cs="Times New Roman"/>
                      <w:i/>
                      <w:iCs/>
                      <w:color w:val="auto"/>
                      <w:kern w:val="0"/>
                      <w:sz w:val="24"/>
                      <w:szCs w:val="24"/>
                      <w:lang w:val="en-US" w:eastAsia="zh-CN"/>
                    </w:rPr>
                    <w:t>/</w:t>
                  </w:r>
                </w:p>
              </w:tc>
              <w:tc>
                <w:tcPr>
                  <w:tcW w:w="784" w:type="dxa"/>
                  <w:vAlign w:val="center"/>
                </w:tcPr>
                <w:p w14:paraId="7E91B6AB">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w:t>
                  </w:r>
                </w:p>
              </w:tc>
              <w:tc>
                <w:tcPr>
                  <w:tcW w:w="500" w:type="dxa"/>
                  <w:vAlign w:val="center"/>
                </w:tcPr>
                <w:p w14:paraId="25EE49DE">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i/>
                      <w:iCs/>
                      <w:snapToGrid w:val="0"/>
                      <w:color w:val="auto"/>
                      <w:sz w:val="24"/>
                      <w:szCs w:val="24"/>
                      <w:highlight w:val="none"/>
                      <w:lang w:val="en-US" w:eastAsia="zh-CN"/>
                    </w:rPr>
                  </w:pPr>
                  <w:r>
                    <w:rPr>
                      <w:rFonts w:hint="eastAsia" w:ascii="Times New Roman" w:hAnsi="Times New Roman" w:cs="Times New Roman"/>
                      <w:i/>
                      <w:iCs/>
                      <w:snapToGrid w:val="0"/>
                      <w:color w:val="auto"/>
                      <w:sz w:val="24"/>
                      <w:szCs w:val="24"/>
                      <w:highlight w:val="none"/>
                      <w:lang w:val="en-US" w:eastAsia="zh-CN"/>
                    </w:rPr>
                    <w:t>80</w:t>
                  </w:r>
                </w:p>
              </w:tc>
              <w:tc>
                <w:tcPr>
                  <w:tcW w:w="573" w:type="dxa"/>
                  <w:vMerge w:val="continue"/>
                  <w:vAlign w:val="center"/>
                </w:tcPr>
                <w:p w14:paraId="322ACB6B">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i/>
                      <w:iCs/>
                      <w:snapToGrid w:val="0"/>
                      <w:color w:val="auto"/>
                      <w:sz w:val="24"/>
                      <w:szCs w:val="24"/>
                      <w:highlight w:val="none"/>
                      <w:lang w:eastAsia="zh-CN"/>
                    </w:rPr>
                  </w:pPr>
                </w:p>
              </w:tc>
              <w:tc>
                <w:tcPr>
                  <w:tcW w:w="480" w:type="dxa"/>
                  <w:vAlign w:val="center"/>
                </w:tcPr>
                <w:p w14:paraId="031EDF11">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60</w:t>
                  </w:r>
                </w:p>
              </w:tc>
              <w:tc>
                <w:tcPr>
                  <w:tcW w:w="765" w:type="dxa"/>
                  <w:vAlign w:val="center"/>
                </w:tcPr>
                <w:p w14:paraId="1062BCA8">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8000</w:t>
                  </w:r>
                </w:p>
              </w:tc>
              <w:tc>
                <w:tcPr>
                  <w:tcW w:w="810" w:type="dxa"/>
                  <w:vAlign w:val="center"/>
                </w:tcPr>
                <w:p w14:paraId="22FC54A3">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iCs/>
                      <w:color w:val="auto"/>
                      <w:kern w:val="2"/>
                      <w:sz w:val="24"/>
                      <w:szCs w:val="20"/>
                      <w:lang w:val="en-US" w:eastAsia="zh-CN" w:bidi="ar-SA"/>
                    </w:rPr>
                  </w:pPr>
                  <w:r>
                    <w:rPr>
                      <w:rFonts w:hint="eastAsia" w:ascii="Times New Roman" w:hAnsi="Times New Roman" w:cs="Times New Roman"/>
                      <w:i/>
                      <w:iCs/>
                      <w:color w:val="auto"/>
                      <w:kern w:val="2"/>
                      <w:sz w:val="24"/>
                      <w:szCs w:val="20"/>
                      <w:lang w:val="en-US" w:eastAsia="zh-CN" w:bidi="ar-SA"/>
                    </w:rPr>
                    <w:t>/</w:t>
                  </w:r>
                </w:p>
              </w:tc>
              <w:tc>
                <w:tcPr>
                  <w:tcW w:w="705" w:type="dxa"/>
                  <w:vAlign w:val="center"/>
                </w:tcPr>
                <w:p w14:paraId="1DDAABF6">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iCs/>
                      <w:snapToGrid w:val="0"/>
                      <w:color w:val="auto"/>
                      <w:sz w:val="24"/>
                      <w:szCs w:val="24"/>
                      <w:highlight w:val="none"/>
                      <w:lang w:val="en-US" w:eastAsia="zh-CN"/>
                    </w:rPr>
                  </w:pPr>
                  <w:r>
                    <w:rPr>
                      <w:rFonts w:hint="eastAsia" w:ascii="Times New Roman" w:hAnsi="Times New Roman" w:cs="Times New Roman"/>
                      <w:i/>
                      <w:iCs/>
                      <w:snapToGrid w:val="0"/>
                      <w:color w:val="auto"/>
                      <w:sz w:val="24"/>
                      <w:szCs w:val="24"/>
                      <w:highlight w:val="none"/>
                      <w:lang w:val="en-US" w:eastAsia="zh-CN"/>
                    </w:rPr>
                    <w:t>/</w:t>
                  </w:r>
                </w:p>
              </w:tc>
              <w:tc>
                <w:tcPr>
                  <w:tcW w:w="700" w:type="dxa"/>
                  <w:vAlign w:val="center"/>
                </w:tcPr>
                <w:p w14:paraId="73DEA0C6">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i/>
                      <w:iCs/>
                      <w:snapToGrid w:val="0"/>
                      <w:color w:val="auto"/>
                      <w:sz w:val="24"/>
                      <w:szCs w:val="24"/>
                      <w:highlight w:val="none"/>
                      <w:lang w:val="en-US" w:eastAsia="zh-CN"/>
                    </w:rPr>
                  </w:pPr>
                  <w:r>
                    <w:rPr>
                      <w:rFonts w:hint="eastAsia" w:ascii="Times New Roman" w:hAnsi="Times New Roman" w:cs="Times New Roman"/>
                      <w:i/>
                      <w:iCs/>
                      <w:snapToGrid w:val="0"/>
                      <w:color w:val="auto"/>
                      <w:sz w:val="24"/>
                      <w:szCs w:val="24"/>
                      <w:highlight w:val="none"/>
                      <w:lang w:val="en-US" w:eastAsia="zh-CN"/>
                    </w:rPr>
                    <w:t>/</w:t>
                  </w:r>
                </w:p>
              </w:tc>
              <w:tc>
                <w:tcPr>
                  <w:tcW w:w="750" w:type="dxa"/>
                  <w:vAlign w:val="center"/>
                </w:tcPr>
                <w:p w14:paraId="5F25F414">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iCs/>
                      <w:color w:val="auto"/>
                      <w:kern w:val="2"/>
                      <w:sz w:val="24"/>
                      <w:szCs w:val="20"/>
                      <w:lang w:val="en-US" w:eastAsia="zh-CN" w:bidi="ar-SA"/>
                    </w:rPr>
                  </w:pPr>
                  <w:r>
                    <w:rPr>
                      <w:rFonts w:hint="eastAsia" w:ascii="Times New Roman" w:hAnsi="Times New Roman" w:cs="Times New Roman"/>
                      <w:i/>
                      <w:iCs/>
                      <w:color w:val="auto"/>
                      <w:kern w:val="2"/>
                      <w:sz w:val="24"/>
                      <w:szCs w:val="20"/>
                      <w:lang w:val="en-US" w:eastAsia="zh-CN" w:bidi="ar-SA"/>
                    </w:rPr>
                    <w:t>/</w:t>
                  </w:r>
                </w:p>
              </w:tc>
              <w:tc>
                <w:tcPr>
                  <w:tcW w:w="667" w:type="dxa"/>
                  <w:vAlign w:val="center"/>
                </w:tcPr>
                <w:p w14:paraId="071E51D6">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color w:val="auto"/>
                      <w:kern w:val="2"/>
                      <w:sz w:val="24"/>
                      <w:szCs w:val="20"/>
                      <w:lang w:val="en-US" w:eastAsia="zh-CN" w:bidi="ar-SA"/>
                    </w:rPr>
                  </w:pPr>
                  <w:r>
                    <w:rPr>
                      <w:rFonts w:hint="eastAsia" w:ascii="Times New Roman" w:hAnsi="Times New Roman" w:cs="Times New Roman"/>
                      <w:i/>
                      <w:iCs/>
                      <w:color w:val="auto"/>
                      <w:kern w:val="2"/>
                      <w:sz w:val="24"/>
                      <w:szCs w:val="20"/>
                      <w:lang w:val="en-US" w:eastAsia="zh-CN" w:bidi="ar-SA"/>
                    </w:rPr>
                    <w:t>/</w:t>
                  </w:r>
                </w:p>
              </w:tc>
              <w:tc>
                <w:tcPr>
                  <w:tcW w:w="750" w:type="dxa"/>
                  <w:vAlign w:val="center"/>
                </w:tcPr>
                <w:p w14:paraId="273895DB">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w:t>
                  </w:r>
                </w:p>
              </w:tc>
              <w:tc>
                <w:tcPr>
                  <w:tcW w:w="500" w:type="dxa"/>
                  <w:shd w:val="clear" w:color="auto" w:fill="auto"/>
                  <w:vAlign w:val="center"/>
                </w:tcPr>
                <w:p w14:paraId="243E4E3F">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snapToGrid w:val="0"/>
                      <w:color w:val="auto"/>
                      <w:kern w:val="2"/>
                      <w:sz w:val="24"/>
                      <w:szCs w:val="24"/>
                      <w:lang w:val="en-US" w:eastAsia="zh-CN" w:bidi="ar-SA"/>
                    </w:rPr>
                  </w:pPr>
                  <w:r>
                    <w:rPr>
                      <w:rFonts w:hint="eastAsia" w:ascii="Times New Roman" w:hAnsi="Times New Roman" w:cs="Times New Roman"/>
                      <w:i/>
                      <w:iCs/>
                      <w:snapToGrid w:val="0"/>
                      <w:color w:val="auto"/>
                      <w:sz w:val="24"/>
                      <w:szCs w:val="24"/>
                      <w:lang w:val="en-US" w:eastAsia="zh-CN"/>
                    </w:rPr>
                    <w:t>15</w:t>
                  </w:r>
                </w:p>
              </w:tc>
              <w:tc>
                <w:tcPr>
                  <w:tcW w:w="566" w:type="dxa"/>
                  <w:shd w:val="clear" w:color="auto" w:fill="auto"/>
                  <w:vAlign w:val="center"/>
                </w:tcPr>
                <w:p w14:paraId="6D6919BD">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snapToGrid w:val="0"/>
                      <w:color w:val="auto"/>
                      <w:kern w:val="2"/>
                      <w:sz w:val="24"/>
                      <w:szCs w:val="24"/>
                      <w:highlight w:val="yellow"/>
                      <w:lang w:val="en-US" w:eastAsia="zh-CN" w:bidi="ar-SA"/>
                    </w:rPr>
                  </w:pPr>
                  <w:r>
                    <w:rPr>
                      <w:rFonts w:hint="eastAsia" w:ascii="Times New Roman" w:hAnsi="Times New Roman" w:cs="Times New Roman"/>
                      <w:i/>
                      <w:iCs/>
                      <w:snapToGrid w:val="0"/>
                      <w:color w:val="auto"/>
                      <w:sz w:val="24"/>
                      <w:szCs w:val="24"/>
                      <w:highlight w:val="none"/>
                      <w:lang w:val="en-US" w:eastAsia="zh-CN"/>
                    </w:rPr>
                    <w:t>0.5</w:t>
                  </w:r>
                </w:p>
              </w:tc>
              <w:tc>
                <w:tcPr>
                  <w:tcW w:w="462" w:type="dxa"/>
                  <w:shd w:val="clear" w:color="auto" w:fill="auto"/>
                  <w:vAlign w:val="center"/>
                </w:tcPr>
                <w:p w14:paraId="51E5E803">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snapToGrid w:val="0"/>
                      <w:color w:val="auto"/>
                      <w:kern w:val="2"/>
                      <w:sz w:val="24"/>
                      <w:szCs w:val="24"/>
                      <w:lang w:val="en-US" w:eastAsia="zh-CN" w:bidi="ar-SA"/>
                    </w:rPr>
                  </w:pPr>
                  <w:r>
                    <w:rPr>
                      <w:rFonts w:hint="default" w:ascii="Times New Roman" w:hAnsi="Times New Roman" w:cs="Times New Roman"/>
                      <w:i/>
                      <w:iCs/>
                      <w:snapToGrid w:val="0"/>
                      <w:color w:val="auto"/>
                      <w:sz w:val="24"/>
                      <w:szCs w:val="24"/>
                    </w:rPr>
                    <w:t>环境温度</w:t>
                  </w:r>
                </w:p>
              </w:tc>
              <w:tc>
                <w:tcPr>
                  <w:tcW w:w="476" w:type="dxa"/>
                  <w:shd w:val="clear" w:color="auto" w:fill="auto"/>
                  <w:vAlign w:val="center"/>
                </w:tcPr>
                <w:p w14:paraId="634E6EF4">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snapToGrid w:val="0"/>
                      <w:color w:val="auto"/>
                      <w:kern w:val="2"/>
                      <w:sz w:val="24"/>
                      <w:szCs w:val="24"/>
                      <w:lang w:val="en-US" w:eastAsia="zh-CN" w:bidi="ar-SA"/>
                    </w:rPr>
                  </w:pPr>
                  <w:r>
                    <w:rPr>
                      <w:rFonts w:hint="default" w:ascii="Times New Roman" w:hAnsi="Times New Roman" w:cs="Times New Roman"/>
                      <w:i/>
                      <w:iCs/>
                      <w:snapToGrid w:val="0"/>
                      <w:color w:val="auto"/>
                      <w:sz w:val="24"/>
                      <w:szCs w:val="24"/>
                    </w:rPr>
                    <w:t>一般</w:t>
                  </w:r>
                </w:p>
              </w:tc>
            </w:tr>
            <w:tr w14:paraId="18FD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53" w:type="dxa"/>
                  <w:vAlign w:val="center"/>
                </w:tcPr>
                <w:p w14:paraId="03EF73B3">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snapToGrid w:val="0"/>
                      <w:color w:val="auto"/>
                      <w:sz w:val="24"/>
                      <w:szCs w:val="24"/>
                      <w:lang w:val="en-US" w:eastAsia="zh-CN"/>
                    </w:rPr>
                  </w:pPr>
                  <w:r>
                    <w:rPr>
                      <w:rFonts w:hint="eastAsia" w:ascii="Times New Roman" w:hAnsi="Times New Roman" w:cs="Times New Roman"/>
                      <w:snapToGrid w:val="0"/>
                      <w:color w:val="auto"/>
                      <w:sz w:val="24"/>
                      <w:szCs w:val="24"/>
                      <w:lang w:val="en-US" w:eastAsia="zh-CN"/>
                    </w:rPr>
                    <w:t>3</w:t>
                  </w:r>
                </w:p>
              </w:tc>
              <w:tc>
                <w:tcPr>
                  <w:tcW w:w="725" w:type="dxa"/>
                  <w:vMerge w:val="continue"/>
                  <w:vAlign w:val="center"/>
                </w:tcPr>
                <w:p w14:paraId="748985CB">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i/>
                      <w:iCs/>
                      <w:snapToGrid w:val="0"/>
                      <w:color w:val="auto"/>
                      <w:sz w:val="24"/>
                      <w:szCs w:val="24"/>
                      <w:lang w:eastAsia="zh-CN"/>
                    </w:rPr>
                  </w:pPr>
                </w:p>
              </w:tc>
              <w:tc>
                <w:tcPr>
                  <w:tcW w:w="1134" w:type="dxa"/>
                  <w:vAlign w:val="center"/>
                </w:tcPr>
                <w:p w14:paraId="4AD91250">
                  <w:pPr>
                    <w:pStyle w:val="48"/>
                    <w:keepNext w:val="0"/>
                    <w:keepLines w:val="0"/>
                    <w:pageBreakBefore w:val="0"/>
                    <w:kinsoku/>
                    <w:wordWrap/>
                    <w:overflowPunct/>
                    <w:topLinePunct w:val="0"/>
                    <w:autoSpaceDE/>
                    <w:autoSpaceDN/>
                    <w:bidi w:val="0"/>
                    <w:spacing w:line="240" w:lineRule="auto"/>
                    <w:ind w:firstLine="0" w:firstLineChars="0"/>
                    <w:jc w:val="both"/>
                    <w:rPr>
                      <w:rFonts w:hint="eastAsia" w:ascii="Times New Roman" w:hAnsi="Times New Roman" w:eastAsia="仿宋"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臭气浓度</w:t>
                  </w:r>
                </w:p>
              </w:tc>
              <w:tc>
                <w:tcPr>
                  <w:tcW w:w="433" w:type="dxa"/>
                  <w:vMerge w:val="continue"/>
                  <w:vAlign w:val="center"/>
                </w:tcPr>
                <w:p w14:paraId="09EF9266">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i/>
                      <w:iCs/>
                      <w:snapToGrid w:val="0"/>
                      <w:color w:val="auto"/>
                      <w:sz w:val="24"/>
                      <w:szCs w:val="24"/>
                    </w:rPr>
                  </w:pPr>
                </w:p>
              </w:tc>
              <w:tc>
                <w:tcPr>
                  <w:tcW w:w="767" w:type="dxa"/>
                  <w:shd w:val="clear" w:color="auto" w:fill="auto"/>
                  <w:vAlign w:val="center"/>
                </w:tcPr>
                <w:p w14:paraId="4D04A623">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snapToGrid w:val="0"/>
                      <w:color w:val="auto"/>
                      <w:kern w:val="2"/>
                      <w:sz w:val="24"/>
                      <w:szCs w:val="24"/>
                      <w:lang w:val="en-US" w:eastAsia="zh-CN" w:bidi="ar-SA"/>
                    </w:rPr>
                  </w:pPr>
                  <w:r>
                    <w:rPr>
                      <w:rFonts w:hint="eastAsia" w:ascii="Times New Roman" w:hAnsi="Times New Roman" w:cs="Times New Roman"/>
                      <w:i/>
                      <w:iCs/>
                      <w:snapToGrid w:val="0"/>
                      <w:color w:val="auto"/>
                      <w:sz w:val="24"/>
                      <w:szCs w:val="24"/>
                      <w:lang w:val="en-US" w:eastAsia="zh-CN"/>
                    </w:rPr>
                    <w:t>8000</w:t>
                  </w:r>
                </w:p>
              </w:tc>
              <w:tc>
                <w:tcPr>
                  <w:tcW w:w="750" w:type="dxa"/>
                  <w:shd w:val="clear" w:color="auto" w:fill="auto"/>
                  <w:vAlign w:val="center"/>
                </w:tcPr>
                <w:p w14:paraId="5C91F206">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仿宋" w:cs="Times New Roman"/>
                      <w:i/>
                      <w:iCs/>
                      <w:color w:val="auto"/>
                      <w:kern w:val="2"/>
                      <w:sz w:val="24"/>
                      <w:szCs w:val="24"/>
                      <w:lang w:val="en-US" w:eastAsia="zh-CN" w:bidi="ar-SA"/>
                    </w:rPr>
                  </w:pPr>
                  <w:r>
                    <w:rPr>
                      <w:rFonts w:hint="eastAsia" w:ascii="Times New Roman" w:hAnsi="Times New Roman" w:cs="Times New Roman"/>
                      <w:i/>
                      <w:iCs/>
                      <w:color w:val="auto"/>
                      <w:sz w:val="24"/>
                      <w:szCs w:val="24"/>
                      <w:lang w:val="en-US" w:eastAsia="zh-CN"/>
                    </w:rPr>
                    <w:t>/</w:t>
                  </w:r>
                </w:p>
              </w:tc>
              <w:tc>
                <w:tcPr>
                  <w:tcW w:w="716" w:type="dxa"/>
                  <w:shd w:val="clear" w:color="auto" w:fill="auto"/>
                  <w:vAlign w:val="center"/>
                </w:tcPr>
                <w:p w14:paraId="79D19F82">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仿宋" w:cs="Times New Roman"/>
                      <w:i/>
                      <w:iCs/>
                      <w:color w:val="auto"/>
                      <w:kern w:val="0"/>
                      <w:sz w:val="24"/>
                      <w:szCs w:val="24"/>
                      <w:lang w:val="en-US" w:eastAsia="zh-CN" w:bidi="ar-SA"/>
                    </w:rPr>
                  </w:pPr>
                  <w:r>
                    <w:rPr>
                      <w:rFonts w:hint="eastAsia" w:ascii="Times New Roman" w:hAnsi="Times New Roman" w:cs="Times New Roman"/>
                      <w:i/>
                      <w:iCs/>
                      <w:color w:val="auto"/>
                      <w:kern w:val="0"/>
                      <w:sz w:val="24"/>
                      <w:szCs w:val="24"/>
                      <w:lang w:val="en-US" w:eastAsia="zh-CN"/>
                    </w:rPr>
                    <w:t>/</w:t>
                  </w:r>
                </w:p>
              </w:tc>
              <w:tc>
                <w:tcPr>
                  <w:tcW w:w="784" w:type="dxa"/>
                  <w:shd w:val="clear" w:color="auto" w:fill="auto"/>
                  <w:vAlign w:val="center"/>
                </w:tcPr>
                <w:p w14:paraId="27104529">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仿宋" w:cs="Times New Roman"/>
                      <w:i/>
                      <w:iCs/>
                      <w:color w:val="auto"/>
                      <w:kern w:val="2"/>
                      <w:sz w:val="24"/>
                      <w:szCs w:val="24"/>
                      <w:lang w:val="en-US" w:eastAsia="zh-CN" w:bidi="ar-SA"/>
                    </w:rPr>
                  </w:pPr>
                  <w:r>
                    <w:rPr>
                      <w:rFonts w:hint="eastAsia" w:ascii="Times New Roman" w:hAnsi="Times New Roman" w:cs="Times New Roman"/>
                      <w:i/>
                      <w:iCs/>
                      <w:color w:val="auto"/>
                      <w:sz w:val="24"/>
                      <w:szCs w:val="24"/>
                      <w:lang w:val="en-US" w:eastAsia="zh-CN"/>
                    </w:rPr>
                    <w:t>/</w:t>
                  </w:r>
                </w:p>
              </w:tc>
              <w:tc>
                <w:tcPr>
                  <w:tcW w:w="500" w:type="dxa"/>
                  <w:shd w:val="clear" w:color="auto" w:fill="auto"/>
                  <w:vAlign w:val="center"/>
                </w:tcPr>
                <w:p w14:paraId="10DD8F68">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snapToGrid w:val="0"/>
                      <w:color w:val="auto"/>
                      <w:kern w:val="2"/>
                      <w:sz w:val="24"/>
                      <w:szCs w:val="24"/>
                      <w:highlight w:val="none"/>
                      <w:lang w:val="en-US" w:eastAsia="zh-CN" w:bidi="ar-SA"/>
                    </w:rPr>
                  </w:pPr>
                  <w:r>
                    <w:rPr>
                      <w:rFonts w:hint="eastAsia" w:ascii="Times New Roman" w:hAnsi="Times New Roman" w:cs="Times New Roman"/>
                      <w:i/>
                      <w:iCs/>
                      <w:snapToGrid w:val="0"/>
                      <w:color w:val="auto"/>
                      <w:sz w:val="24"/>
                      <w:szCs w:val="24"/>
                      <w:highlight w:val="none"/>
                      <w:lang w:val="en-US" w:eastAsia="zh-CN"/>
                    </w:rPr>
                    <w:t>80</w:t>
                  </w:r>
                </w:p>
              </w:tc>
              <w:tc>
                <w:tcPr>
                  <w:tcW w:w="573" w:type="dxa"/>
                  <w:vMerge w:val="continue"/>
                  <w:vAlign w:val="center"/>
                </w:tcPr>
                <w:p w14:paraId="0A460F6F">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i/>
                      <w:iCs/>
                      <w:snapToGrid w:val="0"/>
                      <w:color w:val="auto"/>
                      <w:sz w:val="24"/>
                      <w:szCs w:val="24"/>
                      <w:highlight w:val="none"/>
                      <w:lang w:eastAsia="zh-CN"/>
                    </w:rPr>
                  </w:pPr>
                </w:p>
              </w:tc>
              <w:tc>
                <w:tcPr>
                  <w:tcW w:w="480" w:type="dxa"/>
                  <w:shd w:val="clear" w:color="auto" w:fill="auto"/>
                  <w:vAlign w:val="center"/>
                </w:tcPr>
                <w:p w14:paraId="1420A601">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snapToGrid w:val="0"/>
                      <w:color w:val="auto"/>
                      <w:kern w:val="2"/>
                      <w:sz w:val="24"/>
                      <w:szCs w:val="24"/>
                      <w:lang w:val="en-US" w:eastAsia="zh-CN" w:bidi="ar-SA"/>
                    </w:rPr>
                  </w:pPr>
                  <w:r>
                    <w:rPr>
                      <w:rFonts w:hint="eastAsia" w:ascii="Times New Roman" w:hAnsi="Times New Roman" w:cs="Times New Roman"/>
                      <w:i/>
                      <w:iCs/>
                      <w:snapToGrid w:val="0"/>
                      <w:color w:val="auto"/>
                      <w:sz w:val="24"/>
                      <w:szCs w:val="24"/>
                      <w:lang w:val="en-US" w:eastAsia="zh-CN"/>
                    </w:rPr>
                    <w:t>60</w:t>
                  </w:r>
                </w:p>
              </w:tc>
              <w:tc>
                <w:tcPr>
                  <w:tcW w:w="765" w:type="dxa"/>
                  <w:shd w:val="clear" w:color="auto" w:fill="auto"/>
                  <w:vAlign w:val="center"/>
                </w:tcPr>
                <w:p w14:paraId="6507CF12">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snapToGrid w:val="0"/>
                      <w:color w:val="auto"/>
                      <w:kern w:val="2"/>
                      <w:sz w:val="24"/>
                      <w:szCs w:val="24"/>
                      <w:lang w:val="en-US" w:eastAsia="zh-CN" w:bidi="ar-SA"/>
                    </w:rPr>
                  </w:pPr>
                  <w:r>
                    <w:rPr>
                      <w:rFonts w:hint="eastAsia" w:ascii="Times New Roman" w:hAnsi="Times New Roman" w:cs="Times New Roman"/>
                      <w:i/>
                      <w:iCs/>
                      <w:snapToGrid w:val="0"/>
                      <w:color w:val="auto"/>
                      <w:sz w:val="24"/>
                      <w:szCs w:val="24"/>
                      <w:lang w:val="en-US" w:eastAsia="zh-CN"/>
                    </w:rPr>
                    <w:t>8000</w:t>
                  </w:r>
                </w:p>
              </w:tc>
              <w:tc>
                <w:tcPr>
                  <w:tcW w:w="810" w:type="dxa"/>
                  <w:shd w:val="clear" w:color="auto" w:fill="auto"/>
                  <w:vAlign w:val="center"/>
                </w:tcPr>
                <w:p w14:paraId="18321A7E">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仿宋" w:cs="Times New Roman"/>
                      <w:i/>
                      <w:iCs/>
                      <w:color w:val="auto"/>
                      <w:kern w:val="2"/>
                      <w:sz w:val="24"/>
                      <w:szCs w:val="20"/>
                      <w:lang w:val="en-US" w:eastAsia="zh-CN" w:bidi="ar-SA"/>
                    </w:rPr>
                  </w:pPr>
                  <w:r>
                    <w:rPr>
                      <w:rFonts w:hint="eastAsia" w:ascii="Times New Roman" w:hAnsi="Times New Roman" w:cs="Times New Roman"/>
                      <w:i/>
                      <w:iCs/>
                      <w:color w:val="auto"/>
                      <w:kern w:val="2"/>
                      <w:sz w:val="24"/>
                      <w:szCs w:val="20"/>
                      <w:lang w:val="en-US" w:eastAsia="zh-CN" w:bidi="ar-SA"/>
                    </w:rPr>
                    <w:t>/</w:t>
                  </w:r>
                </w:p>
              </w:tc>
              <w:tc>
                <w:tcPr>
                  <w:tcW w:w="705" w:type="dxa"/>
                  <w:shd w:val="clear" w:color="auto" w:fill="auto"/>
                  <w:vAlign w:val="center"/>
                </w:tcPr>
                <w:p w14:paraId="2C2B890C">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仿宋" w:cs="Times New Roman"/>
                      <w:i/>
                      <w:iCs/>
                      <w:snapToGrid w:val="0"/>
                      <w:color w:val="auto"/>
                      <w:kern w:val="2"/>
                      <w:sz w:val="24"/>
                      <w:szCs w:val="24"/>
                      <w:highlight w:val="none"/>
                      <w:lang w:val="en-US" w:eastAsia="zh-CN" w:bidi="ar-SA"/>
                    </w:rPr>
                  </w:pPr>
                  <w:r>
                    <w:rPr>
                      <w:rFonts w:hint="eastAsia" w:ascii="Times New Roman" w:hAnsi="Times New Roman" w:cs="Times New Roman"/>
                      <w:i/>
                      <w:iCs/>
                      <w:snapToGrid w:val="0"/>
                      <w:color w:val="auto"/>
                      <w:sz w:val="24"/>
                      <w:szCs w:val="24"/>
                      <w:highlight w:val="none"/>
                      <w:lang w:val="en-US" w:eastAsia="zh-CN"/>
                    </w:rPr>
                    <w:t>/</w:t>
                  </w:r>
                </w:p>
              </w:tc>
              <w:tc>
                <w:tcPr>
                  <w:tcW w:w="700" w:type="dxa"/>
                  <w:shd w:val="clear" w:color="auto" w:fill="auto"/>
                  <w:vAlign w:val="center"/>
                </w:tcPr>
                <w:p w14:paraId="06FAB522">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snapToGrid w:val="0"/>
                      <w:color w:val="auto"/>
                      <w:kern w:val="2"/>
                      <w:sz w:val="24"/>
                      <w:szCs w:val="24"/>
                      <w:highlight w:val="none"/>
                      <w:lang w:val="en-US" w:eastAsia="zh-CN" w:bidi="ar-SA"/>
                    </w:rPr>
                  </w:pPr>
                  <w:r>
                    <w:rPr>
                      <w:rFonts w:hint="eastAsia" w:ascii="Times New Roman" w:hAnsi="Times New Roman" w:cs="Times New Roman"/>
                      <w:i/>
                      <w:iCs/>
                      <w:snapToGrid w:val="0"/>
                      <w:color w:val="auto"/>
                      <w:sz w:val="24"/>
                      <w:szCs w:val="24"/>
                      <w:highlight w:val="none"/>
                      <w:lang w:val="en-US" w:eastAsia="zh-CN"/>
                    </w:rPr>
                    <w:t>/</w:t>
                  </w:r>
                </w:p>
              </w:tc>
              <w:tc>
                <w:tcPr>
                  <w:tcW w:w="750" w:type="dxa"/>
                  <w:shd w:val="clear" w:color="auto" w:fill="auto"/>
                  <w:vAlign w:val="center"/>
                </w:tcPr>
                <w:p w14:paraId="597E639D">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仿宋" w:cs="Times New Roman"/>
                      <w:i/>
                      <w:iCs/>
                      <w:color w:val="auto"/>
                      <w:kern w:val="2"/>
                      <w:sz w:val="24"/>
                      <w:szCs w:val="20"/>
                      <w:lang w:val="en-US" w:eastAsia="zh-CN" w:bidi="ar-SA"/>
                    </w:rPr>
                  </w:pPr>
                  <w:r>
                    <w:rPr>
                      <w:rFonts w:hint="eastAsia" w:ascii="Times New Roman" w:hAnsi="Times New Roman" w:cs="Times New Roman"/>
                      <w:i/>
                      <w:iCs/>
                      <w:color w:val="auto"/>
                      <w:kern w:val="2"/>
                      <w:sz w:val="24"/>
                      <w:szCs w:val="20"/>
                      <w:lang w:val="en-US" w:eastAsia="zh-CN" w:bidi="ar-SA"/>
                    </w:rPr>
                    <w:t>/</w:t>
                  </w:r>
                </w:p>
              </w:tc>
              <w:tc>
                <w:tcPr>
                  <w:tcW w:w="667" w:type="dxa"/>
                  <w:shd w:val="clear" w:color="auto" w:fill="auto"/>
                  <w:vAlign w:val="center"/>
                </w:tcPr>
                <w:p w14:paraId="0A33400B">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color w:val="auto"/>
                      <w:kern w:val="2"/>
                      <w:sz w:val="24"/>
                      <w:szCs w:val="20"/>
                      <w:lang w:val="en-US" w:eastAsia="zh-CN" w:bidi="ar-SA"/>
                    </w:rPr>
                  </w:pPr>
                  <w:r>
                    <w:rPr>
                      <w:rFonts w:hint="eastAsia" w:ascii="Times New Roman" w:hAnsi="Times New Roman" w:cs="Times New Roman"/>
                      <w:i/>
                      <w:iCs/>
                      <w:color w:val="auto"/>
                      <w:kern w:val="2"/>
                      <w:sz w:val="24"/>
                      <w:szCs w:val="20"/>
                      <w:lang w:val="en-US" w:eastAsia="zh-CN" w:bidi="ar-SA"/>
                    </w:rPr>
                    <w:t>/</w:t>
                  </w:r>
                </w:p>
              </w:tc>
              <w:tc>
                <w:tcPr>
                  <w:tcW w:w="750" w:type="dxa"/>
                  <w:shd w:val="clear" w:color="auto" w:fill="auto"/>
                  <w:vAlign w:val="center"/>
                </w:tcPr>
                <w:p w14:paraId="22C1F8B7">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snapToGrid w:val="0"/>
                      <w:color w:val="auto"/>
                      <w:kern w:val="2"/>
                      <w:sz w:val="24"/>
                      <w:szCs w:val="24"/>
                      <w:lang w:val="en-US" w:eastAsia="zh-CN" w:bidi="ar-SA"/>
                    </w:rPr>
                  </w:pPr>
                  <w:r>
                    <w:rPr>
                      <w:rFonts w:hint="eastAsia" w:ascii="Times New Roman" w:hAnsi="Times New Roman" w:cs="Times New Roman"/>
                      <w:i/>
                      <w:iCs/>
                      <w:snapToGrid w:val="0"/>
                      <w:color w:val="auto"/>
                      <w:sz w:val="24"/>
                      <w:szCs w:val="24"/>
                      <w:lang w:val="en-US" w:eastAsia="zh-CN"/>
                    </w:rPr>
                    <w:t>/</w:t>
                  </w:r>
                </w:p>
              </w:tc>
              <w:tc>
                <w:tcPr>
                  <w:tcW w:w="500" w:type="dxa"/>
                  <w:shd w:val="clear" w:color="auto" w:fill="auto"/>
                  <w:vAlign w:val="center"/>
                </w:tcPr>
                <w:p w14:paraId="2BE443E7">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snapToGrid w:val="0"/>
                      <w:color w:val="auto"/>
                      <w:kern w:val="2"/>
                      <w:sz w:val="24"/>
                      <w:szCs w:val="24"/>
                      <w:lang w:val="en-US" w:eastAsia="zh-CN" w:bidi="ar-SA"/>
                    </w:rPr>
                  </w:pPr>
                  <w:r>
                    <w:rPr>
                      <w:rFonts w:hint="eastAsia" w:ascii="Times New Roman" w:hAnsi="Times New Roman" w:cs="Times New Roman"/>
                      <w:i/>
                      <w:iCs/>
                      <w:snapToGrid w:val="0"/>
                      <w:color w:val="auto"/>
                      <w:sz w:val="24"/>
                      <w:szCs w:val="24"/>
                      <w:lang w:val="en-US" w:eastAsia="zh-CN"/>
                    </w:rPr>
                    <w:t>15</w:t>
                  </w:r>
                </w:p>
              </w:tc>
              <w:tc>
                <w:tcPr>
                  <w:tcW w:w="566" w:type="dxa"/>
                  <w:shd w:val="clear" w:color="auto" w:fill="auto"/>
                  <w:vAlign w:val="center"/>
                </w:tcPr>
                <w:p w14:paraId="29F3A047">
                  <w:pPr>
                    <w:pStyle w:val="48"/>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仿宋" w:cs="Times New Roman"/>
                      <w:i/>
                      <w:iCs/>
                      <w:snapToGrid w:val="0"/>
                      <w:color w:val="auto"/>
                      <w:kern w:val="2"/>
                      <w:sz w:val="24"/>
                      <w:szCs w:val="24"/>
                      <w:highlight w:val="yellow"/>
                      <w:lang w:val="en-US" w:eastAsia="zh-CN" w:bidi="ar-SA"/>
                    </w:rPr>
                  </w:pPr>
                  <w:r>
                    <w:rPr>
                      <w:rFonts w:hint="eastAsia" w:ascii="Times New Roman" w:hAnsi="Times New Roman" w:cs="Times New Roman"/>
                      <w:i/>
                      <w:iCs/>
                      <w:snapToGrid w:val="0"/>
                      <w:color w:val="auto"/>
                      <w:sz w:val="24"/>
                      <w:szCs w:val="24"/>
                      <w:highlight w:val="none"/>
                      <w:lang w:val="en-US" w:eastAsia="zh-CN"/>
                    </w:rPr>
                    <w:t>0.5</w:t>
                  </w:r>
                </w:p>
              </w:tc>
              <w:tc>
                <w:tcPr>
                  <w:tcW w:w="462" w:type="dxa"/>
                  <w:shd w:val="clear" w:color="auto" w:fill="auto"/>
                  <w:vAlign w:val="center"/>
                </w:tcPr>
                <w:p w14:paraId="4B4FB9C3">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snapToGrid w:val="0"/>
                      <w:color w:val="auto"/>
                      <w:kern w:val="2"/>
                      <w:sz w:val="24"/>
                      <w:szCs w:val="24"/>
                      <w:lang w:val="en-US" w:eastAsia="zh-CN" w:bidi="ar-SA"/>
                    </w:rPr>
                  </w:pPr>
                  <w:r>
                    <w:rPr>
                      <w:rFonts w:hint="default" w:ascii="Times New Roman" w:hAnsi="Times New Roman" w:cs="Times New Roman"/>
                      <w:i/>
                      <w:iCs/>
                      <w:snapToGrid w:val="0"/>
                      <w:color w:val="auto"/>
                      <w:sz w:val="24"/>
                      <w:szCs w:val="24"/>
                    </w:rPr>
                    <w:t>环境温度</w:t>
                  </w:r>
                </w:p>
              </w:tc>
              <w:tc>
                <w:tcPr>
                  <w:tcW w:w="476" w:type="dxa"/>
                  <w:shd w:val="clear" w:color="auto" w:fill="auto"/>
                  <w:vAlign w:val="center"/>
                </w:tcPr>
                <w:p w14:paraId="0BCAA333">
                  <w:pPr>
                    <w:pStyle w:val="48"/>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仿宋" w:cs="Times New Roman"/>
                      <w:i/>
                      <w:iCs/>
                      <w:snapToGrid w:val="0"/>
                      <w:color w:val="auto"/>
                      <w:kern w:val="2"/>
                      <w:sz w:val="24"/>
                      <w:szCs w:val="24"/>
                      <w:lang w:val="en-US" w:eastAsia="zh-CN" w:bidi="ar-SA"/>
                    </w:rPr>
                  </w:pPr>
                  <w:r>
                    <w:rPr>
                      <w:rFonts w:hint="default" w:ascii="Times New Roman" w:hAnsi="Times New Roman" w:cs="Times New Roman"/>
                      <w:i/>
                      <w:iCs/>
                      <w:snapToGrid w:val="0"/>
                      <w:color w:val="auto"/>
                      <w:sz w:val="24"/>
                      <w:szCs w:val="24"/>
                    </w:rPr>
                    <w:t>一般</w:t>
                  </w:r>
                </w:p>
              </w:tc>
            </w:tr>
          </w:tbl>
          <w:p w14:paraId="68D142BD">
            <w:pPr>
              <w:pStyle w:val="53"/>
              <w:spacing w:before="120"/>
              <w:ind w:firstLine="562" w:firstLineChars="200"/>
              <w:rPr>
                <w:rFonts w:ascii="仿宋" w:hAnsi="仿宋"/>
                <w:color w:val="auto"/>
                <w:sz w:val="28"/>
              </w:rPr>
            </w:pPr>
            <w:r>
              <w:rPr>
                <w:rFonts w:hint="eastAsia" w:ascii="仿宋" w:hAnsi="仿宋"/>
                <w:color w:val="auto"/>
                <w:sz w:val="28"/>
                <w:lang w:val="en-US"/>
              </w:rPr>
              <w:t>4.2</w:t>
            </w:r>
            <w:r>
              <w:rPr>
                <w:rFonts w:ascii="仿宋" w:hAnsi="仿宋"/>
                <w:color w:val="auto"/>
                <w:sz w:val="28"/>
              </w:rPr>
              <w:t>.2</w:t>
            </w:r>
            <w:r>
              <w:rPr>
                <w:rFonts w:hint="eastAsia" w:ascii="仿宋" w:hAnsi="仿宋"/>
                <w:color w:val="auto"/>
                <w:sz w:val="28"/>
              </w:rPr>
              <w:t>排放口基本情况</w:t>
            </w:r>
          </w:p>
          <w:p w14:paraId="4C313535">
            <w:pPr>
              <w:ind w:firstLine="560"/>
              <w:rPr>
                <w:color w:val="auto"/>
                <w:sz w:val="28"/>
              </w:rPr>
            </w:pPr>
            <w:r>
              <w:rPr>
                <w:rFonts w:hint="eastAsia"/>
                <w:color w:val="auto"/>
                <w:sz w:val="28"/>
              </w:rPr>
              <w:t>本项目废气排放口基本情况见表4-4。</w:t>
            </w:r>
          </w:p>
          <w:p w14:paraId="1068FF76">
            <w:pPr>
              <w:pStyle w:val="75"/>
              <w:rPr>
                <w:color w:val="auto"/>
              </w:rPr>
            </w:pPr>
            <w:r>
              <w:rPr>
                <w:rFonts w:hint="eastAsia"/>
                <w:color w:val="auto"/>
                <w:sz w:val="24"/>
              </w:rPr>
              <w:t>表4-</w:t>
            </w:r>
            <w:r>
              <w:rPr>
                <w:rFonts w:hint="eastAsia"/>
                <w:color w:val="auto"/>
                <w:sz w:val="24"/>
                <w:lang w:val="en-US"/>
              </w:rPr>
              <w:t>4</w:t>
            </w:r>
            <w:r>
              <w:rPr>
                <w:rFonts w:hint="eastAsia"/>
                <w:color w:val="auto"/>
                <w:sz w:val="24"/>
              </w:rPr>
              <w:t>废气排放口基本情况一览表</w:t>
            </w:r>
          </w:p>
          <w:tbl>
            <w:tblPr>
              <w:tblStyle w:val="32"/>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2436"/>
              <w:gridCol w:w="2027"/>
              <w:gridCol w:w="2028"/>
              <w:gridCol w:w="1716"/>
              <w:gridCol w:w="1560"/>
              <w:gridCol w:w="1633"/>
              <w:gridCol w:w="1330"/>
            </w:tblGrid>
            <w:tr w14:paraId="0320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Merge w:val="restart"/>
                  <w:vAlign w:val="center"/>
                </w:tcPr>
                <w:p w14:paraId="5B974EA3">
                  <w:pPr>
                    <w:pStyle w:val="48"/>
                    <w:spacing w:line="240" w:lineRule="auto"/>
                    <w:rPr>
                      <w:rFonts w:ascii="Times New Roman" w:hAnsi="Times New Roman"/>
                      <w:color w:val="auto"/>
                      <w:szCs w:val="18"/>
                    </w:rPr>
                  </w:pPr>
                  <w:r>
                    <w:rPr>
                      <w:rFonts w:ascii="Times New Roman" w:hAnsi="Times New Roman"/>
                      <w:color w:val="auto"/>
                      <w:sz w:val="24"/>
                      <w:szCs w:val="18"/>
                    </w:rPr>
                    <w:t>排放口编号</w:t>
                  </w:r>
                </w:p>
              </w:tc>
              <w:tc>
                <w:tcPr>
                  <w:tcW w:w="2436" w:type="dxa"/>
                  <w:vMerge w:val="restart"/>
                  <w:vAlign w:val="center"/>
                </w:tcPr>
                <w:p w14:paraId="3A4B03F5">
                  <w:pPr>
                    <w:pStyle w:val="48"/>
                    <w:spacing w:line="240" w:lineRule="auto"/>
                    <w:rPr>
                      <w:rFonts w:ascii="Times New Roman" w:hAnsi="Times New Roman"/>
                      <w:color w:val="auto"/>
                      <w:szCs w:val="18"/>
                    </w:rPr>
                  </w:pPr>
                  <w:r>
                    <w:rPr>
                      <w:rFonts w:ascii="Times New Roman" w:hAnsi="Times New Roman"/>
                      <w:color w:val="auto"/>
                      <w:sz w:val="24"/>
                      <w:szCs w:val="18"/>
                    </w:rPr>
                    <w:t>排放口名称</w:t>
                  </w:r>
                </w:p>
              </w:tc>
              <w:tc>
                <w:tcPr>
                  <w:tcW w:w="4055" w:type="dxa"/>
                  <w:gridSpan w:val="2"/>
                  <w:vAlign w:val="center"/>
                </w:tcPr>
                <w:p w14:paraId="0609E308">
                  <w:pPr>
                    <w:pStyle w:val="48"/>
                    <w:spacing w:line="240" w:lineRule="auto"/>
                    <w:rPr>
                      <w:rFonts w:ascii="Times New Roman" w:hAnsi="Times New Roman"/>
                      <w:color w:val="auto"/>
                      <w:szCs w:val="18"/>
                    </w:rPr>
                  </w:pPr>
                  <w:r>
                    <w:rPr>
                      <w:rFonts w:ascii="Times New Roman" w:hAnsi="Times New Roman"/>
                      <w:color w:val="auto"/>
                      <w:sz w:val="24"/>
                      <w:szCs w:val="18"/>
                    </w:rPr>
                    <w:t>排放口地理坐标</w:t>
                  </w:r>
                </w:p>
              </w:tc>
              <w:tc>
                <w:tcPr>
                  <w:tcW w:w="1716" w:type="dxa"/>
                  <w:vMerge w:val="restart"/>
                  <w:vAlign w:val="center"/>
                </w:tcPr>
                <w:p w14:paraId="6E66B2AA">
                  <w:pPr>
                    <w:pStyle w:val="48"/>
                    <w:spacing w:line="240" w:lineRule="auto"/>
                    <w:rPr>
                      <w:rFonts w:ascii="Times New Roman" w:hAnsi="Times New Roman"/>
                      <w:color w:val="auto"/>
                      <w:szCs w:val="18"/>
                    </w:rPr>
                  </w:pPr>
                  <w:r>
                    <w:rPr>
                      <w:rFonts w:ascii="Times New Roman" w:hAnsi="Times New Roman"/>
                      <w:color w:val="auto"/>
                      <w:sz w:val="24"/>
                      <w:szCs w:val="18"/>
                    </w:rPr>
                    <w:t>排放口类型</w:t>
                  </w:r>
                </w:p>
              </w:tc>
              <w:tc>
                <w:tcPr>
                  <w:tcW w:w="1560" w:type="dxa"/>
                  <w:vMerge w:val="restart"/>
                  <w:vAlign w:val="center"/>
                </w:tcPr>
                <w:p w14:paraId="5BEE7901">
                  <w:pPr>
                    <w:pStyle w:val="48"/>
                    <w:spacing w:line="240" w:lineRule="auto"/>
                    <w:rPr>
                      <w:rFonts w:ascii="Times New Roman" w:hAnsi="Times New Roman"/>
                      <w:color w:val="auto"/>
                      <w:sz w:val="24"/>
                      <w:szCs w:val="18"/>
                    </w:rPr>
                  </w:pPr>
                  <w:r>
                    <w:rPr>
                      <w:rFonts w:ascii="Times New Roman" w:hAnsi="Times New Roman"/>
                      <w:color w:val="auto"/>
                      <w:sz w:val="24"/>
                      <w:szCs w:val="18"/>
                    </w:rPr>
                    <w:t>排气筒高度</w:t>
                  </w:r>
                </w:p>
                <w:p w14:paraId="2F1FEA1C">
                  <w:pPr>
                    <w:pStyle w:val="48"/>
                    <w:spacing w:line="240" w:lineRule="auto"/>
                    <w:rPr>
                      <w:rFonts w:ascii="Times New Roman" w:hAnsi="Times New Roman"/>
                      <w:color w:val="auto"/>
                      <w:szCs w:val="18"/>
                    </w:rPr>
                  </w:pPr>
                  <w:r>
                    <w:rPr>
                      <w:rFonts w:ascii="Times New Roman" w:hAnsi="Times New Roman"/>
                      <w:color w:val="auto"/>
                      <w:sz w:val="24"/>
                      <w:szCs w:val="18"/>
                    </w:rPr>
                    <w:t>m</w:t>
                  </w:r>
                </w:p>
              </w:tc>
              <w:tc>
                <w:tcPr>
                  <w:tcW w:w="1633" w:type="dxa"/>
                  <w:vMerge w:val="restart"/>
                  <w:vAlign w:val="center"/>
                </w:tcPr>
                <w:p w14:paraId="7CB02DC3">
                  <w:pPr>
                    <w:pStyle w:val="48"/>
                    <w:spacing w:line="240" w:lineRule="auto"/>
                    <w:rPr>
                      <w:rFonts w:ascii="Times New Roman" w:hAnsi="Times New Roman"/>
                      <w:color w:val="auto"/>
                      <w:sz w:val="24"/>
                      <w:szCs w:val="18"/>
                    </w:rPr>
                  </w:pPr>
                  <w:r>
                    <w:rPr>
                      <w:rFonts w:ascii="Times New Roman" w:hAnsi="Times New Roman"/>
                      <w:color w:val="auto"/>
                      <w:sz w:val="24"/>
                      <w:szCs w:val="18"/>
                    </w:rPr>
                    <w:t>排气筒内径</w:t>
                  </w:r>
                </w:p>
                <w:p w14:paraId="4AE69167">
                  <w:pPr>
                    <w:pStyle w:val="48"/>
                    <w:spacing w:line="240" w:lineRule="auto"/>
                    <w:rPr>
                      <w:rFonts w:ascii="Times New Roman" w:hAnsi="Times New Roman"/>
                      <w:color w:val="auto"/>
                      <w:szCs w:val="18"/>
                    </w:rPr>
                  </w:pPr>
                  <w:r>
                    <w:rPr>
                      <w:rFonts w:ascii="Times New Roman" w:hAnsi="Times New Roman"/>
                      <w:color w:val="auto"/>
                      <w:sz w:val="24"/>
                      <w:szCs w:val="18"/>
                    </w:rPr>
                    <w:t>m</w:t>
                  </w:r>
                </w:p>
              </w:tc>
              <w:tc>
                <w:tcPr>
                  <w:tcW w:w="1330" w:type="dxa"/>
                  <w:vMerge w:val="restart"/>
                  <w:vAlign w:val="center"/>
                </w:tcPr>
                <w:p w14:paraId="7266D906">
                  <w:pPr>
                    <w:pStyle w:val="48"/>
                    <w:spacing w:line="240" w:lineRule="auto"/>
                    <w:rPr>
                      <w:rFonts w:ascii="Times New Roman" w:hAnsi="Times New Roman"/>
                      <w:color w:val="auto"/>
                      <w:sz w:val="24"/>
                      <w:szCs w:val="18"/>
                    </w:rPr>
                  </w:pPr>
                  <w:r>
                    <w:rPr>
                      <w:rFonts w:ascii="Times New Roman" w:hAnsi="Times New Roman"/>
                      <w:color w:val="auto"/>
                      <w:sz w:val="24"/>
                      <w:szCs w:val="18"/>
                    </w:rPr>
                    <w:t>排气温度</w:t>
                  </w:r>
                </w:p>
                <w:p w14:paraId="5F9EFA79">
                  <w:pPr>
                    <w:pStyle w:val="48"/>
                    <w:spacing w:line="240" w:lineRule="auto"/>
                    <w:rPr>
                      <w:rFonts w:ascii="Times New Roman" w:hAnsi="Times New Roman"/>
                      <w:color w:val="auto"/>
                      <w:szCs w:val="18"/>
                    </w:rPr>
                  </w:pPr>
                  <w:r>
                    <w:rPr>
                      <w:rFonts w:ascii="Times New Roman" w:hAnsi="Times New Roman"/>
                      <w:color w:val="auto"/>
                      <w:sz w:val="24"/>
                      <w:szCs w:val="18"/>
                    </w:rPr>
                    <w:t>℃</w:t>
                  </w:r>
                </w:p>
              </w:tc>
            </w:tr>
            <w:tr w14:paraId="3EB3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445" w:type="dxa"/>
                  <w:vMerge w:val="continue"/>
                  <w:vAlign w:val="center"/>
                </w:tcPr>
                <w:p w14:paraId="146A13A5">
                  <w:pPr>
                    <w:pStyle w:val="48"/>
                    <w:spacing w:line="240" w:lineRule="auto"/>
                    <w:rPr>
                      <w:rFonts w:ascii="Times New Roman" w:hAnsi="Times New Roman"/>
                      <w:color w:val="auto"/>
                      <w:szCs w:val="18"/>
                    </w:rPr>
                  </w:pPr>
                </w:p>
              </w:tc>
              <w:tc>
                <w:tcPr>
                  <w:tcW w:w="2436" w:type="dxa"/>
                  <w:vMerge w:val="continue"/>
                  <w:vAlign w:val="center"/>
                </w:tcPr>
                <w:p w14:paraId="58CE99BF">
                  <w:pPr>
                    <w:pStyle w:val="48"/>
                    <w:spacing w:line="240" w:lineRule="auto"/>
                    <w:rPr>
                      <w:rFonts w:ascii="Times New Roman" w:hAnsi="Times New Roman"/>
                      <w:color w:val="auto"/>
                      <w:szCs w:val="18"/>
                    </w:rPr>
                  </w:pPr>
                </w:p>
              </w:tc>
              <w:tc>
                <w:tcPr>
                  <w:tcW w:w="2027" w:type="dxa"/>
                  <w:vAlign w:val="center"/>
                </w:tcPr>
                <w:p w14:paraId="5249D999">
                  <w:pPr>
                    <w:pStyle w:val="48"/>
                    <w:spacing w:line="240" w:lineRule="auto"/>
                    <w:rPr>
                      <w:rFonts w:ascii="Times New Roman" w:hAnsi="Times New Roman"/>
                      <w:color w:val="auto"/>
                      <w:szCs w:val="18"/>
                    </w:rPr>
                  </w:pPr>
                  <w:r>
                    <w:rPr>
                      <w:rFonts w:ascii="Times New Roman" w:hAnsi="Times New Roman"/>
                      <w:color w:val="auto"/>
                      <w:sz w:val="24"/>
                      <w:szCs w:val="18"/>
                    </w:rPr>
                    <w:t>经度</w:t>
                  </w:r>
                </w:p>
              </w:tc>
              <w:tc>
                <w:tcPr>
                  <w:tcW w:w="2028" w:type="dxa"/>
                  <w:vAlign w:val="center"/>
                </w:tcPr>
                <w:p w14:paraId="32784AAC">
                  <w:pPr>
                    <w:pStyle w:val="48"/>
                    <w:spacing w:line="240" w:lineRule="auto"/>
                    <w:rPr>
                      <w:rFonts w:ascii="Times New Roman" w:hAnsi="Times New Roman"/>
                      <w:color w:val="auto"/>
                      <w:szCs w:val="18"/>
                    </w:rPr>
                  </w:pPr>
                  <w:r>
                    <w:rPr>
                      <w:rFonts w:ascii="Times New Roman" w:hAnsi="Times New Roman"/>
                      <w:color w:val="auto"/>
                      <w:sz w:val="24"/>
                      <w:szCs w:val="18"/>
                    </w:rPr>
                    <w:t>纬度</w:t>
                  </w:r>
                </w:p>
              </w:tc>
              <w:tc>
                <w:tcPr>
                  <w:tcW w:w="1716" w:type="dxa"/>
                  <w:vMerge w:val="continue"/>
                  <w:vAlign w:val="center"/>
                </w:tcPr>
                <w:p w14:paraId="6C4B310C">
                  <w:pPr>
                    <w:pStyle w:val="48"/>
                    <w:spacing w:line="240" w:lineRule="auto"/>
                    <w:rPr>
                      <w:rFonts w:ascii="Times New Roman" w:hAnsi="Times New Roman"/>
                      <w:color w:val="auto"/>
                      <w:szCs w:val="18"/>
                      <w:highlight w:val="yellow"/>
                    </w:rPr>
                  </w:pPr>
                </w:p>
              </w:tc>
              <w:tc>
                <w:tcPr>
                  <w:tcW w:w="1560" w:type="dxa"/>
                  <w:vMerge w:val="continue"/>
                  <w:vAlign w:val="center"/>
                </w:tcPr>
                <w:p w14:paraId="624B45F2">
                  <w:pPr>
                    <w:pStyle w:val="48"/>
                    <w:spacing w:line="240" w:lineRule="auto"/>
                    <w:rPr>
                      <w:rFonts w:ascii="Times New Roman" w:hAnsi="Times New Roman"/>
                      <w:color w:val="auto"/>
                      <w:szCs w:val="18"/>
                      <w:highlight w:val="yellow"/>
                    </w:rPr>
                  </w:pPr>
                </w:p>
              </w:tc>
              <w:tc>
                <w:tcPr>
                  <w:tcW w:w="1633" w:type="dxa"/>
                  <w:vMerge w:val="continue"/>
                  <w:vAlign w:val="center"/>
                </w:tcPr>
                <w:p w14:paraId="71654274">
                  <w:pPr>
                    <w:pStyle w:val="48"/>
                    <w:spacing w:line="240" w:lineRule="auto"/>
                    <w:rPr>
                      <w:rFonts w:ascii="Times New Roman" w:hAnsi="Times New Roman"/>
                      <w:color w:val="auto"/>
                      <w:szCs w:val="18"/>
                      <w:highlight w:val="yellow"/>
                    </w:rPr>
                  </w:pPr>
                </w:p>
              </w:tc>
              <w:tc>
                <w:tcPr>
                  <w:tcW w:w="1330" w:type="dxa"/>
                  <w:vMerge w:val="continue"/>
                  <w:vAlign w:val="center"/>
                </w:tcPr>
                <w:p w14:paraId="6C5B6FF9">
                  <w:pPr>
                    <w:pStyle w:val="48"/>
                    <w:spacing w:line="240" w:lineRule="auto"/>
                    <w:rPr>
                      <w:rFonts w:ascii="Times New Roman" w:hAnsi="Times New Roman"/>
                      <w:color w:val="auto"/>
                      <w:szCs w:val="18"/>
                      <w:highlight w:val="yellow"/>
                    </w:rPr>
                  </w:pPr>
                </w:p>
              </w:tc>
            </w:tr>
            <w:tr w14:paraId="4F9A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Align w:val="center"/>
                </w:tcPr>
                <w:p w14:paraId="4AD07D00">
                  <w:pPr>
                    <w:pStyle w:val="48"/>
                    <w:spacing w:line="240" w:lineRule="auto"/>
                    <w:rPr>
                      <w:rFonts w:ascii="Times New Roman" w:hAnsi="Times New Roman"/>
                      <w:color w:val="auto"/>
                      <w:szCs w:val="18"/>
                    </w:rPr>
                  </w:pPr>
                  <w:r>
                    <w:rPr>
                      <w:rFonts w:ascii="Times New Roman" w:hAnsi="Times New Roman"/>
                      <w:color w:val="auto"/>
                      <w:sz w:val="24"/>
                      <w:szCs w:val="18"/>
                    </w:rPr>
                    <w:t>DA001</w:t>
                  </w:r>
                </w:p>
              </w:tc>
              <w:tc>
                <w:tcPr>
                  <w:tcW w:w="2436" w:type="dxa"/>
                  <w:vAlign w:val="center"/>
                </w:tcPr>
                <w:p w14:paraId="7EEF1147">
                  <w:pPr>
                    <w:pStyle w:val="48"/>
                    <w:spacing w:line="240" w:lineRule="auto"/>
                    <w:rPr>
                      <w:rFonts w:ascii="Times New Roman" w:hAnsi="Times New Roman"/>
                      <w:color w:val="auto"/>
                      <w:szCs w:val="18"/>
                      <w:highlight w:val="yellow"/>
                    </w:rPr>
                  </w:pPr>
                  <w:r>
                    <w:rPr>
                      <w:rFonts w:hint="eastAsia" w:ascii="Times New Roman" w:hAnsi="Times New Roman" w:cs="Times New Roman"/>
                      <w:snapToGrid w:val="0"/>
                      <w:color w:val="auto"/>
                      <w:sz w:val="24"/>
                      <w:szCs w:val="24"/>
                      <w:lang w:eastAsia="zh-CN"/>
                    </w:rPr>
                    <w:t>涂</w:t>
                  </w:r>
                  <w:r>
                    <w:rPr>
                      <w:rFonts w:hint="default" w:ascii="Times New Roman" w:hAnsi="Times New Roman" w:cs="Times New Roman"/>
                      <w:snapToGrid w:val="0"/>
                      <w:color w:val="auto"/>
                      <w:sz w:val="24"/>
                      <w:szCs w:val="24"/>
                    </w:rPr>
                    <w:t>胶、烘</w:t>
                  </w:r>
                  <w:r>
                    <w:rPr>
                      <w:rFonts w:hint="eastAsia" w:ascii="Times New Roman" w:hAnsi="Times New Roman" w:cs="Times New Roman"/>
                      <w:snapToGrid w:val="0"/>
                      <w:color w:val="auto"/>
                      <w:sz w:val="24"/>
                      <w:szCs w:val="24"/>
                      <w:lang w:eastAsia="zh-CN"/>
                    </w:rPr>
                    <w:t>烤</w:t>
                  </w:r>
                  <w:r>
                    <w:rPr>
                      <w:rFonts w:hint="eastAsia" w:ascii="Times New Roman" w:hAnsi="Times New Roman"/>
                      <w:color w:val="auto"/>
                      <w:sz w:val="24"/>
                      <w:szCs w:val="18"/>
                      <w:highlight w:val="none"/>
                    </w:rPr>
                    <w:t>有机</w:t>
                  </w:r>
                  <w:r>
                    <w:rPr>
                      <w:rFonts w:ascii="Times New Roman" w:hAnsi="Times New Roman"/>
                      <w:color w:val="auto"/>
                      <w:sz w:val="24"/>
                      <w:szCs w:val="18"/>
                      <w:highlight w:val="none"/>
                    </w:rPr>
                    <w:t>废气排放口</w:t>
                  </w:r>
                </w:p>
              </w:tc>
              <w:tc>
                <w:tcPr>
                  <w:tcW w:w="2027" w:type="dxa"/>
                  <w:shd w:val="clear" w:color="auto" w:fill="auto"/>
                  <w:vAlign w:val="center"/>
                </w:tcPr>
                <w:p w14:paraId="4940F861">
                  <w:pPr>
                    <w:pStyle w:val="48"/>
                    <w:spacing w:line="240" w:lineRule="auto"/>
                    <w:rPr>
                      <w:rFonts w:ascii="Times New Roman" w:hAnsi="Times New Roman"/>
                      <w:color w:val="auto"/>
                      <w:szCs w:val="18"/>
                      <w:highlight w:val="none"/>
                    </w:rPr>
                  </w:pPr>
                  <w:r>
                    <w:rPr>
                      <w:rFonts w:hint="eastAsia" w:ascii="Times New Roman" w:hAnsi="Times New Roman"/>
                      <w:color w:val="auto"/>
                      <w:sz w:val="24"/>
                      <w:highlight w:val="none"/>
                    </w:rPr>
                    <w:t>106°</w:t>
                  </w:r>
                  <w:r>
                    <w:rPr>
                      <w:rFonts w:hint="eastAsia" w:ascii="Times New Roman" w:hAnsi="Times New Roman"/>
                      <w:color w:val="auto"/>
                      <w:sz w:val="24"/>
                      <w:highlight w:val="none"/>
                      <w:lang w:val="en-US" w:eastAsia="zh-CN"/>
                    </w:rPr>
                    <w:t>17</w:t>
                  </w:r>
                  <w:r>
                    <w:rPr>
                      <w:rFonts w:hint="eastAsia" w:ascii="Times New Roman" w:hAnsi="Times New Roman"/>
                      <w:color w:val="auto"/>
                      <w:sz w:val="24"/>
                      <w:highlight w:val="none"/>
                    </w:rPr>
                    <w:t>′</w:t>
                  </w:r>
                  <w:r>
                    <w:rPr>
                      <w:rFonts w:hint="eastAsia" w:ascii="Times New Roman" w:hAnsi="Times New Roman"/>
                      <w:color w:val="auto"/>
                      <w:sz w:val="24"/>
                      <w:highlight w:val="none"/>
                      <w:lang w:val="en-US" w:eastAsia="zh-CN"/>
                    </w:rPr>
                    <w:t>45</w:t>
                  </w:r>
                  <w:r>
                    <w:rPr>
                      <w:rFonts w:hint="eastAsia" w:ascii="Times New Roman" w:hAnsi="Times New Roman"/>
                      <w:color w:val="auto"/>
                      <w:sz w:val="24"/>
                      <w:highlight w:val="none"/>
                    </w:rPr>
                    <w:t>.</w:t>
                  </w:r>
                  <w:r>
                    <w:rPr>
                      <w:rFonts w:hint="eastAsia" w:ascii="Times New Roman" w:hAnsi="Times New Roman"/>
                      <w:color w:val="auto"/>
                      <w:sz w:val="24"/>
                      <w:highlight w:val="none"/>
                      <w:lang w:val="en-US" w:eastAsia="zh-CN"/>
                    </w:rPr>
                    <w:t>01283</w:t>
                  </w:r>
                  <w:r>
                    <w:rPr>
                      <w:rFonts w:hint="eastAsia" w:ascii="Times New Roman" w:hAnsi="Times New Roman"/>
                      <w:color w:val="auto"/>
                      <w:sz w:val="24"/>
                      <w:highlight w:val="none"/>
                    </w:rPr>
                    <w:t>″</w:t>
                  </w:r>
                </w:p>
              </w:tc>
              <w:tc>
                <w:tcPr>
                  <w:tcW w:w="2028" w:type="dxa"/>
                  <w:shd w:val="clear" w:color="auto" w:fill="auto"/>
                  <w:vAlign w:val="center"/>
                </w:tcPr>
                <w:p w14:paraId="367F381A">
                  <w:pPr>
                    <w:pStyle w:val="48"/>
                    <w:spacing w:line="240" w:lineRule="auto"/>
                    <w:rPr>
                      <w:rFonts w:ascii="Times New Roman" w:hAnsi="Times New Roman"/>
                      <w:color w:val="auto"/>
                      <w:szCs w:val="18"/>
                      <w:highlight w:val="none"/>
                    </w:rPr>
                  </w:pPr>
                  <w:r>
                    <w:rPr>
                      <w:rFonts w:hint="eastAsia" w:ascii="Times New Roman" w:hAnsi="Times New Roman"/>
                      <w:color w:val="auto"/>
                      <w:sz w:val="24"/>
                      <w:highlight w:val="none"/>
                    </w:rPr>
                    <w:t>29°</w:t>
                  </w:r>
                  <w:r>
                    <w:rPr>
                      <w:rFonts w:hint="eastAsia" w:ascii="Times New Roman" w:hAnsi="Times New Roman"/>
                      <w:color w:val="auto"/>
                      <w:sz w:val="24"/>
                      <w:highlight w:val="none"/>
                      <w:lang w:val="en-US" w:eastAsia="zh-CN"/>
                    </w:rPr>
                    <w:t>19</w:t>
                  </w:r>
                  <w:r>
                    <w:rPr>
                      <w:rFonts w:hint="eastAsia" w:ascii="Times New Roman" w:hAnsi="Times New Roman"/>
                      <w:color w:val="auto"/>
                      <w:sz w:val="24"/>
                      <w:highlight w:val="none"/>
                    </w:rPr>
                    <w:t>′</w:t>
                  </w:r>
                  <w:r>
                    <w:rPr>
                      <w:rFonts w:hint="eastAsia" w:ascii="Times New Roman" w:hAnsi="Times New Roman"/>
                      <w:color w:val="auto"/>
                      <w:sz w:val="24"/>
                      <w:highlight w:val="none"/>
                      <w:lang w:val="en-US" w:eastAsia="zh-CN"/>
                    </w:rPr>
                    <w:t>18</w:t>
                  </w:r>
                  <w:r>
                    <w:rPr>
                      <w:rFonts w:hint="eastAsia" w:ascii="Times New Roman" w:hAnsi="Times New Roman"/>
                      <w:color w:val="auto"/>
                      <w:sz w:val="24"/>
                      <w:highlight w:val="none"/>
                    </w:rPr>
                    <w:t>.</w:t>
                  </w:r>
                  <w:r>
                    <w:rPr>
                      <w:rFonts w:hint="eastAsia" w:ascii="Times New Roman" w:hAnsi="Times New Roman"/>
                      <w:color w:val="auto"/>
                      <w:sz w:val="24"/>
                      <w:highlight w:val="none"/>
                      <w:lang w:val="en-US" w:eastAsia="zh-CN"/>
                    </w:rPr>
                    <w:t>10873</w:t>
                  </w:r>
                  <w:r>
                    <w:rPr>
                      <w:rFonts w:hint="eastAsia" w:ascii="Times New Roman" w:hAnsi="Times New Roman"/>
                      <w:color w:val="auto"/>
                      <w:sz w:val="24"/>
                      <w:highlight w:val="none"/>
                    </w:rPr>
                    <w:t>″</w:t>
                  </w:r>
                </w:p>
              </w:tc>
              <w:tc>
                <w:tcPr>
                  <w:tcW w:w="1716" w:type="dxa"/>
                  <w:vAlign w:val="center"/>
                </w:tcPr>
                <w:p w14:paraId="79D7C919">
                  <w:pPr>
                    <w:pStyle w:val="48"/>
                    <w:spacing w:line="240" w:lineRule="auto"/>
                    <w:rPr>
                      <w:rFonts w:ascii="Times New Roman" w:hAnsi="Times New Roman"/>
                      <w:color w:val="auto"/>
                      <w:szCs w:val="18"/>
                    </w:rPr>
                  </w:pPr>
                  <w:r>
                    <w:rPr>
                      <w:rFonts w:ascii="Times New Roman" w:hAnsi="Times New Roman"/>
                      <w:color w:val="auto"/>
                      <w:sz w:val="24"/>
                      <w:szCs w:val="18"/>
                    </w:rPr>
                    <w:t>一般</w:t>
                  </w:r>
                </w:p>
              </w:tc>
              <w:tc>
                <w:tcPr>
                  <w:tcW w:w="1560" w:type="dxa"/>
                  <w:vAlign w:val="center"/>
                </w:tcPr>
                <w:p w14:paraId="1B1BB764">
                  <w:pPr>
                    <w:pStyle w:val="48"/>
                    <w:spacing w:line="240" w:lineRule="auto"/>
                    <w:rPr>
                      <w:rFonts w:hint="eastAsia" w:ascii="Times New Roman" w:hAnsi="Times New Roman" w:eastAsia="仿宋"/>
                      <w:color w:val="auto"/>
                      <w:sz w:val="24"/>
                      <w:lang w:eastAsia="zh-CN"/>
                    </w:rPr>
                  </w:pPr>
                  <w:r>
                    <w:rPr>
                      <w:rFonts w:hint="eastAsia" w:ascii="Times New Roman" w:hAnsi="Times New Roman"/>
                      <w:color w:val="auto"/>
                      <w:sz w:val="24"/>
                    </w:rPr>
                    <w:t>1</w:t>
                  </w:r>
                  <w:r>
                    <w:rPr>
                      <w:rFonts w:hint="eastAsia" w:ascii="Times New Roman" w:hAnsi="Times New Roman"/>
                      <w:color w:val="auto"/>
                      <w:sz w:val="24"/>
                      <w:lang w:val="en-US" w:eastAsia="zh-CN"/>
                    </w:rPr>
                    <w:t>5（高于屋顶排放）</w:t>
                  </w:r>
                </w:p>
              </w:tc>
              <w:tc>
                <w:tcPr>
                  <w:tcW w:w="1633" w:type="dxa"/>
                  <w:vAlign w:val="center"/>
                </w:tcPr>
                <w:p w14:paraId="207E927D">
                  <w:pPr>
                    <w:pStyle w:val="48"/>
                    <w:spacing w:line="240" w:lineRule="auto"/>
                    <w:rPr>
                      <w:rFonts w:hint="eastAsia" w:ascii="Times New Roman" w:hAnsi="Times New Roman" w:eastAsia="仿宋"/>
                      <w:color w:val="auto"/>
                      <w:sz w:val="24"/>
                      <w:lang w:val="en-US" w:eastAsia="zh-CN"/>
                    </w:rPr>
                  </w:pPr>
                  <w:r>
                    <w:rPr>
                      <w:rFonts w:hint="eastAsia" w:ascii="Times New Roman" w:hAnsi="Times New Roman"/>
                      <w:color w:val="auto"/>
                      <w:sz w:val="24"/>
                      <w:highlight w:val="none"/>
                      <w:lang w:val="en-US" w:eastAsia="zh-CN"/>
                    </w:rPr>
                    <w:t>0</w:t>
                  </w:r>
                  <w:r>
                    <w:rPr>
                      <w:rFonts w:hint="eastAsia" w:ascii="Times New Roman" w:hAnsi="Times New Roman"/>
                      <w:color w:val="auto"/>
                      <w:sz w:val="24"/>
                      <w:highlight w:val="none"/>
                    </w:rPr>
                    <w:t>.5</w:t>
                  </w:r>
                </w:p>
              </w:tc>
              <w:tc>
                <w:tcPr>
                  <w:tcW w:w="1330" w:type="dxa"/>
                  <w:vAlign w:val="center"/>
                </w:tcPr>
                <w:p w14:paraId="17C3DE39">
                  <w:pPr>
                    <w:pStyle w:val="48"/>
                    <w:spacing w:line="240" w:lineRule="auto"/>
                    <w:rPr>
                      <w:rFonts w:ascii="Times New Roman" w:hAnsi="Times New Roman"/>
                      <w:color w:val="auto"/>
                      <w:szCs w:val="18"/>
                      <w:highlight w:val="yellow"/>
                    </w:rPr>
                  </w:pPr>
                  <w:r>
                    <w:rPr>
                      <w:rFonts w:hint="eastAsia"/>
                      <w:color w:val="auto"/>
                      <w:sz w:val="24"/>
                    </w:rPr>
                    <w:t>环境温度</w:t>
                  </w:r>
                </w:p>
              </w:tc>
            </w:tr>
          </w:tbl>
          <w:p w14:paraId="765C360C">
            <w:pPr>
              <w:pStyle w:val="49"/>
              <w:jc w:val="both"/>
              <w:rPr>
                <w:b/>
                <w:bCs/>
                <w:color w:val="auto"/>
                <w:spacing w:val="-10"/>
              </w:rPr>
            </w:pPr>
          </w:p>
        </w:tc>
      </w:tr>
    </w:tbl>
    <w:p w14:paraId="6FFBB0DD">
      <w:pPr>
        <w:ind w:firstLine="0" w:firstLineChars="0"/>
        <w:rPr>
          <w:color w:val="auto"/>
          <w:sz w:val="28"/>
        </w:rPr>
      </w:pPr>
    </w:p>
    <w:p w14:paraId="795B7118">
      <w:pPr>
        <w:ind w:firstLine="420"/>
        <w:rPr>
          <w:color w:val="auto"/>
        </w:rPr>
        <w:sectPr>
          <w:pgSz w:w="16838" w:h="11906" w:orient="landscape"/>
          <w:pgMar w:top="1531" w:right="1701" w:bottom="1531" w:left="1701" w:header="851" w:footer="851" w:gutter="0"/>
          <w:cols w:space="720" w:num="1"/>
          <w:docGrid w:linePitch="312" w:charSpace="0"/>
        </w:sectPr>
      </w:pPr>
    </w:p>
    <w:tbl>
      <w:tblPr>
        <w:tblStyle w:val="3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492"/>
      </w:tblGrid>
      <w:tr w14:paraId="20438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16" w:type="dxa"/>
            <w:tcMar>
              <w:left w:w="28" w:type="dxa"/>
              <w:right w:w="28" w:type="dxa"/>
            </w:tcMar>
            <w:vAlign w:val="center"/>
          </w:tcPr>
          <w:p w14:paraId="217B50C7">
            <w:pPr>
              <w:pStyle w:val="49"/>
              <w:rPr>
                <w:bCs/>
                <w:color w:val="auto"/>
              </w:rPr>
            </w:pPr>
            <w:r>
              <w:rPr>
                <w:rFonts w:hint="eastAsia"/>
                <w:bCs/>
                <w:color w:val="auto"/>
                <w:sz w:val="28"/>
              </w:rPr>
              <w:t>运营期环境影响和保护措施</w:t>
            </w:r>
          </w:p>
        </w:tc>
        <w:tc>
          <w:tcPr>
            <w:tcW w:w="8492" w:type="dxa"/>
            <w:vAlign w:val="center"/>
          </w:tcPr>
          <w:p w14:paraId="03522971">
            <w:pPr>
              <w:pStyle w:val="53"/>
              <w:spacing w:before="120"/>
              <w:rPr>
                <w:rFonts w:ascii="仿宋" w:hAnsi="仿宋"/>
                <w:color w:val="auto"/>
                <w:sz w:val="28"/>
                <w:lang w:val="en-US"/>
              </w:rPr>
            </w:pPr>
            <w:r>
              <w:rPr>
                <w:rFonts w:hint="eastAsia" w:ascii="仿宋" w:hAnsi="仿宋"/>
                <w:color w:val="auto"/>
                <w:sz w:val="28"/>
                <w:lang w:val="en-US"/>
              </w:rPr>
              <w:t>4.2</w:t>
            </w:r>
            <w:r>
              <w:rPr>
                <w:rFonts w:ascii="仿宋" w:hAnsi="仿宋"/>
                <w:color w:val="auto"/>
                <w:sz w:val="28"/>
              </w:rPr>
              <w:t>.3</w:t>
            </w:r>
            <w:r>
              <w:rPr>
                <w:rFonts w:hint="eastAsia" w:ascii="仿宋" w:hAnsi="仿宋"/>
                <w:color w:val="auto"/>
                <w:sz w:val="28"/>
              </w:rPr>
              <w:t>监测要求</w:t>
            </w:r>
          </w:p>
          <w:p w14:paraId="11304C84">
            <w:pPr>
              <w:ind w:firstLine="560"/>
              <w:rPr>
                <w:color w:val="auto"/>
                <w:sz w:val="28"/>
              </w:rPr>
            </w:pPr>
            <w:r>
              <w:rPr>
                <w:rFonts w:hint="eastAsia"/>
                <w:color w:val="auto"/>
                <w:sz w:val="28"/>
              </w:rPr>
              <w:t>根据《排污许可证申请与核发技术规范总则》（HJ1027-2019）、《排污许可证申请与核发技术规范汽车制造业》（HJ971-2018）</w:t>
            </w:r>
            <w:r>
              <w:rPr>
                <w:rFonts w:hint="eastAsia"/>
                <w:color w:val="auto"/>
                <w:sz w:val="28"/>
                <w:lang w:eastAsia="zh-CN"/>
              </w:rPr>
              <w:t>、</w:t>
            </w:r>
            <w:r>
              <w:rPr>
                <w:rFonts w:hint="eastAsia"/>
                <w:color w:val="auto"/>
                <w:sz w:val="28"/>
              </w:rPr>
              <w:t>《排污许可证申请与核发技术规范</w:t>
            </w:r>
            <w:r>
              <w:rPr>
                <w:rFonts w:hint="eastAsia"/>
                <w:color w:val="auto"/>
                <w:sz w:val="28"/>
                <w:szCs w:val="36"/>
              </w:rPr>
              <w:t>橡胶和塑料制品工业</w:t>
            </w:r>
            <w:r>
              <w:rPr>
                <w:rFonts w:hint="eastAsia"/>
                <w:color w:val="auto"/>
                <w:sz w:val="28"/>
              </w:rPr>
              <w:t>》表9简化管理排污单位废气监测点位、监测指标及最低监测频次一览表中“塑料零件及其他塑料制品”、《排污单位自行监测技术指南橡胶和塑料制品》（HJ1207-2021）自行监测管理要求，本项目废气监测要求见表4-5。</w:t>
            </w:r>
          </w:p>
          <w:p w14:paraId="456229F0">
            <w:pPr>
              <w:pStyle w:val="75"/>
              <w:rPr>
                <w:color w:val="auto"/>
                <w:lang w:val="en-US"/>
              </w:rPr>
            </w:pPr>
            <w:r>
              <w:rPr>
                <w:rFonts w:hint="eastAsia"/>
                <w:color w:val="auto"/>
                <w:sz w:val="24"/>
              </w:rPr>
              <w:t>表4-</w:t>
            </w:r>
            <w:r>
              <w:rPr>
                <w:rFonts w:hint="eastAsia"/>
                <w:color w:val="auto"/>
                <w:sz w:val="24"/>
                <w:lang w:val="en-US"/>
              </w:rPr>
              <w:t>5</w:t>
            </w:r>
            <w:r>
              <w:rPr>
                <w:rFonts w:hint="eastAsia"/>
                <w:color w:val="auto"/>
                <w:sz w:val="24"/>
              </w:rPr>
              <w:t>废气污染源监测点位、监测因子及监测频率一览表</w:t>
            </w:r>
          </w:p>
          <w:tbl>
            <w:tblPr>
              <w:tblStyle w:val="3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398"/>
              <w:gridCol w:w="1532"/>
              <w:gridCol w:w="3459"/>
            </w:tblGrid>
            <w:tr w14:paraId="7331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9" w:type="dxa"/>
                  <w:vAlign w:val="center"/>
                </w:tcPr>
                <w:p w14:paraId="72D1C5B9">
                  <w:pPr>
                    <w:pStyle w:val="48"/>
                    <w:rPr>
                      <w:color w:val="auto"/>
                      <w:szCs w:val="18"/>
                    </w:rPr>
                  </w:pPr>
                  <w:r>
                    <w:rPr>
                      <w:rFonts w:hint="eastAsia"/>
                      <w:color w:val="auto"/>
                      <w:sz w:val="24"/>
                      <w:szCs w:val="18"/>
                    </w:rPr>
                    <w:t>监测点位</w:t>
                  </w:r>
                </w:p>
              </w:tc>
              <w:tc>
                <w:tcPr>
                  <w:tcW w:w="1398" w:type="dxa"/>
                  <w:vAlign w:val="center"/>
                </w:tcPr>
                <w:p w14:paraId="4A62F717">
                  <w:pPr>
                    <w:pStyle w:val="48"/>
                    <w:rPr>
                      <w:color w:val="auto"/>
                      <w:szCs w:val="18"/>
                    </w:rPr>
                  </w:pPr>
                  <w:r>
                    <w:rPr>
                      <w:rFonts w:hint="eastAsia"/>
                      <w:color w:val="auto"/>
                      <w:sz w:val="24"/>
                      <w:szCs w:val="18"/>
                    </w:rPr>
                    <w:t>监测因子</w:t>
                  </w:r>
                </w:p>
              </w:tc>
              <w:tc>
                <w:tcPr>
                  <w:tcW w:w="1532" w:type="dxa"/>
                  <w:vAlign w:val="center"/>
                </w:tcPr>
                <w:p w14:paraId="264B777A">
                  <w:pPr>
                    <w:pStyle w:val="48"/>
                    <w:rPr>
                      <w:color w:val="auto"/>
                      <w:szCs w:val="18"/>
                    </w:rPr>
                  </w:pPr>
                  <w:r>
                    <w:rPr>
                      <w:rFonts w:hint="eastAsia"/>
                      <w:color w:val="auto"/>
                      <w:sz w:val="24"/>
                      <w:szCs w:val="18"/>
                    </w:rPr>
                    <w:t>监测频率</w:t>
                  </w:r>
                </w:p>
              </w:tc>
              <w:tc>
                <w:tcPr>
                  <w:tcW w:w="3459" w:type="dxa"/>
                  <w:vAlign w:val="center"/>
                </w:tcPr>
                <w:p w14:paraId="7A64D5BB">
                  <w:pPr>
                    <w:pStyle w:val="48"/>
                    <w:rPr>
                      <w:color w:val="auto"/>
                      <w:szCs w:val="18"/>
                    </w:rPr>
                  </w:pPr>
                  <w:r>
                    <w:rPr>
                      <w:rFonts w:hint="eastAsia"/>
                      <w:color w:val="auto"/>
                      <w:sz w:val="24"/>
                      <w:szCs w:val="18"/>
                    </w:rPr>
                    <w:t>执行标准</w:t>
                  </w:r>
                </w:p>
              </w:tc>
            </w:tr>
            <w:tr w14:paraId="0A0F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549" w:type="dxa"/>
                  <w:vMerge w:val="restart"/>
                  <w:vAlign w:val="center"/>
                </w:tcPr>
                <w:p w14:paraId="2A2606D9">
                  <w:pPr>
                    <w:pStyle w:val="48"/>
                    <w:rPr>
                      <w:i/>
                      <w:iCs/>
                      <w:color w:val="auto"/>
                      <w:szCs w:val="18"/>
                    </w:rPr>
                  </w:pPr>
                  <w:r>
                    <w:rPr>
                      <w:rFonts w:hint="eastAsia"/>
                      <w:i/>
                      <w:iCs/>
                      <w:color w:val="auto"/>
                      <w:sz w:val="24"/>
                      <w:szCs w:val="18"/>
                    </w:rPr>
                    <w:t>DA001排气筒</w:t>
                  </w:r>
                </w:p>
              </w:tc>
              <w:tc>
                <w:tcPr>
                  <w:tcW w:w="1398" w:type="dxa"/>
                  <w:vAlign w:val="center"/>
                </w:tcPr>
                <w:p w14:paraId="1C428981">
                  <w:pPr>
                    <w:pStyle w:val="48"/>
                    <w:rPr>
                      <w:i/>
                      <w:iCs/>
                      <w:color w:val="auto"/>
                      <w:szCs w:val="18"/>
                    </w:rPr>
                  </w:pPr>
                  <w:r>
                    <w:rPr>
                      <w:rFonts w:hint="eastAsia"/>
                      <w:i/>
                      <w:iCs/>
                      <w:color w:val="auto"/>
                      <w:sz w:val="24"/>
                      <w:szCs w:val="18"/>
                      <w:highlight w:val="none"/>
                    </w:rPr>
                    <w:t>非甲烷总烃</w:t>
                  </w:r>
                </w:p>
              </w:tc>
              <w:tc>
                <w:tcPr>
                  <w:tcW w:w="1532" w:type="dxa"/>
                  <w:vMerge w:val="restart"/>
                  <w:vAlign w:val="center"/>
                </w:tcPr>
                <w:p w14:paraId="255FA665">
                  <w:pPr>
                    <w:pStyle w:val="48"/>
                    <w:rPr>
                      <w:rFonts w:hint="eastAsia" w:eastAsia="仿宋"/>
                      <w:i/>
                      <w:iCs/>
                      <w:color w:val="auto"/>
                      <w:szCs w:val="18"/>
                      <w:lang w:eastAsia="zh-CN"/>
                    </w:rPr>
                  </w:pPr>
                  <w:r>
                    <w:rPr>
                      <w:rFonts w:hint="eastAsia"/>
                      <w:i/>
                      <w:iCs/>
                      <w:color w:val="auto"/>
                      <w:sz w:val="24"/>
                      <w:szCs w:val="18"/>
                    </w:rPr>
                    <w:t>验收时监测一次，1次/</w:t>
                  </w:r>
                  <w:r>
                    <w:rPr>
                      <w:rFonts w:hint="eastAsia"/>
                      <w:i/>
                      <w:iCs/>
                      <w:color w:val="auto"/>
                      <w:sz w:val="24"/>
                      <w:szCs w:val="18"/>
                      <w:lang w:eastAsia="zh-CN"/>
                    </w:rPr>
                    <w:t>年</w:t>
                  </w:r>
                </w:p>
              </w:tc>
              <w:tc>
                <w:tcPr>
                  <w:tcW w:w="3459" w:type="dxa"/>
                  <w:vMerge w:val="restart"/>
                  <w:vAlign w:val="center"/>
                </w:tcPr>
                <w:p w14:paraId="73875595">
                  <w:pPr>
                    <w:pStyle w:val="48"/>
                    <w:jc w:val="both"/>
                    <w:rPr>
                      <w:i/>
                      <w:iCs/>
                      <w:color w:val="auto"/>
                      <w:szCs w:val="18"/>
                    </w:rPr>
                  </w:pPr>
                  <w:r>
                    <w:rPr>
                      <w:rFonts w:hint="eastAsia"/>
                      <w:i/>
                      <w:iCs/>
                      <w:color w:val="auto"/>
                      <w:sz w:val="24"/>
                      <w:szCs w:val="24"/>
                      <w:lang w:val="en-US" w:eastAsia="zh-CN"/>
                    </w:rPr>
                    <w:t>《合成树脂工业污染物排放标准》（GB31572-2015（含2024年修改单）），</w:t>
                  </w:r>
                  <w:r>
                    <w:rPr>
                      <w:rFonts w:hint="eastAsia"/>
                      <w:i/>
                      <w:iCs/>
                      <w:color w:val="auto"/>
                      <w:sz w:val="24"/>
                    </w:rPr>
                    <w:t>《恶臭污染物排放标准》（GB14554-1993）</w:t>
                  </w:r>
                </w:p>
              </w:tc>
            </w:tr>
            <w:tr w14:paraId="38D6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549" w:type="dxa"/>
                  <w:vMerge w:val="continue"/>
                  <w:vAlign w:val="center"/>
                </w:tcPr>
                <w:p w14:paraId="29CA8487">
                  <w:pPr>
                    <w:pStyle w:val="48"/>
                    <w:rPr>
                      <w:rFonts w:hint="eastAsia"/>
                      <w:color w:val="auto"/>
                      <w:sz w:val="24"/>
                      <w:szCs w:val="18"/>
                    </w:rPr>
                  </w:pPr>
                </w:p>
              </w:tc>
              <w:tc>
                <w:tcPr>
                  <w:tcW w:w="1398" w:type="dxa"/>
                  <w:vAlign w:val="center"/>
                </w:tcPr>
                <w:p w14:paraId="7AE40B7F">
                  <w:pPr>
                    <w:pStyle w:val="48"/>
                    <w:rPr>
                      <w:rFonts w:hint="eastAsia" w:eastAsia="仿宋"/>
                      <w:color w:val="auto"/>
                      <w:sz w:val="24"/>
                      <w:szCs w:val="18"/>
                      <w:highlight w:val="yellow"/>
                      <w:lang w:eastAsia="zh-CN"/>
                    </w:rPr>
                  </w:pPr>
                  <w:r>
                    <w:rPr>
                      <w:rFonts w:hint="eastAsia"/>
                      <w:i/>
                      <w:iCs/>
                      <w:color w:val="auto"/>
                      <w:sz w:val="24"/>
                      <w:szCs w:val="18"/>
                      <w:highlight w:val="none"/>
                      <w:lang w:eastAsia="zh-CN"/>
                    </w:rPr>
                    <w:t>颗粒物、臭气浓度</w:t>
                  </w:r>
                </w:p>
              </w:tc>
              <w:tc>
                <w:tcPr>
                  <w:tcW w:w="1532" w:type="dxa"/>
                  <w:vMerge w:val="continue"/>
                  <w:vAlign w:val="center"/>
                </w:tcPr>
                <w:p w14:paraId="3DB08A90">
                  <w:pPr>
                    <w:pStyle w:val="48"/>
                    <w:rPr>
                      <w:rFonts w:hint="eastAsia"/>
                      <w:color w:val="auto"/>
                      <w:sz w:val="24"/>
                      <w:szCs w:val="18"/>
                    </w:rPr>
                  </w:pPr>
                </w:p>
              </w:tc>
              <w:tc>
                <w:tcPr>
                  <w:tcW w:w="3459" w:type="dxa"/>
                  <w:vMerge w:val="continue"/>
                  <w:vAlign w:val="center"/>
                </w:tcPr>
                <w:p w14:paraId="1D3D16DF">
                  <w:pPr>
                    <w:pStyle w:val="48"/>
                    <w:jc w:val="both"/>
                    <w:rPr>
                      <w:rFonts w:hint="eastAsia"/>
                      <w:color w:val="auto"/>
                      <w:sz w:val="24"/>
                    </w:rPr>
                  </w:pPr>
                </w:p>
              </w:tc>
            </w:tr>
            <w:tr w14:paraId="4875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9" w:type="dxa"/>
                  <w:vAlign w:val="center"/>
                </w:tcPr>
                <w:p w14:paraId="5778F4A2">
                  <w:pPr>
                    <w:pStyle w:val="48"/>
                    <w:rPr>
                      <w:color w:val="auto"/>
                      <w:szCs w:val="18"/>
                    </w:rPr>
                  </w:pPr>
                  <w:r>
                    <w:rPr>
                      <w:rFonts w:hint="eastAsia"/>
                      <w:color w:val="auto"/>
                      <w:sz w:val="24"/>
                      <w:szCs w:val="18"/>
                    </w:rPr>
                    <w:t>厂界</w:t>
                  </w:r>
                </w:p>
              </w:tc>
              <w:tc>
                <w:tcPr>
                  <w:tcW w:w="1398" w:type="dxa"/>
                  <w:vAlign w:val="center"/>
                </w:tcPr>
                <w:p w14:paraId="61CAC199">
                  <w:pPr>
                    <w:pStyle w:val="48"/>
                    <w:rPr>
                      <w:color w:val="auto"/>
                      <w:szCs w:val="18"/>
                    </w:rPr>
                  </w:pPr>
                  <w:r>
                    <w:rPr>
                      <w:rFonts w:hint="eastAsia"/>
                      <w:color w:val="auto"/>
                      <w:sz w:val="24"/>
                      <w:szCs w:val="18"/>
                    </w:rPr>
                    <w:t>非甲烷总烃</w:t>
                  </w:r>
                </w:p>
              </w:tc>
              <w:tc>
                <w:tcPr>
                  <w:tcW w:w="1532" w:type="dxa"/>
                  <w:vAlign w:val="center"/>
                </w:tcPr>
                <w:p w14:paraId="20269F42">
                  <w:pPr>
                    <w:pStyle w:val="48"/>
                    <w:rPr>
                      <w:color w:val="auto"/>
                      <w:szCs w:val="18"/>
                    </w:rPr>
                  </w:pPr>
                  <w:r>
                    <w:rPr>
                      <w:rFonts w:hint="eastAsia"/>
                      <w:color w:val="auto"/>
                      <w:sz w:val="24"/>
                      <w:szCs w:val="18"/>
                    </w:rPr>
                    <w:t>验收时监测一次，以后1次/年</w:t>
                  </w:r>
                </w:p>
              </w:tc>
              <w:tc>
                <w:tcPr>
                  <w:tcW w:w="3459" w:type="dxa"/>
                  <w:vAlign w:val="center"/>
                </w:tcPr>
                <w:p w14:paraId="2B58181F">
                  <w:pPr>
                    <w:pStyle w:val="48"/>
                    <w:rPr>
                      <w:color w:val="auto"/>
                    </w:rPr>
                  </w:pPr>
                  <w:r>
                    <w:rPr>
                      <w:rFonts w:hint="eastAsia"/>
                      <w:i/>
                      <w:iCs/>
                      <w:color w:val="auto"/>
                      <w:sz w:val="24"/>
                      <w:szCs w:val="24"/>
                      <w:lang w:val="en-US" w:eastAsia="zh-CN"/>
                    </w:rPr>
                    <w:t>《合成树脂工业污染物排放标准》（GB31572-2015（含2024年修改单））</w:t>
                  </w:r>
                </w:p>
              </w:tc>
            </w:tr>
            <w:tr w14:paraId="415E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9" w:type="dxa"/>
                  <w:vAlign w:val="center"/>
                </w:tcPr>
                <w:p w14:paraId="082305C4">
                  <w:pPr>
                    <w:pStyle w:val="48"/>
                    <w:rPr>
                      <w:rFonts w:hint="eastAsia" w:eastAsia="仿宋"/>
                      <w:color w:val="auto"/>
                      <w:sz w:val="24"/>
                      <w:szCs w:val="18"/>
                      <w:lang w:eastAsia="zh-CN"/>
                    </w:rPr>
                  </w:pPr>
                  <w:r>
                    <w:rPr>
                      <w:rFonts w:hint="eastAsia"/>
                      <w:color w:val="auto"/>
                      <w:sz w:val="24"/>
                      <w:szCs w:val="18"/>
                      <w:lang w:eastAsia="zh-CN"/>
                    </w:rPr>
                    <w:t>厂房</w:t>
                  </w:r>
                </w:p>
              </w:tc>
              <w:tc>
                <w:tcPr>
                  <w:tcW w:w="1398" w:type="dxa"/>
                  <w:vAlign w:val="center"/>
                </w:tcPr>
                <w:p w14:paraId="6F63E044">
                  <w:pPr>
                    <w:pStyle w:val="48"/>
                    <w:rPr>
                      <w:color w:val="auto"/>
                      <w:sz w:val="24"/>
                      <w:szCs w:val="18"/>
                    </w:rPr>
                  </w:pPr>
                  <w:r>
                    <w:rPr>
                      <w:rFonts w:hint="eastAsia"/>
                      <w:color w:val="auto"/>
                      <w:sz w:val="24"/>
                      <w:szCs w:val="18"/>
                    </w:rPr>
                    <w:t>非甲烷总烃</w:t>
                  </w:r>
                </w:p>
              </w:tc>
              <w:tc>
                <w:tcPr>
                  <w:tcW w:w="1532" w:type="dxa"/>
                  <w:shd w:val="clear" w:color="auto" w:fill="auto"/>
                  <w:vAlign w:val="center"/>
                </w:tcPr>
                <w:p w14:paraId="683042A7">
                  <w:pPr>
                    <w:pStyle w:val="48"/>
                    <w:rPr>
                      <w:color w:val="auto"/>
                      <w:szCs w:val="18"/>
                    </w:rPr>
                  </w:pPr>
                  <w:r>
                    <w:rPr>
                      <w:rFonts w:hint="eastAsia"/>
                      <w:color w:val="auto"/>
                      <w:sz w:val="24"/>
                      <w:szCs w:val="18"/>
                    </w:rPr>
                    <w:t>验收时监测一次，以后1次/年</w:t>
                  </w:r>
                </w:p>
              </w:tc>
              <w:tc>
                <w:tcPr>
                  <w:tcW w:w="3459" w:type="dxa"/>
                  <w:shd w:val="clear" w:color="auto" w:fill="auto"/>
                  <w:vAlign w:val="center"/>
                </w:tcPr>
                <w:p w14:paraId="48E532AA">
                  <w:pPr>
                    <w:pStyle w:val="48"/>
                    <w:tabs>
                      <w:tab w:val="left" w:pos="522"/>
                    </w:tabs>
                    <w:jc w:val="left"/>
                    <w:rPr>
                      <w:rFonts w:hint="eastAsia" w:eastAsia="仿宋"/>
                      <w:color w:val="auto"/>
                      <w:lang w:eastAsia="zh-CN"/>
                    </w:rPr>
                  </w:pPr>
                  <w:r>
                    <w:rPr>
                      <w:color w:val="auto"/>
                      <w:sz w:val="24"/>
                    </w:rPr>
                    <w:t>《挥发性有机物无组织排放控制标准》（GB37822-2019）</w:t>
                  </w:r>
                </w:p>
              </w:tc>
            </w:tr>
            <w:tr w14:paraId="01D4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549" w:type="dxa"/>
                  <w:vAlign w:val="center"/>
                </w:tcPr>
                <w:p w14:paraId="13567290">
                  <w:pPr>
                    <w:pStyle w:val="48"/>
                    <w:rPr>
                      <w:color w:val="auto"/>
                      <w:sz w:val="24"/>
                      <w:szCs w:val="18"/>
                    </w:rPr>
                  </w:pPr>
                  <w:r>
                    <w:rPr>
                      <w:rFonts w:hint="eastAsia"/>
                      <w:color w:val="auto"/>
                      <w:sz w:val="24"/>
                      <w:szCs w:val="18"/>
                    </w:rPr>
                    <w:t>厂界</w:t>
                  </w:r>
                </w:p>
              </w:tc>
              <w:tc>
                <w:tcPr>
                  <w:tcW w:w="1398" w:type="dxa"/>
                  <w:vAlign w:val="center"/>
                </w:tcPr>
                <w:p w14:paraId="02838529">
                  <w:pPr>
                    <w:pStyle w:val="48"/>
                    <w:rPr>
                      <w:color w:val="auto"/>
                      <w:sz w:val="24"/>
                      <w:szCs w:val="18"/>
                    </w:rPr>
                  </w:pPr>
                  <w:r>
                    <w:rPr>
                      <w:rFonts w:hint="eastAsia"/>
                      <w:i/>
                      <w:iCs/>
                      <w:color w:val="auto"/>
                      <w:sz w:val="24"/>
                      <w:szCs w:val="18"/>
                      <w:lang w:eastAsia="zh-CN"/>
                    </w:rPr>
                    <w:t>颗粒物、</w:t>
                  </w:r>
                  <w:r>
                    <w:rPr>
                      <w:rFonts w:hint="eastAsia"/>
                      <w:i/>
                      <w:iCs/>
                      <w:color w:val="auto"/>
                      <w:sz w:val="24"/>
                      <w:szCs w:val="18"/>
                    </w:rPr>
                    <w:t>臭气浓度</w:t>
                  </w:r>
                </w:p>
              </w:tc>
              <w:tc>
                <w:tcPr>
                  <w:tcW w:w="1532" w:type="dxa"/>
                  <w:vAlign w:val="center"/>
                </w:tcPr>
                <w:p w14:paraId="7D1AC5B2">
                  <w:pPr>
                    <w:pStyle w:val="48"/>
                    <w:rPr>
                      <w:color w:val="auto"/>
                      <w:sz w:val="24"/>
                      <w:szCs w:val="18"/>
                    </w:rPr>
                  </w:pPr>
                  <w:r>
                    <w:rPr>
                      <w:rFonts w:hint="eastAsia"/>
                      <w:color w:val="auto"/>
                      <w:sz w:val="24"/>
                      <w:szCs w:val="18"/>
                    </w:rPr>
                    <w:t>验收时监测一次，以后1次/年</w:t>
                  </w:r>
                </w:p>
              </w:tc>
              <w:tc>
                <w:tcPr>
                  <w:tcW w:w="3459" w:type="dxa"/>
                  <w:vAlign w:val="center"/>
                </w:tcPr>
                <w:p w14:paraId="59A97F75">
                  <w:pPr>
                    <w:pStyle w:val="48"/>
                    <w:rPr>
                      <w:color w:val="auto"/>
                    </w:rPr>
                  </w:pPr>
                  <w:r>
                    <w:rPr>
                      <w:rFonts w:hint="eastAsia"/>
                      <w:color w:val="auto"/>
                      <w:sz w:val="24"/>
                    </w:rPr>
                    <w:t>《恶臭污染物排放标准》（GB14554-1993）</w:t>
                  </w:r>
                </w:p>
              </w:tc>
            </w:tr>
          </w:tbl>
          <w:p w14:paraId="3DE6D789">
            <w:pPr>
              <w:pStyle w:val="53"/>
              <w:spacing w:before="120"/>
              <w:rPr>
                <w:rFonts w:ascii="仿宋" w:hAnsi="仿宋"/>
                <w:color w:val="auto"/>
                <w:sz w:val="28"/>
              </w:rPr>
            </w:pPr>
            <w:r>
              <w:rPr>
                <w:rFonts w:hint="eastAsia" w:ascii="仿宋" w:hAnsi="仿宋"/>
                <w:color w:val="auto"/>
                <w:sz w:val="28"/>
                <w:lang w:val="en-US"/>
              </w:rPr>
              <w:t>4.2</w:t>
            </w:r>
            <w:r>
              <w:rPr>
                <w:rFonts w:ascii="仿宋" w:hAnsi="仿宋"/>
                <w:color w:val="auto"/>
                <w:sz w:val="28"/>
              </w:rPr>
              <w:t>.4</w:t>
            </w:r>
            <w:r>
              <w:rPr>
                <w:rFonts w:hint="eastAsia" w:ascii="仿宋" w:hAnsi="仿宋"/>
                <w:color w:val="auto"/>
                <w:sz w:val="28"/>
              </w:rPr>
              <w:t>废气</w:t>
            </w:r>
            <w:r>
              <w:rPr>
                <w:rFonts w:hint="eastAsia" w:ascii="仿宋" w:hAnsi="仿宋"/>
                <w:color w:val="auto"/>
                <w:sz w:val="28"/>
                <w:highlight w:val="none"/>
              </w:rPr>
              <w:t>治理设施可行性</w:t>
            </w:r>
            <w:r>
              <w:rPr>
                <w:rFonts w:hint="eastAsia" w:ascii="仿宋" w:hAnsi="仿宋"/>
                <w:color w:val="auto"/>
                <w:sz w:val="28"/>
              </w:rPr>
              <w:t>分析</w:t>
            </w:r>
          </w:p>
          <w:p w14:paraId="2C3A67DC">
            <w:pPr>
              <w:ind w:firstLine="560"/>
              <w:rPr>
                <w:rFonts w:hint="eastAsia" w:eastAsia="仿宋"/>
                <w:color w:val="auto"/>
                <w:sz w:val="28"/>
                <w:lang w:eastAsia="zh-CN"/>
              </w:rPr>
            </w:pPr>
            <w:r>
              <w:rPr>
                <w:rFonts w:hint="eastAsia"/>
                <w:color w:val="auto"/>
                <w:sz w:val="28"/>
              </w:rPr>
              <w:t>本项目营运期产生的</w:t>
            </w:r>
            <w:r>
              <w:rPr>
                <w:rFonts w:hint="eastAsia"/>
                <w:color w:val="auto"/>
                <w:sz w:val="28"/>
                <w:lang w:eastAsia="zh-CN"/>
              </w:rPr>
              <w:t>涂布、烘烤</w:t>
            </w:r>
            <w:r>
              <w:rPr>
                <w:rFonts w:hint="eastAsia"/>
                <w:color w:val="auto"/>
                <w:sz w:val="28"/>
              </w:rPr>
              <w:t>有机废气由集气罩收集，收集效率约80%，有机废气经过收集后由集气管道引入</w:t>
            </w:r>
            <w:r>
              <w:rPr>
                <w:rFonts w:hint="eastAsia"/>
                <w:color w:val="auto"/>
                <w:sz w:val="28"/>
                <w:lang w:eastAsia="zh-CN"/>
              </w:rPr>
              <w:t>过滤棉</w:t>
            </w:r>
            <w:r>
              <w:rPr>
                <w:rFonts w:hint="eastAsia"/>
                <w:color w:val="auto"/>
                <w:sz w:val="28"/>
                <w:lang w:val="en-US" w:eastAsia="zh-CN"/>
              </w:rPr>
              <w:t>+二级</w:t>
            </w:r>
            <w:r>
              <w:rPr>
                <w:rFonts w:hint="eastAsia"/>
                <w:color w:val="auto"/>
                <w:sz w:val="28"/>
              </w:rPr>
              <w:t>活性炭处理装置处理后经排气筒排放，</w:t>
            </w:r>
            <w:r>
              <w:rPr>
                <w:rFonts w:hint="eastAsia"/>
                <w:i/>
                <w:iCs/>
                <w:color w:val="auto"/>
                <w:sz w:val="28"/>
                <w:lang w:eastAsia="zh-CN"/>
              </w:rPr>
              <w:t>二级</w:t>
            </w:r>
            <w:r>
              <w:rPr>
                <w:rFonts w:hint="eastAsia"/>
                <w:i/>
                <w:iCs/>
                <w:color w:val="auto"/>
                <w:sz w:val="28"/>
              </w:rPr>
              <w:t>活性炭处理装置处理效率约</w:t>
            </w:r>
            <w:r>
              <w:rPr>
                <w:rFonts w:hint="eastAsia"/>
                <w:i/>
                <w:iCs/>
                <w:color w:val="auto"/>
                <w:sz w:val="28"/>
                <w:lang w:val="en-US" w:eastAsia="zh-CN"/>
              </w:rPr>
              <w:t>6</w:t>
            </w:r>
            <w:r>
              <w:rPr>
                <w:rFonts w:hint="eastAsia"/>
                <w:i/>
                <w:iCs/>
                <w:color w:val="auto"/>
                <w:sz w:val="28"/>
              </w:rPr>
              <w:t>0%。</w:t>
            </w:r>
            <w:r>
              <w:rPr>
                <w:rFonts w:hint="eastAsia"/>
                <w:color w:val="auto"/>
                <w:sz w:val="28"/>
              </w:rPr>
              <w:t>根据工程分析，本项目处理后的</w:t>
            </w:r>
            <w:r>
              <w:rPr>
                <w:rFonts w:hint="eastAsia"/>
                <w:color w:val="auto"/>
                <w:sz w:val="28"/>
                <w:lang w:eastAsia="zh-CN"/>
              </w:rPr>
              <w:t>涂布、烘烤</w:t>
            </w:r>
            <w:r>
              <w:rPr>
                <w:rFonts w:hint="eastAsia"/>
                <w:color w:val="auto"/>
                <w:sz w:val="28"/>
              </w:rPr>
              <w:t>有机废气排放浓度满</w:t>
            </w:r>
            <w:r>
              <w:rPr>
                <w:rFonts w:hint="eastAsia"/>
                <w:i/>
                <w:iCs/>
                <w:color w:val="auto"/>
                <w:sz w:val="28"/>
              </w:rPr>
              <w:t>足</w:t>
            </w:r>
            <w:r>
              <w:rPr>
                <w:rFonts w:hint="eastAsia"/>
                <w:i/>
                <w:iCs/>
                <w:color w:val="auto"/>
                <w:sz w:val="28"/>
                <w:lang w:val="en-US" w:eastAsia="zh-CN"/>
              </w:rPr>
              <w:t>《合成树脂工业污染物排放标准》（GB31572-2015（含2024年修改单））</w:t>
            </w:r>
            <w:r>
              <w:rPr>
                <w:rFonts w:hint="eastAsia"/>
                <w:i/>
                <w:iCs/>
                <w:color w:val="auto"/>
                <w:sz w:val="28"/>
              </w:rPr>
              <w:t>的排放标准限值。</w:t>
            </w:r>
            <w:r>
              <w:rPr>
                <w:rFonts w:hint="eastAsia"/>
                <w:color w:val="auto"/>
                <w:sz w:val="28"/>
                <w:lang w:eastAsia="zh-CN"/>
              </w:rPr>
              <w:t>本项目无组织废气产生量较少，经加强车间通风后排放对环境的影响较小。</w:t>
            </w:r>
          </w:p>
          <w:p w14:paraId="30D639D3">
            <w:pPr>
              <w:ind w:firstLine="560"/>
              <w:rPr>
                <w:rFonts w:hint="eastAsia"/>
                <w:color w:val="auto"/>
                <w:sz w:val="28"/>
                <w:lang w:val="en-US" w:eastAsia="zh-CN"/>
              </w:rPr>
            </w:pPr>
            <w:r>
              <w:rPr>
                <w:rFonts w:hint="eastAsia"/>
                <w:color w:val="auto"/>
                <w:sz w:val="28"/>
                <w:lang w:eastAsia="zh-CN"/>
              </w:rPr>
              <w:t>涂布、烘烤</w:t>
            </w:r>
            <w:r>
              <w:rPr>
                <w:rFonts w:hint="eastAsia"/>
                <w:color w:val="auto"/>
                <w:sz w:val="28"/>
              </w:rPr>
              <w:t>废气有机废气处理装置处理工艺为集气</w:t>
            </w:r>
            <w:r>
              <w:rPr>
                <w:rFonts w:hint="eastAsia"/>
                <w:color w:val="auto"/>
                <w:sz w:val="28"/>
                <w:lang w:eastAsia="zh-CN"/>
              </w:rPr>
              <w:t>罩</w:t>
            </w:r>
            <w:r>
              <w:rPr>
                <w:rFonts w:hint="eastAsia"/>
                <w:color w:val="auto"/>
                <w:sz w:val="28"/>
                <w:lang w:val="en-US" w:eastAsia="zh-CN"/>
              </w:rPr>
              <w:t>+过滤棉+二级</w:t>
            </w:r>
            <w:r>
              <w:rPr>
                <w:rFonts w:hint="eastAsia"/>
                <w:color w:val="auto"/>
                <w:sz w:val="28"/>
                <w:lang w:eastAsia="zh-CN"/>
              </w:rPr>
              <w:t>活性炭吸附</w:t>
            </w:r>
            <w:r>
              <w:rPr>
                <w:rFonts w:hint="eastAsia"/>
                <w:color w:val="auto"/>
                <w:sz w:val="28"/>
              </w:rPr>
              <w:t>处理后由DA001排气筒排放，</w:t>
            </w:r>
            <w:r>
              <w:rPr>
                <w:rFonts w:hint="eastAsia"/>
                <w:color w:val="auto"/>
                <w:sz w:val="28"/>
                <w:lang w:val="en-US" w:eastAsia="zh-CN"/>
              </w:rPr>
              <w:t>活性炭吸附属于《排污许可证申请与核发技术规范汽车制造业》(HJ971-2018)提及的非甲烷总烃可行治理技术。</w:t>
            </w:r>
          </w:p>
          <w:p w14:paraId="4A307856">
            <w:pPr>
              <w:ind w:firstLine="560"/>
              <w:rPr>
                <w:color w:val="auto"/>
                <w:sz w:val="28"/>
              </w:rPr>
            </w:pPr>
            <w:r>
              <w:rPr>
                <w:rFonts w:hint="eastAsia"/>
                <w:color w:val="auto"/>
                <w:sz w:val="28"/>
              </w:rPr>
              <w:t>采用上述措施后项目废气能够稳定达标排放。根据《排污许可证申请与核发技术规范橡胶和塑料制品工业》（HJ1122-2020），活性炭吸附为技术规范中的可行技术且实际运行过程中表现良好，因此，项目废气治理方案是可行的。</w:t>
            </w:r>
          </w:p>
          <w:p w14:paraId="1F604339">
            <w:pPr>
              <w:pStyle w:val="24"/>
              <w:ind w:left="0" w:leftChars="0" w:firstLine="560"/>
              <w:rPr>
                <w:color w:val="auto"/>
                <w:sz w:val="28"/>
              </w:rPr>
            </w:pPr>
            <w:r>
              <w:rPr>
                <w:rFonts w:hint="eastAsia"/>
                <w:color w:val="auto"/>
                <w:sz w:val="28"/>
              </w:rPr>
              <w:t>活性炭吸附浓缩：活性炭吸附主要是指多孔性固体物质处理流体混合物时，流体中的某一组分或某些组分可被吸收到固体表面，并浓缩、聚集其上。</w:t>
            </w:r>
          </w:p>
          <w:p w14:paraId="588F6A6D">
            <w:pPr>
              <w:ind w:firstLine="560"/>
              <w:rPr>
                <w:color w:val="auto"/>
                <w:sz w:val="28"/>
              </w:rPr>
            </w:pPr>
            <w:r>
              <w:rPr>
                <w:color w:val="auto"/>
                <w:sz w:val="28"/>
              </w:rPr>
              <w:t>本项目废气治理设备的去除效率，取决于活性炭吸附装置中填充的活性炭碘值和饱和度。</w:t>
            </w:r>
            <w:r>
              <w:rPr>
                <w:rFonts w:hint="eastAsia"/>
                <w:color w:val="auto"/>
                <w:sz w:val="28"/>
              </w:rPr>
              <w:t>根据</w:t>
            </w:r>
            <w:r>
              <w:rPr>
                <w:rFonts w:hint="eastAsia"/>
                <w:i/>
                <w:iCs/>
                <w:color w:val="auto"/>
                <w:sz w:val="28"/>
              </w:rPr>
              <w:t>《2025 年重庆市夏季空气质量提升工作方案》、</w:t>
            </w:r>
            <w:r>
              <w:rPr>
                <w:color w:val="auto"/>
                <w:sz w:val="28"/>
              </w:rPr>
              <w:t>《吸附法工业有机废气治理工程技术规范》（HJ2026-2013）提出，颗粒活性炭碘吸附值≥800mg/g；蜂窝活性炭碘吸附值≥650mg/g；活性炭纤维比表面积应不低于1100m</w:t>
            </w:r>
            <w:r>
              <w:rPr>
                <w:color w:val="auto"/>
                <w:sz w:val="28"/>
                <w:vertAlign w:val="superscript"/>
              </w:rPr>
              <w:t>2</w:t>
            </w:r>
            <w:r>
              <w:rPr>
                <w:color w:val="auto"/>
                <w:sz w:val="28"/>
              </w:rPr>
              <w:t>/g（BET法）。企业应备好所购活性炭厂家关于活性炭碘吸附值、比表面积等相关检测报告等证明材料。排气浓度不满足设计或排放要求时，需及时更换活性炭。活性炭更换周期宜不超过累计运行500小时或3个月</w:t>
            </w:r>
            <w:r>
              <w:rPr>
                <w:rFonts w:hint="eastAsia"/>
                <w:color w:val="auto"/>
                <w:sz w:val="28"/>
              </w:rPr>
              <w:t>，</w:t>
            </w:r>
            <w:r>
              <w:rPr>
                <w:color w:val="auto"/>
                <w:sz w:val="28"/>
              </w:rPr>
              <w:t>建立活性炭全过程管理台账，购入记录和质量规格应附发票、检测报告等关键支撑材料；应准确、及时填写更换记录并保存；废旧活性炭妥善贮存，贮存过程中产生的VOCs接入处理设施，将废旧活性炭交有资质的单位处理处置，在设施运维台账中记录更换时间和使用量。活性炭每3个月更换1次，活性炭箱设置压差计，可满足废气治理要求</w:t>
            </w:r>
            <w:r>
              <w:rPr>
                <w:rFonts w:hint="eastAsia"/>
                <w:color w:val="auto"/>
                <w:sz w:val="28"/>
              </w:rPr>
              <w:t>。</w:t>
            </w:r>
          </w:p>
          <w:p w14:paraId="3C7DC048">
            <w:pPr>
              <w:pStyle w:val="53"/>
              <w:spacing w:before="120"/>
              <w:rPr>
                <w:rFonts w:ascii="仿宋" w:hAnsi="仿宋"/>
                <w:color w:val="auto"/>
                <w:sz w:val="28"/>
              </w:rPr>
            </w:pPr>
            <w:r>
              <w:rPr>
                <w:rFonts w:hint="eastAsia" w:ascii="仿宋" w:hAnsi="仿宋"/>
                <w:color w:val="auto"/>
                <w:sz w:val="28"/>
                <w:lang w:val="en-US"/>
              </w:rPr>
              <w:t>4.2</w:t>
            </w:r>
            <w:r>
              <w:rPr>
                <w:rFonts w:ascii="仿宋" w:hAnsi="仿宋"/>
                <w:color w:val="auto"/>
                <w:sz w:val="28"/>
              </w:rPr>
              <w:t>.5</w:t>
            </w:r>
            <w:r>
              <w:rPr>
                <w:rFonts w:hint="eastAsia" w:ascii="仿宋" w:hAnsi="仿宋"/>
                <w:color w:val="auto"/>
                <w:sz w:val="28"/>
              </w:rPr>
              <w:t>达标排放情况</w:t>
            </w:r>
          </w:p>
          <w:p w14:paraId="179D492E">
            <w:pPr>
              <w:ind w:firstLine="560"/>
              <w:rPr>
                <w:color w:val="auto"/>
                <w:sz w:val="28"/>
              </w:rPr>
            </w:pPr>
            <w:r>
              <w:rPr>
                <w:rFonts w:hint="eastAsia"/>
                <w:color w:val="auto"/>
                <w:sz w:val="28"/>
              </w:rPr>
              <w:t>本项目废气排放达标情况见表4-4。</w:t>
            </w:r>
          </w:p>
          <w:p w14:paraId="50A20380">
            <w:pPr>
              <w:pStyle w:val="75"/>
              <w:rPr>
                <w:color w:val="auto"/>
                <w:highlight w:val="none"/>
                <w:lang w:val="en-US"/>
              </w:rPr>
            </w:pPr>
            <w:r>
              <w:rPr>
                <w:rFonts w:hint="eastAsia"/>
                <w:color w:val="auto"/>
                <w:sz w:val="24"/>
                <w:highlight w:val="none"/>
              </w:rPr>
              <w:t>表4-</w:t>
            </w:r>
            <w:r>
              <w:rPr>
                <w:rFonts w:hint="eastAsia"/>
                <w:color w:val="auto"/>
                <w:sz w:val="24"/>
                <w:highlight w:val="none"/>
                <w:lang w:val="en-US"/>
              </w:rPr>
              <w:t>4</w:t>
            </w:r>
            <w:r>
              <w:rPr>
                <w:rFonts w:hint="eastAsia"/>
                <w:color w:val="auto"/>
                <w:sz w:val="24"/>
                <w:highlight w:val="none"/>
              </w:rPr>
              <w:t>项目废气达标排放分析一览表</w:t>
            </w:r>
          </w:p>
          <w:tbl>
            <w:tblPr>
              <w:tblStyle w:val="32"/>
              <w:tblW w:w="8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967"/>
              <w:gridCol w:w="968"/>
              <w:gridCol w:w="1279"/>
              <w:gridCol w:w="1074"/>
              <w:gridCol w:w="996"/>
              <w:gridCol w:w="1127"/>
              <w:gridCol w:w="707"/>
            </w:tblGrid>
            <w:tr w14:paraId="16B4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Merge w:val="restart"/>
                  <w:vAlign w:val="center"/>
                </w:tcPr>
                <w:p w14:paraId="5FC5B2D8">
                  <w:pPr>
                    <w:pStyle w:val="48"/>
                    <w:rPr>
                      <w:rFonts w:ascii="Times New Roman" w:hAnsi="Times New Roman"/>
                      <w:color w:val="auto"/>
                      <w:szCs w:val="18"/>
                    </w:rPr>
                  </w:pPr>
                  <w:r>
                    <w:rPr>
                      <w:rFonts w:ascii="Times New Roman" w:hAnsi="Times New Roman"/>
                      <w:color w:val="auto"/>
                      <w:sz w:val="24"/>
                      <w:szCs w:val="18"/>
                    </w:rPr>
                    <w:t>排放口</w:t>
                  </w:r>
                </w:p>
              </w:tc>
              <w:tc>
                <w:tcPr>
                  <w:tcW w:w="967" w:type="dxa"/>
                  <w:vMerge w:val="restart"/>
                  <w:vAlign w:val="center"/>
                </w:tcPr>
                <w:p w14:paraId="761560CF">
                  <w:pPr>
                    <w:pStyle w:val="48"/>
                    <w:rPr>
                      <w:rFonts w:ascii="Times New Roman" w:hAnsi="Times New Roman"/>
                      <w:color w:val="auto"/>
                      <w:szCs w:val="18"/>
                      <w:highlight w:val="yellow"/>
                    </w:rPr>
                  </w:pPr>
                  <w:r>
                    <w:rPr>
                      <w:rFonts w:ascii="Times New Roman" w:hAnsi="Times New Roman"/>
                      <w:color w:val="auto"/>
                      <w:sz w:val="24"/>
                      <w:szCs w:val="18"/>
                    </w:rPr>
                    <w:t>污染物名称</w:t>
                  </w:r>
                </w:p>
              </w:tc>
              <w:tc>
                <w:tcPr>
                  <w:tcW w:w="2247" w:type="dxa"/>
                  <w:gridSpan w:val="2"/>
                  <w:vAlign w:val="center"/>
                </w:tcPr>
                <w:p w14:paraId="0B3F5626">
                  <w:pPr>
                    <w:pStyle w:val="48"/>
                    <w:rPr>
                      <w:rFonts w:ascii="Times New Roman" w:hAnsi="Times New Roman"/>
                      <w:color w:val="auto"/>
                      <w:szCs w:val="18"/>
                    </w:rPr>
                  </w:pPr>
                  <w:r>
                    <w:rPr>
                      <w:rFonts w:ascii="Times New Roman" w:hAnsi="Times New Roman"/>
                      <w:color w:val="auto"/>
                      <w:sz w:val="24"/>
                      <w:szCs w:val="18"/>
                    </w:rPr>
                    <w:t>排放情况</w:t>
                  </w:r>
                </w:p>
              </w:tc>
              <w:tc>
                <w:tcPr>
                  <w:tcW w:w="1074" w:type="dxa"/>
                  <w:vMerge w:val="restart"/>
                  <w:vAlign w:val="center"/>
                </w:tcPr>
                <w:p w14:paraId="6116A2E3">
                  <w:pPr>
                    <w:pStyle w:val="48"/>
                    <w:rPr>
                      <w:rFonts w:ascii="Times New Roman" w:hAnsi="Times New Roman"/>
                      <w:color w:val="auto"/>
                      <w:szCs w:val="18"/>
                    </w:rPr>
                  </w:pPr>
                  <w:r>
                    <w:rPr>
                      <w:rFonts w:ascii="Times New Roman" w:hAnsi="Times New Roman"/>
                      <w:color w:val="auto"/>
                      <w:sz w:val="24"/>
                      <w:szCs w:val="18"/>
                    </w:rPr>
                    <w:t>污染物治理措施</w:t>
                  </w:r>
                </w:p>
              </w:tc>
              <w:tc>
                <w:tcPr>
                  <w:tcW w:w="2123" w:type="dxa"/>
                  <w:gridSpan w:val="2"/>
                  <w:vAlign w:val="center"/>
                </w:tcPr>
                <w:p w14:paraId="1C3C6825">
                  <w:pPr>
                    <w:pStyle w:val="48"/>
                    <w:rPr>
                      <w:rFonts w:ascii="Times New Roman" w:hAnsi="Times New Roman"/>
                      <w:color w:val="auto"/>
                      <w:szCs w:val="18"/>
                    </w:rPr>
                  </w:pPr>
                  <w:r>
                    <w:rPr>
                      <w:rFonts w:ascii="Times New Roman" w:hAnsi="Times New Roman"/>
                      <w:color w:val="auto"/>
                      <w:sz w:val="24"/>
                      <w:szCs w:val="18"/>
                    </w:rPr>
                    <w:t>排放标准</w:t>
                  </w:r>
                </w:p>
              </w:tc>
              <w:tc>
                <w:tcPr>
                  <w:tcW w:w="707" w:type="dxa"/>
                  <w:vMerge w:val="restart"/>
                  <w:vAlign w:val="center"/>
                </w:tcPr>
                <w:p w14:paraId="6949B0F4">
                  <w:pPr>
                    <w:pStyle w:val="48"/>
                    <w:rPr>
                      <w:rFonts w:ascii="Times New Roman" w:hAnsi="Times New Roman"/>
                      <w:color w:val="auto"/>
                      <w:szCs w:val="18"/>
                    </w:rPr>
                  </w:pPr>
                  <w:r>
                    <w:rPr>
                      <w:rFonts w:ascii="Times New Roman" w:hAnsi="Times New Roman"/>
                      <w:color w:val="auto"/>
                      <w:sz w:val="24"/>
                      <w:szCs w:val="18"/>
                    </w:rPr>
                    <w:t>达标分析</w:t>
                  </w:r>
                </w:p>
              </w:tc>
            </w:tr>
            <w:tr w14:paraId="2F60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vMerge w:val="continue"/>
                  <w:vAlign w:val="center"/>
                </w:tcPr>
                <w:p w14:paraId="0B57160B">
                  <w:pPr>
                    <w:pStyle w:val="48"/>
                    <w:rPr>
                      <w:rFonts w:ascii="Times New Roman" w:hAnsi="Times New Roman"/>
                      <w:color w:val="auto"/>
                      <w:szCs w:val="18"/>
                    </w:rPr>
                  </w:pPr>
                </w:p>
              </w:tc>
              <w:tc>
                <w:tcPr>
                  <w:tcW w:w="967" w:type="dxa"/>
                  <w:vMerge w:val="continue"/>
                  <w:vAlign w:val="center"/>
                </w:tcPr>
                <w:p w14:paraId="409BF882">
                  <w:pPr>
                    <w:pStyle w:val="48"/>
                    <w:rPr>
                      <w:rFonts w:ascii="Times New Roman" w:hAnsi="Times New Roman"/>
                      <w:color w:val="auto"/>
                      <w:szCs w:val="18"/>
                      <w:highlight w:val="yellow"/>
                    </w:rPr>
                  </w:pPr>
                </w:p>
              </w:tc>
              <w:tc>
                <w:tcPr>
                  <w:tcW w:w="968" w:type="dxa"/>
                  <w:vAlign w:val="center"/>
                </w:tcPr>
                <w:p w14:paraId="36791C79">
                  <w:pPr>
                    <w:pStyle w:val="48"/>
                    <w:rPr>
                      <w:rFonts w:ascii="Times New Roman" w:hAnsi="Times New Roman"/>
                      <w:color w:val="auto"/>
                      <w:szCs w:val="18"/>
                    </w:rPr>
                  </w:pPr>
                  <w:r>
                    <w:rPr>
                      <w:rFonts w:ascii="Times New Roman" w:hAnsi="Times New Roman"/>
                      <w:color w:val="auto"/>
                      <w:sz w:val="24"/>
                      <w:szCs w:val="18"/>
                    </w:rPr>
                    <w:t>排放浓度mg/m</w:t>
                  </w:r>
                  <w:r>
                    <w:rPr>
                      <w:rFonts w:ascii="Times New Roman" w:hAnsi="Times New Roman"/>
                      <w:color w:val="auto"/>
                      <w:sz w:val="24"/>
                      <w:szCs w:val="18"/>
                      <w:vertAlign w:val="superscript"/>
                    </w:rPr>
                    <w:t>3</w:t>
                  </w:r>
                </w:p>
              </w:tc>
              <w:tc>
                <w:tcPr>
                  <w:tcW w:w="1279" w:type="dxa"/>
                  <w:vAlign w:val="center"/>
                </w:tcPr>
                <w:p w14:paraId="16A95171">
                  <w:pPr>
                    <w:pStyle w:val="48"/>
                    <w:rPr>
                      <w:rFonts w:ascii="Times New Roman" w:hAnsi="Times New Roman"/>
                      <w:color w:val="auto"/>
                      <w:szCs w:val="18"/>
                    </w:rPr>
                  </w:pPr>
                  <w:r>
                    <w:rPr>
                      <w:rFonts w:ascii="Times New Roman" w:hAnsi="Times New Roman"/>
                      <w:color w:val="auto"/>
                      <w:sz w:val="24"/>
                      <w:szCs w:val="18"/>
                    </w:rPr>
                    <w:t>排放速率kg/h</w:t>
                  </w:r>
                </w:p>
              </w:tc>
              <w:tc>
                <w:tcPr>
                  <w:tcW w:w="1074" w:type="dxa"/>
                  <w:vMerge w:val="continue"/>
                  <w:vAlign w:val="center"/>
                </w:tcPr>
                <w:p w14:paraId="174F8EA3">
                  <w:pPr>
                    <w:pStyle w:val="48"/>
                    <w:rPr>
                      <w:rFonts w:ascii="Times New Roman" w:hAnsi="Times New Roman"/>
                      <w:color w:val="auto"/>
                      <w:szCs w:val="18"/>
                    </w:rPr>
                  </w:pPr>
                </w:p>
              </w:tc>
              <w:tc>
                <w:tcPr>
                  <w:tcW w:w="996" w:type="dxa"/>
                  <w:vAlign w:val="center"/>
                </w:tcPr>
                <w:p w14:paraId="2429999A">
                  <w:pPr>
                    <w:pStyle w:val="48"/>
                    <w:rPr>
                      <w:rFonts w:ascii="Times New Roman" w:hAnsi="Times New Roman"/>
                      <w:color w:val="auto"/>
                      <w:szCs w:val="18"/>
                    </w:rPr>
                  </w:pPr>
                  <w:r>
                    <w:rPr>
                      <w:rFonts w:ascii="Times New Roman" w:hAnsi="Times New Roman"/>
                      <w:color w:val="auto"/>
                      <w:sz w:val="24"/>
                      <w:szCs w:val="18"/>
                    </w:rPr>
                    <w:t>最高允许排放浓度mg/m</w:t>
                  </w:r>
                  <w:r>
                    <w:rPr>
                      <w:rFonts w:ascii="Times New Roman" w:hAnsi="Times New Roman"/>
                      <w:color w:val="auto"/>
                      <w:sz w:val="24"/>
                      <w:szCs w:val="18"/>
                      <w:vertAlign w:val="superscript"/>
                    </w:rPr>
                    <w:t>3</w:t>
                  </w:r>
                </w:p>
              </w:tc>
              <w:tc>
                <w:tcPr>
                  <w:tcW w:w="1127" w:type="dxa"/>
                  <w:vAlign w:val="center"/>
                </w:tcPr>
                <w:p w14:paraId="69BA25E6">
                  <w:pPr>
                    <w:pStyle w:val="48"/>
                    <w:rPr>
                      <w:rFonts w:ascii="Times New Roman" w:hAnsi="Times New Roman"/>
                      <w:color w:val="auto"/>
                      <w:szCs w:val="18"/>
                    </w:rPr>
                  </w:pPr>
                  <w:r>
                    <w:rPr>
                      <w:rFonts w:ascii="Times New Roman" w:hAnsi="Times New Roman"/>
                      <w:color w:val="auto"/>
                      <w:sz w:val="24"/>
                      <w:szCs w:val="18"/>
                    </w:rPr>
                    <w:t>最高允许排放速率kg/h</w:t>
                  </w:r>
                </w:p>
              </w:tc>
              <w:tc>
                <w:tcPr>
                  <w:tcW w:w="707" w:type="dxa"/>
                  <w:vMerge w:val="continue"/>
                  <w:vAlign w:val="center"/>
                </w:tcPr>
                <w:p w14:paraId="53D69A2A">
                  <w:pPr>
                    <w:pStyle w:val="48"/>
                    <w:rPr>
                      <w:rFonts w:ascii="Times New Roman" w:hAnsi="Times New Roman"/>
                      <w:color w:val="auto"/>
                      <w:szCs w:val="18"/>
                    </w:rPr>
                  </w:pPr>
                </w:p>
              </w:tc>
            </w:tr>
            <w:tr w14:paraId="4F0D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dxa"/>
                  <w:shd w:val="clear" w:color="auto" w:fill="auto"/>
                  <w:vAlign w:val="center"/>
                </w:tcPr>
                <w:p w14:paraId="73B1876F">
                  <w:pPr>
                    <w:pStyle w:val="48"/>
                    <w:rPr>
                      <w:rFonts w:ascii="Times New Roman" w:hAnsi="Times New Roman"/>
                      <w:color w:val="auto"/>
                      <w:sz w:val="24"/>
                      <w:szCs w:val="18"/>
                    </w:rPr>
                  </w:pPr>
                  <w:r>
                    <w:rPr>
                      <w:rFonts w:hint="eastAsia" w:ascii="Times New Roman" w:hAnsi="Times New Roman"/>
                      <w:color w:val="auto"/>
                      <w:sz w:val="24"/>
                      <w:szCs w:val="18"/>
                    </w:rPr>
                    <w:t>DA001</w:t>
                  </w:r>
                </w:p>
              </w:tc>
              <w:tc>
                <w:tcPr>
                  <w:tcW w:w="967" w:type="dxa"/>
                  <w:shd w:val="clear" w:color="auto" w:fill="auto"/>
                  <w:vAlign w:val="center"/>
                </w:tcPr>
                <w:p w14:paraId="63055E79">
                  <w:pPr>
                    <w:pStyle w:val="48"/>
                    <w:rPr>
                      <w:rFonts w:ascii="Times New Roman" w:hAnsi="Times New Roman"/>
                      <w:color w:val="auto"/>
                      <w:szCs w:val="18"/>
                    </w:rPr>
                  </w:pPr>
                  <w:r>
                    <w:rPr>
                      <w:rFonts w:hint="eastAsia" w:ascii="Times New Roman" w:hAnsi="Times New Roman"/>
                      <w:color w:val="auto"/>
                      <w:sz w:val="24"/>
                      <w:szCs w:val="18"/>
                    </w:rPr>
                    <w:t>非甲烷总烃</w:t>
                  </w:r>
                </w:p>
              </w:tc>
              <w:tc>
                <w:tcPr>
                  <w:tcW w:w="968" w:type="dxa"/>
                  <w:shd w:val="clear" w:color="auto" w:fill="auto"/>
                  <w:vAlign w:val="center"/>
                </w:tcPr>
                <w:p w14:paraId="2ABCB85F">
                  <w:pPr>
                    <w:widowControl/>
                    <w:spacing w:line="240" w:lineRule="auto"/>
                    <w:ind w:firstLine="0" w:firstLineChars="0"/>
                    <w:jc w:val="center"/>
                    <w:textAlignment w:val="center"/>
                    <w:rPr>
                      <w:rFonts w:hint="default" w:ascii="Times New Roman" w:hAnsi="Times New Roman" w:eastAsia="仿宋"/>
                      <w:i/>
                      <w:iCs/>
                      <w:snapToGrid w:val="0"/>
                      <w:color w:val="auto"/>
                      <w:sz w:val="24"/>
                      <w:lang w:val="en-US" w:eastAsia="zh-CN"/>
                    </w:rPr>
                  </w:pPr>
                  <w:r>
                    <w:rPr>
                      <w:rFonts w:hint="eastAsia" w:ascii="Times New Roman" w:hAnsi="Times New Roman"/>
                      <w:i/>
                      <w:iCs/>
                      <w:snapToGrid w:val="0"/>
                      <w:color w:val="auto"/>
                      <w:sz w:val="24"/>
                      <w:lang w:val="en-US" w:eastAsia="zh-CN"/>
                    </w:rPr>
                    <w:t>6</w:t>
                  </w:r>
                </w:p>
              </w:tc>
              <w:tc>
                <w:tcPr>
                  <w:tcW w:w="1279" w:type="dxa"/>
                  <w:shd w:val="clear" w:color="auto" w:fill="auto"/>
                  <w:vAlign w:val="center"/>
                </w:tcPr>
                <w:p w14:paraId="18F96A96">
                  <w:pPr>
                    <w:widowControl/>
                    <w:spacing w:line="240" w:lineRule="auto"/>
                    <w:ind w:firstLine="0" w:firstLineChars="0"/>
                    <w:jc w:val="center"/>
                    <w:textAlignment w:val="center"/>
                    <w:rPr>
                      <w:rFonts w:hint="default" w:ascii="Times New Roman" w:hAnsi="Times New Roman" w:eastAsia="仿宋"/>
                      <w:i/>
                      <w:iCs/>
                      <w:snapToGrid w:val="0"/>
                      <w:color w:val="auto"/>
                      <w:sz w:val="24"/>
                      <w:lang w:val="en-US" w:eastAsia="zh-CN"/>
                    </w:rPr>
                  </w:pPr>
                  <w:r>
                    <w:rPr>
                      <w:rFonts w:hint="eastAsia" w:ascii="Times New Roman" w:hAnsi="Times New Roman"/>
                      <w:i/>
                      <w:iCs/>
                      <w:snapToGrid w:val="0"/>
                      <w:color w:val="auto"/>
                      <w:sz w:val="24"/>
                      <w:lang w:val="en-US" w:eastAsia="zh-CN"/>
                    </w:rPr>
                    <w:t>0.048</w:t>
                  </w:r>
                </w:p>
              </w:tc>
              <w:tc>
                <w:tcPr>
                  <w:tcW w:w="1074" w:type="dxa"/>
                  <w:shd w:val="clear" w:color="auto" w:fill="auto"/>
                  <w:vAlign w:val="center"/>
                </w:tcPr>
                <w:p w14:paraId="6469326E">
                  <w:pPr>
                    <w:pStyle w:val="48"/>
                    <w:rPr>
                      <w:rFonts w:hint="eastAsia" w:ascii="Times New Roman" w:hAnsi="Times New Roman" w:eastAsia="仿宋"/>
                      <w:i/>
                      <w:iCs/>
                      <w:color w:val="auto"/>
                      <w:sz w:val="24"/>
                      <w:szCs w:val="18"/>
                      <w:lang w:eastAsia="zh-CN"/>
                    </w:rPr>
                  </w:pPr>
                  <w:r>
                    <w:rPr>
                      <w:rFonts w:hint="eastAsia" w:ascii="Times New Roman" w:hAnsi="Times New Roman"/>
                      <w:i/>
                      <w:iCs/>
                      <w:color w:val="auto"/>
                      <w:sz w:val="24"/>
                      <w:szCs w:val="18"/>
                      <w:lang w:eastAsia="zh-CN"/>
                    </w:rPr>
                    <w:t>过滤棉</w:t>
                  </w:r>
                  <w:r>
                    <w:rPr>
                      <w:rFonts w:hint="eastAsia" w:ascii="Times New Roman" w:hAnsi="Times New Roman"/>
                      <w:i/>
                      <w:iCs/>
                      <w:color w:val="auto"/>
                      <w:sz w:val="24"/>
                      <w:szCs w:val="18"/>
                      <w:lang w:val="en-US" w:eastAsia="zh-CN"/>
                    </w:rPr>
                    <w:t>+</w:t>
                  </w:r>
                  <w:r>
                    <w:rPr>
                      <w:rFonts w:hint="eastAsia" w:ascii="Times New Roman" w:hAnsi="Times New Roman"/>
                      <w:i/>
                      <w:iCs/>
                      <w:color w:val="auto"/>
                      <w:sz w:val="24"/>
                      <w:szCs w:val="18"/>
                      <w:lang w:eastAsia="zh-CN"/>
                    </w:rPr>
                    <w:t>二级活性炭</w:t>
                  </w:r>
                </w:p>
              </w:tc>
              <w:tc>
                <w:tcPr>
                  <w:tcW w:w="996" w:type="dxa"/>
                  <w:vAlign w:val="center"/>
                </w:tcPr>
                <w:p w14:paraId="6E5429E7">
                  <w:pPr>
                    <w:pStyle w:val="48"/>
                    <w:rPr>
                      <w:rFonts w:hint="default" w:ascii="Times New Roman" w:hAnsi="Times New Roman" w:eastAsia="仿宋"/>
                      <w:i/>
                      <w:iCs/>
                      <w:color w:val="auto"/>
                      <w:sz w:val="24"/>
                      <w:szCs w:val="18"/>
                      <w:lang w:val="en-US" w:eastAsia="zh-CN"/>
                    </w:rPr>
                  </w:pPr>
                  <w:r>
                    <w:rPr>
                      <w:rFonts w:hint="eastAsia" w:ascii="Times New Roman" w:hAnsi="Times New Roman"/>
                      <w:i/>
                      <w:iCs/>
                      <w:color w:val="auto"/>
                      <w:sz w:val="24"/>
                      <w:szCs w:val="18"/>
                      <w:highlight w:val="none"/>
                      <w:lang w:val="en-US" w:eastAsia="zh-CN"/>
                    </w:rPr>
                    <w:t>60</w:t>
                  </w:r>
                </w:p>
              </w:tc>
              <w:tc>
                <w:tcPr>
                  <w:tcW w:w="1127" w:type="dxa"/>
                  <w:vAlign w:val="center"/>
                </w:tcPr>
                <w:p w14:paraId="4868FE9E">
                  <w:pPr>
                    <w:pStyle w:val="48"/>
                    <w:spacing w:line="240" w:lineRule="auto"/>
                    <w:rPr>
                      <w:rFonts w:hint="default" w:ascii="Times New Roman" w:hAnsi="Times New Roman" w:eastAsia="仿宋"/>
                      <w:i/>
                      <w:iCs/>
                      <w:color w:val="auto"/>
                      <w:sz w:val="24"/>
                      <w:szCs w:val="18"/>
                      <w:lang w:val="en-US" w:eastAsia="zh-CN"/>
                    </w:rPr>
                  </w:pPr>
                  <w:r>
                    <w:rPr>
                      <w:rFonts w:hint="eastAsia" w:ascii="Times New Roman" w:hAnsi="Times New Roman"/>
                      <w:i/>
                      <w:iCs/>
                      <w:color w:val="auto"/>
                      <w:sz w:val="24"/>
                      <w:szCs w:val="18"/>
                      <w:lang w:val="en-US" w:eastAsia="zh-CN"/>
                    </w:rPr>
                    <w:t>-</w:t>
                  </w:r>
                </w:p>
              </w:tc>
              <w:tc>
                <w:tcPr>
                  <w:tcW w:w="707" w:type="dxa"/>
                  <w:vAlign w:val="center"/>
                </w:tcPr>
                <w:p w14:paraId="58F3A207">
                  <w:pPr>
                    <w:pStyle w:val="48"/>
                    <w:rPr>
                      <w:rFonts w:ascii="Times New Roman" w:hAnsi="Times New Roman"/>
                      <w:i/>
                      <w:iCs/>
                      <w:color w:val="auto"/>
                      <w:sz w:val="24"/>
                      <w:szCs w:val="18"/>
                    </w:rPr>
                  </w:pPr>
                  <w:r>
                    <w:rPr>
                      <w:rFonts w:ascii="Times New Roman" w:hAnsi="Times New Roman"/>
                      <w:i/>
                      <w:iCs/>
                      <w:color w:val="auto"/>
                      <w:sz w:val="24"/>
                      <w:szCs w:val="18"/>
                    </w:rPr>
                    <w:t>达标</w:t>
                  </w:r>
                </w:p>
              </w:tc>
            </w:tr>
          </w:tbl>
          <w:p w14:paraId="23BCB6D9">
            <w:pPr>
              <w:pStyle w:val="53"/>
              <w:spacing w:before="0" w:beforeLines="0"/>
              <w:ind w:firstLine="560" w:firstLineChars="200"/>
              <w:rPr>
                <w:color w:val="auto"/>
                <w:lang w:val="en-US"/>
              </w:rPr>
            </w:pPr>
            <w:r>
              <w:rPr>
                <w:rFonts w:hint="eastAsia" w:ascii="仿宋" w:hAnsi="仿宋"/>
                <w:b w:val="0"/>
                <w:bCs/>
                <w:color w:val="auto"/>
                <w:sz w:val="28"/>
                <w:lang w:val="en-US"/>
              </w:rPr>
              <w:t>项目废气各污染物的排放浓度达标。</w:t>
            </w:r>
          </w:p>
          <w:p w14:paraId="3950E286">
            <w:pPr>
              <w:pStyle w:val="53"/>
              <w:spacing w:before="120"/>
              <w:rPr>
                <w:rFonts w:ascii="仿宋" w:hAnsi="仿宋"/>
                <w:color w:val="auto"/>
                <w:sz w:val="28"/>
                <w:lang w:val="en-US"/>
              </w:rPr>
            </w:pPr>
            <w:r>
              <w:rPr>
                <w:rFonts w:hint="eastAsia" w:ascii="仿宋" w:hAnsi="仿宋"/>
                <w:color w:val="auto"/>
                <w:sz w:val="28"/>
                <w:lang w:val="en-US"/>
              </w:rPr>
              <w:t>4.2</w:t>
            </w:r>
            <w:r>
              <w:rPr>
                <w:rFonts w:ascii="仿宋" w:hAnsi="仿宋"/>
                <w:color w:val="auto"/>
                <w:sz w:val="28"/>
              </w:rPr>
              <w:t>.6</w:t>
            </w:r>
            <w:r>
              <w:rPr>
                <w:rFonts w:hint="eastAsia" w:ascii="仿宋" w:hAnsi="仿宋"/>
                <w:color w:val="auto"/>
                <w:sz w:val="28"/>
              </w:rPr>
              <w:t>非正常工况</w:t>
            </w:r>
          </w:p>
          <w:p w14:paraId="592D36BB">
            <w:pPr>
              <w:ind w:firstLine="560"/>
              <w:rPr>
                <w:color w:val="auto"/>
                <w:sz w:val="28"/>
              </w:rPr>
            </w:pPr>
            <w:r>
              <w:rPr>
                <w:rFonts w:hint="eastAsia"/>
                <w:color w:val="auto"/>
                <w:sz w:val="28"/>
              </w:rPr>
              <w:t>本项目营运期非正常工况时，即处理设施发生故障，考虑废气处理措施处理失效，处理效果按0%考虑，则本项目非正常排放量核算见表4-5。</w:t>
            </w:r>
          </w:p>
          <w:p w14:paraId="4725A672">
            <w:pPr>
              <w:pStyle w:val="75"/>
              <w:rPr>
                <w:color w:val="auto"/>
                <w:lang w:val="en-US"/>
              </w:rPr>
            </w:pPr>
            <w:r>
              <w:rPr>
                <w:rFonts w:hint="eastAsia"/>
                <w:color w:val="auto"/>
                <w:sz w:val="24"/>
              </w:rPr>
              <w:t>表4-</w:t>
            </w:r>
            <w:r>
              <w:rPr>
                <w:rFonts w:hint="eastAsia"/>
                <w:color w:val="auto"/>
                <w:sz w:val="24"/>
                <w:lang w:val="en-US"/>
              </w:rPr>
              <w:t>5</w:t>
            </w:r>
            <w:r>
              <w:rPr>
                <w:rFonts w:hint="eastAsia"/>
                <w:color w:val="auto"/>
                <w:sz w:val="24"/>
              </w:rPr>
              <w:t>项目运营期非正常工况排放情况一览表</w:t>
            </w:r>
          </w:p>
          <w:tbl>
            <w:tblPr>
              <w:tblStyle w:val="32"/>
              <w:tblW w:w="8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501"/>
              <w:gridCol w:w="841"/>
              <w:gridCol w:w="930"/>
              <w:gridCol w:w="931"/>
              <w:gridCol w:w="922"/>
              <w:gridCol w:w="542"/>
              <w:gridCol w:w="545"/>
              <w:gridCol w:w="857"/>
              <w:gridCol w:w="739"/>
              <w:gridCol w:w="760"/>
            </w:tblGrid>
            <w:tr w14:paraId="462C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94" w:type="dxa"/>
                  <w:vMerge w:val="restart"/>
                  <w:vAlign w:val="center"/>
                </w:tcPr>
                <w:p w14:paraId="77BAB7D3">
                  <w:pPr>
                    <w:pStyle w:val="48"/>
                    <w:rPr>
                      <w:rFonts w:ascii="Times New Roman" w:hAnsi="Times New Roman"/>
                      <w:color w:val="auto"/>
                      <w:szCs w:val="18"/>
                    </w:rPr>
                  </w:pPr>
                  <w:r>
                    <w:rPr>
                      <w:rFonts w:ascii="Times New Roman" w:hAnsi="Times New Roman"/>
                      <w:color w:val="auto"/>
                      <w:sz w:val="24"/>
                      <w:szCs w:val="18"/>
                    </w:rPr>
                    <w:t>污染源</w:t>
                  </w:r>
                </w:p>
              </w:tc>
              <w:tc>
                <w:tcPr>
                  <w:tcW w:w="501" w:type="dxa"/>
                  <w:vMerge w:val="restart"/>
                  <w:vAlign w:val="center"/>
                </w:tcPr>
                <w:p w14:paraId="1E4A0C9C">
                  <w:pPr>
                    <w:pStyle w:val="48"/>
                    <w:rPr>
                      <w:rFonts w:ascii="Times New Roman" w:hAnsi="Times New Roman"/>
                      <w:color w:val="auto"/>
                      <w:szCs w:val="18"/>
                    </w:rPr>
                  </w:pPr>
                  <w:r>
                    <w:rPr>
                      <w:rFonts w:ascii="Times New Roman" w:hAnsi="Times New Roman"/>
                      <w:color w:val="auto"/>
                      <w:sz w:val="24"/>
                      <w:szCs w:val="18"/>
                    </w:rPr>
                    <w:t>非正常排放原因</w:t>
                  </w:r>
                </w:p>
              </w:tc>
              <w:tc>
                <w:tcPr>
                  <w:tcW w:w="841" w:type="dxa"/>
                  <w:vMerge w:val="restart"/>
                  <w:vAlign w:val="center"/>
                </w:tcPr>
                <w:p w14:paraId="045C7156">
                  <w:pPr>
                    <w:pStyle w:val="48"/>
                    <w:rPr>
                      <w:rFonts w:ascii="Times New Roman" w:hAnsi="Times New Roman"/>
                      <w:color w:val="auto"/>
                      <w:szCs w:val="18"/>
                    </w:rPr>
                  </w:pPr>
                  <w:r>
                    <w:rPr>
                      <w:rFonts w:ascii="Times New Roman" w:hAnsi="Times New Roman"/>
                      <w:color w:val="auto"/>
                      <w:sz w:val="24"/>
                      <w:szCs w:val="18"/>
                    </w:rPr>
                    <w:t>污染物</w:t>
                  </w:r>
                </w:p>
              </w:tc>
              <w:tc>
                <w:tcPr>
                  <w:tcW w:w="930" w:type="dxa"/>
                  <w:vMerge w:val="restart"/>
                  <w:vAlign w:val="center"/>
                </w:tcPr>
                <w:p w14:paraId="4C62E0C8">
                  <w:pPr>
                    <w:pStyle w:val="48"/>
                    <w:rPr>
                      <w:rFonts w:ascii="Times New Roman" w:hAnsi="Times New Roman"/>
                      <w:color w:val="auto"/>
                      <w:szCs w:val="18"/>
                    </w:rPr>
                  </w:pPr>
                  <w:r>
                    <w:rPr>
                      <w:rFonts w:ascii="Times New Roman" w:hAnsi="Times New Roman"/>
                      <w:color w:val="auto"/>
                      <w:sz w:val="24"/>
                      <w:szCs w:val="18"/>
                    </w:rPr>
                    <w:t>非正常排放浓度mg/m</w:t>
                  </w:r>
                  <w:r>
                    <w:rPr>
                      <w:rFonts w:ascii="Times New Roman" w:hAnsi="Times New Roman"/>
                      <w:color w:val="auto"/>
                      <w:sz w:val="24"/>
                      <w:szCs w:val="18"/>
                      <w:vertAlign w:val="superscript"/>
                    </w:rPr>
                    <w:t>3</w:t>
                  </w:r>
                </w:p>
              </w:tc>
              <w:tc>
                <w:tcPr>
                  <w:tcW w:w="931" w:type="dxa"/>
                  <w:vMerge w:val="restart"/>
                  <w:vAlign w:val="center"/>
                </w:tcPr>
                <w:p w14:paraId="07CB5C38">
                  <w:pPr>
                    <w:pStyle w:val="48"/>
                    <w:rPr>
                      <w:rFonts w:ascii="Times New Roman" w:hAnsi="Times New Roman"/>
                      <w:color w:val="auto"/>
                      <w:szCs w:val="18"/>
                    </w:rPr>
                  </w:pPr>
                  <w:r>
                    <w:rPr>
                      <w:rFonts w:ascii="Times New Roman" w:hAnsi="Times New Roman"/>
                      <w:color w:val="auto"/>
                      <w:sz w:val="24"/>
                      <w:szCs w:val="18"/>
                    </w:rPr>
                    <w:t>非正常排放速率kg/h</w:t>
                  </w:r>
                </w:p>
              </w:tc>
              <w:tc>
                <w:tcPr>
                  <w:tcW w:w="922" w:type="dxa"/>
                  <w:vMerge w:val="restart"/>
                  <w:vAlign w:val="center"/>
                </w:tcPr>
                <w:p w14:paraId="646CD547">
                  <w:pPr>
                    <w:pStyle w:val="48"/>
                    <w:rPr>
                      <w:rFonts w:ascii="Times New Roman" w:hAnsi="Times New Roman"/>
                      <w:color w:val="auto"/>
                      <w:sz w:val="24"/>
                      <w:szCs w:val="18"/>
                    </w:rPr>
                  </w:pPr>
                  <w:r>
                    <w:rPr>
                      <w:rFonts w:ascii="Times New Roman" w:hAnsi="Times New Roman"/>
                      <w:color w:val="auto"/>
                      <w:sz w:val="24"/>
                      <w:szCs w:val="18"/>
                    </w:rPr>
                    <w:t>非正常排放量t/a</w:t>
                  </w:r>
                </w:p>
              </w:tc>
              <w:tc>
                <w:tcPr>
                  <w:tcW w:w="542" w:type="dxa"/>
                  <w:vMerge w:val="restart"/>
                  <w:vAlign w:val="center"/>
                </w:tcPr>
                <w:p w14:paraId="660D21C1">
                  <w:pPr>
                    <w:pStyle w:val="48"/>
                    <w:rPr>
                      <w:rFonts w:ascii="Times New Roman" w:hAnsi="Times New Roman"/>
                      <w:color w:val="auto"/>
                      <w:szCs w:val="18"/>
                    </w:rPr>
                  </w:pPr>
                  <w:r>
                    <w:rPr>
                      <w:rFonts w:ascii="Times New Roman" w:hAnsi="Times New Roman"/>
                      <w:color w:val="auto"/>
                      <w:sz w:val="24"/>
                      <w:szCs w:val="18"/>
                    </w:rPr>
                    <w:t>单次持续时间h</w:t>
                  </w:r>
                </w:p>
              </w:tc>
              <w:tc>
                <w:tcPr>
                  <w:tcW w:w="545" w:type="dxa"/>
                  <w:vMerge w:val="restart"/>
                  <w:vAlign w:val="center"/>
                </w:tcPr>
                <w:p w14:paraId="1663B749">
                  <w:pPr>
                    <w:pStyle w:val="48"/>
                    <w:rPr>
                      <w:rFonts w:ascii="Times New Roman" w:hAnsi="Times New Roman"/>
                      <w:color w:val="auto"/>
                      <w:szCs w:val="18"/>
                    </w:rPr>
                  </w:pPr>
                  <w:r>
                    <w:rPr>
                      <w:rFonts w:ascii="Times New Roman" w:hAnsi="Times New Roman"/>
                      <w:color w:val="auto"/>
                      <w:sz w:val="24"/>
                      <w:szCs w:val="18"/>
                    </w:rPr>
                    <w:t>年发生频次</w:t>
                  </w:r>
                </w:p>
              </w:tc>
              <w:tc>
                <w:tcPr>
                  <w:tcW w:w="1596" w:type="dxa"/>
                  <w:gridSpan w:val="2"/>
                  <w:vAlign w:val="center"/>
                </w:tcPr>
                <w:p w14:paraId="5B216DC3">
                  <w:pPr>
                    <w:pStyle w:val="48"/>
                    <w:rPr>
                      <w:rFonts w:ascii="Times New Roman" w:hAnsi="Times New Roman"/>
                      <w:color w:val="auto"/>
                      <w:sz w:val="24"/>
                      <w:szCs w:val="18"/>
                    </w:rPr>
                  </w:pPr>
                  <w:r>
                    <w:rPr>
                      <w:rFonts w:ascii="Times New Roman" w:hAnsi="Times New Roman"/>
                      <w:color w:val="auto"/>
                      <w:sz w:val="24"/>
                      <w:szCs w:val="18"/>
                    </w:rPr>
                    <w:t>执行标准</w:t>
                  </w:r>
                </w:p>
              </w:tc>
              <w:tc>
                <w:tcPr>
                  <w:tcW w:w="760" w:type="dxa"/>
                  <w:vMerge w:val="restart"/>
                  <w:vAlign w:val="center"/>
                </w:tcPr>
                <w:p w14:paraId="7AE54F8E">
                  <w:pPr>
                    <w:pStyle w:val="48"/>
                    <w:rPr>
                      <w:rFonts w:ascii="Times New Roman" w:hAnsi="Times New Roman"/>
                      <w:color w:val="auto"/>
                      <w:szCs w:val="18"/>
                    </w:rPr>
                  </w:pPr>
                  <w:r>
                    <w:rPr>
                      <w:rFonts w:ascii="Times New Roman" w:hAnsi="Times New Roman"/>
                      <w:color w:val="auto"/>
                      <w:sz w:val="24"/>
                      <w:szCs w:val="18"/>
                    </w:rPr>
                    <w:t>应对措施</w:t>
                  </w:r>
                </w:p>
              </w:tc>
            </w:tr>
            <w:tr w14:paraId="26DE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94" w:type="dxa"/>
                  <w:vMerge w:val="continue"/>
                  <w:vAlign w:val="center"/>
                </w:tcPr>
                <w:p w14:paraId="541FD279">
                  <w:pPr>
                    <w:pStyle w:val="48"/>
                    <w:rPr>
                      <w:rFonts w:ascii="Times New Roman" w:hAnsi="Times New Roman"/>
                      <w:color w:val="auto"/>
                    </w:rPr>
                  </w:pPr>
                </w:p>
              </w:tc>
              <w:tc>
                <w:tcPr>
                  <w:tcW w:w="501" w:type="dxa"/>
                  <w:vMerge w:val="continue"/>
                  <w:vAlign w:val="center"/>
                </w:tcPr>
                <w:p w14:paraId="361328CF">
                  <w:pPr>
                    <w:pStyle w:val="48"/>
                    <w:rPr>
                      <w:rFonts w:ascii="Times New Roman" w:hAnsi="Times New Roman"/>
                      <w:color w:val="auto"/>
                    </w:rPr>
                  </w:pPr>
                </w:p>
              </w:tc>
              <w:tc>
                <w:tcPr>
                  <w:tcW w:w="841" w:type="dxa"/>
                  <w:vMerge w:val="continue"/>
                  <w:vAlign w:val="center"/>
                </w:tcPr>
                <w:p w14:paraId="56608469">
                  <w:pPr>
                    <w:pStyle w:val="48"/>
                    <w:rPr>
                      <w:rFonts w:ascii="Times New Roman" w:hAnsi="Times New Roman"/>
                      <w:color w:val="auto"/>
                    </w:rPr>
                  </w:pPr>
                </w:p>
              </w:tc>
              <w:tc>
                <w:tcPr>
                  <w:tcW w:w="930" w:type="dxa"/>
                  <w:vMerge w:val="continue"/>
                  <w:vAlign w:val="center"/>
                </w:tcPr>
                <w:p w14:paraId="6F538129">
                  <w:pPr>
                    <w:pStyle w:val="48"/>
                    <w:rPr>
                      <w:rFonts w:ascii="Times New Roman" w:hAnsi="Times New Roman"/>
                      <w:color w:val="auto"/>
                    </w:rPr>
                  </w:pPr>
                </w:p>
              </w:tc>
              <w:tc>
                <w:tcPr>
                  <w:tcW w:w="931" w:type="dxa"/>
                  <w:vMerge w:val="continue"/>
                  <w:vAlign w:val="center"/>
                </w:tcPr>
                <w:p w14:paraId="19FB14A2">
                  <w:pPr>
                    <w:pStyle w:val="48"/>
                    <w:rPr>
                      <w:rFonts w:ascii="Times New Roman" w:hAnsi="Times New Roman"/>
                      <w:color w:val="auto"/>
                    </w:rPr>
                  </w:pPr>
                </w:p>
              </w:tc>
              <w:tc>
                <w:tcPr>
                  <w:tcW w:w="922" w:type="dxa"/>
                  <w:vMerge w:val="continue"/>
                  <w:vAlign w:val="center"/>
                </w:tcPr>
                <w:p w14:paraId="0211D5E8">
                  <w:pPr>
                    <w:pStyle w:val="48"/>
                    <w:rPr>
                      <w:rFonts w:ascii="Times New Roman" w:hAnsi="Times New Roman"/>
                      <w:color w:val="auto"/>
                    </w:rPr>
                  </w:pPr>
                </w:p>
              </w:tc>
              <w:tc>
                <w:tcPr>
                  <w:tcW w:w="542" w:type="dxa"/>
                  <w:vMerge w:val="continue"/>
                  <w:vAlign w:val="center"/>
                </w:tcPr>
                <w:p w14:paraId="4C3018A7">
                  <w:pPr>
                    <w:pStyle w:val="48"/>
                    <w:rPr>
                      <w:rFonts w:ascii="Times New Roman" w:hAnsi="Times New Roman"/>
                      <w:color w:val="auto"/>
                    </w:rPr>
                  </w:pPr>
                </w:p>
              </w:tc>
              <w:tc>
                <w:tcPr>
                  <w:tcW w:w="545" w:type="dxa"/>
                  <w:vMerge w:val="continue"/>
                  <w:vAlign w:val="center"/>
                </w:tcPr>
                <w:p w14:paraId="3D02CAF1">
                  <w:pPr>
                    <w:pStyle w:val="48"/>
                    <w:rPr>
                      <w:rFonts w:ascii="Times New Roman" w:hAnsi="Times New Roman"/>
                      <w:color w:val="auto"/>
                    </w:rPr>
                  </w:pPr>
                </w:p>
              </w:tc>
              <w:tc>
                <w:tcPr>
                  <w:tcW w:w="857" w:type="dxa"/>
                  <w:vAlign w:val="center"/>
                </w:tcPr>
                <w:p w14:paraId="73DDD18C">
                  <w:pPr>
                    <w:pStyle w:val="48"/>
                    <w:rPr>
                      <w:rFonts w:ascii="Times New Roman" w:hAnsi="Times New Roman"/>
                      <w:color w:val="auto"/>
                      <w:sz w:val="24"/>
                      <w:szCs w:val="18"/>
                    </w:rPr>
                  </w:pPr>
                  <w:r>
                    <w:rPr>
                      <w:rFonts w:ascii="Times New Roman" w:hAnsi="Times New Roman"/>
                      <w:color w:val="auto"/>
                      <w:sz w:val="24"/>
                      <w:szCs w:val="18"/>
                    </w:rPr>
                    <w:t>浓度mg/m</w:t>
                  </w:r>
                  <w:r>
                    <w:rPr>
                      <w:rFonts w:ascii="Times New Roman" w:hAnsi="Times New Roman"/>
                      <w:color w:val="auto"/>
                      <w:sz w:val="24"/>
                      <w:szCs w:val="18"/>
                      <w:vertAlign w:val="superscript"/>
                    </w:rPr>
                    <w:t>3</w:t>
                  </w:r>
                </w:p>
              </w:tc>
              <w:tc>
                <w:tcPr>
                  <w:tcW w:w="739" w:type="dxa"/>
                  <w:vAlign w:val="center"/>
                </w:tcPr>
                <w:p w14:paraId="5F423BE1">
                  <w:pPr>
                    <w:pStyle w:val="48"/>
                    <w:rPr>
                      <w:rFonts w:ascii="Times New Roman" w:hAnsi="Times New Roman"/>
                      <w:color w:val="auto"/>
                      <w:sz w:val="24"/>
                      <w:szCs w:val="18"/>
                    </w:rPr>
                  </w:pPr>
                  <w:r>
                    <w:rPr>
                      <w:rFonts w:ascii="Times New Roman" w:hAnsi="Times New Roman"/>
                      <w:color w:val="auto"/>
                      <w:sz w:val="24"/>
                      <w:szCs w:val="18"/>
                    </w:rPr>
                    <w:t>速率kg/h</w:t>
                  </w:r>
                </w:p>
              </w:tc>
              <w:tc>
                <w:tcPr>
                  <w:tcW w:w="760" w:type="dxa"/>
                  <w:vMerge w:val="continue"/>
                  <w:vAlign w:val="center"/>
                </w:tcPr>
                <w:p w14:paraId="32D55A91">
                  <w:pPr>
                    <w:pStyle w:val="48"/>
                    <w:rPr>
                      <w:rFonts w:ascii="Times New Roman" w:hAnsi="Times New Roman"/>
                      <w:color w:val="auto"/>
                      <w:sz w:val="24"/>
                      <w:szCs w:val="18"/>
                    </w:rPr>
                  </w:pPr>
                </w:p>
              </w:tc>
            </w:tr>
            <w:tr w14:paraId="7EE1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shd w:val="clear" w:color="auto" w:fill="auto"/>
                  <w:vAlign w:val="center"/>
                </w:tcPr>
                <w:p w14:paraId="3BCDC312">
                  <w:pPr>
                    <w:pStyle w:val="48"/>
                    <w:rPr>
                      <w:rFonts w:ascii="Times New Roman" w:hAnsi="Times New Roman"/>
                      <w:color w:val="auto"/>
                      <w:sz w:val="24"/>
                      <w:szCs w:val="18"/>
                    </w:rPr>
                  </w:pPr>
                  <w:r>
                    <w:rPr>
                      <w:rFonts w:hint="eastAsia" w:ascii="Times New Roman" w:hAnsi="Times New Roman"/>
                      <w:color w:val="auto"/>
                      <w:sz w:val="24"/>
                      <w:szCs w:val="18"/>
                    </w:rPr>
                    <w:t>DA001</w:t>
                  </w:r>
                </w:p>
              </w:tc>
              <w:tc>
                <w:tcPr>
                  <w:tcW w:w="501" w:type="dxa"/>
                  <w:shd w:val="clear" w:color="auto" w:fill="auto"/>
                  <w:vAlign w:val="center"/>
                </w:tcPr>
                <w:p w14:paraId="2AB511A3">
                  <w:pPr>
                    <w:pStyle w:val="48"/>
                    <w:rPr>
                      <w:rFonts w:ascii="Times New Roman" w:hAnsi="Times New Roman"/>
                      <w:color w:val="auto"/>
                      <w:szCs w:val="18"/>
                    </w:rPr>
                  </w:pPr>
                  <w:r>
                    <w:rPr>
                      <w:rFonts w:ascii="Times New Roman" w:hAnsi="Times New Roman"/>
                      <w:color w:val="auto"/>
                      <w:sz w:val="24"/>
                      <w:szCs w:val="18"/>
                    </w:rPr>
                    <w:t>废气治理设施损坏</w:t>
                  </w:r>
                </w:p>
              </w:tc>
              <w:tc>
                <w:tcPr>
                  <w:tcW w:w="841" w:type="dxa"/>
                  <w:shd w:val="clear" w:color="auto" w:fill="auto"/>
                  <w:vAlign w:val="center"/>
                </w:tcPr>
                <w:p w14:paraId="62885869">
                  <w:pPr>
                    <w:pStyle w:val="48"/>
                    <w:rPr>
                      <w:rFonts w:ascii="Times New Roman" w:hAnsi="Times New Roman"/>
                      <w:color w:val="auto"/>
                      <w:sz w:val="24"/>
                      <w:szCs w:val="18"/>
                    </w:rPr>
                  </w:pPr>
                  <w:r>
                    <w:rPr>
                      <w:rFonts w:ascii="Times New Roman" w:hAnsi="Times New Roman"/>
                      <w:color w:val="auto"/>
                      <w:sz w:val="24"/>
                      <w:szCs w:val="18"/>
                    </w:rPr>
                    <w:t>非甲烷总烃</w:t>
                  </w:r>
                </w:p>
              </w:tc>
              <w:tc>
                <w:tcPr>
                  <w:tcW w:w="930" w:type="dxa"/>
                  <w:shd w:val="clear" w:color="auto" w:fill="auto"/>
                  <w:vAlign w:val="center"/>
                </w:tcPr>
                <w:p w14:paraId="2163D3BE">
                  <w:pPr>
                    <w:pStyle w:val="48"/>
                    <w:spacing w:line="240" w:lineRule="auto"/>
                    <w:rPr>
                      <w:rFonts w:hint="default" w:ascii="Times New Roman" w:hAnsi="Times New Roman" w:eastAsia="仿宋"/>
                      <w:color w:val="auto"/>
                      <w:kern w:val="0"/>
                      <w:sz w:val="24"/>
                      <w:lang w:val="en-US" w:eastAsia="zh-CN" w:bidi="ar"/>
                    </w:rPr>
                  </w:pPr>
                  <w:r>
                    <w:rPr>
                      <w:rFonts w:hint="eastAsia" w:ascii="Times New Roman" w:hAnsi="Times New Roman"/>
                      <w:color w:val="auto"/>
                      <w:kern w:val="0"/>
                      <w:sz w:val="24"/>
                      <w:lang w:val="en-US" w:eastAsia="zh-CN" w:bidi="ar"/>
                    </w:rPr>
                    <w:t>18.75</w:t>
                  </w:r>
                </w:p>
              </w:tc>
              <w:tc>
                <w:tcPr>
                  <w:tcW w:w="931" w:type="dxa"/>
                  <w:shd w:val="clear" w:color="auto" w:fill="auto"/>
                  <w:vAlign w:val="center"/>
                </w:tcPr>
                <w:p w14:paraId="1542D893">
                  <w:pPr>
                    <w:widowControl/>
                    <w:adjustRightInd/>
                    <w:snapToGrid/>
                    <w:spacing w:line="240" w:lineRule="auto"/>
                    <w:ind w:firstLine="0" w:firstLineChars="0"/>
                    <w:jc w:val="center"/>
                    <w:rPr>
                      <w:rFonts w:hint="default" w:ascii="Times New Roman" w:hAnsi="Times New Roman" w:eastAsia="仿宋"/>
                      <w:color w:val="auto"/>
                      <w:kern w:val="0"/>
                      <w:sz w:val="24"/>
                      <w:lang w:val="en-US" w:eastAsia="zh-CN" w:bidi="ar"/>
                    </w:rPr>
                  </w:pPr>
                  <w:r>
                    <w:rPr>
                      <w:rFonts w:hint="eastAsia" w:ascii="Times New Roman" w:hAnsi="Times New Roman"/>
                      <w:color w:val="auto"/>
                      <w:kern w:val="0"/>
                      <w:sz w:val="24"/>
                      <w:lang w:val="en-US" w:eastAsia="zh-CN" w:bidi="ar"/>
                    </w:rPr>
                    <w:t>0.15</w:t>
                  </w:r>
                </w:p>
              </w:tc>
              <w:tc>
                <w:tcPr>
                  <w:tcW w:w="922" w:type="dxa"/>
                  <w:shd w:val="clear" w:color="auto" w:fill="auto"/>
                  <w:vAlign w:val="center"/>
                </w:tcPr>
                <w:p w14:paraId="3AE9C080">
                  <w:pPr>
                    <w:widowControl/>
                    <w:adjustRightInd/>
                    <w:snapToGrid/>
                    <w:spacing w:line="240" w:lineRule="auto"/>
                    <w:ind w:firstLine="0" w:firstLineChars="0"/>
                    <w:jc w:val="center"/>
                    <w:rPr>
                      <w:rFonts w:hint="default" w:ascii="Times New Roman" w:hAnsi="Times New Roman" w:eastAsia="仿宋"/>
                      <w:color w:val="auto"/>
                      <w:kern w:val="0"/>
                      <w:sz w:val="24"/>
                      <w:lang w:val="en-US" w:eastAsia="zh-CN" w:bidi="ar"/>
                    </w:rPr>
                  </w:pPr>
                  <w:r>
                    <w:rPr>
                      <w:rFonts w:hint="eastAsia" w:ascii="Times New Roman" w:hAnsi="Times New Roman"/>
                      <w:color w:val="auto"/>
                      <w:kern w:val="0"/>
                      <w:sz w:val="24"/>
                      <w:lang w:val="en-US" w:eastAsia="zh-CN" w:bidi="ar"/>
                    </w:rPr>
                    <w:t>0.216</w:t>
                  </w:r>
                </w:p>
              </w:tc>
              <w:tc>
                <w:tcPr>
                  <w:tcW w:w="542" w:type="dxa"/>
                  <w:shd w:val="clear" w:color="auto" w:fill="auto"/>
                  <w:vAlign w:val="center"/>
                </w:tcPr>
                <w:p w14:paraId="4C723C66">
                  <w:pPr>
                    <w:pStyle w:val="48"/>
                    <w:rPr>
                      <w:rFonts w:ascii="Times New Roman" w:hAnsi="Times New Roman"/>
                      <w:color w:val="auto"/>
                      <w:szCs w:val="18"/>
                    </w:rPr>
                  </w:pPr>
                  <w:r>
                    <w:rPr>
                      <w:rFonts w:ascii="Times New Roman" w:hAnsi="Times New Roman"/>
                      <w:color w:val="auto"/>
                      <w:sz w:val="24"/>
                      <w:szCs w:val="18"/>
                    </w:rPr>
                    <w:t>1</w:t>
                  </w:r>
                </w:p>
              </w:tc>
              <w:tc>
                <w:tcPr>
                  <w:tcW w:w="545" w:type="dxa"/>
                  <w:shd w:val="clear" w:color="auto" w:fill="auto"/>
                  <w:vAlign w:val="center"/>
                </w:tcPr>
                <w:p w14:paraId="7CBCA614">
                  <w:pPr>
                    <w:pStyle w:val="48"/>
                    <w:rPr>
                      <w:rFonts w:ascii="Times New Roman" w:hAnsi="Times New Roman"/>
                      <w:color w:val="auto"/>
                      <w:szCs w:val="18"/>
                    </w:rPr>
                  </w:pPr>
                  <w:r>
                    <w:rPr>
                      <w:rFonts w:ascii="Times New Roman" w:hAnsi="Times New Roman"/>
                      <w:color w:val="auto"/>
                      <w:sz w:val="24"/>
                      <w:szCs w:val="18"/>
                    </w:rPr>
                    <w:t>1</w:t>
                  </w:r>
                </w:p>
              </w:tc>
              <w:tc>
                <w:tcPr>
                  <w:tcW w:w="857" w:type="dxa"/>
                  <w:shd w:val="clear" w:color="auto" w:fill="auto"/>
                  <w:vAlign w:val="center"/>
                </w:tcPr>
                <w:p w14:paraId="51AC0DE6">
                  <w:pPr>
                    <w:pStyle w:val="48"/>
                    <w:rPr>
                      <w:rFonts w:hint="default" w:ascii="Times New Roman" w:hAnsi="Times New Roman" w:eastAsia="仿宋"/>
                      <w:color w:val="auto"/>
                      <w:sz w:val="24"/>
                      <w:szCs w:val="18"/>
                      <w:lang w:val="en-US" w:eastAsia="zh-CN"/>
                    </w:rPr>
                  </w:pPr>
                  <w:r>
                    <w:rPr>
                      <w:rFonts w:hint="eastAsia" w:ascii="Times New Roman" w:hAnsi="Times New Roman"/>
                      <w:color w:val="auto"/>
                      <w:sz w:val="24"/>
                      <w:szCs w:val="18"/>
                      <w:lang w:val="en-US" w:eastAsia="zh-CN"/>
                    </w:rPr>
                    <w:t>60</w:t>
                  </w:r>
                </w:p>
              </w:tc>
              <w:tc>
                <w:tcPr>
                  <w:tcW w:w="739" w:type="dxa"/>
                  <w:shd w:val="clear" w:color="auto" w:fill="auto"/>
                  <w:vAlign w:val="center"/>
                </w:tcPr>
                <w:p w14:paraId="42113429">
                  <w:pPr>
                    <w:pStyle w:val="48"/>
                    <w:rPr>
                      <w:rFonts w:hint="default" w:ascii="Times New Roman" w:hAnsi="Times New Roman" w:eastAsia="仿宋"/>
                      <w:color w:val="auto"/>
                      <w:sz w:val="24"/>
                      <w:szCs w:val="18"/>
                      <w:lang w:val="en-US" w:eastAsia="zh-CN"/>
                    </w:rPr>
                  </w:pPr>
                  <w:r>
                    <w:rPr>
                      <w:rFonts w:hint="eastAsia" w:ascii="Times New Roman" w:hAnsi="Times New Roman"/>
                      <w:color w:val="auto"/>
                      <w:sz w:val="24"/>
                      <w:szCs w:val="18"/>
                      <w:lang w:val="en-US" w:eastAsia="zh-CN"/>
                    </w:rPr>
                    <w:t>-</w:t>
                  </w:r>
                </w:p>
              </w:tc>
              <w:tc>
                <w:tcPr>
                  <w:tcW w:w="760" w:type="dxa"/>
                  <w:vAlign w:val="center"/>
                </w:tcPr>
                <w:p w14:paraId="64A646D5">
                  <w:pPr>
                    <w:pStyle w:val="48"/>
                    <w:rPr>
                      <w:rFonts w:ascii="Times New Roman" w:hAnsi="Times New Roman"/>
                      <w:color w:val="auto"/>
                      <w:szCs w:val="18"/>
                    </w:rPr>
                  </w:pPr>
                  <w:r>
                    <w:rPr>
                      <w:rFonts w:ascii="Times New Roman" w:hAnsi="Times New Roman"/>
                      <w:color w:val="auto"/>
                      <w:sz w:val="24"/>
                      <w:szCs w:val="18"/>
                    </w:rPr>
                    <w:t>对废气处理设备定期保养，避免设备故障</w:t>
                  </w:r>
                </w:p>
              </w:tc>
            </w:tr>
          </w:tbl>
          <w:p w14:paraId="6DC70012">
            <w:pPr>
              <w:pStyle w:val="53"/>
              <w:spacing w:before="120"/>
              <w:rPr>
                <w:rFonts w:ascii="仿宋" w:hAnsi="仿宋"/>
                <w:color w:val="auto"/>
                <w:sz w:val="28"/>
              </w:rPr>
            </w:pPr>
            <w:r>
              <w:rPr>
                <w:rFonts w:hint="eastAsia" w:ascii="仿宋" w:hAnsi="仿宋"/>
                <w:color w:val="auto"/>
                <w:sz w:val="28"/>
                <w:lang w:val="en-US"/>
              </w:rPr>
              <w:t>4.2</w:t>
            </w:r>
            <w:r>
              <w:rPr>
                <w:rFonts w:ascii="仿宋" w:hAnsi="仿宋"/>
                <w:color w:val="auto"/>
                <w:sz w:val="28"/>
              </w:rPr>
              <w:t>.7</w:t>
            </w:r>
            <w:r>
              <w:rPr>
                <w:rFonts w:hint="eastAsia" w:ascii="仿宋" w:hAnsi="仿宋"/>
                <w:color w:val="auto"/>
                <w:sz w:val="28"/>
              </w:rPr>
              <w:t>环境影响分析</w:t>
            </w:r>
          </w:p>
          <w:p w14:paraId="4FA44B6D">
            <w:pPr>
              <w:ind w:firstLine="560"/>
              <w:rPr>
                <w:color w:val="auto"/>
                <w:sz w:val="28"/>
              </w:rPr>
            </w:pPr>
            <w:r>
              <w:rPr>
                <w:rFonts w:hint="eastAsia"/>
                <w:color w:val="auto"/>
                <w:sz w:val="28"/>
              </w:rPr>
              <w:t>本项目所在地属于环境空气功能区二类区，项目位于</w:t>
            </w:r>
            <w:r>
              <w:rPr>
                <w:rFonts w:hint="eastAsia"/>
                <w:color w:val="auto"/>
                <w:sz w:val="28"/>
                <w:lang w:eastAsia="zh-CN"/>
              </w:rPr>
              <w:t>西彭工业园区</w:t>
            </w:r>
            <w:r>
              <w:rPr>
                <w:rFonts w:hint="eastAsia"/>
                <w:color w:val="auto"/>
                <w:sz w:val="28"/>
              </w:rPr>
              <w:t>内，厂界</w:t>
            </w:r>
            <w:r>
              <w:rPr>
                <w:rFonts w:hint="eastAsia"/>
                <w:color w:val="auto"/>
                <w:sz w:val="28"/>
                <w:lang w:eastAsia="zh-CN"/>
              </w:rPr>
              <w:t>周边主要</w:t>
            </w:r>
            <w:r>
              <w:rPr>
                <w:rFonts w:hint="eastAsia"/>
                <w:color w:val="auto"/>
                <w:sz w:val="28"/>
              </w:rPr>
              <w:t>为工业企业</w:t>
            </w:r>
            <w:r>
              <w:rPr>
                <w:rFonts w:hint="eastAsia"/>
                <w:color w:val="auto"/>
                <w:sz w:val="28"/>
                <w:highlight w:val="none"/>
              </w:rPr>
              <w:t>，企业周边</w:t>
            </w:r>
            <w:r>
              <w:rPr>
                <w:rFonts w:hint="eastAsia"/>
                <w:color w:val="auto"/>
                <w:sz w:val="28"/>
                <w:highlight w:val="none"/>
                <w:lang w:eastAsia="zh-CN"/>
              </w:rPr>
              <w:t>最近</w:t>
            </w:r>
            <w:r>
              <w:rPr>
                <w:rFonts w:hint="eastAsia"/>
                <w:color w:val="auto"/>
                <w:sz w:val="28"/>
                <w:highlight w:val="none"/>
              </w:rPr>
              <w:t>环境保护目标为</w:t>
            </w:r>
            <w:r>
              <w:rPr>
                <w:rFonts w:hint="eastAsia"/>
                <w:color w:val="auto"/>
                <w:sz w:val="28"/>
                <w:highlight w:val="none"/>
                <w:lang w:eastAsia="zh-CN"/>
              </w:rPr>
              <w:t>西侧</w:t>
            </w:r>
            <w:r>
              <w:rPr>
                <w:rFonts w:hint="eastAsia"/>
                <w:color w:val="auto"/>
                <w:sz w:val="28"/>
                <w:highlight w:val="none"/>
                <w:lang w:val="en-US" w:eastAsia="zh-CN"/>
              </w:rPr>
              <w:t>360m处的散户</w:t>
            </w:r>
            <w:r>
              <w:rPr>
                <w:rFonts w:hint="eastAsia"/>
                <w:color w:val="auto"/>
                <w:sz w:val="28"/>
                <w:highlight w:val="none"/>
              </w:rPr>
              <w:t>居民</w:t>
            </w:r>
            <w:r>
              <w:rPr>
                <w:rFonts w:hint="eastAsia"/>
                <w:color w:val="auto"/>
                <w:sz w:val="28"/>
                <w:highlight w:val="none"/>
                <w:lang w:eastAsia="zh-CN"/>
              </w:rPr>
              <w:t>，项目</w:t>
            </w:r>
            <w:r>
              <w:rPr>
                <w:rFonts w:hint="eastAsia"/>
                <w:color w:val="auto"/>
                <w:sz w:val="28"/>
              </w:rPr>
              <w:t>生产过程产生的废气经可行技术措施治理后排放，排放浓度与速率均达标</w:t>
            </w:r>
            <w:r>
              <w:rPr>
                <w:rFonts w:hint="eastAsia"/>
                <w:color w:val="auto"/>
                <w:sz w:val="28"/>
                <w:lang w:eastAsia="zh-CN"/>
              </w:rPr>
              <w:t>，</w:t>
            </w:r>
            <w:r>
              <w:rPr>
                <w:rFonts w:hint="eastAsia"/>
                <w:color w:val="auto"/>
                <w:sz w:val="28"/>
                <w:highlight w:val="none"/>
                <w:lang w:eastAsia="zh-CN"/>
              </w:rPr>
              <w:t>因此本项目对散户居民的影响较小；</w:t>
            </w:r>
            <w:r>
              <w:rPr>
                <w:rFonts w:hint="eastAsia"/>
                <w:color w:val="auto"/>
                <w:sz w:val="28"/>
              </w:rPr>
              <w:t>项目周围不存在自然保护区、风景名胜区、森林公园等需要特殊保护的区域。</w:t>
            </w:r>
          </w:p>
          <w:p w14:paraId="768E7298">
            <w:pPr>
              <w:ind w:firstLine="560"/>
              <w:rPr>
                <w:color w:val="auto"/>
                <w:sz w:val="28"/>
              </w:rPr>
            </w:pPr>
            <w:r>
              <w:rPr>
                <w:rFonts w:hint="eastAsia"/>
                <w:color w:val="auto"/>
                <w:sz w:val="28"/>
              </w:rPr>
              <w:t>因此，项目营运期产生的废气对大气环境的影响较小。</w:t>
            </w:r>
          </w:p>
          <w:p w14:paraId="1DFE0F39">
            <w:pPr>
              <w:pStyle w:val="53"/>
              <w:spacing w:before="120"/>
              <w:jc w:val="both"/>
              <w:rPr>
                <w:rFonts w:ascii="仿宋" w:hAnsi="仿宋"/>
                <w:color w:val="auto"/>
                <w:sz w:val="28"/>
              </w:rPr>
            </w:pPr>
            <w:r>
              <w:rPr>
                <w:rFonts w:hint="eastAsia" w:ascii="仿宋" w:hAnsi="仿宋"/>
                <w:color w:val="auto"/>
                <w:sz w:val="28"/>
                <w:lang w:val="en-US"/>
              </w:rPr>
              <w:t>4.3</w:t>
            </w:r>
            <w:r>
              <w:rPr>
                <w:rFonts w:hint="eastAsia" w:ascii="仿宋" w:hAnsi="仿宋"/>
                <w:color w:val="auto"/>
                <w:sz w:val="28"/>
              </w:rPr>
              <w:t>废水环境影响及保护措施</w:t>
            </w:r>
          </w:p>
          <w:p w14:paraId="223BC343">
            <w:pPr>
              <w:pStyle w:val="53"/>
              <w:spacing w:before="120"/>
              <w:rPr>
                <w:color w:val="auto"/>
                <w:sz w:val="28"/>
              </w:rPr>
            </w:pPr>
            <w:r>
              <w:rPr>
                <w:rFonts w:hint="eastAsia"/>
                <w:color w:val="auto"/>
                <w:sz w:val="28"/>
                <w:lang w:val="en-US"/>
              </w:rPr>
              <w:t>4.3</w:t>
            </w:r>
            <w:r>
              <w:rPr>
                <w:rFonts w:hint="eastAsia"/>
                <w:color w:val="auto"/>
                <w:sz w:val="28"/>
              </w:rPr>
              <w:t>.1废水污染物排放信息</w:t>
            </w:r>
          </w:p>
          <w:p w14:paraId="32749A93">
            <w:pPr>
              <w:ind w:firstLine="560"/>
              <w:rPr>
                <w:i/>
                <w:iCs/>
                <w:color w:val="auto"/>
                <w:sz w:val="28"/>
              </w:rPr>
            </w:pPr>
            <w:r>
              <w:rPr>
                <w:rFonts w:hint="eastAsia"/>
                <w:i/>
                <w:iCs/>
                <w:color w:val="auto"/>
                <w:sz w:val="28"/>
              </w:rPr>
              <w:t>本项目主要</w:t>
            </w:r>
            <w:r>
              <w:rPr>
                <w:rFonts w:hint="eastAsia"/>
                <w:i/>
                <w:iCs/>
                <w:color w:val="auto"/>
                <w:sz w:val="28"/>
                <w:highlight w:val="none"/>
              </w:rPr>
              <w:t>为</w:t>
            </w:r>
            <w:r>
              <w:rPr>
                <w:rFonts w:hint="eastAsia"/>
                <w:i/>
                <w:iCs/>
                <w:color w:val="auto"/>
                <w:sz w:val="28"/>
              </w:rPr>
              <w:t>生活污水、地面清洁废水。根据水平衡分析，本项目废水排放量</w:t>
            </w:r>
            <w:r>
              <w:rPr>
                <w:rFonts w:hint="eastAsia"/>
                <w:i/>
                <w:iCs/>
                <w:color w:val="auto"/>
                <w:sz w:val="28"/>
                <w:highlight w:val="none"/>
              </w:rPr>
              <w:t>为</w:t>
            </w:r>
            <w:r>
              <w:rPr>
                <w:rFonts w:hint="eastAsia"/>
                <w:i/>
                <w:iCs/>
                <w:color w:val="auto"/>
                <w:sz w:val="28"/>
                <w:highlight w:val="none"/>
                <w:lang w:val="en-US" w:eastAsia="zh-CN"/>
              </w:rPr>
              <w:t>3.825</w:t>
            </w:r>
            <w:r>
              <w:rPr>
                <w:rFonts w:hint="eastAsia"/>
                <w:i/>
                <w:iCs/>
                <w:color w:val="auto"/>
                <w:sz w:val="28"/>
                <w:highlight w:val="none"/>
              </w:rPr>
              <w:t>m</w:t>
            </w:r>
            <w:r>
              <w:rPr>
                <w:rFonts w:hint="eastAsia"/>
                <w:i/>
                <w:iCs/>
                <w:color w:val="auto"/>
                <w:sz w:val="28"/>
                <w:highlight w:val="none"/>
                <w:vertAlign w:val="superscript"/>
              </w:rPr>
              <w:t>3</w:t>
            </w:r>
            <w:r>
              <w:rPr>
                <w:rFonts w:hint="eastAsia"/>
                <w:i/>
                <w:iCs/>
                <w:color w:val="auto"/>
                <w:sz w:val="28"/>
                <w:highlight w:val="none"/>
              </w:rPr>
              <w:t>/d（</w:t>
            </w:r>
            <w:r>
              <w:rPr>
                <w:rFonts w:hint="eastAsia"/>
                <w:i/>
                <w:iCs/>
                <w:color w:val="auto"/>
                <w:sz w:val="28"/>
                <w:highlight w:val="none"/>
                <w:lang w:val="en-US" w:eastAsia="zh-CN"/>
              </w:rPr>
              <w:t>499.5</w:t>
            </w:r>
            <w:r>
              <w:rPr>
                <w:rFonts w:hint="eastAsia"/>
                <w:i/>
                <w:iCs/>
                <w:color w:val="auto"/>
                <w:sz w:val="28"/>
                <w:highlight w:val="none"/>
              </w:rPr>
              <w:t>m</w:t>
            </w:r>
            <w:r>
              <w:rPr>
                <w:rFonts w:hint="eastAsia"/>
                <w:i/>
                <w:iCs/>
                <w:color w:val="auto"/>
                <w:sz w:val="28"/>
                <w:highlight w:val="none"/>
                <w:vertAlign w:val="superscript"/>
              </w:rPr>
              <w:t>3</w:t>
            </w:r>
            <w:r>
              <w:rPr>
                <w:rFonts w:hint="eastAsia"/>
                <w:i/>
                <w:iCs/>
                <w:color w:val="auto"/>
                <w:sz w:val="28"/>
                <w:highlight w:val="none"/>
              </w:rPr>
              <w:t>/a）</w:t>
            </w:r>
            <w:r>
              <w:rPr>
                <w:rFonts w:hint="eastAsia"/>
                <w:i/>
                <w:iCs/>
                <w:color w:val="auto"/>
                <w:sz w:val="28"/>
              </w:rPr>
              <w:t>。</w:t>
            </w:r>
          </w:p>
          <w:p w14:paraId="01B520CC">
            <w:pPr>
              <w:numPr>
                <w:ilvl w:val="0"/>
                <w:numId w:val="16"/>
              </w:numPr>
              <w:ind w:firstLine="560"/>
              <w:rPr>
                <w:i/>
                <w:iCs/>
                <w:color w:val="auto"/>
                <w:sz w:val="28"/>
              </w:rPr>
            </w:pPr>
            <w:r>
              <w:rPr>
                <w:rFonts w:hint="eastAsia"/>
                <w:i/>
                <w:iCs/>
                <w:color w:val="auto"/>
                <w:sz w:val="28"/>
              </w:rPr>
              <w:t>地面清洁废水</w:t>
            </w:r>
          </w:p>
          <w:p w14:paraId="62643C22">
            <w:pPr>
              <w:ind w:firstLine="560"/>
              <w:rPr>
                <w:i/>
                <w:iCs/>
                <w:color w:val="auto"/>
                <w:sz w:val="28"/>
              </w:rPr>
            </w:pPr>
            <w:r>
              <w:rPr>
                <w:rFonts w:hint="eastAsia"/>
                <w:i/>
                <w:iCs/>
                <w:color w:val="auto"/>
                <w:sz w:val="28"/>
              </w:rPr>
              <w:t>根据表2-</w:t>
            </w:r>
            <w:r>
              <w:rPr>
                <w:rFonts w:hint="eastAsia"/>
                <w:i/>
                <w:iCs/>
                <w:color w:val="auto"/>
                <w:sz w:val="28"/>
                <w:lang w:val="en-US" w:eastAsia="zh-CN"/>
              </w:rPr>
              <w:t>9</w:t>
            </w:r>
            <w:r>
              <w:rPr>
                <w:rFonts w:hint="eastAsia"/>
                <w:i/>
                <w:iCs/>
                <w:color w:val="auto"/>
                <w:sz w:val="28"/>
              </w:rPr>
              <w:t>可知，废水排放量为</w:t>
            </w:r>
            <w:r>
              <w:rPr>
                <w:rFonts w:hint="eastAsia"/>
                <w:i/>
                <w:iCs/>
                <w:color w:val="auto"/>
                <w:sz w:val="28"/>
                <w:lang w:val="en-US" w:eastAsia="zh-CN"/>
              </w:rPr>
              <w:t>2.7</w:t>
            </w:r>
            <w:r>
              <w:rPr>
                <w:rFonts w:hint="eastAsia"/>
                <w:i/>
                <w:iCs/>
                <w:color w:val="auto"/>
                <w:sz w:val="28"/>
              </w:rPr>
              <w:t>m</w:t>
            </w:r>
            <w:r>
              <w:rPr>
                <w:rFonts w:hint="eastAsia"/>
                <w:i/>
                <w:iCs/>
                <w:color w:val="auto"/>
                <w:sz w:val="28"/>
                <w:vertAlign w:val="superscript"/>
              </w:rPr>
              <w:t>3</w:t>
            </w:r>
            <w:r>
              <w:rPr>
                <w:rFonts w:hint="eastAsia"/>
                <w:i/>
                <w:iCs/>
                <w:color w:val="auto"/>
                <w:sz w:val="28"/>
              </w:rPr>
              <w:t>/d（</w:t>
            </w:r>
            <w:r>
              <w:rPr>
                <w:rFonts w:hint="eastAsia"/>
                <w:i/>
                <w:iCs/>
                <w:color w:val="auto"/>
                <w:sz w:val="28"/>
                <w:lang w:val="en-US" w:eastAsia="zh-CN"/>
              </w:rPr>
              <w:t>162</w:t>
            </w:r>
            <w:r>
              <w:rPr>
                <w:rFonts w:hint="eastAsia"/>
                <w:i/>
                <w:iCs/>
                <w:color w:val="auto"/>
                <w:sz w:val="28"/>
              </w:rPr>
              <w:t>m</w:t>
            </w:r>
            <w:r>
              <w:rPr>
                <w:rFonts w:hint="eastAsia"/>
                <w:i/>
                <w:iCs/>
                <w:color w:val="auto"/>
                <w:sz w:val="28"/>
                <w:vertAlign w:val="superscript"/>
              </w:rPr>
              <w:t>3</w:t>
            </w:r>
            <w:r>
              <w:rPr>
                <w:rFonts w:hint="eastAsia"/>
                <w:i/>
                <w:iCs/>
                <w:color w:val="auto"/>
                <w:sz w:val="28"/>
              </w:rPr>
              <w:t>/a），主要污染因子为COD、</w:t>
            </w:r>
            <w:r>
              <w:rPr>
                <w:rFonts w:hint="eastAsia"/>
                <w:i/>
                <w:iCs/>
                <w:color w:val="auto"/>
                <w:sz w:val="28"/>
                <w:lang w:val="en-US" w:eastAsia="zh-CN"/>
              </w:rPr>
              <w:t>BOD</w:t>
            </w:r>
            <w:r>
              <w:rPr>
                <w:rFonts w:hint="eastAsia"/>
                <w:i/>
                <w:iCs/>
                <w:color w:val="auto"/>
                <w:sz w:val="28"/>
                <w:vertAlign w:val="subscript"/>
                <w:lang w:val="en-US" w:eastAsia="zh-CN"/>
              </w:rPr>
              <w:t>5</w:t>
            </w:r>
            <w:r>
              <w:rPr>
                <w:rFonts w:hint="eastAsia"/>
                <w:i/>
                <w:iCs/>
                <w:color w:val="auto"/>
                <w:sz w:val="28"/>
                <w:lang w:val="en-US" w:eastAsia="zh-CN"/>
              </w:rPr>
              <w:t>、</w:t>
            </w:r>
            <w:r>
              <w:rPr>
                <w:rFonts w:hint="eastAsia"/>
                <w:i/>
                <w:iCs/>
                <w:color w:val="auto"/>
                <w:sz w:val="28"/>
              </w:rPr>
              <w:t>SS、氨氮</w:t>
            </w:r>
            <w:r>
              <w:rPr>
                <w:rFonts w:hint="eastAsia"/>
                <w:i/>
                <w:iCs/>
                <w:color w:val="auto"/>
                <w:sz w:val="28"/>
                <w:lang w:eastAsia="zh-CN"/>
              </w:rPr>
              <w:t>、</w:t>
            </w:r>
            <w:r>
              <w:rPr>
                <w:rFonts w:hint="eastAsia"/>
                <w:i/>
                <w:iCs/>
                <w:color w:val="auto"/>
                <w:sz w:val="28"/>
              </w:rPr>
              <w:t>石油类。</w:t>
            </w:r>
          </w:p>
          <w:p w14:paraId="7AEAF09C">
            <w:pPr>
              <w:numPr>
                <w:ilvl w:val="0"/>
                <w:numId w:val="16"/>
              </w:numPr>
              <w:ind w:firstLine="560"/>
              <w:rPr>
                <w:i/>
                <w:iCs/>
                <w:color w:val="auto"/>
                <w:sz w:val="28"/>
              </w:rPr>
            </w:pPr>
            <w:r>
              <w:rPr>
                <w:rFonts w:hint="eastAsia"/>
                <w:i/>
                <w:iCs/>
                <w:color w:val="auto"/>
                <w:sz w:val="28"/>
              </w:rPr>
              <w:t>生活污水</w:t>
            </w:r>
          </w:p>
          <w:p w14:paraId="01C2B8CE">
            <w:pPr>
              <w:ind w:firstLine="560"/>
              <w:rPr>
                <w:color w:val="auto"/>
                <w:sz w:val="28"/>
              </w:rPr>
            </w:pPr>
            <w:r>
              <w:rPr>
                <w:rFonts w:hint="eastAsia"/>
                <w:i/>
                <w:iCs/>
                <w:color w:val="auto"/>
                <w:sz w:val="28"/>
              </w:rPr>
              <w:t>根据表2-</w:t>
            </w:r>
            <w:r>
              <w:rPr>
                <w:rFonts w:hint="eastAsia"/>
                <w:i/>
                <w:iCs/>
                <w:color w:val="auto"/>
                <w:sz w:val="28"/>
                <w:lang w:val="en-US" w:eastAsia="zh-CN"/>
              </w:rPr>
              <w:t>9</w:t>
            </w:r>
            <w:r>
              <w:rPr>
                <w:rFonts w:hint="eastAsia"/>
                <w:i/>
                <w:iCs/>
                <w:color w:val="auto"/>
                <w:sz w:val="28"/>
              </w:rPr>
              <w:t>可知，项目</w:t>
            </w:r>
            <w:r>
              <w:rPr>
                <w:rFonts w:hint="eastAsia"/>
                <w:i/>
                <w:iCs/>
                <w:color w:val="auto"/>
                <w:sz w:val="28"/>
                <w:lang w:eastAsia="zh-CN"/>
              </w:rPr>
              <w:t>员工</w:t>
            </w:r>
            <w:r>
              <w:rPr>
                <w:rFonts w:hint="eastAsia"/>
                <w:i/>
                <w:iCs/>
                <w:color w:val="auto"/>
                <w:sz w:val="28"/>
              </w:rPr>
              <w:t>生活污水排放量为</w:t>
            </w:r>
            <w:r>
              <w:rPr>
                <w:rFonts w:hint="eastAsia"/>
                <w:i/>
                <w:iCs/>
                <w:color w:val="auto"/>
                <w:sz w:val="28"/>
                <w:lang w:val="en-US" w:eastAsia="zh-CN"/>
              </w:rPr>
              <w:t>1.125</w:t>
            </w:r>
            <w:r>
              <w:rPr>
                <w:rFonts w:hint="eastAsia"/>
                <w:i/>
                <w:iCs/>
                <w:color w:val="auto"/>
                <w:sz w:val="28"/>
              </w:rPr>
              <w:t>m</w:t>
            </w:r>
            <w:r>
              <w:rPr>
                <w:rFonts w:hint="eastAsia"/>
                <w:i/>
                <w:iCs/>
                <w:color w:val="auto"/>
                <w:sz w:val="28"/>
                <w:vertAlign w:val="superscript"/>
              </w:rPr>
              <w:t>3</w:t>
            </w:r>
            <w:r>
              <w:rPr>
                <w:rFonts w:hint="eastAsia"/>
                <w:i/>
                <w:iCs/>
                <w:color w:val="auto"/>
                <w:sz w:val="28"/>
              </w:rPr>
              <w:t>/d，主要污染因子为COD、BOD</w:t>
            </w:r>
            <w:r>
              <w:rPr>
                <w:rFonts w:hint="eastAsia"/>
                <w:i/>
                <w:iCs/>
                <w:color w:val="auto"/>
                <w:sz w:val="28"/>
                <w:vertAlign w:val="subscript"/>
              </w:rPr>
              <w:t>5</w:t>
            </w:r>
            <w:r>
              <w:rPr>
                <w:rFonts w:hint="eastAsia"/>
                <w:i/>
                <w:iCs/>
                <w:color w:val="auto"/>
                <w:sz w:val="28"/>
              </w:rPr>
              <w:t>、SS、氨氮</w:t>
            </w:r>
            <w:r>
              <w:rPr>
                <w:rFonts w:hint="eastAsia"/>
                <w:i/>
                <w:iCs/>
                <w:color w:val="auto"/>
                <w:sz w:val="28"/>
                <w:lang w:eastAsia="zh-CN"/>
              </w:rPr>
              <w:t>、石油类、</w:t>
            </w:r>
            <w:r>
              <w:rPr>
                <w:rFonts w:hint="eastAsia"/>
                <w:i/>
                <w:iCs/>
                <w:color w:val="auto"/>
                <w:sz w:val="28"/>
                <w:lang w:val="en-US" w:eastAsia="zh-CN"/>
              </w:rPr>
              <w:t>TP</w:t>
            </w:r>
            <w:r>
              <w:rPr>
                <w:rFonts w:hint="eastAsia"/>
                <w:i/>
                <w:iCs/>
                <w:color w:val="auto"/>
                <w:sz w:val="28"/>
              </w:rPr>
              <w:t>。</w:t>
            </w:r>
          </w:p>
          <w:p w14:paraId="6DA4F644">
            <w:pPr>
              <w:spacing w:before="120" w:beforeLines="50"/>
              <w:ind w:firstLine="560"/>
              <w:rPr>
                <w:color w:val="auto"/>
                <w:sz w:val="28"/>
              </w:rPr>
            </w:pPr>
            <w:r>
              <w:rPr>
                <w:rFonts w:hint="eastAsia"/>
                <w:color w:val="auto"/>
                <w:sz w:val="28"/>
              </w:rPr>
              <w:t>项目废水类别、污染物、产排情况及治理设施信息见表4-6。</w:t>
            </w:r>
          </w:p>
          <w:p w14:paraId="2E2A3DE8">
            <w:pPr>
              <w:ind w:firstLine="0" w:firstLineChars="0"/>
              <w:rPr>
                <w:color w:val="auto"/>
              </w:rPr>
            </w:pPr>
          </w:p>
        </w:tc>
      </w:tr>
    </w:tbl>
    <w:p w14:paraId="0BF54D07">
      <w:pPr>
        <w:ind w:firstLine="560"/>
        <w:rPr>
          <w:color w:val="auto"/>
          <w:sz w:val="28"/>
        </w:rPr>
      </w:pPr>
      <w:r>
        <w:rPr>
          <w:color w:val="auto"/>
          <w:sz w:val="28"/>
        </w:rPr>
        <w:br w:type="page"/>
      </w:r>
    </w:p>
    <w:p w14:paraId="0184BEE1">
      <w:pPr>
        <w:ind w:firstLine="420"/>
        <w:rPr>
          <w:color w:val="auto"/>
        </w:rPr>
        <w:sectPr>
          <w:pgSz w:w="11906" w:h="16838"/>
          <w:pgMar w:top="1701" w:right="1531" w:bottom="1701" w:left="1531" w:header="851" w:footer="851" w:gutter="0"/>
          <w:cols w:space="720" w:num="1"/>
          <w:docGrid w:linePitch="312" w:charSpace="0"/>
        </w:sectPr>
      </w:pPr>
    </w:p>
    <w:tbl>
      <w:tblPr>
        <w:tblStyle w:val="31"/>
        <w:tblW w:w="141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6"/>
        <w:gridCol w:w="13791"/>
      </w:tblGrid>
      <w:tr w14:paraId="275DB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40" w:hRule="atLeast"/>
          <w:jc w:val="center"/>
        </w:trPr>
        <w:tc>
          <w:tcPr>
            <w:tcW w:w="336" w:type="dxa"/>
            <w:tcMar>
              <w:left w:w="28" w:type="dxa"/>
              <w:right w:w="28" w:type="dxa"/>
            </w:tcMar>
            <w:vAlign w:val="center"/>
          </w:tcPr>
          <w:p w14:paraId="6F500D48">
            <w:pPr>
              <w:pStyle w:val="49"/>
              <w:rPr>
                <w:color w:val="auto"/>
              </w:rPr>
            </w:pPr>
            <w:r>
              <w:rPr>
                <w:rFonts w:hint="eastAsia"/>
                <w:color w:val="auto"/>
                <w:sz w:val="28"/>
              </w:rPr>
              <w:t>运营期环境影响和保护措施</w:t>
            </w:r>
          </w:p>
        </w:tc>
        <w:tc>
          <w:tcPr>
            <w:tcW w:w="13791" w:type="dxa"/>
            <w:vAlign w:val="center"/>
          </w:tcPr>
          <w:p w14:paraId="3BE6C728">
            <w:pPr>
              <w:pStyle w:val="75"/>
              <w:rPr>
                <w:color w:val="auto"/>
              </w:rPr>
            </w:pPr>
            <w:r>
              <w:rPr>
                <w:rFonts w:hint="eastAsia"/>
                <w:color w:val="auto"/>
                <w:sz w:val="24"/>
              </w:rPr>
              <w:t>表4-</w:t>
            </w:r>
            <w:r>
              <w:rPr>
                <w:rFonts w:hint="eastAsia"/>
                <w:color w:val="auto"/>
                <w:sz w:val="24"/>
                <w:lang w:val="en-US"/>
              </w:rPr>
              <w:t>6</w:t>
            </w:r>
            <w:r>
              <w:rPr>
                <w:rFonts w:hint="eastAsia"/>
                <w:color w:val="auto"/>
                <w:sz w:val="24"/>
              </w:rPr>
              <w:t>废水类别、污染物、产排情况及治理设施信息一览表</w:t>
            </w:r>
          </w:p>
          <w:tbl>
            <w:tblPr>
              <w:tblStyle w:val="31"/>
              <w:tblW w:w="134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8"/>
              <w:gridCol w:w="696"/>
              <w:gridCol w:w="894"/>
              <w:gridCol w:w="450"/>
              <w:gridCol w:w="837"/>
              <w:gridCol w:w="887"/>
              <w:gridCol w:w="1131"/>
              <w:gridCol w:w="968"/>
              <w:gridCol w:w="517"/>
              <w:gridCol w:w="390"/>
              <w:gridCol w:w="840"/>
              <w:gridCol w:w="974"/>
              <w:gridCol w:w="1132"/>
              <w:gridCol w:w="1186"/>
              <w:gridCol w:w="1190"/>
              <w:gridCol w:w="899"/>
            </w:tblGrid>
            <w:tr w14:paraId="20730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restart"/>
                  <w:tcBorders>
                    <w:top w:val="single" w:color="auto" w:sz="4" w:space="0"/>
                    <w:left w:val="single" w:color="auto" w:sz="4" w:space="0"/>
                    <w:bottom w:val="single" w:color="auto" w:sz="4" w:space="0"/>
                    <w:right w:val="single" w:color="auto" w:sz="4" w:space="0"/>
                  </w:tcBorders>
                  <w:vAlign w:val="center"/>
                </w:tcPr>
                <w:p w14:paraId="4DF39F6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工序</w:t>
                  </w:r>
                </w:p>
              </w:tc>
              <w:tc>
                <w:tcPr>
                  <w:tcW w:w="696" w:type="dxa"/>
                  <w:vMerge w:val="restart"/>
                  <w:tcBorders>
                    <w:top w:val="single" w:color="auto" w:sz="4" w:space="0"/>
                    <w:left w:val="single" w:color="auto" w:sz="4" w:space="0"/>
                    <w:bottom w:val="single" w:color="auto" w:sz="4" w:space="0"/>
                    <w:right w:val="single" w:color="auto" w:sz="4" w:space="0"/>
                  </w:tcBorders>
                  <w:vAlign w:val="center"/>
                </w:tcPr>
                <w:p w14:paraId="7E34F606">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污染源</w:t>
                  </w:r>
                </w:p>
              </w:tc>
              <w:tc>
                <w:tcPr>
                  <w:tcW w:w="894" w:type="dxa"/>
                  <w:vMerge w:val="restart"/>
                  <w:tcBorders>
                    <w:top w:val="single" w:color="auto" w:sz="4" w:space="0"/>
                    <w:left w:val="single" w:color="auto" w:sz="4" w:space="0"/>
                    <w:bottom w:val="single" w:color="auto" w:sz="4" w:space="0"/>
                    <w:right w:val="single" w:color="auto" w:sz="4" w:space="0"/>
                  </w:tcBorders>
                  <w:vAlign w:val="center"/>
                </w:tcPr>
                <w:p w14:paraId="1DE4B30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污染物</w:t>
                  </w:r>
                </w:p>
              </w:tc>
              <w:tc>
                <w:tcPr>
                  <w:tcW w:w="4273" w:type="dxa"/>
                  <w:gridSpan w:val="5"/>
                  <w:tcBorders>
                    <w:top w:val="single" w:color="auto" w:sz="4" w:space="0"/>
                    <w:left w:val="single" w:color="auto" w:sz="4" w:space="0"/>
                    <w:bottom w:val="single" w:color="auto" w:sz="4" w:space="0"/>
                    <w:right w:val="single" w:color="auto" w:sz="4" w:space="0"/>
                  </w:tcBorders>
                  <w:vAlign w:val="center"/>
                </w:tcPr>
                <w:p w14:paraId="5D6AAE3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污染物产生</w:t>
                  </w:r>
                </w:p>
              </w:tc>
              <w:tc>
                <w:tcPr>
                  <w:tcW w:w="6229" w:type="dxa"/>
                  <w:gridSpan w:val="7"/>
                  <w:tcBorders>
                    <w:top w:val="single" w:color="auto" w:sz="4" w:space="0"/>
                    <w:left w:val="single" w:color="auto" w:sz="4" w:space="0"/>
                    <w:bottom w:val="single" w:color="auto" w:sz="4" w:space="0"/>
                    <w:right w:val="single" w:color="auto" w:sz="4" w:space="0"/>
                  </w:tcBorders>
                  <w:vAlign w:val="center"/>
                </w:tcPr>
                <w:p w14:paraId="3E4B995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污染物排放</w:t>
                  </w:r>
                </w:p>
              </w:tc>
              <w:tc>
                <w:tcPr>
                  <w:tcW w:w="899" w:type="dxa"/>
                  <w:vMerge w:val="restart"/>
                  <w:tcBorders>
                    <w:top w:val="single" w:color="auto" w:sz="4" w:space="0"/>
                    <w:left w:val="single" w:color="auto" w:sz="4" w:space="0"/>
                    <w:bottom w:val="single" w:color="auto" w:sz="4" w:space="0"/>
                    <w:right w:val="single" w:color="auto" w:sz="4" w:space="0"/>
                  </w:tcBorders>
                  <w:vAlign w:val="center"/>
                </w:tcPr>
                <w:p w14:paraId="7E1E1EC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排放时间（d）</w:t>
                  </w:r>
                </w:p>
              </w:tc>
            </w:tr>
            <w:tr w14:paraId="318609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3" w:hRule="atLeast"/>
                <w:jc w:val="center"/>
              </w:trPr>
              <w:tc>
                <w:tcPr>
                  <w:tcW w:w="468" w:type="dxa"/>
                  <w:vMerge w:val="continue"/>
                  <w:tcBorders>
                    <w:top w:val="single" w:color="auto" w:sz="4" w:space="0"/>
                    <w:left w:val="single" w:color="auto" w:sz="4" w:space="0"/>
                    <w:bottom w:val="single" w:color="auto" w:sz="4" w:space="0"/>
                    <w:right w:val="single" w:color="auto" w:sz="4" w:space="0"/>
                  </w:tcBorders>
                  <w:vAlign w:val="center"/>
                </w:tcPr>
                <w:p w14:paraId="16573EC4">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14:paraId="23DE89E8">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vMerge w:val="continue"/>
                  <w:tcBorders>
                    <w:top w:val="single" w:color="auto" w:sz="4" w:space="0"/>
                    <w:left w:val="single" w:color="auto" w:sz="4" w:space="0"/>
                    <w:bottom w:val="single" w:color="auto" w:sz="4" w:space="0"/>
                    <w:right w:val="single" w:color="auto" w:sz="4" w:space="0"/>
                  </w:tcBorders>
                  <w:vAlign w:val="center"/>
                </w:tcPr>
                <w:p w14:paraId="1B42D700">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450" w:type="dxa"/>
                  <w:vMerge w:val="restart"/>
                  <w:tcBorders>
                    <w:top w:val="single" w:color="auto" w:sz="4" w:space="0"/>
                    <w:left w:val="single" w:color="auto" w:sz="4" w:space="0"/>
                    <w:bottom w:val="single" w:color="auto" w:sz="4" w:space="0"/>
                    <w:right w:val="single" w:color="auto" w:sz="4" w:space="0"/>
                  </w:tcBorders>
                  <w:vAlign w:val="center"/>
                </w:tcPr>
                <w:p w14:paraId="3B04E6AC">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核算方法</w:t>
                  </w:r>
                </w:p>
              </w:tc>
              <w:tc>
                <w:tcPr>
                  <w:tcW w:w="837" w:type="dxa"/>
                  <w:tcBorders>
                    <w:top w:val="single" w:color="auto" w:sz="4" w:space="0"/>
                    <w:left w:val="single" w:color="auto" w:sz="4" w:space="0"/>
                    <w:bottom w:val="single" w:color="auto" w:sz="4" w:space="0"/>
                    <w:right w:val="single" w:color="auto" w:sz="4" w:space="0"/>
                  </w:tcBorders>
                  <w:vAlign w:val="center"/>
                </w:tcPr>
                <w:p w14:paraId="4410872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产生废水量</w:t>
                  </w:r>
                </w:p>
              </w:tc>
              <w:tc>
                <w:tcPr>
                  <w:tcW w:w="887" w:type="dxa"/>
                  <w:tcBorders>
                    <w:top w:val="single" w:color="auto" w:sz="4" w:space="0"/>
                    <w:left w:val="single" w:color="auto" w:sz="4" w:space="0"/>
                    <w:bottom w:val="single" w:color="auto" w:sz="4" w:space="0"/>
                    <w:right w:val="single" w:color="auto" w:sz="4" w:space="0"/>
                  </w:tcBorders>
                  <w:vAlign w:val="center"/>
                </w:tcPr>
                <w:p w14:paraId="6A46871B">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仿宋" w:cs="Times New Roman"/>
                      <w:i/>
                      <w:iCs/>
                      <w:color w:val="auto"/>
                      <w:sz w:val="24"/>
                      <w:szCs w:val="24"/>
                      <w:lang w:eastAsia="zh-CN"/>
                    </w:rPr>
                  </w:pPr>
                  <w:r>
                    <w:rPr>
                      <w:rFonts w:hint="default" w:ascii="Times New Roman" w:hAnsi="Times New Roman" w:cs="Times New Roman"/>
                      <w:i/>
                      <w:iCs/>
                      <w:color w:val="auto"/>
                      <w:sz w:val="24"/>
                      <w:szCs w:val="24"/>
                    </w:rPr>
                    <w:t>产生废水量</w:t>
                  </w:r>
                </w:p>
              </w:tc>
              <w:tc>
                <w:tcPr>
                  <w:tcW w:w="1131" w:type="dxa"/>
                  <w:vMerge w:val="restart"/>
                  <w:tcBorders>
                    <w:top w:val="single" w:color="auto" w:sz="4" w:space="0"/>
                    <w:left w:val="single" w:color="auto" w:sz="4" w:space="0"/>
                    <w:bottom w:val="single" w:color="auto" w:sz="4" w:space="0"/>
                    <w:right w:val="single" w:color="auto" w:sz="4" w:space="0"/>
                  </w:tcBorders>
                  <w:vAlign w:val="center"/>
                </w:tcPr>
                <w:p w14:paraId="77D23754">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产生质量浓度mg/L</w:t>
                  </w:r>
                </w:p>
              </w:tc>
              <w:tc>
                <w:tcPr>
                  <w:tcW w:w="968" w:type="dxa"/>
                  <w:tcBorders>
                    <w:top w:val="single" w:color="auto" w:sz="4" w:space="0"/>
                    <w:left w:val="single" w:color="auto" w:sz="4" w:space="0"/>
                    <w:bottom w:val="single" w:color="auto" w:sz="4" w:space="0"/>
                    <w:right w:val="single" w:color="auto" w:sz="4" w:space="0"/>
                  </w:tcBorders>
                  <w:vAlign w:val="center"/>
                </w:tcPr>
                <w:p w14:paraId="42EE858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产生量</w:t>
                  </w:r>
                </w:p>
              </w:tc>
              <w:tc>
                <w:tcPr>
                  <w:tcW w:w="517" w:type="dxa"/>
                  <w:vMerge w:val="restart"/>
                  <w:tcBorders>
                    <w:top w:val="single" w:color="auto" w:sz="4" w:space="0"/>
                    <w:left w:val="single" w:color="auto" w:sz="4" w:space="0"/>
                    <w:right w:val="single" w:color="auto" w:sz="4" w:space="0"/>
                  </w:tcBorders>
                  <w:vAlign w:val="center"/>
                </w:tcPr>
                <w:p w14:paraId="39B6E3F2">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治理工艺</w:t>
                  </w:r>
                </w:p>
              </w:tc>
              <w:tc>
                <w:tcPr>
                  <w:tcW w:w="390" w:type="dxa"/>
                  <w:vMerge w:val="restart"/>
                  <w:tcBorders>
                    <w:top w:val="single" w:color="auto" w:sz="4" w:space="0"/>
                    <w:left w:val="single" w:color="auto" w:sz="4" w:space="0"/>
                    <w:bottom w:val="single" w:color="auto" w:sz="4" w:space="0"/>
                    <w:right w:val="single" w:color="auto" w:sz="4" w:space="0"/>
                  </w:tcBorders>
                  <w:vAlign w:val="center"/>
                </w:tcPr>
                <w:p w14:paraId="79661FC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核算方法</w:t>
                  </w:r>
                </w:p>
              </w:tc>
              <w:tc>
                <w:tcPr>
                  <w:tcW w:w="840" w:type="dxa"/>
                  <w:vMerge w:val="restart"/>
                  <w:tcBorders>
                    <w:top w:val="single" w:color="auto" w:sz="4" w:space="0"/>
                    <w:left w:val="single" w:color="auto" w:sz="4" w:space="0"/>
                    <w:bottom w:val="single" w:color="auto" w:sz="4" w:space="0"/>
                    <w:right w:val="single" w:color="auto" w:sz="4" w:space="0"/>
                  </w:tcBorders>
                  <w:vAlign w:val="center"/>
                </w:tcPr>
                <w:p w14:paraId="71C2FF4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排放废水量m</w:t>
                  </w:r>
                  <w:r>
                    <w:rPr>
                      <w:rFonts w:hint="default" w:ascii="Times New Roman" w:hAnsi="Times New Roman" w:cs="Times New Roman"/>
                      <w:i/>
                      <w:iCs/>
                      <w:color w:val="auto"/>
                      <w:sz w:val="24"/>
                      <w:szCs w:val="24"/>
                      <w:vertAlign w:val="superscript"/>
                    </w:rPr>
                    <w:t>3</w:t>
                  </w:r>
                  <w:r>
                    <w:rPr>
                      <w:rFonts w:hint="default" w:ascii="Times New Roman" w:hAnsi="Times New Roman" w:cs="Times New Roman"/>
                      <w:i/>
                      <w:iCs/>
                      <w:color w:val="auto"/>
                      <w:sz w:val="24"/>
                      <w:szCs w:val="24"/>
                    </w:rPr>
                    <w:t>/d</w:t>
                  </w:r>
                </w:p>
              </w:tc>
              <w:tc>
                <w:tcPr>
                  <w:tcW w:w="2106" w:type="dxa"/>
                  <w:gridSpan w:val="2"/>
                  <w:tcBorders>
                    <w:top w:val="single" w:color="auto" w:sz="4" w:space="0"/>
                    <w:left w:val="single" w:color="auto" w:sz="4" w:space="0"/>
                    <w:right w:val="single" w:color="auto" w:sz="4" w:space="0"/>
                  </w:tcBorders>
                  <w:vAlign w:val="center"/>
                </w:tcPr>
                <w:p w14:paraId="137ACA8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排放量（排入污水处理厂）</w:t>
                  </w:r>
                </w:p>
              </w:tc>
              <w:tc>
                <w:tcPr>
                  <w:tcW w:w="2376" w:type="dxa"/>
                  <w:gridSpan w:val="2"/>
                  <w:tcBorders>
                    <w:top w:val="single" w:color="auto" w:sz="4" w:space="0"/>
                    <w:left w:val="single" w:color="auto" w:sz="4" w:space="0"/>
                    <w:bottom w:val="single" w:color="auto" w:sz="4" w:space="0"/>
                    <w:right w:val="single" w:color="auto" w:sz="4" w:space="0"/>
                  </w:tcBorders>
                  <w:vAlign w:val="center"/>
                </w:tcPr>
                <w:p w14:paraId="6398C25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排放量（排入外环境）</w:t>
                  </w:r>
                </w:p>
              </w:tc>
              <w:tc>
                <w:tcPr>
                  <w:tcW w:w="899" w:type="dxa"/>
                  <w:vMerge w:val="continue"/>
                  <w:tcBorders>
                    <w:top w:val="single" w:color="auto" w:sz="4" w:space="0"/>
                    <w:left w:val="single" w:color="auto" w:sz="4" w:space="0"/>
                    <w:bottom w:val="single" w:color="auto" w:sz="4" w:space="0"/>
                    <w:right w:val="single" w:color="auto" w:sz="4" w:space="0"/>
                  </w:tcBorders>
                  <w:vAlign w:val="center"/>
                </w:tcPr>
                <w:p w14:paraId="558E7EB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298B5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top w:val="single" w:color="auto" w:sz="4" w:space="0"/>
                    <w:left w:val="single" w:color="auto" w:sz="4" w:space="0"/>
                    <w:bottom w:val="single" w:color="auto" w:sz="4" w:space="0"/>
                    <w:right w:val="single" w:color="auto" w:sz="4" w:space="0"/>
                  </w:tcBorders>
                  <w:vAlign w:val="center"/>
                </w:tcPr>
                <w:p w14:paraId="2EF133A2">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14:paraId="7574FA51">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vMerge w:val="continue"/>
                  <w:tcBorders>
                    <w:top w:val="single" w:color="auto" w:sz="4" w:space="0"/>
                    <w:left w:val="single" w:color="auto" w:sz="4" w:space="0"/>
                    <w:bottom w:val="single" w:color="auto" w:sz="4" w:space="0"/>
                    <w:right w:val="single" w:color="auto" w:sz="4" w:space="0"/>
                  </w:tcBorders>
                  <w:vAlign w:val="center"/>
                </w:tcPr>
                <w:p w14:paraId="72EB9918">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450" w:type="dxa"/>
                  <w:vMerge w:val="continue"/>
                  <w:tcBorders>
                    <w:top w:val="single" w:color="auto" w:sz="4" w:space="0"/>
                    <w:left w:val="single" w:color="auto" w:sz="4" w:space="0"/>
                    <w:bottom w:val="single" w:color="auto" w:sz="4" w:space="0"/>
                    <w:right w:val="single" w:color="auto" w:sz="4" w:space="0"/>
                  </w:tcBorders>
                  <w:vAlign w:val="center"/>
                </w:tcPr>
                <w:p w14:paraId="1529040C">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tcBorders>
                    <w:top w:val="single" w:color="auto" w:sz="4" w:space="0"/>
                    <w:left w:val="single" w:color="auto" w:sz="4" w:space="0"/>
                    <w:bottom w:val="single" w:color="auto" w:sz="4" w:space="0"/>
                    <w:right w:val="single" w:color="auto" w:sz="4" w:space="0"/>
                  </w:tcBorders>
                  <w:vAlign w:val="center"/>
                </w:tcPr>
                <w:p w14:paraId="46DDE751">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m</w:t>
                  </w:r>
                  <w:r>
                    <w:rPr>
                      <w:rFonts w:hint="default" w:ascii="Times New Roman" w:hAnsi="Times New Roman" w:cs="Times New Roman"/>
                      <w:i/>
                      <w:iCs/>
                      <w:color w:val="auto"/>
                      <w:sz w:val="24"/>
                      <w:szCs w:val="24"/>
                      <w:vertAlign w:val="superscript"/>
                    </w:rPr>
                    <w:t>3</w:t>
                  </w:r>
                  <w:r>
                    <w:rPr>
                      <w:rFonts w:hint="default" w:ascii="Times New Roman" w:hAnsi="Times New Roman" w:cs="Times New Roman"/>
                      <w:i/>
                      <w:iCs/>
                      <w:color w:val="auto"/>
                      <w:sz w:val="24"/>
                      <w:szCs w:val="24"/>
                    </w:rPr>
                    <w:t>/d</w:t>
                  </w:r>
                </w:p>
              </w:tc>
              <w:tc>
                <w:tcPr>
                  <w:tcW w:w="887" w:type="dxa"/>
                  <w:tcBorders>
                    <w:top w:val="single" w:color="auto" w:sz="4" w:space="0"/>
                    <w:left w:val="single" w:color="auto" w:sz="4" w:space="0"/>
                    <w:bottom w:val="single" w:color="auto" w:sz="4" w:space="0"/>
                    <w:right w:val="single" w:color="auto" w:sz="4" w:space="0"/>
                  </w:tcBorders>
                  <w:vAlign w:val="center"/>
                </w:tcPr>
                <w:p w14:paraId="1C5A12A6">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m</w:t>
                  </w:r>
                  <w:r>
                    <w:rPr>
                      <w:rFonts w:hint="default" w:ascii="Times New Roman" w:hAnsi="Times New Roman" w:cs="Times New Roman"/>
                      <w:i/>
                      <w:iCs/>
                      <w:color w:val="auto"/>
                      <w:sz w:val="24"/>
                      <w:szCs w:val="24"/>
                      <w:vertAlign w:val="superscript"/>
                    </w:rPr>
                    <w:t>3</w:t>
                  </w:r>
                  <w:r>
                    <w:rPr>
                      <w:rFonts w:hint="default" w:ascii="Times New Roman" w:hAnsi="Times New Roman" w:cs="Times New Roman"/>
                      <w:i/>
                      <w:iCs/>
                      <w:color w:val="auto"/>
                      <w:sz w:val="24"/>
                      <w:szCs w:val="24"/>
                    </w:rPr>
                    <w:t>/</w:t>
                  </w:r>
                  <w:r>
                    <w:rPr>
                      <w:rFonts w:hint="eastAsia" w:ascii="Times New Roman" w:hAnsi="Times New Roman" w:cs="Times New Roman"/>
                      <w:i/>
                      <w:iCs/>
                      <w:color w:val="auto"/>
                      <w:sz w:val="24"/>
                      <w:szCs w:val="24"/>
                      <w:lang w:val="en-US" w:eastAsia="zh-CN"/>
                    </w:rPr>
                    <w:t>a</w:t>
                  </w:r>
                </w:p>
              </w:tc>
              <w:tc>
                <w:tcPr>
                  <w:tcW w:w="1131" w:type="dxa"/>
                  <w:vMerge w:val="continue"/>
                  <w:tcBorders>
                    <w:top w:val="single" w:color="auto" w:sz="4" w:space="0"/>
                    <w:left w:val="single" w:color="auto" w:sz="4" w:space="0"/>
                    <w:bottom w:val="single" w:color="auto" w:sz="4" w:space="0"/>
                    <w:right w:val="single" w:color="auto" w:sz="4" w:space="0"/>
                  </w:tcBorders>
                  <w:vAlign w:val="center"/>
                </w:tcPr>
                <w:p w14:paraId="20545E21">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68" w:type="dxa"/>
                  <w:tcBorders>
                    <w:top w:val="single" w:color="auto" w:sz="4" w:space="0"/>
                    <w:left w:val="single" w:color="auto" w:sz="4" w:space="0"/>
                    <w:bottom w:val="single" w:color="auto" w:sz="4" w:space="0"/>
                    <w:right w:val="single" w:color="auto" w:sz="4" w:space="0"/>
                  </w:tcBorders>
                  <w:vAlign w:val="center"/>
                </w:tcPr>
                <w:p w14:paraId="46564504">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t/a</w:t>
                  </w:r>
                </w:p>
              </w:tc>
              <w:tc>
                <w:tcPr>
                  <w:tcW w:w="517" w:type="dxa"/>
                  <w:vMerge w:val="continue"/>
                  <w:tcBorders>
                    <w:left w:val="single" w:color="auto" w:sz="4" w:space="0"/>
                    <w:bottom w:val="single" w:color="auto" w:sz="4" w:space="0"/>
                    <w:right w:val="single" w:color="auto" w:sz="4" w:space="0"/>
                  </w:tcBorders>
                  <w:vAlign w:val="center"/>
                </w:tcPr>
                <w:p w14:paraId="65097B54">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top w:val="single" w:color="auto" w:sz="4" w:space="0"/>
                    <w:left w:val="single" w:color="auto" w:sz="4" w:space="0"/>
                    <w:bottom w:val="single" w:color="auto" w:sz="4" w:space="0"/>
                    <w:right w:val="single" w:color="auto" w:sz="4" w:space="0"/>
                  </w:tcBorders>
                  <w:vAlign w:val="center"/>
                </w:tcPr>
                <w:p w14:paraId="26350EA8">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718C89C6">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left w:val="single" w:color="auto" w:sz="4" w:space="0"/>
                    <w:bottom w:val="single" w:color="auto" w:sz="4" w:space="0"/>
                    <w:right w:val="single" w:color="auto" w:sz="4" w:space="0"/>
                  </w:tcBorders>
                  <w:vAlign w:val="center"/>
                </w:tcPr>
                <w:p w14:paraId="1ABEC28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排放质量浓度mg/L</w:t>
                  </w:r>
                </w:p>
              </w:tc>
              <w:tc>
                <w:tcPr>
                  <w:tcW w:w="1132" w:type="dxa"/>
                  <w:tcBorders>
                    <w:top w:val="single" w:color="auto" w:sz="4" w:space="0"/>
                    <w:left w:val="single" w:color="auto" w:sz="4" w:space="0"/>
                    <w:bottom w:val="single" w:color="auto" w:sz="4" w:space="0"/>
                    <w:right w:val="single" w:color="auto" w:sz="4" w:space="0"/>
                  </w:tcBorders>
                  <w:vAlign w:val="center"/>
                </w:tcPr>
                <w:p w14:paraId="2DEF1CB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t/a</w:t>
                  </w:r>
                </w:p>
              </w:tc>
              <w:tc>
                <w:tcPr>
                  <w:tcW w:w="1186" w:type="dxa"/>
                  <w:tcBorders>
                    <w:top w:val="single" w:color="auto" w:sz="4" w:space="0"/>
                    <w:left w:val="single" w:color="auto" w:sz="4" w:space="0"/>
                    <w:bottom w:val="single" w:color="auto" w:sz="4" w:space="0"/>
                    <w:right w:val="single" w:color="auto" w:sz="4" w:space="0"/>
                  </w:tcBorders>
                  <w:vAlign w:val="center"/>
                </w:tcPr>
                <w:p w14:paraId="0010B62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排放质量浓度mg/L</w:t>
                  </w:r>
                </w:p>
              </w:tc>
              <w:tc>
                <w:tcPr>
                  <w:tcW w:w="1190" w:type="dxa"/>
                  <w:tcBorders>
                    <w:top w:val="single" w:color="auto" w:sz="4" w:space="0"/>
                    <w:left w:val="single" w:color="auto" w:sz="4" w:space="0"/>
                    <w:bottom w:val="single" w:color="auto" w:sz="4" w:space="0"/>
                    <w:right w:val="single" w:color="auto" w:sz="4" w:space="0"/>
                  </w:tcBorders>
                  <w:vAlign w:val="center"/>
                </w:tcPr>
                <w:p w14:paraId="1F727C9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t/a</w:t>
                  </w:r>
                </w:p>
              </w:tc>
              <w:tc>
                <w:tcPr>
                  <w:tcW w:w="899" w:type="dxa"/>
                  <w:vMerge w:val="continue"/>
                  <w:tcBorders>
                    <w:top w:val="single" w:color="auto" w:sz="4" w:space="0"/>
                    <w:left w:val="single" w:color="auto" w:sz="4" w:space="0"/>
                    <w:bottom w:val="single" w:color="auto" w:sz="4" w:space="0"/>
                    <w:right w:val="single" w:color="auto" w:sz="4" w:space="0"/>
                  </w:tcBorders>
                  <w:vAlign w:val="center"/>
                </w:tcPr>
                <w:p w14:paraId="013C8456">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241493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restart"/>
                  <w:tcBorders>
                    <w:top w:val="single" w:color="auto" w:sz="4" w:space="0"/>
                    <w:left w:val="single" w:color="auto" w:sz="4" w:space="0"/>
                    <w:right w:val="single" w:color="auto" w:sz="4" w:space="0"/>
                  </w:tcBorders>
                  <w:vAlign w:val="center"/>
                </w:tcPr>
                <w:p w14:paraId="7753AE8C">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仿宋" w:cs="Times New Roman"/>
                      <w:i/>
                      <w:iCs/>
                      <w:color w:val="auto"/>
                      <w:sz w:val="24"/>
                      <w:szCs w:val="24"/>
                      <w:lang w:eastAsia="zh-CN"/>
                    </w:rPr>
                  </w:pPr>
                  <w:r>
                    <w:rPr>
                      <w:rFonts w:hint="eastAsia" w:ascii="Times New Roman" w:hAnsi="Times New Roman" w:cs="Times New Roman"/>
                      <w:i/>
                      <w:iCs/>
                      <w:color w:val="auto"/>
                      <w:sz w:val="24"/>
                      <w:szCs w:val="24"/>
                      <w:lang w:eastAsia="zh-CN"/>
                    </w:rPr>
                    <w:t>生活废水、地面清洁废水</w:t>
                  </w:r>
                </w:p>
              </w:tc>
              <w:tc>
                <w:tcPr>
                  <w:tcW w:w="696" w:type="dxa"/>
                  <w:vMerge w:val="restart"/>
                  <w:tcBorders>
                    <w:top w:val="single" w:color="auto" w:sz="4" w:space="0"/>
                    <w:left w:val="single" w:color="auto" w:sz="4" w:space="0"/>
                    <w:right w:val="single" w:color="auto" w:sz="4" w:space="0"/>
                  </w:tcBorders>
                  <w:vAlign w:val="center"/>
                </w:tcPr>
                <w:p w14:paraId="07706F26">
                  <w:pPr>
                    <w:pStyle w:val="94"/>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生活污水</w:t>
                  </w:r>
                </w:p>
              </w:tc>
              <w:tc>
                <w:tcPr>
                  <w:tcW w:w="894" w:type="dxa"/>
                  <w:tcBorders>
                    <w:top w:val="single" w:color="auto" w:sz="4" w:space="0"/>
                    <w:left w:val="single" w:color="auto" w:sz="4" w:space="0"/>
                    <w:bottom w:val="single" w:color="auto" w:sz="4" w:space="0"/>
                    <w:right w:val="single" w:color="auto" w:sz="4" w:space="0"/>
                  </w:tcBorders>
                  <w:vAlign w:val="center"/>
                </w:tcPr>
                <w:p w14:paraId="14D6577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COD</w:t>
                  </w:r>
                </w:p>
              </w:tc>
              <w:tc>
                <w:tcPr>
                  <w:tcW w:w="450" w:type="dxa"/>
                  <w:vMerge w:val="restart"/>
                  <w:tcBorders>
                    <w:top w:val="single" w:color="auto" w:sz="4" w:space="0"/>
                    <w:left w:val="single" w:color="auto" w:sz="4" w:space="0"/>
                    <w:right w:val="single" w:color="auto" w:sz="4" w:space="0"/>
                  </w:tcBorders>
                  <w:vAlign w:val="center"/>
                </w:tcPr>
                <w:p w14:paraId="535F8F2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产污系数法</w:t>
                  </w:r>
                </w:p>
              </w:tc>
              <w:tc>
                <w:tcPr>
                  <w:tcW w:w="837" w:type="dxa"/>
                  <w:vMerge w:val="restart"/>
                  <w:tcBorders>
                    <w:top w:val="single" w:color="auto" w:sz="4" w:space="0"/>
                    <w:left w:val="single" w:color="auto" w:sz="4" w:space="0"/>
                    <w:right w:val="single" w:color="auto" w:sz="4" w:space="0"/>
                  </w:tcBorders>
                  <w:vAlign w:val="center"/>
                </w:tcPr>
                <w:p w14:paraId="7826590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1.125</w:t>
                  </w:r>
                </w:p>
              </w:tc>
              <w:tc>
                <w:tcPr>
                  <w:tcW w:w="887" w:type="dxa"/>
                  <w:vMerge w:val="restart"/>
                  <w:tcBorders>
                    <w:top w:val="single" w:color="auto" w:sz="4" w:space="0"/>
                    <w:left w:val="single" w:color="auto" w:sz="4" w:space="0"/>
                    <w:right w:val="single" w:color="auto" w:sz="4" w:space="0"/>
                  </w:tcBorders>
                  <w:vAlign w:val="center"/>
                </w:tcPr>
                <w:p w14:paraId="3478BD2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337.5</w:t>
                  </w:r>
                </w:p>
              </w:tc>
              <w:tc>
                <w:tcPr>
                  <w:tcW w:w="1131" w:type="dxa"/>
                  <w:tcBorders>
                    <w:top w:val="single" w:color="auto" w:sz="4" w:space="0"/>
                    <w:left w:val="single" w:color="auto" w:sz="4" w:space="0"/>
                    <w:bottom w:val="single" w:color="auto" w:sz="4" w:space="0"/>
                    <w:right w:val="single" w:color="auto" w:sz="4" w:space="0"/>
                  </w:tcBorders>
                  <w:vAlign w:val="center"/>
                </w:tcPr>
                <w:p w14:paraId="0416B864">
                  <w:pPr>
                    <w:pStyle w:val="137"/>
                    <w:keepNext w:val="0"/>
                    <w:keepLines w:val="0"/>
                    <w:pageBreakBefore w:val="0"/>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cs="Times New Roman"/>
                      <w:i/>
                      <w:iCs/>
                      <w:color w:val="auto"/>
                      <w:sz w:val="24"/>
                      <w:szCs w:val="24"/>
                    </w:rPr>
                  </w:pPr>
                  <w:r>
                    <w:rPr>
                      <w:rFonts w:hint="eastAsia" w:ascii="Times New Roman" w:hAnsi="Times New Roman" w:cs="Times New Roman"/>
                      <w:i/>
                      <w:iCs/>
                      <w:color w:val="auto"/>
                      <w:sz w:val="24"/>
                      <w:szCs w:val="24"/>
                      <w:lang w:val="en-US" w:eastAsia="zh-CN"/>
                    </w:rPr>
                    <w:t>55</w:t>
                  </w:r>
                  <w:r>
                    <w:rPr>
                      <w:rFonts w:hint="default" w:ascii="Times New Roman" w:hAnsi="Times New Roman" w:cs="Times New Roman"/>
                      <w:i/>
                      <w:iCs/>
                      <w:color w:val="auto"/>
                      <w:sz w:val="24"/>
                      <w:szCs w:val="24"/>
                    </w:rPr>
                    <w:t>0</w:t>
                  </w:r>
                </w:p>
              </w:tc>
              <w:tc>
                <w:tcPr>
                  <w:tcW w:w="968" w:type="dxa"/>
                  <w:tcBorders>
                    <w:top w:val="single" w:color="auto" w:sz="4" w:space="0"/>
                    <w:left w:val="single" w:color="auto" w:sz="4" w:space="0"/>
                    <w:bottom w:val="single" w:color="auto" w:sz="4" w:space="0"/>
                    <w:right w:val="single" w:color="auto" w:sz="4" w:space="0"/>
                  </w:tcBorders>
                  <w:vAlign w:val="center"/>
                </w:tcPr>
                <w:p w14:paraId="7B9218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eastAsia="宋体" w:cs="Times New Roman"/>
                      <w:i/>
                      <w:iCs/>
                      <w:color w:val="auto"/>
                      <w:kern w:val="0"/>
                      <w:sz w:val="24"/>
                      <w:szCs w:val="24"/>
                      <w:u w:val="none"/>
                      <w:lang w:val="en-US" w:eastAsia="zh-CN" w:bidi="ar"/>
                    </w:rPr>
                    <w:t xml:space="preserve">0.186 </w:t>
                  </w:r>
                </w:p>
              </w:tc>
              <w:tc>
                <w:tcPr>
                  <w:tcW w:w="517" w:type="dxa"/>
                  <w:vMerge w:val="restart"/>
                  <w:tcBorders>
                    <w:left w:val="single" w:color="auto" w:sz="4" w:space="0"/>
                    <w:right w:val="single" w:color="auto" w:sz="4" w:space="0"/>
                  </w:tcBorders>
                  <w:vAlign w:val="center"/>
                </w:tcPr>
                <w:p w14:paraId="004449D4">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厌氧+沉淀</w:t>
                  </w:r>
                </w:p>
              </w:tc>
              <w:tc>
                <w:tcPr>
                  <w:tcW w:w="390" w:type="dxa"/>
                  <w:vMerge w:val="restart"/>
                  <w:tcBorders>
                    <w:top w:val="single" w:color="auto" w:sz="4" w:space="0"/>
                    <w:left w:val="single" w:color="auto" w:sz="4" w:space="0"/>
                    <w:right w:val="single" w:color="auto" w:sz="4" w:space="0"/>
                  </w:tcBorders>
                  <w:vAlign w:val="center"/>
                </w:tcPr>
                <w:p w14:paraId="64FA44A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产污系数法</w:t>
                  </w:r>
                </w:p>
              </w:tc>
              <w:tc>
                <w:tcPr>
                  <w:tcW w:w="840" w:type="dxa"/>
                  <w:vMerge w:val="restart"/>
                  <w:tcBorders>
                    <w:top w:val="single" w:color="auto" w:sz="4" w:space="0"/>
                    <w:left w:val="single" w:color="auto" w:sz="4" w:space="0"/>
                    <w:right w:val="single" w:color="auto" w:sz="4" w:space="0"/>
                  </w:tcBorders>
                  <w:vAlign w:val="center"/>
                </w:tcPr>
                <w:p w14:paraId="05ACAF5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3.825</w:t>
                  </w:r>
                </w:p>
              </w:tc>
              <w:tc>
                <w:tcPr>
                  <w:tcW w:w="974" w:type="dxa"/>
                  <w:tcBorders>
                    <w:top w:val="single" w:color="auto" w:sz="4" w:space="0"/>
                    <w:left w:val="single" w:color="auto" w:sz="4" w:space="0"/>
                    <w:bottom w:val="single" w:color="auto" w:sz="4" w:space="0"/>
                    <w:right w:val="single" w:color="auto" w:sz="4" w:space="0"/>
                  </w:tcBorders>
                  <w:vAlign w:val="center"/>
                </w:tcPr>
                <w:p w14:paraId="29299C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32" w:type="dxa"/>
                  <w:tcBorders>
                    <w:top w:val="single" w:color="auto" w:sz="4" w:space="0"/>
                    <w:left w:val="single" w:color="auto" w:sz="4" w:space="0"/>
                    <w:bottom w:val="single" w:color="auto" w:sz="4" w:space="0"/>
                    <w:right w:val="single" w:color="auto" w:sz="4" w:space="0"/>
                  </w:tcBorders>
                  <w:vAlign w:val="center"/>
                </w:tcPr>
                <w:p w14:paraId="0E5E6B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86" w:type="dxa"/>
                  <w:tcBorders>
                    <w:top w:val="single" w:color="auto" w:sz="4" w:space="0"/>
                    <w:left w:val="single" w:color="auto" w:sz="4" w:space="0"/>
                    <w:bottom w:val="single" w:color="auto" w:sz="4" w:space="0"/>
                    <w:right w:val="single" w:color="auto" w:sz="4" w:space="0"/>
                  </w:tcBorders>
                  <w:vAlign w:val="center"/>
                </w:tcPr>
                <w:p w14:paraId="27E8B01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90" w:type="dxa"/>
                  <w:tcBorders>
                    <w:top w:val="single" w:color="auto" w:sz="4" w:space="0"/>
                    <w:left w:val="single" w:color="auto" w:sz="4" w:space="0"/>
                    <w:bottom w:val="single" w:color="auto" w:sz="4" w:space="0"/>
                    <w:right w:val="single" w:color="auto" w:sz="4" w:space="0"/>
                  </w:tcBorders>
                  <w:vAlign w:val="center"/>
                </w:tcPr>
                <w:p w14:paraId="32ED2F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899" w:type="dxa"/>
                  <w:vMerge w:val="restart"/>
                  <w:tcBorders>
                    <w:top w:val="single" w:color="auto" w:sz="4" w:space="0"/>
                    <w:left w:val="single" w:color="auto" w:sz="4" w:space="0"/>
                    <w:right w:val="single" w:color="auto" w:sz="4" w:space="0"/>
                  </w:tcBorders>
                  <w:vAlign w:val="center"/>
                </w:tcPr>
                <w:p w14:paraId="15EF86EC">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300</w:t>
                  </w:r>
                </w:p>
              </w:tc>
            </w:tr>
            <w:tr w14:paraId="7DEF7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468" w:type="dxa"/>
                  <w:vMerge w:val="continue"/>
                  <w:tcBorders>
                    <w:left w:val="single" w:color="auto" w:sz="4" w:space="0"/>
                    <w:right w:val="single" w:color="auto" w:sz="4" w:space="0"/>
                  </w:tcBorders>
                  <w:vAlign w:val="center"/>
                </w:tcPr>
                <w:p w14:paraId="6CB3AEA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70C57952">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vAlign w:val="center"/>
                </w:tcPr>
                <w:p w14:paraId="06A74C1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BOD</w:t>
                  </w:r>
                  <w:r>
                    <w:rPr>
                      <w:rFonts w:hint="default" w:ascii="Times New Roman" w:hAnsi="Times New Roman" w:cs="Times New Roman"/>
                      <w:i/>
                      <w:iCs/>
                      <w:color w:val="auto"/>
                      <w:sz w:val="24"/>
                      <w:szCs w:val="24"/>
                      <w:vertAlign w:val="subscript"/>
                    </w:rPr>
                    <w:t>5</w:t>
                  </w:r>
                </w:p>
              </w:tc>
              <w:tc>
                <w:tcPr>
                  <w:tcW w:w="450" w:type="dxa"/>
                  <w:vMerge w:val="continue"/>
                  <w:tcBorders>
                    <w:left w:val="single" w:color="auto" w:sz="4" w:space="0"/>
                    <w:right w:val="single" w:color="auto" w:sz="4" w:space="0"/>
                  </w:tcBorders>
                  <w:vAlign w:val="center"/>
                </w:tcPr>
                <w:p w14:paraId="2D10D618">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0F26BFF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87" w:type="dxa"/>
                  <w:vMerge w:val="continue"/>
                  <w:tcBorders>
                    <w:left w:val="single" w:color="auto" w:sz="4" w:space="0"/>
                    <w:right w:val="single" w:color="auto" w:sz="4" w:space="0"/>
                  </w:tcBorders>
                  <w:vAlign w:val="center"/>
                </w:tcPr>
                <w:p w14:paraId="1F68F17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1131" w:type="dxa"/>
                  <w:tcBorders>
                    <w:top w:val="single" w:color="auto" w:sz="4" w:space="0"/>
                    <w:left w:val="single" w:color="auto" w:sz="4" w:space="0"/>
                    <w:bottom w:val="single" w:color="auto" w:sz="4" w:space="0"/>
                    <w:right w:val="single" w:color="auto" w:sz="4" w:space="0"/>
                  </w:tcBorders>
                  <w:vAlign w:val="center"/>
                </w:tcPr>
                <w:p w14:paraId="1AEF5D70">
                  <w:pPr>
                    <w:pStyle w:val="137"/>
                    <w:keepNext w:val="0"/>
                    <w:keepLines w:val="0"/>
                    <w:pageBreakBefore w:val="0"/>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cs="Times New Roman"/>
                      <w:i/>
                      <w:iCs/>
                      <w:color w:val="auto"/>
                      <w:sz w:val="24"/>
                      <w:szCs w:val="24"/>
                    </w:rPr>
                  </w:pPr>
                  <w:r>
                    <w:rPr>
                      <w:rFonts w:hint="eastAsia" w:ascii="Times New Roman" w:hAnsi="Times New Roman" w:cs="Times New Roman"/>
                      <w:i/>
                      <w:iCs/>
                      <w:color w:val="auto"/>
                      <w:sz w:val="24"/>
                      <w:szCs w:val="24"/>
                      <w:lang w:val="en-US" w:eastAsia="zh-CN"/>
                    </w:rPr>
                    <w:t>40</w:t>
                  </w:r>
                  <w:r>
                    <w:rPr>
                      <w:rFonts w:hint="default" w:ascii="Times New Roman" w:hAnsi="Times New Roman" w:cs="Times New Roman"/>
                      <w:i/>
                      <w:iCs/>
                      <w:color w:val="auto"/>
                      <w:sz w:val="24"/>
                      <w:szCs w:val="24"/>
                    </w:rPr>
                    <w:t>0</w:t>
                  </w:r>
                </w:p>
              </w:tc>
              <w:tc>
                <w:tcPr>
                  <w:tcW w:w="968" w:type="dxa"/>
                  <w:tcBorders>
                    <w:top w:val="single" w:color="auto" w:sz="4" w:space="0"/>
                    <w:left w:val="single" w:color="auto" w:sz="4" w:space="0"/>
                    <w:bottom w:val="single" w:color="auto" w:sz="4" w:space="0"/>
                    <w:right w:val="single" w:color="auto" w:sz="4" w:space="0"/>
                  </w:tcBorders>
                  <w:vAlign w:val="center"/>
                </w:tcPr>
                <w:p w14:paraId="261BFE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eastAsia="宋体" w:cs="Times New Roman"/>
                      <w:i/>
                      <w:iCs/>
                      <w:color w:val="auto"/>
                      <w:kern w:val="0"/>
                      <w:sz w:val="24"/>
                      <w:szCs w:val="24"/>
                      <w:u w:val="none"/>
                      <w:lang w:val="en-US" w:eastAsia="zh-CN" w:bidi="ar"/>
                    </w:rPr>
                    <w:t xml:space="preserve">0.135 </w:t>
                  </w:r>
                </w:p>
              </w:tc>
              <w:tc>
                <w:tcPr>
                  <w:tcW w:w="517" w:type="dxa"/>
                  <w:vMerge w:val="continue"/>
                  <w:tcBorders>
                    <w:left w:val="single" w:color="auto" w:sz="4" w:space="0"/>
                    <w:right w:val="single" w:color="auto" w:sz="4" w:space="0"/>
                  </w:tcBorders>
                  <w:vAlign w:val="center"/>
                </w:tcPr>
                <w:p w14:paraId="30F89CA1">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4B7D793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795ED4F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300818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32" w:type="dxa"/>
                  <w:tcBorders>
                    <w:top w:val="single" w:color="auto" w:sz="4" w:space="0"/>
                    <w:left w:val="single" w:color="auto" w:sz="4" w:space="0"/>
                    <w:bottom w:val="single" w:color="auto" w:sz="4" w:space="0"/>
                    <w:right w:val="single" w:color="auto" w:sz="4" w:space="0"/>
                  </w:tcBorders>
                  <w:vAlign w:val="center"/>
                </w:tcPr>
                <w:p w14:paraId="260DB0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86" w:type="dxa"/>
                  <w:tcBorders>
                    <w:top w:val="single" w:color="auto" w:sz="4" w:space="0"/>
                    <w:left w:val="single" w:color="auto" w:sz="4" w:space="0"/>
                    <w:bottom w:val="single" w:color="auto" w:sz="4" w:space="0"/>
                    <w:right w:val="single" w:color="auto" w:sz="4" w:space="0"/>
                  </w:tcBorders>
                  <w:vAlign w:val="center"/>
                </w:tcPr>
                <w:p w14:paraId="75DC84B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90" w:type="dxa"/>
                  <w:tcBorders>
                    <w:top w:val="single" w:color="auto" w:sz="4" w:space="0"/>
                    <w:left w:val="single" w:color="auto" w:sz="4" w:space="0"/>
                    <w:bottom w:val="single" w:color="auto" w:sz="4" w:space="0"/>
                    <w:right w:val="single" w:color="auto" w:sz="4" w:space="0"/>
                  </w:tcBorders>
                  <w:vAlign w:val="center"/>
                </w:tcPr>
                <w:p w14:paraId="53E830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899" w:type="dxa"/>
                  <w:vMerge w:val="continue"/>
                  <w:tcBorders>
                    <w:left w:val="single" w:color="auto" w:sz="4" w:space="0"/>
                    <w:right w:val="single" w:color="auto" w:sz="4" w:space="0"/>
                  </w:tcBorders>
                  <w:vAlign w:val="center"/>
                </w:tcPr>
                <w:p w14:paraId="2B48CC0C">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4C8803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0C818BD6">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7ADBC13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vAlign w:val="center"/>
                </w:tcPr>
                <w:p w14:paraId="5CE802D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SS</w:t>
                  </w:r>
                </w:p>
              </w:tc>
              <w:tc>
                <w:tcPr>
                  <w:tcW w:w="450" w:type="dxa"/>
                  <w:vMerge w:val="continue"/>
                  <w:tcBorders>
                    <w:left w:val="single" w:color="auto" w:sz="4" w:space="0"/>
                    <w:right w:val="single" w:color="auto" w:sz="4" w:space="0"/>
                  </w:tcBorders>
                  <w:vAlign w:val="center"/>
                </w:tcPr>
                <w:p w14:paraId="25849EC0">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4CAB68D8">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87" w:type="dxa"/>
                  <w:vMerge w:val="continue"/>
                  <w:tcBorders>
                    <w:left w:val="single" w:color="auto" w:sz="4" w:space="0"/>
                    <w:right w:val="single" w:color="auto" w:sz="4" w:space="0"/>
                  </w:tcBorders>
                  <w:vAlign w:val="center"/>
                </w:tcPr>
                <w:p w14:paraId="69841F4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1131" w:type="dxa"/>
                  <w:tcBorders>
                    <w:top w:val="single" w:color="auto" w:sz="4" w:space="0"/>
                    <w:left w:val="single" w:color="auto" w:sz="4" w:space="0"/>
                    <w:bottom w:val="single" w:color="auto" w:sz="4" w:space="0"/>
                    <w:right w:val="single" w:color="auto" w:sz="4" w:space="0"/>
                  </w:tcBorders>
                  <w:vAlign w:val="center"/>
                </w:tcPr>
                <w:p w14:paraId="33526A23">
                  <w:pPr>
                    <w:pStyle w:val="137"/>
                    <w:keepNext w:val="0"/>
                    <w:keepLines w:val="0"/>
                    <w:pageBreakBefore w:val="0"/>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cs="Times New Roman"/>
                      <w:i/>
                      <w:iCs/>
                      <w:color w:val="auto"/>
                      <w:sz w:val="24"/>
                      <w:szCs w:val="24"/>
                    </w:rPr>
                  </w:pPr>
                  <w:r>
                    <w:rPr>
                      <w:rFonts w:hint="eastAsia" w:ascii="Times New Roman" w:hAnsi="Times New Roman" w:cs="Times New Roman"/>
                      <w:i/>
                      <w:iCs/>
                      <w:color w:val="auto"/>
                      <w:sz w:val="24"/>
                      <w:szCs w:val="24"/>
                      <w:lang w:val="en-US" w:eastAsia="zh-CN"/>
                    </w:rPr>
                    <w:t>45</w:t>
                  </w:r>
                  <w:r>
                    <w:rPr>
                      <w:rFonts w:hint="default" w:ascii="Times New Roman" w:hAnsi="Times New Roman" w:cs="Times New Roman"/>
                      <w:i/>
                      <w:iCs/>
                      <w:color w:val="auto"/>
                      <w:sz w:val="24"/>
                      <w:szCs w:val="24"/>
                    </w:rPr>
                    <w:t>0</w:t>
                  </w:r>
                </w:p>
              </w:tc>
              <w:tc>
                <w:tcPr>
                  <w:tcW w:w="968" w:type="dxa"/>
                  <w:tcBorders>
                    <w:top w:val="single" w:color="auto" w:sz="4" w:space="0"/>
                    <w:left w:val="single" w:color="auto" w:sz="4" w:space="0"/>
                    <w:bottom w:val="single" w:color="auto" w:sz="4" w:space="0"/>
                    <w:right w:val="single" w:color="auto" w:sz="4" w:space="0"/>
                  </w:tcBorders>
                  <w:vAlign w:val="center"/>
                </w:tcPr>
                <w:p w14:paraId="61BC3A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eastAsia="宋体" w:cs="Times New Roman"/>
                      <w:i/>
                      <w:iCs/>
                      <w:color w:val="auto"/>
                      <w:kern w:val="0"/>
                      <w:sz w:val="24"/>
                      <w:szCs w:val="24"/>
                      <w:u w:val="none"/>
                      <w:lang w:val="en-US" w:eastAsia="zh-CN" w:bidi="ar"/>
                    </w:rPr>
                    <w:t xml:space="preserve">0.152 </w:t>
                  </w:r>
                </w:p>
              </w:tc>
              <w:tc>
                <w:tcPr>
                  <w:tcW w:w="517" w:type="dxa"/>
                  <w:vMerge w:val="continue"/>
                  <w:tcBorders>
                    <w:left w:val="single" w:color="auto" w:sz="4" w:space="0"/>
                    <w:right w:val="single" w:color="auto" w:sz="4" w:space="0"/>
                  </w:tcBorders>
                  <w:vAlign w:val="center"/>
                </w:tcPr>
                <w:p w14:paraId="2E522BF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105622E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3C69F82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4FBCF9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32" w:type="dxa"/>
                  <w:tcBorders>
                    <w:top w:val="single" w:color="auto" w:sz="4" w:space="0"/>
                    <w:left w:val="single" w:color="auto" w:sz="4" w:space="0"/>
                    <w:bottom w:val="single" w:color="auto" w:sz="4" w:space="0"/>
                    <w:right w:val="single" w:color="auto" w:sz="4" w:space="0"/>
                  </w:tcBorders>
                  <w:vAlign w:val="center"/>
                </w:tcPr>
                <w:p w14:paraId="6C7807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86" w:type="dxa"/>
                  <w:tcBorders>
                    <w:top w:val="single" w:color="auto" w:sz="4" w:space="0"/>
                    <w:left w:val="single" w:color="auto" w:sz="4" w:space="0"/>
                    <w:bottom w:val="single" w:color="auto" w:sz="4" w:space="0"/>
                    <w:right w:val="single" w:color="auto" w:sz="4" w:space="0"/>
                  </w:tcBorders>
                  <w:vAlign w:val="center"/>
                </w:tcPr>
                <w:p w14:paraId="6FD6451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90" w:type="dxa"/>
                  <w:tcBorders>
                    <w:top w:val="single" w:color="auto" w:sz="4" w:space="0"/>
                    <w:left w:val="single" w:color="auto" w:sz="4" w:space="0"/>
                    <w:bottom w:val="single" w:color="auto" w:sz="4" w:space="0"/>
                    <w:right w:val="single" w:color="auto" w:sz="4" w:space="0"/>
                  </w:tcBorders>
                  <w:vAlign w:val="center"/>
                </w:tcPr>
                <w:p w14:paraId="212623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899" w:type="dxa"/>
                  <w:vMerge w:val="continue"/>
                  <w:tcBorders>
                    <w:left w:val="single" w:color="auto" w:sz="4" w:space="0"/>
                    <w:right w:val="single" w:color="auto" w:sz="4" w:space="0"/>
                  </w:tcBorders>
                  <w:vAlign w:val="center"/>
                </w:tcPr>
                <w:p w14:paraId="39F6211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48113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63AC9F2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6A4D0D0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vAlign w:val="center"/>
                </w:tcPr>
                <w:p w14:paraId="47A6E4D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NH</w:t>
                  </w:r>
                  <w:r>
                    <w:rPr>
                      <w:rFonts w:hint="default" w:ascii="Times New Roman" w:hAnsi="Times New Roman" w:cs="Times New Roman"/>
                      <w:i/>
                      <w:iCs/>
                      <w:color w:val="auto"/>
                      <w:sz w:val="24"/>
                      <w:szCs w:val="24"/>
                      <w:vertAlign w:val="subscript"/>
                    </w:rPr>
                    <w:t>3</w:t>
                  </w:r>
                  <w:r>
                    <w:rPr>
                      <w:rFonts w:hint="default" w:ascii="Times New Roman" w:hAnsi="Times New Roman" w:cs="Times New Roman"/>
                      <w:i/>
                      <w:iCs/>
                      <w:color w:val="auto"/>
                      <w:sz w:val="24"/>
                      <w:szCs w:val="24"/>
                    </w:rPr>
                    <w:t>-N</w:t>
                  </w:r>
                </w:p>
              </w:tc>
              <w:tc>
                <w:tcPr>
                  <w:tcW w:w="450" w:type="dxa"/>
                  <w:vMerge w:val="continue"/>
                  <w:tcBorders>
                    <w:left w:val="single" w:color="auto" w:sz="4" w:space="0"/>
                    <w:right w:val="single" w:color="auto" w:sz="4" w:space="0"/>
                  </w:tcBorders>
                  <w:vAlign w:val="center"/>
                </w:tcPr>
                <w:p w14:paraId="04856D70">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62F93F06">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87" w:type="dxa"/>
                  <w:vMerge w:val="continue"/>
                  <w:tcBorders>
                    <w:left w:val="single" w:color="auto" w:sz="4" w:space="0"/>
                    <w:right w:val="single" w:color="auto" w:sz="4" w:space="0"/>
                  </w:tcBorders>
                  <w:vAlign w:val="center"/>
                </w:tcPr>
                <w:p w14:paraId="7FE9856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1131" w:type="dxa"/>
                  <w:tcBorders>
                    <w:top w:val="single" w:color="auto" w:sz="4" w:space="0"/>
                    <w:left w:val="single" w:color="auto" w:sz="4" w:space="0"/>
                    <w:bottom w:val="single" w:color="auto" w:sz="4" w:space="0"/>
                    <w:right w:val="single" w:color="auto" w:sz="4" w:space="0"/>
                  </w:tcBorders>
                  <w:vAlign w:val="center"/>
                </w:tcPr>
                <w:p w14:paraId="51EE2A17">
                  <w:pPr>
                    <w:pStyle w:val="137"/>
                    <w:keepNext w:val="0"/>
                    <w:keepLines w:val="0"/>
                    <w:pageBreakBefore w:val="0"/>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eastAsia="仿宋"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50</w:t>
                  </w:r>
                </w:p>
              </w:tc>
              <w:tc>
                <w:tcPr>
                  <w:tcW w:w="968" w:type="dxa"/>
                  <w:tcBorders>
                    <w:top w:val="single" w:color="auto" w:sz="4" w:space="0"/>
                    <w:left w:val="single" w:color="auto" w:sz="4" w:space="0"/>
                    <w:bottom w:val="single" w:color="auto" w:sz="4" w:space="0"/>
                    <w:right w:val="single" w:color="auto" w:sz="4" w:space="0"/>
                  </w:tcBorders>
                  <w:vAlign w:val="center"/>
                </w:tcPr>
                <w:p w14:paraId="5CECC8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eastAsia="宋体" w:cs="Times New Roman"/>
                      <w:i/>
                      <w:iCs/>
                      <w:color w:val="auto"/>
                      <w:kern w:val="0"/>
                      <w:sz w:val="24"/>
                      <w:szCs w:val="24"/>
                      <w:u w:val="none"/>
                      <w:lang w:val="en-US" w:eastAsia="zh-CN" w:bidi="ar"/>
                    </w:rPr>
                    <w:t xml:space="preserve">0.017 </w:t>
                  </w:r>
                </w:p>
              </w:tc>
              <w:tc>
                <w:tcPr>
                  <w:tcW w:w="517" w:type="dxa"/>
                  <w:vMerge w:val="continue"/>
                  <w:tcBorders>
                    <w:left w:val="single" w:color="auto" w:sz="4" w:space="0"/>
                    <w:right w:val="single" w:color="auto" w:sz="4" w:space="0"/>
                  </w:tcBorders>
                  <w:vAlign w:val="center"/>
                </w:tcPr>
                <w:p w14:paraId="289A552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2AA0A46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370BC12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5D994F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32" w:type="dxa"/>
                  <w:tcBorders>
                    <w:top w:val="single" w:color="auto" w:sz="4" w:space="0"/>
                    <w:left w:val="single" w:color="auto" w:sz="4" w:space="0"/>
                    <w:bottom w:val="single" w:color="auto" w:sz="4" w:space="0"/>
                    <w:right w:val="single" w:color="auto" w:sz="4" w:space="0"/>
                  </w:tcBorders>
                  <w:vAlign w:val="center"/>
                </w:tcPr>
                <w:p w14:paraId="10C0D1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86" w:type="dxa"/>
                  <w:tcBorders>
                    <w:top w:val="single" w:color="auto" w:sz="4" w:space="0"/>
                    <w:left w:val="single" w:color="auto" w:sz="4" w:space="0"/>
                    <w:bottom w:val="single" w:color="auto" w:sz="4" w:space="0"/>
                    <w:right w:val="single" w:color="auto" w:sz="4" w:space="0"/>
                  </w:tcBorders>
                  <w:vAlign w:val="center"/>
                </w:tcPr>
                <w:p w14:paraId="51FD5D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90" w:type="dxa"/>
                  <w:tcBorders>
                    <w:top w:val="single" w:color="auto" w:sz="4" w:space="0"/>
                    <w:left w:val="single" w:color="auto" w:sz="4" w:space="0"/>
                    <w:bottom w:val="single" w:color="auto" w:sz="4" w:space="0"/>
                    <w:right w:val="single" w:color="auto" w:sz="4" w:space="0"/>
                  </w:tcBorders>
                  <w:vAlign w:val="center"/>
                </w:tcPr>
                <w:p w14:paraId="07B773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899" w:type="dxa"/>
                  <w:vMerge w:val="continue"/>
                  <w:tcBorders>
                    <w:left w:val="single" w:color="auto" w:sz="4" w:space="0"/>
                    <w:right w:val="single" w:color="auto" w:sz="4" w:space="0"/>
                  </w:tcBorders>
                  <w:vAlign w:val="center"/>
                </w:tcPr>
                <w:p w14:paraId="6A7A34C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49C2B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2958DE1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16E42902">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vAlign w:val="center"/>
                </w:tcPr>
                <w:p w14:paraId="70D095E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仿宋" w:cs="Times New Roman"/>
                      <w:i/>
                      <w:iCs/>
                      <w:color w:val="auto"/>
                      <w:sz w:val="24"/>
                      <w:szCs w:val="24"/>
                      <w:lang w:eastAsia="zh-CN"/>
                    </w:rPr>
                  </w:pPr>
                  <w:r>
                    <w:rPr>
                      <w:rFonts w:hint="eastAsia" w:ascii="Times New Roman" w:hAnsi="Times New Roman" w:cs="Times New Roman"/>
                      <w:i/>
                      <w:iCs/>
                      <w:color w:val="auto"/>
                      <w:sz w:val="24"/>
                      <w:szCs w:val="24"/>
                      <w:lang w:eastAsia="zh-CN"/>
                    </w:rPr>
                    <w:t>石油类</w:t>
                  </w:r>
                </w:p>
              </w:tc>
              <w:tc>
                <w:tcPr>
                  <w:tcW w:w="450" w:type="dxa"/>
                  <w:vMerge w:val="continue"/>
                  <w:tcBorders>
                    <w:left w:val="single" w:color="auto" w:sz="4" w:space="0"/>
                    <w:right w:val="single" w:color="auto" w:sz="4" w:space="0"/>
                  </w:tcBorders>
                  <w:vAlign w:val="center"/>
                </w:tcPr>
                <w:p w14:paraId="2CC1D93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7AD44B0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 w:cs="Times New Roman"/>
                      <w:i/>
                      <w:iCs/>
                      <w:color w:val="auto"/>
                      <w:sz w:val="24"/>
                      <w:szCs w:val="24"/>
                      <w:lang w:val="en-US" w:eastAsia="zh-CN"/>
                    </w:rPr>
                  </w:pPr>
                </w:p>
              </w:tc>
              <w:tc>
                <w:tcPr>
                  <w:tcW w:w="887" w:type="dxa"/>
                  <w:vMerge w:val="continue"/>
                  <w:tcBorders>
                    <w:left w:val="single" w:color="auto" w:sz="4" w:space="0"/>
                    <w:right w:val="single" w:color="auto" w:sz="4" w:space="0"/>
                  </w:tcBorders>
                  <w:vAlign w:val="center"/>
                </w:tcPr>
                <w:p w14:paraId="71F812A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 w:cs="Times New Roman"/>
                      <w:i/>
                      <w:iCs/>
                      <w:color w:val="auto"/>
                      <w:sz w:val="24"/>
                      <w:szCs w:val="24"/>
                      <w:lang w:val="en-US"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14:paraId="7B59CB99">
                  <w:pPr>
                    <w:pStyle w:val="137"/>
                    <w:keepNext w:val="0"/>
                    <w:keepLines w:val="0"/>
                    <w:pageBreakBefore w:val="0"/>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60</w:t>
                  </w:r>
                </w:p>
              </w:tc>
              <w:tc>
                <w:tcPr>
                  <w:tcW w:w="968" w:type="dxa"/>
                  <w:tcBorders>
                    <w:top w:val="single" w:color="auto" w:sz="4" w:space="0"/>
                    <w:left w:val="single" w:color="auto" w:sz="4" w:space="0"/>
                    <w:bottom w:val="single" w:color="auto" w:sz="4" w:space="0"/>
                    <w:right w:val="single" w:color="auto" w:sz="4" w:space="0"/>
                  </w:tcBorders>
                  <w:vAlign w:val="center"/>
                </w:tcPr>
                <w:p w14:paraId="3D2ED5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iCs/>
                      <w:color w:val="auto"/>
                      <w:kern w:val="0"/>
                      <w:sz w:val="24"/>
                      <w:szCs w:val="24"/>
                      <w:u w:val="none"/>
                      <w:lang w:val="en-US" w:eastAsia="zh-CN" w:bidi="ar"/>
                    </w:rPr>
                  </w:pPr>
                  <w:r>
                    <w:rPr>
                      <w:rFonts w:hint="default" w:ascii="Times New Roman" w:hAnsi="Times New Roman" w:eastAsia="宋体" w:cs="Times New Roman"/>
                      <w:i/>
                      <w:iCs/>
                      <w:color w:val="auto"/>
                      <w:kern w:val="0"/>
                      <w:sz w:val="24"/>
                      <w:szCs w:val="24"/>
                      <w:u w:val="none"/>
                      <w:lang w:val="en-US" w:eastAsia="zh-CN" w:bidi="ar"/>
                    </w:rPr>
                    <w:t xml:space="preserve">0.020 </w:t>
                  </w:r>
                </w:p>
              </w:tc>
              <w:tc>
                <w:tcPr>
                  <w:tcW w:w="517" w:type="dxa"/>
                  <w:vMerge w:val="continue"/>
                  <w:tcBorders>
                    <w:left w:val="single" w:color="auto" w:sz="4" w:space="0"/>
                    <w:right w:val="single" w:color="auto" w:sz="4" w:space="0"/>
                  </w:tcBorders>
                  <w:vAlign w:val="center"/>
                </w:tcPr>
                <w:p w14:paraId="5167388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4574F0D6">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2CA97E60">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54A855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32" w:type="dxa"/>
                  <w:tcBorders>
                    <w:top w:val="single" w:color="auto" w:sz="4" w:space="0"/>
                    <w:left w:val="single" w:color="auto" w:sz="4" w:space="0"/>
                    <w:bottom w:val="single" w:color="auto" w:sz="4" w:space="0"/>
                    <w:right w:val="single" w:color="auto" w:sz="4" w:space="0"/>
                  </w:tcBorders>
                  <w:vAlign w:val="center"/>
                </w:tcPr>
                <w:p w14:paraId="004939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86" w:type="dxa"/>
                  <w:tcBorders>
                    <w:top w:val="single" w:color="auto" w:sz="4" w:space="0"/>
                    <w:left w:val="single" w:color="auto" w:sz="4" w:space="0"/>
                    <w:bottom w:val="single" w:color="auto" w:sz="4" w:space="0"/>
                    <w:right w:val="single" w:color="auto" w:sz="4" w:space="0"/>
                  </w:tcBorders>
                  <w:vAlign w:val="center"/>
                </w:tcPr>
                <w:p w14:paraId="475B632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90" w:type="dxa"/>
                  <w:tcBorders>
                    <w:top w:val="single" w:color="auto" w:sz="4" w:space="0"/>
                    <w:left w:val="single" w:color="auto" w:sz="4" w:space="0"/>
                    <w:bottom w:val="single" w:color="auto" w:sz="4" w:space="0"/>
                    <w:right w:val="single" w:color="auto" w:sz="4" w:space="0"/>
                  </w:tcBorders>
                  <w:vAlign w:val="center"/>
                </w:tcPr>
                <w:p w14:paraId="3AE43D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899" w:type="dxa"/>
                  <w:vMerge w:val="continue"/>
                  <w:tcBorders>
                    <w:left w:val="single" w:color="auto" w:sz="4" w:space="0"/>
                    <w:right w:val="single" w:color="auto" w:sz="4" w:space="0"/>
                  </w:tcBorders>
                  <w:vAlign w:val="center"/>
                </w:tcPr>
                <w:p w14:paraId="4D2A476C">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37A44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0373C68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7380F70B">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vAlign w:val="center"/>
                </w:tcPr>
                <w:p w14:paraId="719EC4A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TP</w:t>
                  </w:r>
                </w:p>
              </w:tc>
              <w:tc>
                <w:tcPr>
                  <w:tcW w:w="450" w:type="dxa"/>
                  <w:vMerge w:val="continue"/>
                  <w:tcBorders>
                    <w:left w:val="single" w:color="auto" w:sz="4" w:space="0"/>
                    <w:right w:val="single" w:color="auto" w:sz="4" w:space="0"/>
                  </w:tcBorders>
                  <w:vAlign w:val="center"/>
                </w:tcPr>
                <w:p w14:paraId="3609836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1BB5276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 w:cs="Times New Roman"/>
                      <w:i/>
                      <w:iCs/>
                      <w:color w:val="auto"/>
                      <w:sz w:val="24"/>
                      <w:szCs w:val="24"/>
                      <w:lang w:val="en-US" w:eastAsia="zh-CN"/>
                    </w:rPr>
                  </w:pPr>
                </w:p>
              </w:tc>
              <w:tc>
                <w:tcPr>
                  <w:tcW w:w="887" w:type="dxa"/>
                  <w:vMerge w:val="continue"/>
                  <w:tcBorders>
                    <w:left w:val="single" w:color="auto" w:sz="4" w:space="0"/>
                    <w:right w:val="single" w:color="auto" w:sz="4" w:space="0"/>
                  </w:tcBorders>
                  <w:vAlign w:val="center"/>
                </w:tcPr>
                <w:p w14:paraId="67DB0C0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 w:cs="Times New Roman"/>
                      <w:i/>
                      <w:iCs/>
                      <w:color w:val="auto"/>
                      <w:sz w:val="24"/>
                      <w:szCs w:val="24"/>
                      <w:lang w:val="en-US"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14:paraId="23400E5A">
                  <w:pPr>
                    <w:pStyle w:val="137"/>
                    <w:keepNext w:val="0"/>
                    <w:keepLines w:val="0"/>
                    <w:pageBreakBefore w:val="0"/>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15</w:t>
                  </w:r>
                </w:p>
              </w:tc>
              <w:tc>
                <w:tcPr>
                  <w:tcW w:w="968" w:type="dxa"/>
                  <w:tcBorders>
                    <w:top w:val="single" w:color="auto" w:sz="4" w:space="0"/>
                    <w:left w:val="single" w:color="auto" w:sz="4" w:space="0"/>
                    <w:bottom w:val="single" w:color="auto" w:sz="4" w:space="0"/>
                    <w:right w:val="single" w:color="auto" w:sz="4" w:space="0"/>
                  </w:tcBorders>
                  <w:vAlign w:val="center"/>
                </w:tcPr>
                <w:p w14:paraId="36C610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iCs/>
                      <w:color w:val="auto"/>
                      <w:kern w:val="0"/>
                      <w:sz w:val="24"/>
                      <w:szCs w:val="24"/>
                      <w:u w:val="none"/>
                      <w:lang w:val="en-US" w:eastAsia="zh-CN" w:bidi="ar"/>
                    </w:rPr>
                  </w:pPr>
                  <w:r>
                    <w:rPr>
                      <w:rFonts w:hint="eastAsia" w:ascii="Times New Roman" w:hAnsi="Times New Roman" w:eastAsia="宋体" w:cs="Times New Roman"/>
                      <w:i/>
                      <w:iCs/>
                      <w:color w:val="auto"/>
                      <w:kern w:val="0"/>
                      <w:sz w:val="24"/>
                      <w:szCs w:val="24"/>
                      <w:u w:val="none"/>
                      <w:lang w:val="en-US" w:eastAsia="zh-CN" w:bidi="ar"/>
                    </w:rPr>
                    <w:t>0.005</w:t>
                  </w:r>
                </w:p>
              </w:tc>
              <w:tc>
                <w:tcPr>
                  <w:tcW w:w="517" w:type="dxa"/>
                  <w:vMerge w:val="continue"/>
                  <w:tcBorders>
                    <w:left w:val="single" w:color="auto" w:sz="4" w:space="0"/>
                    <w:right w:val="single" w:color="auto" w:sz="4" w:space="0"/>
                  </w:tcBorders>
                  <w:vAlign w:val="center"/>
                </w:tcPr>
                <w:p w14:paraId="7E5FD011">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50587AAB">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011A711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3E46EA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32" w:type="dxa"/>
                  <w:tcBorders>
                    <w:top w:val="single" w:color="auto" w:sz="4" w:space="0"/>
                    <w:left w:val="single" w:color="auto" w:sz="4" w:space="0"/>
                    <w:bottom w:val="single" w:color="auto" w:sz="4" w:space="0"/>
                    <w:right w:val="single" w:color="auto" w:sz="4" w:space="0"/>
                  </w:tcBorders>
                  <w:vAlign w:val="center"/>
                </w:tcPr>
                <w:p w14:paraId="140715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86" w:type="dxa"/>
                  <w:tcBorders>
                    <w:top w:val="single" w:color="auto" w:sz="4" w:space="0"/>
                    <w:left w:val="single" w:color="auto" w:sz="4" w:space="0"/>
                    <w:bottom w:val="single" w:color="auto" w:sz="4" w:space="0"/>
                    <w:right w:val="single" w:color="auto" w:sz="4" w:space="0"/>
                  </w:tcBorders>
                  <w:vAlign w:val="center"/>
                </w:tcPr>
                <w:p w14:paraId="37CFF7C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90" w:type="dxa"/>
                  <w:tcBorders>
                    <w:top w:val="single" w:color="auto" w:sz="4" w:space="0"/>
                    <w:left w:val="single" w:color="auto" w:sz="4" w:space="0"/>
                    <w:bottom w:val="single" w:color="auto" w:sz="4" w:space="0"/>
                    <w:right w:val="single" w:color="auto" w:sz="4" w:space="0"/>
                  </w:tcBorders>
                  <w:vAlign w:val="center"/>
                </w:tcPr>
                <w:p w14:paraId="2BB05A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899" w:type="dxa"/>
                  <w:vMerge w:val="continue"/>
                  <w:tcBorders>
                    <w:left w:val="single" w:color="auto" w:sz="4" w:space="0"/>
                    <w:right w:val="single" w:color="auto" w:sz="4" w:space="0"/>
                  </w:tcBorders>
                  <w:vAlign w:val="center"/>
                </w:tcPr>
                <w:p w14:paraId="0440B60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2B6BE8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2E7C390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restart"/>
                  <w:tcBorders>
                    <w:left w:val="single" w:color="auto" w:sz="4" w:space="0"/>
                    <w:right w:val="single" w:color="auto" w:sz="4" w:space="0"/>
                  </w:tcBorders>
                  <w:vAlign w:val="center"/>
                </w:tcPr>
                <w:p w14:paraId="28E25AB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地面清洁废水</w:t>
                  </w:r>
                </w:p>
              </w:tc>
              <w:tc>
                <w:tcPr>
                  <w:tcW w:w="894" w:type="dxa"/>
                  <w:tcBorders>
                    <w:top w:val="single" w:color="auto" w:sz="4" w:space="0"/>
                    <w:left w:val="single" w:color="auto" w:sz="4" w:space="0"/>
                    <w:bottom w:val="single" w:color="auto" w:sz="4" w:space="0"/>
                    <w:right w:val="single" w:color="auto" w:sz="4" w:space="0"/>
                  </w:tcBorders>
                  <w:vAlign w:val="center"/>
                </w:tcPr>
                <w:p w14:paraId="1F90A9B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snapToGrid w:val="0"/>
                      <w:color w:val="auto"/>
                      <w:sz w:val="24"/>
                      <w:szCs w:val="24"/>
                    </w:rPr>
                    <w:t>COD</w:t>
                  </w:r>
                </w:p>
              </w:tc>
              <w:tc>
                <w:tcPr>
                  <w:tcW w:w="450" w:type="dxa"/>
                  <w:vMerge w:val="continue"/>
                  <w:tcBorders>
                    <w:left w:val="single" w:color="auto" w:sz="4" w:space="0"/>
                    <w:right w:val="single" w:color="auto" w:sz="4" w:space="0"/>
                  </w:tcBorders>
                  <w:vAlign w:val="center"/>
                </w:tcPr>
                <w:p w14:paraId="5491609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restart"/>
                  <w:tcBorders>
                    <w:left w:val="single" w:color="auto" w:sz="4" w:space="0"/>
                    <w:right w:val="single" w:color="auto" w:sz="4" w:space="0"/>
                  </w:tcBorders>
                  <w:vAlign w:val="center"/>
                </w:tcPr>
                <w:p w14:paraId="17607420">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2.7</w:t>
                  </w:r>
                </w:p>
              </w:tc>
              <w:tc>
                <w:tcPr>
                  <w:tcW w:w="887" w:type="dxa"/>
                  <w:vMerge w:val="restart"/>
                  <w:tcBorders>
                    <w:left w:val="single" w:color="auto" w:sz="4" w:space="0"/>
                    <w:right w:val="single" w:color="auto" w:sz="4" w:space="0"/>
                  </w:tcBorders>
                  <w:vAlign w:val="center"/>
                </w:tcPr>
                <w:p w14:paraId="7D7D9AA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162</w:t>
                  </w:r>
                </w:p>
              </w:tc>
              <w:tc>
                <w:tcPr>
                  <w:tcW w:w="1131" w:type="dxa"/>
                  <w:tcBorders>
                    <w:top w:val="single" w:color="auto" w:sz="4" w:space="0"/>
                    <w:left w:val="single" w:color="auto" w:sz="4" w:space="0"/>
                    <w:bottom w:val="single" w:color="auto" w:sz="4" w:space="0"/>
                    <w:right w:val="single" w:color="auto" w:sz="4" w:space="0"/>
                  </w:tcBorders>
                  <w:vAlign w:val="center"/>
                </w:tcPr>
                <w:p w14:paraId="68D43B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eastAsia" w:ascii="Times New Roman" w:hAnsi="Times New Roman" w:cs="Times New Roman"/>
                      <w:i/>
                      <w:iCs/>
                      <w:color w:val="auto"/>
                      <w:kern w:val="0"/>
                      <w:sz w:val="24"/>
                      <w:szCs w:val="24"/>
                      <w:lang w:val="en-US" w:eastAsia="zh-CN" w:bidi="ar"/>
                    </w:rPr>
                    <w:t>5</w:t>
                  </w:r>
                  <w:r>
                    <w:rPr>
                      <w:rFonts w:hint="default" w:ascii="Times New Roman" w:hAnsi="Times New Roman" w:cs="Times New Roman"/>
                      <w:i/>
                      <w:iCs/>
                      <w:color w:val="auto"/>
                      <w:kern w:val="0"/>
                      <w:sz w:val="24"/>
                      <w:szCs w:val="24"/>
                      <w:lang w:bidi="ar"/>
                    </w:rPr>
                    <w:t>00</w:t>
                  </w:r>
                </w:p>
              </w:tc>
              <w:tc>
                <w:tcPr>
                  <w:tcW w:w="968" w:type="dxa"/>
                  <w:tcBorders>
                    <w:top w:val="single" w:color="auto" w:sz="4" w:space="0"/>
                    <w:left w:val="single" w:color="auto" w:sz="4" w:space="0"/>
                    <w:bottom w:val="single" w:color="auto" w:sz="4" w:space="0"/>
                    <w:right w:val="single" w:color="auto" w:sz="4" w:space="0"/>
                  </w:tcBorders>
                  <w:vAlign w:val="center"/>
                </w:tcPr>
                <w:p w14:paraId="259895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lang w:val="en-US" w:eastAsia="zh-CN"/>
                    </w:rPr>
                  </w:pPr>
                  <w:r>
                    <w:rPr>
                      <w:rFonts w:hint="default" w:ascii="Times New Roman" w:hAnsi="Times New Roman" w:eastAsia="宋体" w:cs="Times New Roman"/>
                      <w:i/>
                      <w:iCs/>
                      <w:color w:val="auto"/>
                      <w:kern w:val="0"/>
                      <w:sz w:val="24"/>
                      <w:szCs w:val="24"/>
                      <w:u w:val="none"/>
                      <w:lang w:val="en-US" w:eastAsia="zh-CN" w:bidi="ar"/>
                    </w:rPr>
                    <w:t>0.081</w:t>
                  </w:r>
                </w:p>
              </w:tc>
              <w:tc>
                <w:tcPr>
                  <w:tcW w:w="517" w:type="dxa"/>
                  <w:vMerge w:val="continue"/>
                  <w:tcBorders>
                    <w:left w:val="single" w:color="auto" w:sz="4" w:space="0"/>
                    <w:right w:val="single" w:color="auto" w:sz="4" w:space="0"/>
                  </w:tcBorders>
                  <w:vAlign w:val="center"/>
                </w:tcPr>
                <w:p w14:paraId="4F8CF4A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36631422">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1468B3B8">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354D40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lang w:bidi="ar"/>
                    </w:rPr>
                  </w:pPr>
                  <w:r>
                    <w:rPr>
                      <w:rFonts w:hint="default" w:ascii="Times New Roman" w:hAnsi="Times New Roman" w:cs="Times New Roman"/>
                      <w:i/>
                      <w:iCs/>
                      <w:color w:val="auto"/>
                      <w:sz w:val="24"/>
                      <w:szCs w:val="24"/>
                    </w:rPr>
                    <w:t>/</w:t>
                  </w:r>
                </w:p>
              </w:tc>
              <w:tc>
                <w:tcPr>
                  <w:tcW w:w="1132" w:type="dxa"/>
                  <w:tcBorders>
                    <w:top w:val="single" w:color="auto" w:sz="4" w:space="0"/>
                    <w:left w:val="single" w:color="auto" w:sz="4" w:space="0"/>
                    <w:bottom w:val="single" w:color="auto" w:sz="4" w:space="0"/>
                    <w:right w:val="single" w:color="auto" w:sz="4" w:space="0"/>
                  </w:tcBorders>
                  <w:vAlign w:val="center"/>
                </w:tcPr>
                <w:p w14:paraId="74ABCD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86" w:type="dxa"/>
                  <w:tcBorders>
                    <w:top w:val="single" w:color="auto" w:sz="4" w:space="0"/>
                    <w:left w:val="single" w:color="auto" w:sz="4" w:space="0"/>
                    <w:bottom w:val="single" w:color="auto" w:sz="4" w:space="0"/>
                    <w:right w:val="single" w:color="auto" w:sz="4" w:space="0"/>
                  </w:tcBorders>
                  <w:vAlign w:val="center"/>
                </w:tcPr>
                <w:p w14:paraId="0D60454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90" w:type="dxa"/>
                  <w:tcBorders>
                    <w:top w:val="single" w:color="auto" w:sz="4" w:space="0"/>
                    <w:left w:val="single" w:color="auto" w:sz="4" w:space="0"/>
                    <w:bottom w:val="single" w:color="auto" w:sz="4" w:space="0"/>
                    <w:right w:val="single" w:color="auto" w:sz="4" w:space="0"/>
                  </w:tcBorders>
                  <w:vAlign w:val="center"/>
                </w:tcPr>
                <w:p w14:paraId="278613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899" w:type="dxa"/>
                  <w:vMerge w:val="continue"/>
                  <w:tcBorders>
                    <w:left w:val="single" w:color="auto" w:sz="4" w:space="0"/>
                    <w:right w:val="single" w:color="auto" w:sz="4" w:space="0"/>
                  </w:tcBorders>
                  <w:vAlign w:val="center"/>
                </w:tcPr>
                <w:p w14:paraId="557A3A2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1FE105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451A1B9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09CC270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vAlign w:val="center"/>
                </w:tcPr>
                <w:p w14:paraId="5F6453A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snapToGrid w:val="0"/>
                      <w:color w:val="auto"/>
                      <w:sz w:val="24"/>
                      <w:szCs w:val="24"/>
                    </w:rPr>
                  </w:pPr>
                  <w:r>
                    <w:rPr>
                      <w:rFonts w:hint="default" w:ascii="Times New Roman" w:hAnsi="Times New Roman" w:cs="Times New Roman"/>
                      <w:i/>
                      <w:iCs/>
                      <w:color w:val="auto"/>
                      <w:sz w:val="24"/>
                      <w:szCs w:val="24"/>
                    </w:rPr>
                    <w:t>BOD</w:t>
                  </w:r>
                  <w:r>
                    <w:rPr>
                      <w:rFonts w:hint="default" w:ascii="Times New Roman" w:hAnsi="Times New Roman" w:cs="Times New Roman"/>
                      <w:i/>
                      <w:iCs/>
                      <w:color w:val="auto"/>
                      <w:sz w:val="24"/>
                      <w:szCs w:val="24"/>
                      <w:vertAlign w:val="subscript"/>
                    </w:rPr>
                    <w:t>5</w:t>
                  </w:r>
                </w:p>
              </w:tc>
              <w:tc>
                <w:tcPr>
                  <w:tcW w:w="450" w:type="dxa"/>
                  <w:vMerge w:val="continue"/>
                  <w:tcBorders>
                    <w:left w:val="single" w:color="auto" w:sz="4" w:space="0"/>
                    <w:right w:val="single" w:color="auto" w:sz="4" w:space="0"/>
                  </w:tcBorders>
                  <w:vAlign w:val="center"/>
                </w:tcPr>
                <w:p w14:paraId="43410BB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093F2508">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i/>
                      <w:iCs/>
                      <w:color w:val="auto"/>
                      <w:sz w:val="24"/>
                      <w:szCs w:val="24"/>
                      <w:lang w:val="en-US" w:eastAsia="zh-CN"/>
                    </w:rPr>
                  </w:pPr>
                </w:p>
              </w:tc>
              <w:tc>
                <w:tcPr>
                  <w:tcW w:w="887" w:type="dxa"/>
                  <w:vMerge w:val="continue"/>
                  <w:tcBorders>
                    <w:left w:val="single" w:color="auto" w:sz="4" w:space="0"/>
                    <w:right w:val="single" w:color="auto" w:sz="4" w:space="0"/>
                  </w:tcBorders>
                  <w:vAlign w:val="center"/>
                </w:tcPr>
                <w:p w14:paraId="709FE29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i/>
                      <w:iCs/>
                      <w:color w:val="auto"/>
                      <w:sz w:val="24"/>
                      <w:szCs w:val="24"/>
                      <w:lang w:val="en-US" w:eastAsia="zh-CN"/>
                    </w:rPr>
                  </w:pPr>
                </w:p>
              </w:tc>
              <w:tc>
                <w:tcPr>
                  <w:tcW w:w="1131" w:type="dxa"/>
                  <w:tcBorders>
                    <w:top w:val="single" w:color="auto" w:sz="4" w:space="0"/>
                    <w:left w:val="single" w:color="auto" w:sz="4" w:space="0"/>
                    <w:bottom w:val="single" w:color="auto" w:sz="4" w:space="0"/>
                    <w:right w:val="single" w:color="auto" w:sz="4" w:space="0"/>
                  </w:tcBorders>
                  <w:vAlign w:val="center"/>
                </w:tcPr>
                <w:p w14:paraId="1F5EA6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lang w:val="en-US" w:eastAsia="zh-CN" w:bidi="ar"/>
                    </w:rPr>
                  </w:pPr>
                  <w:r>
                    <w:rPr>
                      <w:rFonts w:hint="eastAsia" w:ascii="Times New Roman" w:hAnsi="Times New Roman" w:cs="Times New Roman"/>
                      <w:i/>
                      <w:iCs/>
                      <w:color w:val="auto"/>
                      <w:kern w:val="0"/>
                      <w:sz w:val="24"/>
                      <w:szCs w:val="24"/>
                      <w:lang w:val="en-US" w:eastAsia="zh-CN" w:bidi="ar"/>
                    </w:rPr>
                    <w:t>350</w:t>
                  </w:r>
                </w:p>
              </w:tc>
              <w:tc>
                <w:tcPr>
                  <w:tcW w:w="968" w:type="dxa"/>
                  <w:tcBorders>
                    <w:top w:val="single" w:color="auto" w:sz="4" w:space="0"/>
                    <w:left w:val="single" w:color="auto" w:sz="4" w:space="0"/>
                    <w:bottom w:val="single" w:color="auto" w:sz="4" w:space="0"/>
                    <w:right w:val="single" w:color="auto" w:sz="4" w:space="0"/>
                  </w:tcBorders>
                  <w:vAlign w:val="center"/>
                </w:tcPr>
                <w:p w14:paraId="190B79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lang w:val="en-US" w:eastAsia="zh-CN"/>
                    </w:rPr>
                  </w:pPr>
                  <w:r>
                    <w:rPr>
                      <w:rFonts w:hint="default" w:ascii="Times New Roman" w:hAnsi="Times New Roman" w:eastAsia="宋体" w:cs="Times New Roman"/>
                      <w:i/>
                      <w:iCs/>
                      <w:color w:val="auto"/>
                      <w:kern w:val="0"/>
                      <w:sz w:val="24"/>
                      <w:szCs w:val="24"/>
                      <w:u w:val="none"/>
                      <w:lang w:val="en-US" w:eastAsia="zh-CN" w:bidi="ar"/>
                    </w:rPr>
                    <w:t>0.057</w:t>
                  </w:r>
                </w:p>
              </w:tc>
              <w:tc>
                <w:tcPr>
                  <w:tcW w:w="517" w:type="dxa"/>
                  <w:vMerge w:val="continue"/>
                  <w:tcBorders>
                    <w:left w:val="single" w:color="auto" w:sz="4" w:space="0"/>
                    <w:right w:val="single" w:color="auto" w:sz="4" w:space="0"/>
                  </w:tcBorders>
                  <w:vAlign w:val="center"/>
                </w:tcPr>
                <w:p w14:paraId="19F441E1">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1106B6C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419351E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4C005E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41EE48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p>
              </w:tc>
              <w:tc>
                <w:tcPr>
                  <w:tcW w:w="1186" w:type="dxa"/>
                  <w:tcBorders>
                    <w:top w:val="single" w:color="auto" w:sz="4" w:space="0"/>
                    <w:left w:val="single" w:color="auto" w:sz="4" w:space="0"/>
                    <w:bottom w:val="single" w:color="auto" w:sz="4" w:space="0"/>
                    <w:right w:val="single" w:color="auto" w:sz="4" w:space="0"/>
                  </w:tcBorders>
                  <w:vAlign w:val="center"/>
                </w:tcPr>
                <w:p w14:paraId="6EB6373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p>
              </w:tc>
              <w:tc>
                <w:tcPr>
                  <w:tcW w:w="1190" w:type="dxa"/>
                  <w:tcBorders>
                    <w:top w:val="single" w:color="auto" w:sz="4" w:space="0"/>
                    <w:left w:val="single" w:color="auto" w:sz="4" w:space="0"/>
                    <w:bottom w:val="single" w:color="auto" w:sz="4" w:space="0"/>
                    <w:right w:val="single" w:color="auto" w:sz="4" w:space="0"/>
                  </w:tcBorders>
                  <w:vAlign w:val="center"/>
                </w:tcPr>
                <w:p w14:paraId="67C7CA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p>
              </w:tc>
              <w:tc>
                <w:tcPr>
                  <w:tcW w:w="899" w:type="dxa"/>
                  <w:vMerge w:val="continue"/>
                  <w:tcBorders>
                    <w:left w:val="single" w:color="auto" w:sz="4" w:space="0"/>
                    <w:right w:val="single" w:color="auto" w:sz="4" w:space="0"/>
                  </w:tcBorders>
                  <w:vAlign w:val="center"/>
                </w:tcPr>
                <w:p w14:paraId="3352A4E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3D57AC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4996A38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522B895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vAlign w:val="center"/>
                </w:tcPr>
                <w:p w14:paraId="4F468C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snapToGrid w:val="0"/>
                      <w:color w:val="auto"/>
                      <w:sz w:val="24"/>
                      <w:szCs w:val="24"/>
                    </w:rPr>
                    <w:t>SS</w:t>
                  </w:r>
                </w:p>
              </w:tc>
              <w:tc>
                <w:tcPr>
                  <w:tcW w:w="450" w:type="dxa"/>
                  <w:vMerge w:val="continue"/>
                  <w:tcBorders>
                    <w:left w:val="single" w:color="auto" w:sz="4" w:space="0"/>
                    <w:right w:val="single" w:color="auto" w:sz="4" w:space="0"/>
                  </w:tcBorders>
                  <w:vAlign w:val="center"/>
                </w:tcPr>
                <w:p w14:paraId="50EB81B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3E29FC58">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87" w:type="dxa"/>
                  <w:vMerge w:val="continue"/>
                  <w:tcBorders>
                    <w:left w:val="single" w:color="auto" w:sz="4" w:space="0"/>
                    <w:right w:val="single" w:color="auto" w:sz="4" w:space="0"/>
                  </w:tcBorders>
                  <w:vAlign w:val="center"/>
                </w:tcPr>
                <w:p w14:paraId="52C0E73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1131" w:type="dxa"/>
                  <w:tcBorders>
                    <w:top w:val="single" w:color="auto" w:sz="4" w:space="0"/>
                    <w:left w:val="single" w:color="auto" w:sz="4" w:space="0"/>
                    <w:bottom w:val="single" w:color="auto" w:sz="4" w:space="0"/>
                    <w:right w:val="single" w:color="auto" w:sz="4" w:space="0"/>
                  </w:tcBorders>
                  <w:vAlign w:val="center"/>
                </w:tcPr>
                <w:p w14:paraId="6E7927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eastAsia" w:ascii="Times New Roman" w:hAnsi="Times New Roman" w:cs="Times New Roman"/>
                      <w:i/>
                      <w:iCs/>
                      <w:color w:val="auto"/>
                      <w:kern w:val="0"/>
                      <w:sz w:val="24"/>
                      <w:szCs w:val="24"/>
                      <w:lang w:val="en-US" w:eastAsia="zh-CN" w:bidi="ar"/>
                    </w:rPr>
                    <w:t>5</w:t>
                  </w:r>
                  <w:r>
                    <w:rPr>
                      <w:rFonts w:hint="default" w:ascii="Times New Roman" w:hAnsi="Times New Roman" w:cs="Times New Roman"/>
                      <w:i/>
                      <w:iCs/>
                      <w:color w:val="auto"/>
                      <w:kern w:val="0"/>
                      <w:sz w:val="24"/>
                      <w:szCs w:val="24"/>
                      <w:lang w:bidi="ar"/>
                    </w:rPr>
                    <w:t>00</w:t>
                  </w:r>
                </w:p>
              </w:tc>
              <w:tc>
                <w:tcPr>
                  <w:tcW w:w="968" w:type="dxa"/>
                  <w:tcBorders>
                    <w:top w:val="single" w:color="auto" w:sz="4" w:space="0"/>
                    <w:left w:val="single" w:color="auto" w:sz="4" w:space="0"/>
                    <w:bottom w:val="single" w:color="auto" w:sz="4" w:space="0"/>
                    <w:right w:val="single" w:color="auto" w:sz="4" w:space="0"/>
                  </w:tcBorders>
                  <w:vAlign w:val="center"/>
                </w:tcPr>
                <w:p w14:paraId="535FF4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lang w:val="en-US" w:eastAsia="zh-CN"/>
                    </w:rPr>
                  </w:pPr>
                  <w:r>
                    <w:rPr>
                      <w:rFonts w:hint="default" w:ascii="Times New Roman" w:hAnsi="Times New Roman" w:eastAsia="宋体" w:cs="Times New Roman"/>
                      <w:i/>
                      <w:iCs/>
                      <w:color w:val="auto"/>
                      <w:kern w:val="0"/>
                      <w:sz w:val="24"/>
                      <w:szCs w:val="24"/>
                      <w:u w:val="none"/>
                      <w:lang w:val="en-US" w:eastAsia="zh-CN" w:bidi="ar"/>
                    </w:rPr>
                    <w:t>0.081</w:t>
                  </w:r>
                </w:p>
              </w:tc>
              <w:tc>
                <w:tcPr>
                  <w:tcW w:w="517" w:type="dxa"/>
                  <w:vMerge w:val="continue"/>
                  <w:tcBorders>
                    <w:left w:val="single" w:color="auto" w:sz="4" w:space="0"/>
                    <w:right w:val="single" w:color="auto" w:sz="4" w:space="0"/>
                  </w:tcBorders>
                  <w:vAlign w:val="center"/>
                </w:tcPr>
                <w:p w14:paraId="6F053FF1">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1587013B">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1900C02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5D7D1C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lang w:bidi="ar"/>
                    </w:rPr>
                  </w:pPr>
                  <w:r>
                    <w:rPr>
                      <w:rFonts w:hint="default" w:ascii="Times New Roman" w:hAnsi="Times New Roman" w:cs="Times New Roman"/>
                      <w:i/>
                      <w:iCs/>
                      <w:color w:val="auto"/>
                      <w:sz w:val="24"/>
                      <w:szCs w:val="24"/>
                    </w:rPr>
                    <w:t>/</w:t>
                  </w:r>
                </w:p>
              </w:tc>
              <w:tc>
                <w:tcPr>
                  <w:tcW w:w="1132" w:type="dxa"/>
                  <w:tcBorders>
                    <w:top w:val="single" w:color="auto" w:sz="4" w:space="0"/>
                    <w:left w:val="single" w:color="auto" w:sz="4" w:space="0"/>
                    <w:bottom w:val="single" w:color="auto" w:sz="4" w:space="0"/>
                    <w:right w:val="single" w:color="auto" w:sz="4" w:space="0"/>
                  </w:tcBorders>
                  <w:vAlign w:val="center"/>
                </w:tcPr>
                <w:p w14:paraId="60F211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86" w:type="dxa"/>
                  <w:tcBorders>
                    <w:top w:val="single" w:color="auto" w:sz="4" w:space="0"/>
                    <w:left w:val="single" w:color="auto" w:sz="4" w:space="0"/>
                    <w:bottom w:val="single" w:color="auto" w:sz="4" w:space="0"/>
                    <w:right w:val="single" w:color="auto" w:sz="4" w:space="0"/>
                  </w:tcBorders>
                  <w:vAlign w:val="center"/>
                </w:tcPr>
                <w:p w14:paraId="76EF528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90" w:type="dxa"/>
                  <w:tcBorders>
                    <w:top w:val="single" w:color="auto" w:sz="4" w:space="0"/>
                    <w:left w:val="single" w:color="auto" w:sz="4" w:space="0"/>
                    <w:bottom w:val="single" w:color="auto" w:sz="4" w:space="0"/>
                    <w:right w:val="single" w:color="auto" w:sz="4" w:space="0"/>
                  </w:tcBorders>
                  <w:vAlign w:val="center"/>
                </w:tcPr>
                <w:p w14:paraId="25A824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899" w:type="dxa"/>
                  <w:vMerge w:val="continue"/>
                  <w:tcBorders>
                    <w:left w:val="single" w:color="auto" w:sz="4" w:space="0"/>
                    <w:right w:val="single" w:color="auto" w:sz="4" w:space="0"/>
                  </w:tcBorders>
                  <w:vAlign w:val="center"/>
                </w:tcPr>
                <w:p w14:paraId="1CDBB48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6F1C02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0E3B005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75DE80BC">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vAlign w:val="center"/>
                </w:tcPr>
                <w:p w14:paraId="799F0E5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snapToGrid w:val="0"/>
                      <w:color w:val="auto"/>
                      <w:sz w:val="24"/>
                      <w:szCs w:val="24"/>
                    </w:rPr>
                  </w:pPr>
                  <w:r>
                    <w:rPr>
                      <w:rFonts w:hint="default" w:ascii="Times New Roman" w:hAnsi="Times New Roman" w:cs="Times New Roman"/>
                      <w:i/>
                      <w:iCs/>
                      <w:color w:val="auto"/>
                      <w:sz w:val="24"/>
                      <w:szCs w:val="24"/>
                    </w:rPr>
                    <w:t>NH</w:t>
                  </w:r>
                  <w:r>
                    <w:rPr>
                      <w:rFonts w:hint="default" w:ascii="Times New Roman" w:hAnsi="Times New Roman" w:cs="Times New Roman"/>
                      <w:i/>
                      <w:iCs/>
                      <w:color w:val="auto"/>
                      <w:sz w:val="24"/>
                      <w:szCs w:val="24"/>
                      <w:vertAlign w:val="subscript"/>
                    </w:rPr>
                    <w:t>3</w:t>
                  </w:r>
                  <w:r>
                    <w:rPr>
                      <w:rFonts w:hint="default" w:ascii="Times New Roman" w:hAnsi="Times New Roman" w:cs="Times New Roman"/>
                      <w:i/>
                      <w:iCs/>
                      <w:color w:val="auto"/>
                      <w:sz w:val="24"/>
                      <w:szCs w:val="24"/>
                    </w:rPr>
                    <w:t>-N</w:t>
                  </w:r>
                </w:p>
              </w:tc>
              <w:tc>
                <w:tcPr>
                  <w:tcW w:w="450" w:type="dxa"/>
                  <w:vMerge w:val="continue"/>
                  <w:tcBorders>
                    <w:left w:val="single" w:color="auto" w:sz="4" w:space="0"/>
                    <w:right w:val="single" w:color="auto" w:sz="4" w:space="0"/>
                  </w:tcBorders>
                  <w:vAlign w:val="center"/>
                </w:tcPr>
                <w:p w14:paraId="25061834">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0CA3902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87" w:type="dxa"/>
                  <w:vMerge w:val="continue"/>
                  <w:tcBorders>
                    <w:left w:val="single" w:color="auto" w:sz="4" w:space="0"/>
                    <w:right w:val="single" w:color="auto" w:sz="4" w:space="0"/>
                  </w:tcBorders>
                  <w:vAlign w:val="center"/>
                </w:tcPr>
                <w:p w14:paraId="28C0408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1131" w:type="dxa"/>
                  <w:tcBorders>
                    <w:top w:val="single" w:color="auto" w:sz="4" w:space="0"/>
                    <w:left w:val="single" w:color="auto" w:sz="4" w:space="0"/>
                    <w:bottom w:val="single" w:color="auto" w:sz="4" w:space="0"/>
                    <w:right w:val="single" w:color="auto" w:sz="4" w:space="0"/>
                  </w:tcBorders>
                  <w:vAlign w:val="center"/>
                </w:tcPr>
                <w:p w14:paraId="5B15EA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lang w:val="en-US" w:eastAsia="zh-CN" w:bidi="ar"/>
                    </w:rPr>
                  </w:pPr>
                  <w:r>
                    <w:rPr>
                      <w:rFonts w:hint="eastAsia" w:ascii="Times New Roman" w:hAnsi="Times New Roman" w:cs="Times New Roman"/>
                      <w:i/>
                      <w:iCs/>
                      <w:color w:val="auto"/>
                      <w:kern w:val="0"/>
                      <w:sz w:val="24"/>
                      <w:szCs w:val="24"/>
                      <w:lang w:val="en-US" w:eastAsia="zh-CN" w:bidi="ar"/>
                    </w:rPr>
                    <w:t>45</w:t>
                  </w:r>
                </w:p>
              </w:tc>
              <w:tc>
                <w:tcPr>
                  <w:tcW w:w="968" w:type="dxa"/>
                  <w:tcBorders>
                    <w:top w:val="single" w:color="auto" w:sz="4" w:space="0"/>
                    <w:left w:val="single" w:color="auto" w:sz="4" w:space="0"/>
                    <w:bottom w:val="single" w:color="auto" w:sz="4" w:space="0"/>
                    <w:right w:val="single" w:color="auto" w:sz="4" w:space="0"/>
                  </w:tcBorders>
                  <w:vAlign w:val="center"/>
                </w:tcPr>
                <w:p w14:paraId="397C8E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lang w:val="en-US" w:eastAsia="zh-CN"/>
                    </w:rPr>
                  </w:pPr>
                  <w:r>
                    <w:rPr>
                      <w:rFonts w:hint="default" w:ascii="Times New Roman" w:hAnsi="Times New Roman" w:eastAsia="宋体" w:cs="Times New Roman"/>
                      <w:i/>
                      <w:iCs/>
                      <w:color w:val="auto"/>
                      <w:kern w:val="0"/>
                      <w:sz w:val="24"/>
                      <w:szCs w:val="24"/>
                      <w:u w:val="none"/>
                      <w:lang w:val="en-US" w:eastAsia="zh-CN" w:bidi="ar"/>
                    </w:rPr>
                    <w:t>0.007</w:t>
                  </w:r>
                </w:p>
              </w:tc>
              <w:tc>
                <w:tcPr>
                  <w:tcW w:w="517" w:type="dxa"/>
                  <w:vMerge w:val="continue"/>
                  <w:tcBorders>
                    <w:left w:val="single" w:color="auto" w:sz="4" w:space="0"/>
                    <w:right w:val="single" w:color="auto" w:sz="4" w:space="0"/>
                  </w:tcBorders>
                  <w:vAlign w:val="center"/>
                </w:tcPr>
                <w:p w14:paraId="00D271DC">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46F6032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7E876CD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341B0F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0A53D7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p>
              </w:tc>
              <w:tc>
                <w:tcPr>
                  <w:tcW w:w="1186" w:type="dxa"/>
                  <w:tcBorders>
                    <w:top w:val="single" w:color="auto" w:sz="4" w:space="0"/>
                    <w:left w:val="single" w:color="auto" w:sz="4" w:space="0"/>
                    <w:bottom w:val="single" w:color="auto" w:sz="4" w:space="0"/>
                    <w:right w:val="single" w:color="auto" w:sz="4" w:space="0"/>
                  </w:tcBorders>
                  <w:vAlign w:val="center"/>
                </w:tcPr>
                <w:p w14:paraId="79701A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p>
              </w:tc>
              <w:tc>
                <w:tcPr>
                  <w:tcW w:w="1190" w:type="dxa"/>
                  <w:tcBorders>
                    <w:top w:val="single" w:color="auto" w:sz="4" w:space="0"/>
                    <w:left w:val="single" w:color="auto" w:sz="4" w:space="0"/>
                    <w:bottom w:val="single" w:color="auto" w:sz="4" w:space="0"/>
                    <w:right w:val="single" w:color="auto" w:sz="4" w:space="0"/>
                  </w:tcBorders>
                  <w:vAlign w:val="center"/>
                </w:tcPr>
                <w:p w14:paraId="0F350D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p>
              </w:tc>
              <w:tc>
                <w:tcPr>
                  <w:tcW w:w="899" w:type="dxa"/>
                  <w:vMerge w:val="continue"/>
                  <w:tcBorders>
                    <w:left w:val="single" w:color="auto" w:sz="4" w:space="0"/>
                    <w:right w:val="single" w:color="auto" w:sz="4" w:space="0"/>
                  </w:tcBorders>
                  <w:vAlign w:val="center"/>
                </w:tcPr>
                <w:p w14:paraId="1E1AF20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2721A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6788DCF2">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60370D16">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vAlign w:val="center"/>
                </w:tcPr>
                <w:p w14:paraId="1277707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石油类</w:t>
                  </w:r>
                </w:p>
              </w:tc>
              <w:tc>
                <w:tcPr>
                  <w:tcW w:w="450" w:type="dxa"/>
                  <w:vMerge w:val="continue"/>
                  <w:tcBorders>
                    <w:left w:val="single" w:color="auto" w:sz="4" w:space="0"/>
                    <w:right w:val="single" w:color="auto" w:sz="4" w:space="0"/>
                  </w:tcBorders>
                  <w:vAlign w:val="center"/>
                </w:tcPr>
                <w:p w14:paraId="490FEA9C">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38003884">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87" w:type="dxa"/>
                  <w:vMerge w:val="continue"/>
                  <w:tcBorders>
                    <w:left w:val="single" w:color="auto" w:sz="4" w:space="0"/>
                    <w:right w:val="single" w:color="auto" w:sz="4" w:space="0"/>
                  </w:tcBorders>
                  <w:vAlign w:val="center"/>
                </w:tcPr>
                <w:p w14:paraId="43AD12B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1131" w:type="dxa"/>
                  <w:tcBorders>
                    <w:top w:val="single" w:color="auto" w:sz="4" w:space="0"/>
                    <w:left w:val="single" w:color="auto" w:sz="4" w:space="0"/>
                    <w:bottom w:val="single" w:color="auto" w:sz="4" w:space="0"/>
                    <w:right w:val="single" w:color="auto" w:sz="4" w:space="0"/>
                  </w:tcBorders>
                  <w:vAlign w:val="center"/>
                </w:tcPr>
                <w:p w14:paraId="4CAB65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lang w:val="en-US" w:eastAsia="zh-CN"/>
                    </w:rPr>
                  </w:pPr>
                  <w:r>
                    <w:rPr>
                      <w:rFonts w:hint="eastAsia" w:ascii="Times New Roman" w:hAnsi="Times New Roman" w:cs="Times New Roman"/>
                      <w:i/>
                      <w:iCs/>
                      <w:color w:val="auto"/>
                      <w:kern w:val="0"/>
                      <w:sz w:val="24"/>
                      <w:szCs w:val="24"/>
                      <w:lang w:val="en-US" w:eastAsia="zh-CN" w:bidi="ar"/>
                    </w:rPr>
                    <w:t>25</w:t>
                  </w:r>
                </w:p>
              </w:tc>
              <w:tc>
                <w:tcPr>
                  <w:tcW w:w="968" w:type="dxa"/>
                  <w:tcBorders>
                    <w:top w:val="single" w:color="auto" w:sz="4" w:space="0"/>
                    <w:left w:val="single" w:color="auto" w:sz="4" w:space="0"/>
                    <w:bottom w:val="single" w:color="auto" w:sz="4" w:space="0"/>
                    <w:right w:val="single" w:color="auto" w:sz="4" w:space="0"/>
                  </w:tcBorders>
                  <w:vAlign w:val="center"/>
                </w:tcPr>
                <w:p w14:paraId="668E5E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lang w:val="en-US" w:eastAsia="zh-CN"/>
                    </w:rPr>
                  </w:pPr>
                  <w:r>
                    <w:rPr>
                      <w:rFonts w:hint="default" w:ascii="Times New Roman" w:hAnsi="Times New Roman" w:eastAsia="宋体" w:cs="Times New Roman"/>
                      <w:i/>
                      <w:iCs/>
                      <w:color w:val="auto"/>
                      <w:kern w:val="0"/>
                      <w:sz w:val="24"/>
                      <w:szCs w:val="24"/>
                      <w:u w:val="none"/>
                      <w:lang w:val="en-US" w:eastAsia="zh-CN" w:bidi="ar"/>
                    </w:rPr>
                    <w:t>0.004</w:t>
                  </w:r>
                </w:p>
              </w:tc>
              <w:tc>
                <w:tcPr>
                  <w:tcW w:w="517" w:type="dxa"/>
                  <w:vMerge w:val="continue"/>
                  <w:tcBorders>
                    <w:left w:val="single" w:color="auto" w:sz="4" w:space="0"/>
                    <w:right w:val="single" w:color="auto" w:sz="4" w:space="0"/>
                  </w:tcBorders>
                  <w:vAlign w:val="center"/>
                </w:tcPr>
                <w:p w14:paraId="43C91D8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280579E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14243D2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2F4DE2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lang w:bidi="ar"/>
                    </w:rPr>
                  </w:pPr>
                  <w:r>
                    <w:rPr>
                      <w:rFonts w:hint="default" w:ascii="Times New Roman" w:hAnsi="Times New Roman" w:cs="Times New Roman"/>
                      <w:i/>
                      <w:iCs/>
                      <w:color w:val="auto"/>
                      <w:sz w:val="24"/>
                      <w:szCs w:val="24"/>
                    </w:rPr>
                    <w:t>/</w:t>
                  </w:r>
                </w:p>
              </w:tc>
              <w:tc>
                <w:tcPr>
                  <w:tcW w:w="1132" w:type="dxa"/>
                  <w:tcBorders>
                    <w:top w:val="single" w:color="auto" w:sz="4" w:space="0"/>
                    <w:left w:val="single" w:color="auto" w:sz="4" w:space="0"/>
                    <w:bottom w:val="single" w:color="auto" w:sz="4" w:space="0"/>
                    <w:right w:val="single" w:color="auto" w:sz="4" w:space="0"/>
                  </w:tcBorders>
                  <w:vAlign w:val="center"/>
                </w:tcPr>
                <w:p w14:paraId="401488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86" w:type="dxa"/>
                  <w:tcBorders>
                    <w:top w:val="single" w:color="auto" w:sz="4" w:space="0"/>
                    <w:left w:val="single" w:color="auto" w:sz="4" w:space="0"/>
                    <w:bottom w:val="single" w:color="auto" w:sz="4" w:space="0"/>
                    <w:right w:val="single" w:color="auto" w:sz="4" w:space="0"/>
                  </w:tcBorders>
                  <w:vAlign w:val="center"/>
                </w:tcPr>
                <w:p w14:paraId="716B890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1190" w:type="dxa"/>
                  <w:tcBorders>
                    <w:top w:val="single" w:color="auto" w:sz="4" w:space="0"/>
                    <w:left w:val="single" w:color="auto" w:sz="4" w:space="0"/>
                    <w:bottom w:val="single" w:color="auto" w:sz="4" w:space="0"/>
                    <w:right w:val="single" w:color="auto" w:sz="4" w:space="0"/>
                  </w:tcBorders>
                  <w:vAlign w:val="center"/>
                </w:tcPr>
                <w:p w14:paraId="603722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w:t>
                  </w:r>
                </w:p>
              </w:tc>
              <w:tc>
                <w:tcPr>
                  <w:tcW w:w="899" w:type="dxa"/>
                  <w:vMerge w:val="continue"/>
                  <w:tcBorders>
                    <w:left w:val="single" w:color="auto" w:sz="4" w:space="0"/>
                    <w:right w:val="single" w:color="auto" w:sz="4" w:space="0"/>
                  </w:tcBorders>
                  <w:vAlign w:val="center"/>
                </w:tcPr>
                <w:p w14:paraId="3EAAF52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559D8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1FE2C31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restart"/>
                  <w:tcBorders>
                    <w:left w:val="single" w:color="auto" w:sz="4" w:space="0"/>
                    <w:right w:val="single" w:color="auto" w:sz="4" w:space="0"/>
                  </w:tcBorders>
                  <w:vAlign w:val="center"/>
                </w:tcPr>
                <w:p w14:paraId="298E8992">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综合废水</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14:paraId="756C141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kern w:val="2"/>
                      <w:sz w:val="24"/>
                      <w:szCs w:val="24"/>
                    </w:rPr>
                  </w:pPr>
                  <w:r>
                    <w:rPr>
                      <w:rFonts w:hint="default" w:ascii="Times New Roman" w:hAnsi="Times New Roman" w:cs="Times New Roman"/>
                      <w:i/>
                      <w:iCs/>
                      <w:color w:val="auto"/>
                      <w:sz w:val="24"/>
                      <w:szCs w:val="24"/>
                    </w:rPr>
                    <w:t>COD</w:t>
                  </w:r>
                </w:p>
              </w:tc>
              <w:tc>
                <w:tcPr>
                  <w:tcW w:w="450" w:type="dxa"/>
                  <w:vMerge w:val="continue"/>
                  <w:tcBorders>
                    <w:left w:val="single" w:color="auto" w:sz="4" w:space="0"/>
                    <w:right w:val="single" w:color="auto" w:sz="4" w:space="0"/>
                  </w:tcBorders>
                  <w:vAlign w:val="center"/>
                </w:tcPr>
                <w:p w14:paraId="78A2D528">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restart"/>
                  <w:tcBorders>
                    <w:left w:val="single" w:color="auto" w:sz="4" w:space="0"/>
                    <w:right w:val="single" w:color="auto" w:sz="4" w:space="0"/>
                  </w:tcBorders>
                  <w:vAlign w:val="center"/>
                </w:tcPr>
                <w:p w14:paraId="6F7DAC02">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3.825</w:t>
                  </w:r>
                </w:p>
              </w:tc>
              <w:tc>
                <w:tcPr>
                  <w:tcW w:w="887" w:type="dxa"/>
                  <w:vMerge w:val="restart"/>
                  <w:tcBorders>
                    <w:left w:val="single" w:color="auto" w:sz="4" w:space="0"/>
                    <w:right w:val="single" w:color="auto" w:sz="4" w:space="0"/>
                  </w:tcBorders>
                  <w:vAlign w:val="center"/>
                </w:tcPr>
                <w:p w14:paraId="77DC0140">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499.5</w:t>
                  </w:r>
                </w:p>
              </w:tc>
              <w:tc>
                <w:tcPr>
                  <w:tcW w:w="1131" w:type="dxa"/>
                  <w:tcBorders>
                    <w:top w:val="single" w:color="auto" w:sz="4" w:space="0"/>
                    <w:left w:val="single" w:color="auto" w:sz="4" w:space="0"/>
                    <w:bottom w:val="single" w:color="auto" w:sz="4" w:space="0"/>
                    <w:right w:val="single" w:color="auto" w:sz="4" w:space="0"/>
                  </w:tcBorders>
                  <w:vAlign w:val="center"/>
                </w:tcPr>
                <w:p w14:paraId="2A6C35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highlight w:val="yellow"/>
                      <w:lang w:val="en-US"/>
                    </w:rPr>
                  </w:pPr>
                  <w:r>
                    <w:rPr>
                      <w:rFonts w:hint="default" w:ascii="Times New Roman" w:hAnsi="Times New Roman" w:eastAsia="宋体" w:cs="Times New Roman"/>
                      <w:i/>
                      <w:iCs/>
                      <w:color w:val="auto"/>
                      <w:kern w:val="0"/>
                      <w:sz w:val="24"/>
                      <w:szCs w:val="24"/>
                      <w:u w:val="none"/>
                      <w:lang w:val="en-US" w:eastAsia="zh-CN" w:bidi="ar"/>
                    </w:rPr>
                    <w:t xml:space="preserve">533.784 </w:t>
                  </w:r>
                </w:p>
              </w:tc>
              <w:tc>
                <w:tcPr>
                  <w:tcW w:w="968" w:type="dxa"/>
                  <w:tcBorders>
                    <w:top w:val="single" w:color="auto" w:sz="4" w:space="0"/>
                    <w:left w:val="single" w:color="auto" w:sz="4" w:space="0"/>
                    <w:bottom w:val="single" w:color="auto" w:sz="4" w:space="0"/>
                    <w:right w:val="single" w:color="auto" w:sz="4" w:space="0"/>
                  </w:tcBorders>
                  <w:vAlign w:val="center"/>
                </w:tcPr>
                <w:p w14:paraId="34DDAA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highlight w:val="yellow"/>
                      <w:lang w:val="en-US" w:eastAsia="zh-CN"/>
                    </w:rPr>
                  </w:pPr>
                  <w:r>
                    <w:rPr>
                      <w:rFonts w:hint="default" w:ascii="Times New Roman" w:hAnsi="Times New Roman" w:eastAsia="宋体" w:cs="Times New Roman"/>
                      <w:i/>
                      <w:iCs/>
                      <w:color w:val="auto"/>
                      <w:kern w:val="0"/>
                      <w:sz w:val="24"/>
                      <w:szCs w:val="24"/>
                      <w:u w:val="none"/>
                      <w:lang w:val="en-US" w:eastAsia="zh-CN" w:bidi="ar"/>
                    </w:rPr>
                    <w:t xml:space="preserve">0.267 </w:t>
                  </w:r>
                </w:p>
              </w:tc>
              <w:tc>
                <w:tcPr>
                  <w:tcW w:w="517" w:type="dxa"/>
                  <w:vMerge w:val="continue"/>
                  <w:tcBorders>
                    <w:left w:val="single" w:color="auto" w:sz="4" w:space="0"/>
                    <w:right w:val="single" w:color="auto" w:sz="4" w:space="0"/>
                  </w:tcBorders>
                  <w:vAlign w:val="center"/>
                </w:tcPr>
                <w:p w14:paraId="22DE8FE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203D5F24">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3250A52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2FE428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lang w:bidi="ar"/>
                    </w:rPr>
                  </w:pPr>
                  <w:r>
                    <w:rPr>
                      <w:rFonts w:hint="default" w:ascii="Times New Roman" w:hAnsi="Times New Roman" w:cs="Times New Roman"/>
                      <w:i/>
                      <w:iCs/>
                      <w:color w:val="auto"/>
                      <w:kern w:val="0"/>
                      <w:sz w:val="24"/>
                      <w:szCs w:val="24"/>
                      <w:lang w:bidi="ar"/>
                    </w:rPr>
                    <w:t>500</w:t>
                  </w:r>
                </w:p>
              </w:tc>
              <w:tc>
                <w:tcPr>
                  <w:tcW w:w="1132" w:type="dxa"/>
                  <w:tcBorders>
                    <w:top w:val="single" w:color="auto" w:sz="4" w:space="0"/>
                    <w:left w:val="single" w:color="auto" w:sz="4" w:space="0"/>
                    <w:bottom w:val="single" w:color="auto" w:sz="4" w:space="0"/>
                    <w:right w:val="single" w:color="auto" w:sz="4" w:space="0"/>
                  </w:tcBorders>
                  <w:vAlign w:val="center"/>
                </w:tcPr>
                <w:p w14:paraId="609677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lang w:val="en-US"/>
                    </w:rPr>
                  </w:pPr>
                  <w:r>
                    <w:rPr>
                      <w:rFonts w:hint="default" w:ascii="Times New Roman" w:hAnsi="Times New Roman" w:eastAsia="宋体" w:cs="Times New Roman"/>
                      <w:i/>
                      <w:iCs/>
                      <w:color w:val="auto"/>
                      <w:kern w:val="0"/>
                      <w:sz w:val="24"/>
                      <w:szCs w:val="24"/>
                      <w:u w:val="none"/>
                      <w:lang w:val="en-US" w:eastAsia="zh-CN" w:bidi="ar"/>
                    </w:rPr>
                    <w:t xml:space="preserve">0.250 </w:t>
                  </w:r>
                </w:p>
              </w:tc>
              <w:tc>
                <w:tcPr>
                  <w:tcW w:w="1186" w:type="dxa"/>
                  <w:tcBorders>
                    <w:top w:val="single" w:color="auto" w:sz="4" w:space="0"/>
                    <w:left w:val="single" w:color="auto" w:sz="4" w:space="0"/>
                    <w:bottom w:val="single" w:color="auto" w:sz="4" w:space="0"/>
                    <w:right w:val="single" w:color="auto" w:sz="4" w:space="0"/>
                  </w:tcBorders>
                  <w:vAlign w:val="center"/>
                </w:tcPr>
                <w:p w14:paraId="123F54D6">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30</w:t>
                  </w:r>
                </w:p>
              </w:tc>
              <w:tc>
                <w:tcPr>
                  <w:tcW w:w="1190" w:type="dxa"/>
                  <w:tcBorders>
                    <w:top w:val="single" w:color="auto" w:sz="4" w:space="0"/>
                    <w:left w:val="single" w:color="auto" w:sz="4" w:space="0"/>
                    <w:bottom w:val="single" w:color="auto" w:sz="4" w:space="0"/>
                    <w:right w:val="single" w:color="auto" w:sz="4" w:space="0"/>
                  </w:tcBorders>
                  <w:vAlign w:val="center"/>
                </w:tcPr>
                <w:p w14:paraId="6DFCD8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eastAsia="宋体" w:cs="Times New Roman"/>
                      <w:i/>
                      <w:iCs/>
                      <w:color w:val="auto"/>
                      <w:kern w:val="0"/>
                      <w:sz w:val="24"/>
                      <w:szCs w:val="24"/>
                      <w:u w:val="none"/>
                      <w:lang w:val="en-US" w:eastAsia="zh-CN" w:bidi="ar"/>
                    </w:rPr>
                    <w:t xml:space="preserve">0.0150 </w:t>
                  </w:r>
                </w:p>
              </w:tc>
              <w:tc>
                <w:tcPr>
                  <w:tcW w:w="899" w:type="dxa"/>
                  <w:vMerge w:val="continue"/>
                  <w:tcBorders>
                    <w:left w:val="single" w:color="auto" w:sz="4" w:space="0"/>
                    <w:right w:val="single" w:color="auto" w:sz="4" w:space="0"/>
                  </w:tcBorders>
                  <w:vAlign w:val="center"/>
                </w:tcPr>
                <w:p w14:paraId="19685F46">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0049A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1DF1CB8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713DCA9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14:paraId="4BC8D8B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kern w:val="2"/>
                      <w:sz w:val="24"/>
                      <w:szCs w:val="24"/>
                    </w:rPr>
                  </w:pPr>
                  <w:r>
                    <w:rPr>
                      <w:rFonts w:hint="default" w:ascii="Times New Roman" w:hAnsi="Times New Roman" w:cs="Times New Roman"/>
                      <w:i/>
                      <w:iCs/>
                      <w:color w:val="auto"/>
                      <w:sz w:val="24"/>
                      <w:szCs w:val="24"/>
                    </w:rPr>
                    <w:t>BOD</w:t>
                  </w:r>
                  <w:r>
                    <w:rPr>
                      <w:rFonts w:hint="default" w:ascii="Times New Roman" w:hAnsi="Times New Roman" w:cs="Times New Roman"/>
                      <w:i/>
                      <w:iCs/>
                      <w:color w:val="auto"/>
                      <w:sz w:val="24"/>
                      <w:szCs w:val="24"/>
                      <w:vertAlign w:val="subscript"/>
                    </w:rPr>
                    <w:t>5</w:t>
                  </w:r>
                </w:p>
              </w:tc>
              <w:tc>
                <w:tcPr>
                  <w:tcW w:w="450" w:type="dxa"/>
                  <w:vMerge w:val="continue"/>
                  <w:tcBorders>
                    <w:left w:val="single" w:color="auto" w:sz="4" w:space="0"/>
                    <w:right w:val="single" w:color="auto" w:sz="4" w:space="0"/>
                  </w:tcBorders>
                  <w:vAlign w:val="center"/>
                </w:tcPr>
                <w:p w14:paraId="4F943501">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71D8465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87" w:type="dxa"/>
                  <w:vMerge w:val="continue"/>
                  <w:tcBorders>
                    <w:left w:val="single" w:color="auto" w:sz="4" w:space="0"/>
                    <w:right w:val="single" w:color="auto" w:sz="4" w:space="0"/>
                  </w:tcBorders>
                  <w:vAlign w:val="center"/>
                </w:tcPr>
                <w:p w14:paraId="3D320482">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1131" w:type="dxa"/>
                  <w:tcBorders>
                    <w:top w:val="single" w:color="auto" w:sz="4" w:space="0"/>
                    <w:left w:val="single" w:color="auto" w:sz="4" w:space="0"/>
                    <w:bottom w:val="single" w:color="auto" w:sz="4" w:space="0"/>
                    <w:right w:val="single" w:color="auto" w:sz="4" w:space="0"/>
                  </w:tcBorders>
                  <w:vAlign w:val="center"/>
                </w:tcPr>
                <w:p w14:paraId="1417F5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highlight w:val="yellow"/>
                      <w:lang w:val="en-US"/>
                    </w:rPr>
                  </w:pPr>
                  <w:r>
                    <w:rPr>
                      <w:rFonts w:hint="default" w:ascii="Times New Roman" w:hAnsi="Times New Roman" w:eastAsia="宋体" w:cs="Times New Roman"/>
                      <w:i/>
                      <w:iCs/>
                      <w:color w:val="auto"/>
                      <w:kern w:val="0"/>
                      <w:sz w:val="24"/>
                      <w:szCs w:val="24"/>
                      <w:u w:val="none"/>
                      <w:lang w:val="en-US" w:eastAsia="zh-CN" w:bidi="ar"/>
                    </w:rPr>
                    <w:t xml:space="preserve">383.784 </w:t>
                  </w:r>
                </w:p>
              </w:tc>
              <w:tc>
                <w:tcPr>
                  <w:tcW w:w="968" w:type="dxa"/>
                  <w:tcBorders>
                    <w:top w:val="single" w:color="auto" w:sz="4" w:space="0"/>
                    <w:left w:val="single" w:color="auto" w:sz="4" w:space="0"/>
                    <w:bottom w:val="single" w:color="auto" w:sz="4" w:space="0"/>
                    <w:right w:val="single" w:color="auto" w:sz="4" w:space="0"/>
                  </w:tcBorders>
                  <w:vAlign w:val="center"/>
                </w:tcPr>
                <w:p w14:paraId="4A56D8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highlight w:val="yellow"/>
                      <w:lang w:val="en-US" w:eastAsia="zh-CN"/>
                    </w:rPr>
                  </w:pPr>
                  <w:r>
                    <w:rPr>
                      <w:rFonts w:hint="default" w:ascii="Times New Roman" w:hAnsi="Times New Roman" w:eastAsia="宋体" w:cs="Times New Roman"/>
                      <w:i/>
                      <w:iCs/>
                      <w:color w:val="auto"/>
                      <w:kern w:val="0"/>
                      <w:sz w:val="24"/>
                      <w:szCs w:val="24"/>
                      <w:u w:val="none"/>
                      <w:lang w:val="en-US" w:eastAsia="zh-CN" w:bidi="ar"/>
                    </w:rPr>
                    <w:t xml:space="preserve">0.192 </w:t>
                  </w:r>
                </w:p>
              </w:tc>
              <w:tc>
                <w:tcPr>
                  <w:tcW w:w="517" w:type="dxa"/>
                  <w:vMerge w:val="continue"/>
                  <w:tcBorders>
                    <w:left w:val="single" w:color="auto" w:sz="4" w:space="0"/>
                    <w:right w:val="single" w:color="auto" w:sz="4" w:space="0"/>
                  </w:tcBorders>
                  <w:vAlign w:val="center"/>
                </w:tcPr>
                <w:p w14:paraId="029C65C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3AFD2C7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01740CDE">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26D23C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lang w:bidi="ar"/>
                    </w:rPr>
                  </w:pPr>
                  <w:r>
                    <w:rPr>
                      <w:rFonts w:hint="default" w:ascii="Times New Roman" w:hAnsi="Times New Roman" w:cs="Times New Roman"/>
                      <w:i/>
                      <w:iCs/>
                      <w:color w:val="auto"/>
                      <w:kern w:val="0"/>
                      <w:sz w:val="24"/>
                      <w:szCs w:val="24"/>
                      <w:lang w:bidi="ar"/>
                    </w:rPr>
                    <w:t>300</w:t>
                  </w:r>
                </w:p>
              </w:tc>
              <w:tc>
                <w:tcPr>
                  <w:tcW w:w="1132" w:type="dxa"/>
                  <w:tcBorders>
                    <w:top w:val="single" w:color="auto" w:sz="4" w:space="0"/>
                    <w:left w:val="single" w:color="auto" w:sz="4" w:space="0"/>
                    <w:bottom w:val="single" w:color="auto" w:sz="4" w:space="0"/>
                    <w:right w:val="single" w:color="auto" w:sz="4" w:space="0"/>
                  </w:tcBorders>
                  <w:vAlign w:val="center"/>
                </w:tcPr>
                <w:p w14:paraId="4CB521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eastAsia="宋体" w:cs="Times New Roman"/>
                      <w:i/>
                      <w:iCs/>
                      <w:color w:val="auto"/>
                      <w:kern w:val="0"/>
                      <w:sz w:val="24"/>
                      <w:szCs w:val="24"/>
                      <w:u w:val="none"/>
                      <w:lang w:val="en-US" w:eastAsia="zh-CN" w:bidi="ar"/>
                    </w:rPr>
                    <w:t xml:space="preserve">0.150 </w:t>
                  </w:r>
                </w:p>
              </w:tc>
              <w:tc>
                <w:tcPr>
                  <w:tcW w:w="1186" w:type="dxa"/>
                  <w:tcBorders>
                    <w:top w:val="single" w:color="auto" w:sz="4" w:space="0"/>
                    <w:left w:val="single" w:color="auto" w:sz="4" w:space="0"/>
                    <w:bottom w:val="single" w:color="auto" w:sz="4" w:space="0"/>
                    <w:right w:val="single" w:color="auto" w:sz="4" w:space="0"/>
                  </w:tcBorders>
                  <w:vAlign w:val="center"/>
                </w:tcPr>
                <w:p w14:paraId="0A3831DB">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10</w:t>
                  </w:r>
                </w:p>
              </w:tc>
              <w:tc>
                <w:tcPr>
                  <w:tcW w:w="1190" w:type="dxa"/>
                  <w:tcBorders>
                    <w:top w:val="single" w:color="auto" w:sz="4" w:space="0"/>
                    <w:left w:val="single" w:color="auto" w:sz="4" w:space="0"/>
                    <w:bottom w:val="single" w:color="auto" w:sz="4" w:space="0"/>
                    <w:right w:val="single" w:color="auto" w:sz="4" w:space="0"/>
                  </w:tcBorders>
                  <w:vAlign w:val="center"/>
                </w:tcPr>
                <w:p w14:paraId="696DC6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eastAsia="宋体" w:cs="Times New Roman"/>
                      <w:i/>
                      <w:iCs/>
                      <w:color w:val="auto"/>
                      <w:kern w:val="0"/>
                      <w:sz w:val="24"/>
                      <w:szCs w:val="24"/>
                      <w:u w:val="none"/>
                      <w:lang w:val="en-US" w:eastAsia="zh-CN" w:bidi="ar"/>
                    </w:rPr>
                    <w:t xml:space="preserve">0.0050 </w:t>
                  </w:r>
                </w:p>
              </w:tc>
              <w:tc>
                <w:tcPr>
                  <w:tcW w:w="899" w:type="dxa"/>
                  <w:vMerge w:val="continue"/>
                  <w:tcBorders>
                    <w:left w:val="single" w:color="auto" w:sz="4" w:space="0"/>
                    <w:right w:val="single" w:color="auto" w:sz="4" w:space="0"/>
                  </w:tcBorders>
                  <w:vAlign w:val="center"/>
                </w:tcPr>
                <w:p w14:paraId="02463418">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6F659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6ADFDDB4">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47CE060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14:paraId="1FF835B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kern w:val="2"/>
                      <w:sz w:val="24"/>
                      <w:szCs w:val="24"/>
                    </w:rPr>
                  </w:pPr>
                  <w:r>
                    <w:rPr>
                      <w:rFonts w:hint="default" w:ascii="Times New Roman" w:hAnsi="Times New Roman" w:cs="Times New Roman"/>
                      <w:i/>
                      <w:iCs/>
                      <w:color w:val="auto"/>
                      <w:sz w:val="24"/>
                      <w:szCs w:val="24"/>
                    </w:rPr>
                    <w:t>SS</w:t>
                  </w:r>
                </w:p>
              </w:tc>
              <w:tc>
                <w:tcPr>
                  <w:tcW w:w="450" w:type="dxa"/>
                  <w:vMerge w:val="continue"/>
                  <w:tcBorders>
                    <w:left w:val="single" w:color="auto" w:sz="4" w:space="0"/>
                    <w:right w:val="single" w:color="auto" w:sz="4" w:space="0"/>
                  </w:tcBorders>
                  <w:vAlign w:val="center"/>
                </w:tcPr>
                <w:p w14:paraId="213EC614">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195B37A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87" w:type="dxa"/>
                  <w:vMerge w:val="continue"/>
                  <w:tcBorders>
                    <w:left w:val="single" w:color="auto" w:sz="4" w:space="0"/>
                    <w:right w:val="single" w:color="auto" w:sz="4" w:space="0"/>
                  </w:tcBorders>
                  <w:vAlign w:val="center"/>
                </w:tcPr>
                <w:p w14:paraId="5C7EA734">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1131" w:type="dxa"/>
                  <w:tcBorders>
                    <w:top w:val="single" w:color="auto" w:sz="4" w:space="0"/>
                    <w:left w:val="single" w:color="auto" w:sz="4" w:space="0"/>
                    <w:bottom w:val="single" w:color="auto" w:sz="4" w:space="0"/>
                    <w:right w:val="single" w:color="auto" w:sz="4" w:space="0"/>
                  </w:tcBorders>
                  <w:vAlign w:val="center"/>
                </w:tcPr>
                <w:p w14:paraId="491D56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highlight w:val="yellow"/>
                      <w:lang w:val="en-US"/>
                    </w:rPr>
                  </w:pPr>
                  <w:r>
                    <w:rPr>
                      <w:rFonts w:hint="default" w:ascii="Times New Roman" w:hAnsi="Times New Roman" w:eastAsia="宋体" w:cs="Times New Roman"/>
                      <w:i/>
                      <w:iCs/>
                      <w:color w:val="auto"/>
                      <w:kern w:val="0"/>
                      <w:sz w:val="24"/>
                      <w:szCs w:val="24"/>
                      <w:u w:val="none"/>
                      <w:lang w:val="en-US" w:eastAsia="zh-CN" w:bidi="ar"/>
                    </w:rPr>
                    <w:t xml:space="preserve">466.216 </w:t>
                  </w:r>
                </w:p>
              </w:tc>
              <w:tc>
                <w:tcPr>
                  <w:tcW w:w="968" w:type="dxa"/>
                  <w:tcBorders>
                    <w:top w:val="single" w:color="auto" w:sz="4" w:space="0"/>
                    <w:left w:val="single" w:color="auto" w:sz="4" w:space="0"/>
                    <w:bottom w:val="single" w:color="auto" w:sz="4" w:space="0"/>
                    <w:right w:val="single" w:color="auto" w:sz="4" w:space="0"/>
                  </w:tcBorders>
                  <w:vAlign w:val="center"/>
                </w:tcPr>
                <w:p w14:paraId="001D0B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szCs w:val="24"/>
                      <w:highlight w:val="yellow"/>
                      <w:lang w:val="en-US" w:eastAsia="zh-CN"/>
                    </w:rPr>
                  </w:pPr>
                  <w:r>
                    <w:rPr>
                      <w:rFonts w:hint="default" w:ascii="Times New Roman" w:hAnsi="Times New Roman" w:eastAsia="宋体" w:cs="Times New Roman"/>
                      <w:i/>
                      <w:iCs/>
                      <w:color w:val="auto"/>
                      <w:kern w:val="0"/>
                      <w:sz w:val="24"/>
                      <w:szCs w:val="24"/>
                      <w:u w:val="none"/>
                      <w:lang w:val="en-US" w:eastAsia="zh-CN" w:bidi="ar"/>
                    </w:rPr>
                    <w:t xml:space="preserve">0.233 </w:t>
                  </w:r>
                </w:p>
              </w:tc>
              <w:tc>
                <w:tcPr>
                  <w:tcW w:w="517" w:type="dxa"/>
                  <w:vMerge w:val="continue"/>
                  <w:tcBorders>
                    <w:left w:val="single" w:color="auto" w:sz="4" w:space="0"/>
                    <w:right w:val="single" w:color="auto" w:sz="4" w:space="0"/>
                  </w:tcBorders>
                  <w:vAlign w:val="center"/>
                </w:tcPr>
                <w:p w14:paraId="27B839F1">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457EAF92">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235E5B8C">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437495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lang w:bidi="ar"/>
                    </w:rPr>
                  </w:pPr>
                  <w:r>
                    <w:rPr>
                      <w:rFonts w:hint="default" w:ascii="Times New Roman" w:hAnsi="Times New Roman" w:cs="Times New Roman"/>
                      <w:i/>
                      <w:iCs/>
                      <w:color w:val="auto"/>
                      <w:kern w:val="0"/>
                      <w:sz w:val="24"/>
                      <w:szCs w:val="24"/>
                      <w:lang w:bidi="ar"/>
                    </w:rPr>
                    <w:t>400</w:t>
                  </w:r>
                </w:p>
              </w:tc>
              <w:tc>
                <w:tcPr>
                  <w:tcW w:w="1132" w:type="dxa"/>
                  <w:tcBorders>
                    <w:top w:val="single" w:color="auto" w:sz="4" w:space="0"/>
                    <w:left w:val="single" w:color="auto" w:sz="4" w:space="0"/>
                    <w:bottom w:val="single" w:color="auto" w:sz="4" w:space="0"/>
                    <w:right w:val="single" w:color="auto" w:sz="4" w:space="0"/>
                  </w:tcBorders>
                  <w:vAlign w:val="center"/>
                </w:tcPr>
                <w:p w14:paraId="225DC9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lang w:val="en-US"/>
                    </w:rPr>
                  </w:pPr>
                  <w:r>
                    <w:rPr>
                      <w:rFonts w:hint="default" w:ascii="Times New Roman" w:hAnsi="Times New Roman" w:eastAsia="宋体" w:cs="Times New Roman"/>
                      <w:i/>
                      <w:iCs/>
                      <w:color w:val="auto"/>
                      <w:kern w:val="0"/>
                      <w:sz w:val="24"/>
                      <w:szCs w:val="24"/>
                      <w:u w:val="none"/>
                      <w:lang w:val="en-US" w:eastAsia="zh-CN" w:bidi="ar"/>
                    </w:rPr>
                    <w:t xml:space="preserve">0.200 </w:t>
                  </w:r>
                </w:p>
              </w:tc>
              <w:tc>
                <w:tcPr>
                  <w:tcW w:w="1186" w:type="dxa"/>
                  <w:tcBorders>
                    <w:top w:val="single" w:color="auto" w:sz="4" w:space="0"/>
                    <w:left w:val="single" w:color="auto" w:sz="4" w:space="0"/>
                    <w:bottom w:val="single" w:color="auto" w:sz="4" w:space="0"/>
                    <w:right w:val="single" w:color="auto" w:sz="4" w:space="0"/>
                  </w:tcBorders>
                  <w:vAlign w:val="center"/>
                </w:tcPr>
                <w:p w14:paraId="00A1BA82">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10</w:t>
                  </w:r>
                </w:p>
              </w:tc>
              <w:tc>
                <w:tcPr>
                  <w:tcW w:w="1190" w:type="dxa"/>
                  <w:tcBorders>
                    <w:top w:val="single" w:color="auto" w:sz="4" w:space="0"/>
                    <w:left w:val="single" w:color="auto" w:sz="4" w:space="0"/>
                    <w:bottom w:val="single" w:color="auto" w:sz="4" w:space="0"/>
                    <w:right w:val="single" w:color="auto" w:sz="4" w:space="0"/>
                  </w:tcBorders>
                  <w:vAlign w:val="center"/>
                </w:tcPr>
                <w:p w14:paraId="4936D6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eastAsia="宋体" w:cs="Times New Roman"/>
                      <w:i/>
                      <w:iCs/>
                      <w:color w:val="auto"/>
                      <w:kern w:val="0"/>
                      <w:sz w:val="24"/>
                      <w:szCs w:val="24"/>
                      <w:u w:val="none"/>
                      <w:lang w:val="en-US" w:eastAsia="zh-CN" w:bidi="ar"/>
                    </w:rPr>
                    <w:t xml:space="preserve">0.0050 </w:t>
                  </w:r>
                </w:p>
              </w:tc>
              <w:tc>
                <w:tcPr>
                  <w:tcW w:w="899" w:type="dxa"/>
                  <w:vMerge w:val="continue"/>
                  <w:tcBorders>
                    <w:left w:val="single" w:color="auto" w:sz="4" w:space="0"/>
                    <w:right w:val="single" w:color="auto" w:sz="4" w:space="0"/>
                  </w:tcBorders>
                  <w:vAlign w:val="center"/>
                </w:tcPr>
                <w:p w14:paraId="26F4A6FC">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60E664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10C75B5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4254030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14:paraId="4EDEFE80">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kern w:val="2"/>
                      <w:sz w:val="24"/>
                      <w:szCs w:val="24"/>
                    </w:rPr>
                  </w:pPr>
                  <w:r>
                    <w:rPr>
                      <w:rFonts w:hint="default" w:ascii="Times New Roman" w:hAnsi="Times New Roman" w:cs="Times New Roman"/>
                      <w:i/>
                      <w:iCs/>
                      <w:color w:val="auto"/>
                      <w:sz w:val="24"/>
                      <w:szCs w:val="24"/>
                    </w:rPr>
                    <w:t>NH</w:t>
                  </w:r>
                  <w:r>
                    <w:rPr>
                      <w:rFonts w:hint="default" w:ascii="Times New Roman" w:hAnsi="Times New Roman" w:cs="Times New Roman"/>
                      <w:i/>
                      <w:iCs/>
                      <w:color w:val="auto"/>
                      <w:sz w:val="24"/>
                      <w:szCs w:val="24"/>
                      <w:vertAlign w:val="subscript"/>
                    </w:rPr>
                    <w:t>3</w:t>
                  </w:r>
                  <w:r>
                    <w:rPr>
                      <w:rFonts w:hint="default" w:ascii="Times New Roman" w:hAnsi="Times New Roman" w:cs="Times New Roman"/>
                      <w:i/>
                      <w:iCs/>
                      <w:color w:val="auto"/>
                      <w:sz w:val="24"/>
                      <w:szCs w:val="24"/>
                    </w:rPr>
                    <w:t>-N</w:t>
                  </w:r>
                </w:p>
              </w:tc>
              <w:tc>
                <w:tcPr>
                  <w:tcW w:w="450" w:type="dxa"/>
                  <w:vMerge w:val="continue"/>
                  <w:tcBorders>
                    <w:left w:val="single" w:color="auto" w:sz="4" w:space="0"/>
                    <w:right w:val="single" w:color="auto" w:sz="4" w:space="0"/>
                  </w:tcBorders>
                  <w:vAlign w:val="center"/>
                </w:tcPr>
                <w:p w14:paraId="2EAB2061">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67BD4034">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87" w:type="dxa"/>
                  <w:vMerge w:val="continue"/>
                  <w:tcBorders>
                    <w:left w:val="single" w:color="auto" w:sz="4" w:space="0"/>
                    <w:right w:val="single" w:color="auto" w:sz="4" w:space="0"/>
                  </w:tcBorders>
                  <w:vAlign w:val="center"/>
                </w:tcPr>
                <w:p w14:paraId="7268B5B0">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1131" w:type="dxa"/>
                  <w:tcBorders>
                    <w:top w:val="single" w:color="auto" w:sz="4" w:space="0"/>
                    <w:left w:val="single" w:color="auto" w:sz="4" w:space="0"/>
                    <w:bottom w:val="single" w:color="auto" w:sz="4" w:space="0"/>
                    <w:right w:val="single" w:color="auto" w:sz="4" w:space="0"/>
                  </w:tcBorders>
                  <w:vAlign w:val="center"/>
                </w:tcPr>
                <w:p w14:paraId="39F4FC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highlight w:val="yellow"/>
                      <w:lang w:val="en-US"/>
                    </w:rPr>
                  </w:pPr>
                  <w:r>
                    <w:rPr>
                      <w:rFonts w:hint="default" w:ascii="Times New Roman" w:hAnsi="Times New Roman" w:eastAsia="宋体" w:cs="Times New Roman"/>
                      <w:i/>
                      <w:iCs/>
                      <w:color w:val="auto"/>
                      <w:kern w:val="0"/>
                      <w:sz w:val="24"/>
                      <w:szCs w:val="24"/>
                      <w:u w:val="none"/>
                      <w:lang w:val="en-US" w:eastAsia="zh-CN" w:bidi="ar"/>
                    </w:rPr>
                    <w:t xml:space="preserve">48.378 </w:t>
                  </w:r>
                </w:p>
              </w:tc>
              <w:tc>
                <w:tcPr>
                  <w:tcW w:w="968" w:type="dxa"/>
                  <w:tcBorders>
                    <w:top w:val="single" w:color="auto" w:sz="4" w:space="0"/>
                    <w:left w:val="single" w:color="auto" w:sz="4" w:space="0"/>
                    <w:bottom w:val="single" w:color="auto" w:sz="4" w:space="0"/>
                    <w:right w:val="single" w:color="auto" w:sz="4" w:space="0"/>
                  </w:tcBorders>
                  <w:vAlign w:val="center"/>
                </w:tcPr>
                <w:p w14:paraId="3BEB32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highlight w:val="yellow"/>
                    </w:rPr>
                  </w:pPr>
                  <w:r>
                    <w:rPr>
                      <w:rFonts w:hint="default" w:ascii="Times New Roman" w:hAnsi="Times New Roman" w:eastAsia="宋体" w:cs="Times New Roman"/>
                      <w:i/>
                      <w:iCs/>
                      <w:color w:val="auto"/>
                      <w:kern w:val="0"/>
                      <w:sz w:val="24"/>
                      <w:szCs w:val="24"/>
                      <w:u w:val="none"/>
                      <w:lang w:val="en-US" w:eastAsia="zh-CN" w:bidi="ar"/>
                    </w:rPr>
                    <w:t xml:space="preserve">0.024 </w:t>
                  </w:r>
                </w:p>
              </w:tc>
              <w:tc>
                <w:tcPr>
                  <w:tcW w:w="517" w:type="dxa"/>
                  <w:vMerge w:val="continue"/>
                  <w:tcBorders>
                    <w:left w:val="single" w:color="auto" w:sz="4" w:space="0"/>
                    <w:right w:val="single" w:color="auto" w:sz="4" w:space="0"/>
                  </w:tcBorders>
                  <w:vAlign w:val="center"/>
                </w:tcPr>
                <w:p w14:paraId="4C0E08A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70A8900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7CC85FFB">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09144B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lang w:bidi="ar"/>
                    </w:rPr>
                  </w:pPr>
                  <w:r>
                    <w:rPr>
                      <w:rFonts w:hint="default" w:ascii="Times New Roman" w:hAnsi="Times New Roman" w:cs="Times New Roman"/>
                      <w:i/>
                      <w:iCs/>
                      <w:color w:val="auto"/>
                      <w:kern w:val="0"/>
                      <w:sz w:val="24"/>
                      <w:szCs w:val="24"/>
                      <w:lang w:bidi="ar"/>
                    </w:rPr>
                    <w:t>45</w:t>
                  </w:r>
                </w:p>
              </w:tc>
              <w:tc>
                <w:tcPr>
                  <w:tcW w:w="1132" w:type="dxa"/>
                  <w:tcBorders>
                    <w:top w:val="single" w:color="auto" w:sz="4" w:space="0"/>
                    <w:left w:val="single" w:color="auto" w:sz="4" w:space="0"/>
                    <w:bottom w:val="single" w:color="auto" w:sz="4" w:space="0"/>
                    <w:right w:val="single" w:color="auto" w:sz="4" w:space="0"/>
                  </w:tcBorders>
                  <w:vAlign w:val="center"/>
                </w:tcPr>
                <w:p w14:paraId="18F4C8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lang w:val="en-US"/>
                    </w:rPr>
                  </w:pPr>
                  <w:r>
                    <w:rPr>
                      <w:rFonts w:hint="default" w:ascii="Times New Roman" w:hAnsi="Times New Roman" w:eastAsia="宋体" w:cs="Times New Roman"/>
                      <w:i/>
                      <w:iCs/>
                      <w:color w:val="auto"/>
                      <w:kern w:val="0"/>
                      <w:sz w:val="24"/>
                      <w:szCs w:val="24"/>
                      <w:u w:val="none"/>
                      <w:lang w:val="en-US" w:eastAsia="zh-CN" w:bidi="ar"/>
                    </w:rPr>
                    <w:t xml:space="preserve">0.022 </w:t>
                  </w:r>
                </w:p>
              </w:tc>
              <w:tc>
                <w:tcPr>
                  <w:tcW w:w="1186" w:type="dxa"/>
                  <w:tcBorders>
                    <w:top w:val="single" w:color="auto" w:sz="4" w:space="0"/>
                    <w:left w:val="single" w:color="auto" w:sz="4" w:space="0"/>
                    <w:bottom w:val="single" w:color="auto" w:sz="4" w:space="0"/>
                    <w:right w:val="single" w:color="auto" w:sz="4" w:space="0"/>
                  </w:tcBorders>
                  <w:vAlign w:val="center"/>
                </w:tcPr>
                <w:p w14:paraId="527CE271">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1.5</w:t>
                  </w:r>
                </w:p>
              </w:tc>
              <w:tc>
                <w:tcPr>
                  <w:tcW w:w="1190" w:type="dxa"/>
                  <w:tcBorders>
                    <w:top w:val="single" w:color="auto" w:sz="4" w:space="0"/>
                    <w:left w:val="single" w:color="auto" w:sz="4" w:space="0"/>
                    <w:bottom w:val="single" w:color="auto" w:sz="4" w:space="0"/>
                    <w:right w:val="single" w:color="auto" w:sz="4" w:space="0"/>
                  </w:tcBorders>
                  <w:vAlign w:val="center"/>
                </w:tcPr>
                <w:p w14:paraId="3F2216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eastAsia="宋体" w:cs="Times New Roman"/>
                      <w:i/>
                      <w:iCs/>
                      <w:color w:val="auto"/>
                      <w:kern w:val="0"/>
                      <w:sz w:val="24"/>
                      <w:szCs w:val="24"/>
                      <w:u w:val="none"/>
                      <w:lang w:val="en-US" w:eastAsia="zh-CN" w:bidi="ar"/>
                    </w:rPr>
                    <w:t xml:space="preserve">0.0007 </w:t>
                  </w:r>
                </w:p>
              </w:tc>
              <w:tc>
                <w:tcPr>
                  <w:tcW w:w="899" w:type="dxa"/>
                  <w:vMerge w:val="continue"/>
                  <w:tcBorders>
                    <w:left w:val="single" w:color="auto" w:sz="4" w:space="0"/>
                    <w:right w:val="single" w:color="auto" w:sz="4" w:space="0"/>
                  </w:tcBorders>
                  <w:vAlign w:val="center"/>
                </w:tcPr>
                <w:p w14:paraId="50A5254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7F9020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53F2BF6D">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5DE0E331">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14:paraId="44404DF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石油类</w:t>
                  </w:r>
                </w:p>
              </w:tc>
              <w:tc>
                <w:tcPr>
                  <w:tcW w:w="450" w:type="dxa"/>
                  <w:vMerge w:val="continue"/>
                  <w:tcBorders>
                    <w:left w:val="single" w:color="auto" w:sz="4" w:space="0"/>
                    <w:right w:val="single" w:color="auto" w:sz="4" w:space="0"/>
                  </w:tcBorders>
                  <w:vAlign w:val="center"/>
                </w:tcPr>
                <w:p w14:paraId="4A1F1FD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6E980C0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87" w:type="dxa"/>
                  <w:vMerge w:val="continue"/>
                  <w:tcBorders>
                    <w:left w:val="single" w:color="auto" w:sz="4" w:space="0"/>
                    <w:right w:val="single" w:color="auto" w:sz="4" w:space="0"/>
                  </w:tcBorders>
                  <w:vAlign w:val="center"/>
                </w:tcPr>
                <w:p w14:paraId="4D22460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1131" w:type="dxa"/>
                  <w:tcBorders>
                    <w:top w:val="single" w:color="auto" w:sz="4" w:space="0"/>
                    <w:left w:val="single" w:color="auto" w:sz="4" w:space="0"/>
                    <w:bottom w:val="single" w:color="auto" w:sz="4" w:space="0"/>
                    <w:right w:val="single" w:color="auto" w:sz="4" w:space="0"/>
                  </w:tcBorders>
                  <w:vAlign w:val="center"/>
                </w:tcPr>
                <w:p w14:paraId="77320F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lang w:val="en-US"/>
                    </w:rPr>
                  </w:pPr>
                  <w:r>
                    <w:rPr>
                      <w:rFonts w:hint="default" w:ascii="Times New Roman" w:hAnsi="Times New Roman" w:eastAsia="宋体" w:cs="Times New Roman"/>
                      <w:i/>
                      <w:iCs/>
                      <w:color w:val="auto"/>
                      <w:kern w:val="0"/>
                      <w:sz w:val="24"/>
                      <w:szCs w:val="24"/>
                      <w:u w:val="none"/>
                      <w:lang w:val="en-US" w:eastAsia="zh-CN" w:bidi="ar"/>
                    </w:rPr>
                    <w:t xml:space="preserve">48.649 </w:t>
                  </w:r>
                </w:p>
              </w:tc>
              <w:tc>
                <w:tcPr>
                  <w:tcW w:w="968" w:type="dxa"/>
                  <w:tcBorders>
                    <w:top w:val="single" w:color="auto" w:sz="4" w:space="0"/>
                    <w:left w:val="single" w:color="auto" w:sz="4" w:space="0"/>
                    <w:bottom w:val="single" w:color="auto" w:sz="4" w:space="0"/>
                    <w:right w:val="single" w:color="auto" w:sz="4" w:space="0"/>
                  </w:tcBorders>
                  <w:vAlign w:val="center"/>
                </w:tcPr>
                <w:p w14:paraId="038C4F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eastAsia="宋体" w:cs="Times New Roman"/>
                      <w:i/>
                      <w:iCs/>
                      <w:color w:val="auto"/>
                      <w:kern w:val="0"/>
                      <w:sz w:val="24"/>
                      <w:szCs w:val="24"/>
                      <w:u w:val="none"/>
                      <w:lang w:val="en-US" w:eastAsia="zh-CN" w:bidi="ar"/>
                    </w:rPr>
                    <w:t xml:space="preserve">0.024 </w:t>
                  </w:r>
                </w:p>
              </w:tc>
              <w:tc>
                <w:tcPr>
                  <w:tcW w:w="517" w:type="dxa"/>
                  <w:vMerge w:val="continue"/>
                  <w:tcBorders>
                    <w:left w:val="single" w:color="auto" w:sz="4" w:space="0"/>
                    <w:right w:val="single" w:color="auto" w:sz="4" w:space="0"/>
                  </w:tcBorders>
                  <w:vAlign w:val="center"/>
                </w:tcPr>
                <w:p w14:paraId="5490CD4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73DF6E03">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66AA161A">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5850EE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kern w:val="0"/>
                      <w:sz w:val="24"/>
                      <w:szCs w:val="24"/>
                      <w:lang w:val="en-US" w:eastAsia="zh-CN" w:bidi="ar"/>
                    </w:rPr>
                  </w:pPr>
                  <w:r>
                    <w:rPr>
                      <w:rFonts w:hint="eastAsia" w:ascii="Times New Roman" w:hAnsi="Times New Roman" w:cs="Times New Roman"/>
                      <w:i/>
                      <w:iCs/>
                      <w:color w:val="auto"/>
                      <w:kern w:val="0"/>
                      <w:sz w:val="24"/>
                      <w:szCs w:val="24"/>
                      <w:lang w:val="en-US" w:eastAsia="zh-CN" w:bidi="ar"/>
                    </w:rPr>
                    <w:t>20</w:t>
                  </w:r>
                </w:p>
              </w:tc>
              <w:tc>
                <w:tcPr>
                  <w:tcW w:w="1132" w:type="dxa"/>
                  <w:tcBorders>
                    <w:top w:val="single" w:color="auto" w:sz="4" w:space="0"/>
                    <w:left w:val="single" w:color="auto" w:sz="4" w:space="0"/>
                    <w:bottom w:val="single" w:color="auto" w:sz="4" w:space="0"/>
                    <w:right w:val="single" w:color="auto" w:sz="4" w:space="0"/>
                  </w:tcBorders>
                  <w:vAlign w:val="center"/>
                </w:tcPr>
                <w:p w14:paraId="3579AA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szCs w:val="24"/>
                    </w:rPr>
                  </w:pPr>
                  <w:r>
                    <w:rPr>
                      <w:rFonts w:hint="default" w:ascii="Times New Roman" w:hAnsi="Times New Roman" w:eastAsia="宋体" w:cs="Times New Roman"/>
                      <w:i/>
                      <w:iCs/>
                      <w:color w:val="auto"/>
                      <w:kern w:val="0"/>
                      <w:sz w:val="24"/>
                      <w:szCs w:val="24"/>
                      <w:u w:val="none"/>
                      <w:lang w:val="en-US" w:eastAsia="zh-CN" w:bidi="ar"/>
                    </w:rPr>
                    <w:t xml:space="preserve">0.010 </w:t>
                  </w:r>
                </w:p>
              </w:tc>
              <w:tc>
                <w:tcPr>
                  <w:tcW w:w="1186" w:type="dxa"/>
                  <w:tcBorders>
                    <w:top w:val="single" w:color="auto" w:sz="4" w:space="0"/>
                    <w:left w:val="single" w:color="auto" w:sz="4" w:space="0"/>
                    <w:bottom w:val="single" w:color="auto" w:sz="4" w:space="0"/>
                    <w:right w:val="single" w:color="auto" w:sz="4" w:space="0"/>
                  </w:tcBorders>
                  <w:vAlign w:val="center"/>
                </w:tcPr>
                <w:p w14:paraId="46390380">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1</w:t>
                  </w:r>
                </w:p>
              </w:tc>
              <w:tc>
                <w:tcPr>
                  <w:tcW w:w="1190" w:type="dxa"/>
                  <w:tcBorders>
                    <w:top w:val="single" w:color="auto" w:sz="4" w:space="0"/>
                    <w:left w:val="single" w:color="auto" w:sz="4" w:space="0"/>
                    <w:bottom w:val="single" w:color="auto" w:sz="4" w:space="0"/>
                    <w:right w:val="single" w:color="auto" w:sz="4" w:space="0"/>
                  </w:tcBorders>
                  <w:vAlign w:val="center"/>
                </w:tcPr>
                <w:p w14:paraId="0274D6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eastAsia="宋体" w:cs="Times New Roman"/>
                      <w:i/>
                      <w:iCs/>
                      <w:color w:val="auto"/>
                      <w:kern w:val="0"/>
                      <w:sz w:val="24"/>
                      <w:szCs w:val="24"/>
                      <w:u w:val="none"/>
                      <w:lang w:val="en-US" w:eastAsia="zh-CN" w:bidi="ar"/>
                    </w:rPr>
                    <w:t xml:space="preserve">0.0005 </w:t>
                  </w:r>
                </w:p>
              </w:tc>
              <w:tc>
                <w:tcPr>
                  <w:tcW w:w="899" w:type="dxa"/>
                  <w:vMerge w:val="continue"/>
                  <w:tcBorders>
                    <w:left w:val="single" w:color="auto" w:sz="4" w:space="0"/>
                    <w:right w:val="single" w:color="auto" w:sz="4" w:space="0"/>
                  </w:tcBorders>
                  <w:vAlign w:val="center"/>
                </w:tcPr>
                <w:p w14:paraId="08AF67BF">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r w14:paraId="48706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468" w:type="dxa"/>
                  <w:vMerge w:val="continue"/>
                  <w:tcBorders>
                    <w:left w:val="single" w:color="auto" w:sz="4" w:space="0"/>
                    <w:right w:val="single" w:color="auto" w:sz="4" w:space="0"/>
                  </w:tcBorders>
                  <w:vAlign w:val="center"/>
                </w:tcPr>
                <w:p w14:paraId="629D682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696" w:type="dxa"/>
                  <w:vMerge w:val="continue"/>
                  <w:tcBorders>
                    <w:left w:val="single" w:color="auto" w:sz="4" w:space="0"/>
                    <w:right w:val="single" w:color="auto" w:sz="4" w:space="0"/>
                  </w:tcBorders>
                  <w:vAlign w:val="center"/>
                </w:tcPr>
                <w:p w14:paraId="6B9FA6E2">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14:paraId="04A2EF5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TP</w:t>
                  </w:r>
                </w:p>
              </w:tc>
              <w:tc>
                <w:tcPr>
                  <w:tcW w:w="450" w:type="dxa"/>
                  <w:vMerge w:val="continue"/>
                  <w:tcBorders>
                    <w:left w:val="single" w:color="auto" w:sz="4" w:space="0"/>
                    <w:right w:val="single" w:color="auto" w:sz="4" w:space="0"/>
                  </w:tcBorders>
                  <w:vAlign w:val="center"/>
                </w:tcPr>
                <w:p w14:paraId="1F8F7F69">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37" w:type="dxa"/>
                  <w:vMerge w:val="continue"/>
                  <w:tcBorders>
                    <w:left w:val="single" w:color="auto" w:sz="4" w:space="0"/>
                    <w:right w:val="single" w:color="auto" w:sz="4" w:space="0"/>
                  </w:tcBorders>
                  <w:vAlign w:val="center"/>
                </w:tcPr>
                <w:p w14:paraId="5BA534B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87" w:type="dxa"/>
                  <w:vMerge w:val="continue"/>
                  <w:tcBorders>
                    <w:left w:val="single" w:color="auto" w:sz="4" w:space="0"/>
                    <w:right w:val="single" w:color="auto" w:sz="4" w:space="0"/>
                  </w:tcBorders>
                  <w:vAlign w:val="center"/>
                </w:tcPr>
                <w:p w14:paraId="7A2A809C">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1131" w:type="dxa"/>
                  <w:tcBorders>
                    <w:top w:val="single" w:color="auto" w:sz="4" w:space="0"/>
                    <w:left w:val="single" w:color="auto" w:sz="4" w:space="0"/>
                    <w:bottom w:val="single" w:color="auto" w:sz="4" w:space="0"/>
                    <w:right w:val="single" w:color="auto" w:sz="4" w:space="0"/>
                  </w:tcBorders>
                  <w:vAlign w:val="center"/>
                </w:tcPr>
                <w:p w14:paraId="26738B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iCs/>
                      <w:color w:val="auto"/>
                      <w:kern w:val="0"/>
                      <w:sz w:val="24"/>
                      <w:szCs w:val="24"/>
                      <w:u w:val="none"/>
                      <w:lang w:val="en-US" w:eastAsia="zh-CN" w:bidi="ar"/>
                    </w:rPr>
                  </w:pPr>
                  <w:r>
                    <w:rPr>
                      <w:rFonts w:hint="default" w:ascii="Times New Roman" w:hAnsi="Times New Roman" w:eastAsia="宋体" w:cs="Times New Roman"/>
                      <w:i/>
                      <w:iCs/>
                      <w:color w:val="auto"/>
                      <w:kern w:val="0"/>
                      <w:sz w:val="24"/>
                      <w:szCs w:val="24"/>
                      <w:u w:val="none"/>
                      <w:lang w:val="en-US" w:eastAsia="zh-CN" w:bidi="ar"/>
                    </w:rPr>
                    <w:t xml:space="preserve">10.135 </w:t>
                  </w:r>
                </w:p>
              </w:tc>
              <w:tc>
                <w:tcPr>
                  <w:tcW w:w="968" w:type="dxa"/>
                  <w:tcBorders>
                    <w:top w:val="single" w:color="auto" w:sz="4" w:space="0"/>
                    <w:left w:val="single" w:color="auto" w:sz="4" w:space="0"/>
                    <w:bottom w:val="single" w:color="auto" w:sz="4" w:space="0"/>
                    <w:right w:val="single" w:color="auto" w:sz="4" w:space="0"/>
                  </w:tcBorders>
                  <w:vAlign w:val="center"/>
                </w:tcPr>
                <w:p w14:paraId="7D9BEA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iCs/>
                      <w:color w:val="auto"/>
                      <w:kern w:val="0"/>
                      <w:sz w:val="24"/>
                      <w:szCs w:val="24"/>
                      <w:u w:val="none"/>
                      <w:lang w:val="en-US" w:eastAsia="zh-CN" w:bidi="ar"/>
                    </w:rPr>
                  </w:pPr>
                  <w:r>
                    <w:rPr>
                      <w:rFonts w:hint="default" w:ascii="Times New Roman" w:hAnsi="Times New Roman" w:eastAsia="宋体" w:cs="Times New Roman"/>
                      <w:i/>
                      <w:iCs/>
                      <w:color w:val="auto"/>
                      <w:kern w:val="0"/>
                      <w:sz w:val="24"/>
                      <w:szCs w:val="24"/>
                      <w:u w:val="none"/>
                      <w:lang w:val="en-US" w:eastAsia="zh-CN" w:bidi="ar"/>
                    </w:rPr>
                    <w:t xml:space="preserve">0.005 </w:t>
                  </w:r>
                </w:p>
              </w:tc>
              <w:tc>
                <w:tcPr>
                  <w:tcW w:w="517" w:type="dxa"/>
                  <w:vMerge w:val="continue"/>
                  <w:tcBorders>
                    <w:left w:val="single" w:color="auto" w:sz="4" w:space="0"/>
                    <w:right w:val="single" w:color="auto" w:sz="4" w:space="0"/>
                  </w:tcBorders>
                  <w:vAlign w:val="center"/>
                </w:tcPr>
                <w:p w14:paraId="77077588">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390" w:type="dxa"/>
                  <w:vMerge w:val="continue"/>
                  <w:tcBorders>
                    <w:left w:val="single" w:color="auto" w:sz="4" w:space="0"/>
                    <w:right w:val="single" w:color="auto" w:sz="4" w:space="0"/>
                  </w:tcBorders>
                  <w:vAlign w:val="center"/>
                </w:tcPr>
                <w:p w14:paraId="3BE77565">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840" w:type="dxa"/>
                  <w:vMerge w:val="continue"/>
                  <w:tcBorders>
                    <w:left w:val="single" w:color="auto" w:sz="4" w:space="0"/>
                    <w:right w:val="single" w:color="auto" w:sz="4" w:space="0"/>
                  </w:tcBorders>
                  <w:vAlign w:val="center"/>
                </w:tcPr>
                <w:p w14:paraId="27732440">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i/>
                      <w:iCs/>
                      <w:color w:val="auto"/>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14:paraId="260534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kern w:val="0"/>
                      <w:sz w:val="24"/>
                      <w:szCs w:val="24"/>
                      <w:lang w:val="en-US" w:eastAsia="zh-CN" w:bidi="ar"/>
                    </w:rPr>
                  </w:pPr>
                  <w:r>
                    <w:rPr>
                      <w:rFonts w:hint="eastAsia" w:ascii="Times New Roman" w:hAnsi="Times New Roman" w:cs="Times New Roman"/>
                      <w:i/>
                      <w:iCs/>
                      <w:color w:val="auto"/>
                      <w:kern w:val="0"/>
                      <w:sz w:val="24"/>
                      <w:szCs w:val="24"/>
                      <w:lang w:val="en-US" w:eastAsia="zh-CN" w:bidi="ar"/>
                    </w:rPr>
                    <w:t>6</w:t>
                  </w:r>
                </w:p>
              </w:tc>
              <w:tc>
                <w:tcPr>
                  <w:tcW w:w="1132" w:type="dxa"/>
                  <w:tcBorders>
                    <w:top w:val="single" w:color="auto" w:sz="4" w:space="0"/>
                    <w:left w:val="single" w:color="auto" w:sz="4" w:space="0"/>
                    <w:bottom w:val="single" w:color="auto" w:sz="4" w:space="0"/>
                    <w:right w:val="single" w:color="auto" w:sz="4" w:space="0"/>
                  </w:tcBorders>
                  <w:vAlign w:val="center"/>
                </w:tcPr>
                <w:p w14:paraId="169B04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iCs/>
                      <w:color w:val="auto"/>
                      <w:kern w:val="0"/>
                      <w:sz w:val="24"/>
                      <w:szCs w:val="24"/>
                      <w:u w:val="none"/>
                      <w:lang w:val="en-US" w:eastAsia="zh-CN" w:bidi="ar"/>
                    </w:rPr>
                  </w:pPr>
                  <w:r>
                    <w:rPr>
                      <w:rFonts w:hint="eastAsia" w:ascii="Times New Roman" w:hAnsi="Times New Roman" w:eastAsia="宋体" w:cs="Times New Roman"/>
                      <w:i/>
                      <w:iCs/>
                      <w:color w:val="auto"/>
                      <w:kern w:val="0"/>
                      <w:sz w:val="24"/>
                      <w:szCs w:val="24"/>
                      <w:u w:val="none"/>
                      <w:lang w:val="en-US" w:eastAsia="zh-CN" w:bidi="ar"/>
                    </w:rPr>
                    <w:t>0.003</w:t>
                  </w:r>
                </w:p>
              </w:tc>
              <w:tc>
                <w:tcPr>
                  <w:tcW w:w="1186" w:type="dxa"/>
                  <w:tcBorders>
                    <w:top w:val="single" w:color="auto" w:sz="4" w:space="0"/>
                    <w:left w:val="single" w:color="auto" w:sz="4" w:space="0"/>
                    <w:bottom w:val="single" w:color="auto" w:sz="4" w:space="0"/>
                    <w:right w:val="single" w:color="auto" w:sz="4" w:space="0"/>
                  </w:tcBorders>
                  <w:vAlign w:val="center"/>
                </w:tcPr>
                <w:p w14:paraId="2BC2B177">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 w:cs="Times New Roman"/>
                      <w:i/>
                      <w:iCs/>
                      <w:color w:val="auto"/>
                      <w:sz w:val="24"/>
                      <w:szCs w:val="24"/>
                      <w:lang w:val="en-US" w:eastAsia="zh-CN"/>
                    </w:rPr>
                  </w:pPr>
                  <w:r>
                    <w:rPr>
                      <w:rFonts w:hint="eastAsia" w:ascii="Times New Roman" w:hAnsi="Times New Roman" w:cs="Times New Roman"/>
                      <w:i/>
                      <w:iCs/>
                      <w:color w:val="auto"/>
                      <w:sz w:val="24"/>
                      <w:szCs w:val="24"/>
                      <w:lang w:val="en-US" w:eastAsia="zh-CN"/>
                    </w:rPr>
                    <w:t>0.3</w:t>
                  </w:r>
                </w:p>
              </w:tc>
              <w:tc>
                <w:tcPr>
                  <w:tcW w:w="1190" w:type="dxa"/>
                  <w:tcBorders>
                    <w:top w:val="single" w:color="auto" w:sz="4" w:space="0"/>
                    <w:left w:val="single" w:color="auto" w:sz="4" w:space="0"/>
                    <w:bottom w:val="single" w:color="auto" w:sz="4" w:space="0"/>
                    <w:right w:val="single" w:color="auto" w:sz="4" w:space="0"/>
                  </w:tcBorders>
                  <w:vAlign w:val="center"/>
                </w:tcPr>
                <w:p w14:paraId="1A255E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iCs/>
                      <w:color w:val="auto"/>
                      <w:kern w:val="0"/>
                      <w:sz w:val="24"/>
                      <w:szCs w:val="24"/>
                      <w:u w:val="none"/>
                      <w:lang w:val="en-US" w:eastAsia="zh-CN" w:bidi="ar"/>
                    </w:rPr>
                  </w:pPr>
                  <w:r>
                    <w:rPr>
                      <w:rFonts w:hint="eastAsia" w:ascii="Times New Roman" w:hAnsi="Times New Roman" w:eastAsia="宋体" w:cs="Times New Roman"/>
                      <w:i/>
                      <w:iCs/>
                      <w:color w:val="auto"/>
                      <w:kern w:val="0"/>
                      <w:sz w:val="24"/>
                      <w:szCs w:val="24"/>
                      <w:u w:val="none"/>
                      <w:lang w:val="en-US" w:eastAsia="zh-CN" w:bidi="ar"/>
                    </w:rPr>
                    <w:t>0.0001</w:t>
                  </w:r>
                </w:p>
              </w:tc>
              <w:tc>
                <w:tcPr>
                  <w:tcW w:w="899" w:type="dxa"/>
                  <w:vMerge w:val="continue"/>
                  <w:tcBorders>
                    <w:left w:val="single" w:color="auto" w:sz="4" w:space="0"/>
                    <w:right w:val="single" w:color="auto" w:sz="4" w:space="0"/>
                  </w:tcBorders>
                  <w:vAlign w:val="center"/>
                </w:tcPr>
                <w:p w14:paraId="7EA0AB6B">
                  <w:pPr>
                    <w:pStyle w:val="94"/>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4"/>
                      <w:szCs w:val="24"/>
                    </w:rPr>
                  </w:pPr>
                </w:p>
              </w:tc>
            </w:tr>
          </w:tbl>
          <w:p w14:paraId="75E776F5">
            <w:pPr>
              <w:pStyle w:val="75"/>
              <w:rPr>
                <w:color w:val="auto"/>
                <w:sz w:val="24"/>
                <w:lang w:val="en-US"/>
              </w:rPr>
            </w:pPr>
          </w:p>
          <w:p w14:paraId="72853975">
            <w:pPr>
              <w:spacing w:line="240" w:lineRule="auto"/>
              <w:ind w:firstLine="0" w:firstLineChars="0"/>
              <w:jc w:val="center"/>
              <w:rPr>
                <w:color w:val="auto"/>
                <w:sz w:val="28"/>
              </w:rPr>
            </w:pPr>
            <w:r>
              <w:rPr>
                <w:rFonts w:hint="eastAsia"/>
                <w:color w:val="auto"/>
                <w:sz w:val="24"/>
                <w:szCs w:val="32"/>
              </w:rPr>
              <w:t>表4-7废水类别、污染物及污染治理设施信息表</w:t>
            </w:r>
          </w:p>
          <w:tbl>
            <w:tblPr>
              <w:tblStyle w:val="32"/>
              <w:tblW w:w="130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89"/>
              <w:gridCol w:w="1183"/>
              <w:gridCol w:w="1183"/>
              <w:gridCol w:w="1183"/>
              <w:gridCol w:w="1183"/>
              <w:gridCol w:w="1183"/>
              <w:gridCol w:w="1183"/>
              <w:gridCol w:w="1183"/>
              <w:gridCol w:w="1183"/>
              <w:gridCol w:w="1184"/>
            </w:tblGrid>
            <w:tr w14:paraId="5728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75" w:type="dxa"/>
                  <w:vMerge w:val="restart"/>
                  <w:vAlign w:val="center"/>
                </w:tcPr>
                <w:p w14:paraId="51ED8BFA">
                  <w:pPr>
                    <w:pStyle w:val="49"/>
                    <w:spacing w:line="240" w:lineRule="auto"/>
                    <w:rPr>
                      <w:color w:val="auto"/>
                      <w:sz w:val="24"/>
                    </w:rPr>
                  </w:pPr>
                  <w:r>
                    <w:rPr>
                      <w:rFonts w:hint="eastAsia"/>
                      <w:color w:val="auto"/>
                      <w:sz w:val="24"/>
                    </w:rPr>
                    <w:t>序号</w:t>
                  </w:r>
                </w:p>
              </w:tc>
              <w:tc>
                <w:tcPr>
                  <w:tcW w:w="1689" w:type="dxa"/>
                  <w:vMerge w:val="restart"/>
                  <w:vAlign w:val="center"/>
                </w:tcPr>
                <w:p w14:paraId="172057A2">
                  <w:pPr>
                    <w:pStyle w:val="49"/>
                    <w:spacing w:line="240" w:lineRule="auto"/>
                    <w:rPr>
                      <w:color w:val="auto"/>
                      <w:sz w:val="24"/>
                    </w:rPr>
                  </w:pPr>
                  <w:r>
                    <w:rPr>
                      <w:rFonts w:hint="eastAsia"/>
                      <w:color w:val="auto"/>
                      <w:sz w:val="24"/>
                    </w:rPr>
                    <w:t>废水类别</w:t>
                  </w:r>
                </w:p>
              </w:tc>
              <w:tc>
                <w:tcPr>
                  <w:tcW w:w="1183" w:type="dxa"/>
                  <w:vMerge w:val="restart"/>
                  <w:vAlign w:val="center"/>
                </w:tcPr>
                <w:p w14:paraId="750F8F4B">
                  <w:pPr>
                    <w:pStyle w:val="49"/>
                    <w:spacing w:line="240" w:lineRule="auto"/>
                    <w:rPr>
                      <w:color w:val="auto"/>
                      <w:sz w:val="24"/>
                    </w:rPr>
                  </w:pPr>
                  <w:r>
                    <w:rPr>
                      <w:rFonts w:hint="eastAsia"/>
                      <w:color w:val="auto"/>
                      <w:sz w:val="24"/>
                    </w:rPr>
                    <w:t>污染物种类</w:t>
                  </w:r>
                </w:p>
              </w:tc>
              <w:tc>
                <w:tcPr>
                  <w:tcW w:w="1183" w:type="dxa"/>
                  <w:vMerge w:val="restart"/>
                  <w:vAlign w:val="center"/>
                </w:tcPr>
                <w:p w14:paraId="78EA092D">
                  <w:pPr>
                    <w:pStyle w:val="49"/>
                    <w:spacing w:line="240" w:lineRule="auto"/>
                    <w:rPr>
                      <w:color w:val="auto"/>
                      <w:sz w:val="24"/>
                    </w:rPr>
                  </w:pPr>
                  <w:r>
                    <w:rPr>
                      <w:rFonts w:hint="eastAsia"/>
                      <w:color w:val="auto"/>
                      <w:sz w:val="24"/>
                    </w:rPr>
                    <w:t>排放去向</w:t>
                  </w:r>
                </w:p>
              </w:tc>
              <w:tc>
                <w:tcPr>
                  <w:tcW w:w="1183" w:type="dxa"/>
                  <w:vMerge w:val="restart"/>
                  <w:vAlign w:val="center"/>
                </w:tcPr>
                <w:p w14:paraId="0730F792">
                  <w:pPr>
                    <w:pStyle w:val="49"/>
                    <w:spacing w:line="240" w:lineRule="auto"/>
                    <w:rPr>
                      <w:color w:val="auto"/>
                      <w:sz w:val="24"/>
                    </w:rPr>
                  </w:pPr>
                  <w:r>
                    <w:rPr>
                      <w:rFonts w:hint="eastAsia"/>
                      <w:color w:val="auto"/>
                      <w:sz w:val="24"/>
                    </w:rPr>
                    <w:t>排放规律</w:t>
                  </w:r>
                </w:p>
              </w:tc>
              <w:tc>
                <w:tcPr>
                  <w:tcW w:w="3549" w:type="dxa"/>
                  <w:gridSpan w:val="3"/>
                  <w:vAlign w:val="center"/>
                </w:tcPr>
                <w:p w14:paraId="1591FBDB">
                  <w:pPr>
                    <w:pStyle w:val="49"/>
                    <w:spacing w:line="240" w:lineRule="auto"/>
                    <w:rPr>
                      <w:color w:val="auto"/>
                      <w:sz w:val="24"/>
                    </w:rPr>
                  </w:pPr>
                  <w:r>
                    <w:rPr>
                      <w:rFonts w:hint="eastAsia"/>
                      <w:color w:val="auto"/>
                      <w:sz w:val="24"/>
                    </w:rPr>
                    <w:t>污染治理设施</w:t>
                  </w:r>
                </w:p>
              </w:tc>
              <w:tc>
                <w:tcPr>
                  <w:tcW w:w="1183" w:type="dxa"/>
                  <w:vMerge w:val="restart"/>
                  <w:vAlign w:val="center"/>
                </w:tcPr>
                <w:p w14:paraId="15A1CB66">
                  <w:pPr>
                    <w:pStyle w:val="49"/>
                    <w:spacing w:line="240" w:lineRule="auto"/>
                    <w:rPr>
                      <w:color w:val="auto"/>
                      <w:sz w:val="24"/>
                    </w:rPr>
                  </w:pPr>
                  <w:r>
                    <w:rPr>
                      <w:rFonts w:hint="eastAsia"/>
                      <w:color w:val="auto"/>
                      <w:sz w:val="24"/>
                    </w:rPr>
                    <w:t>排放口编号</w:t>
                  </w:r>
                </w:p>
              </w:tc>
              <w:tc>
                <w:tcPr>
                  <w:tcW w:w="1183" w:type="dxa"/>
                  <w:vMerge w:val="restart"/>
                  <w:vAlign w:val="center"/>
                </w:tcPr>
                <w:p w14:paraId="2389A202">
                  <w:pPr>
                    <w:pStyle w:val="49"/>
                    <w:spacing w:line="240" w:lineRule="auto"/>
                    <w:rPr>
                      <w:color w:val="auto"/>
                      <w:sz w:val="24"/>
                    </w:rPr>
                  </w:pPr>
                  <w:r>
                    <w:rPr>
                      <w:rFonts w:hint="eastAsia"/>
                      <w:color w:val="auto"/>
                      <w:sz w:val="24"/>
                    </w:rPr>
                    <w:t>是否为可行技术</w:t>
                  </w:r>
                </w:p>
              </w:tc>
              <w:tc>
                <w:tcPr>
                  <w:tcW w:w="1184" w:type="dxa"/>
                  <w:vMerge w:val="restart"/>
                  <w:vAlign w:val="center"/>
                </w:tcPr>
                <w:p w14:paraId="6D1E670A">
                  <w:pPr>
                    <w:pStyle w:val="49"/>
                    <w:spacing w:line="240" w:lineRule="auto"/>
                    <w:rPr>
                      <w:color w:val="auto"/>
                      <w:sz w:val="24"/>
                    </w:rPr>
                  </w:pPr>
                  <w:r>
                    <w:rPr>
                      <w:rFonts w:hint="eastAsia"/>
                      <w:color w:val="auto"/>
                      <w:sz w:val="24"/>
                    </w:rPr>
                    <w:t>排放口类型</w:t>
                  </w:r>
                </w:p>
              </w:tc>
            </w:tr>
            <w:tr w14:paraId="1FED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75" w:type="dxa"/>
                  <w:vMerge w:val="continue"/>
                  <w:vAlign w:val="center"/>
                </w:tcPr>
                <w:p w14:paraId="75561B4E">
                  <w:pPr>
                    <w:pStyle w:val="49"/>
                    <w:spacing w:line="240" w:lineRule="auto"/>
                    <w:rPr>
                      <w:color w:val="auto"/>
                    </w:rPr>
                  </w:pPr>
                </w:p>
              </w:tc>
              <w:tc>
                <w:tcPr>
                  <w:tcW w:w="1689" w:type="dxa"/>
                  <w:vMerge w:val="continue"/>
                  <w:vAlign w:val="center"/>
                </w:tcPr>
                <w:p w14:paraId="3F03DD81">
                  <w:pPr>
                    <w:pStyle w:val="49"/>
                    <w:spacing w:line="240" w:lineRule="auto"/>
                    <w:rPr>
                      <w:color w:val="auto"/>
                    </w:rPr>
                  </w:pPr>
                </w:p>
              </w:tc>
              <w:tc>
                <w:tcPr>
                  <w:tcW w:w="1183" w:type="dxa"/>
                  <w:vMerge w:val="continue"/>
                  <w:vAlign w:val="center"/>
                </w:tcPr>
                <w:p w14:paraId="1A409665">
                  <w:pPr>
                    <w:pStyle w:val="49"/>
                    <w:spacing w:line="240" w:lineRule="auto"/>
                    <w:rPr>
                      <w:color w:val="auto"/>
                    </w:rPr>
                  </w:pPr>
                </w:p>
              </w:tc>
              <w:tc>
                <w:tcPr>
                  <w:tcW w:w="1183" w:type="dxa"/>
                  <w:vMerge w:val="continue"/>
                  <w:vAlign w:val="center"/>
                </w:tcPr>
                <w:p w14:paraId="18E2F936">
                  <w:pPr>
                    <w:pStyle w:val="49"/>
                    <w:spacing w:line="240" w:lineRule="auto"/>
                    <w:rPr>
                      <w:color w:val="auto"/>
                    </w:rPr>
                  </w:pPr>
                </w:p>
              </w:tc>
              <w:tc>
                <w:tcPr>
                  <w:tcW w:w="1183" w:type="dxa"/>
                  <w:vMerge w:val="continue"/>
                  <w:vAlign w:val="center"/>
                </w:tcPr>
                <w:p w14:paraId="5524417C">
                  <w:pPr>
                    <w:pStyle w:val="49"/>
                    <w:spacing w:line="240" w:lineRule="auto"/>
                    <w:rPr>
                      <w:color w:val="auto"/>
                    </w:rPr>
                  </w:pPr>
                </w:p>
              </w:tc>
              <w:tc>
                <w:tcPr>
                  <w:tcW w:w="1183" w:type="dxa"/>
                  <w:vAlign w:val="center"/>
                </w:tcPr>
                <w:p w14:paraId="347A7E63">
                  <w:pPr>
                    <w:pStyle w:val="49"/>
                    <w:spacing w:line="240" w:lineRule="auto"/>
                    <w:rPr>
                      <w:color w:val="auto"/>
                      <w:sz w:val="24"/>
                    </w:rPr>
                  </w:pPr>
                  <w:r>
                    <w:rPr>
                      <w:rFonts w:hint="eastAsia"/>
                      <w:color w:val="auto"/>
                      <w:sz w:val="24"/>
                    </w:rPr>
                    <w:t>污染治理设施编号</w:t>
                  </w:r>
                </w:p>
              </w:tc>
              <w:tc>
                <w:tcPr>
                  <w:tcW w:w="1183" w:type="dxa"/>
                  <w:vAlign w:val="center"/>
                </w:tcPr>
                <w:p w14:paraId="13BCCA6F">
                  <w:pPr>
                    <w:pStyle w:val="49"/>
                    <w:spacing w:line="240" w:lineRule="auto"/>
                    <w:rPr>
                      <w:color w:val="auto"/>
                      <w:sz w:val="24"/>
                    </w:rPr>
                  </w:pPr>
                  <w:r>
                    <w:rPr>
                      <w:rFonts w:hint="eastAsia"/>
                      <w:color w:val="auto"/>
                      <w:sz w:val="24"/>
                    </w:rPr>
                    <w:t>污染治理设施名称</w:t>
                  </w:r>
                </w:p>
              </w:tc>
              <w:tc>
                <w:tcPr>
                  <w:tcW w:w="1183" w:type="dxa"/>
                  <w:vAlign w:val="center"/>
                </w:tcPr>
                <w:p w14:paraId="16C64AB6">
                  <w:pPr>
                    <w:pStyle w:val="49"/>
                    <w:spacing w:line="240" w:lineRule="auto"/>
                    <w:rPr>
                      <w:color w:val="auto"/>
                      <w:sz w:val="24"/>
                    </w:rPr>
                  </w:pPr>
                  <w:r>
                    <w:rPr>
                      <w:rFonts w:hint="eastAsia"/>
                      <w:color w:val="auto"/>
                      <w:sz w:val="24"/>
                    </w:rPr>
                    <w:t>污染治理设施工艺</w:t>
                  </w:r>
                </w:p>
              </w:tc>
              <w:tc>
                <w:tcPr>
                  <w:tcW w:w="1183" w:type="dxa"/>
                  <w:vMerge w:val="continue"/>
                  <w:vAlign w:val="center"/>
                </w:tcPr>
                <w:p w14:paraId="486F2A39">
                  <w:pPr>
                    <w:pStyle w:val="49"/>
                    <w:spacing w:line="240" w:lineRule="auto"/>
                    <w:rPr>
                      <w:color w:val="auto"/>
                      <w:sz w:val="24"/>
                    </w:rPr>
                  </w:pPr>
                </w:p>
              </w:tc>
              <w:tc>
                <w:tcPr>
                  <w:tcW w:w="1183" w:type="dxa"/>
                  <w:vMerge w:val="continue"/>
                  <w:vAlign w:val="center"/>
                </w:tcPr>
                <w:p w14:paraId="459654AB">
                  <w:pPr>
                    <w:pStyle w:val="49"/>
                    <w:spacing w:line="240" w:lineRule="auto"/>
                    <w:rPr>
                      <w:color w:val="auto"/>
                      <w:sz w:val="24"/>
                    </w:rPr>
                  </w:pPr>
                </w:p>
              </w:tc>
              <w:tc>
                <w:tcPr>
                  <w:tcW w:w="1184" w:type="dxa"/>
                  <w:vMerge w:val="continue"/>
                  <w:vAlign w:val="center"/>
                </w:tcPr>
                <w:p w14:paraId="768346D2">
                  <w:pPr>
                    <w:pStyle w:val="49"/>
                    <w:spacing w:line="240" w:lineRule="auto"/>
                    <w:rPr>
                      <w:color w:val="auto"/>
                      <w:sz w:val="24"/>
                    </w:rPr>
                  </w:pPr>
                </w:p>
              </w:tc>
            </w:tr>
            <w:tr w14:paraId="63A7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E64BC2A">
                  <w:pPr>
                    <w:pStyle w:val="49"/>
                    <w:spacing w:line="240" w:lineRule="auto"/>
                    <w:rPr>
                      <w:color w:val="auto"/>
                      <w:sz w:val="24"/>
                    </w:rPr>
                  </w:pPr>
                  <w:r>
                    <w:rPr>
                      <w:rFonts w:hint="eastAsia"/>
                      <w:color w:val="auto"/>
                      <w:sz w:val="24"/>
                    </w:rPr>
                    <w:t>1</w:t>
                  </w:r>
                </w:p>
              </w:tc>
              <w:tc>
                <w:tcPr>
                  <w:tcW w:w="1689" w:type="dxa"/>
                  <w:vAlign w:val="center"/>
                </w:tcPr>
                <w:p w14:paraId="71E1E4BC">
                  <w:pPr>
                    <w:pStyle w:val="49"/>
                    <w:spacing w:line="240" w:lineRule="auto"/>
                    <w:rPr>
                      <w:color w:val="auto"/>
                      <w:sz w:val="24"/>
                    </w:rPr>
                  </w:pPr>
                  <w:r>
                    <w:rPr>
                      <w:rFonts w:hint="eastAsia"/>
                      <w:color w:val="auto"/>
                      <w:sz w:val="24"/>
                    </w:rPr>
                    <w:t>生活污水</w:t>
                  </w:r>
                  <w:r>
                    <w:rPr>
                      <w:rFonts w:hint="eastAsia"/>
                      <w:color w:val="auto"/>
                      <w:sz w:val="24"/>
                      <w:lang w:eastAsia="zh-CN"/>
                    </w:rPr>
                    <w:t>、</w:t>
                  </w:r>
                  <w:r>
                    <w:rPr>
                      <w:rFonts w:hint="eastAsia"/>
                      <w:color w:val="auto"/>
                      <w:sz w:val="24"/>
                    </w:rPr>
                    <w:t>地面清洁废水</w:t>
                  </w:r>
                </w:p>
              </w:tc>
              <w:tc>
                <w:tcPr>
                  <w:tcW w:w="1183" w:type="dxa"/>
                  <w:vAlign w:val="center"/>
                </w:tcPr>
                <w:p w14:paraId="5C70E46C">
                  <w:pPr>
                    <w:pStyle w:val="49"/>
                    <w:spacing w:line="240" w:lineRule="auto"/>
                    <w:rPr>
                      <w:rFonts w:hint="default" w:eastAsia="仿宋"/>
                      <w:color w:val="auto"/>
                      <w:sz w:val="24"/>
                      <w:lang w:val="en-US" w:eastAsia="zh-CN"/>
                    </w:rPr>
                  </w:pPr>
                  <w:r>
                    <w:rPr>
                      <w:rFonts w:hint="eastAsia"/>
                      <w:color w:val="auto"/>
                      <w:sz w:val="24"/>
                    </w:rPr>
                    <w:t>COD、BOD</w:t>
                  </w:r>
                  <w:r>
                    <w:rPr>
                      <w:rFonts w:hint="eastAsia"/>
                      <w:color w:val="auto"/>
                      <w:sz w:val="24"/>
                      <w:vertAlign w:val="subscript"/>
                    </w:rPr>
                    <w:t>5</w:t>
                  </w:r>
                  <w:r>
                    <w:rPr>
                      <w:rFonts w:hint="eastAsia"/>
                      <w:color w:val="auto"/>
                      <w:sz w:val="24"/>
                    </w:rPr>
                    <w:t>、SS、氨氮、石油类</w:t>
                  </w:r>
                  <w:r>
                    <w:rPr>
                      <w:rFonts w:hint="eastAsia"/>
                      <w:color w:val="auto"/>
                      <w:sz w:val="24"/>
                      <w:lang w:eastAsia="zh-CN"/>
                    </w:rPr>
                    <w:t>、</w:t>
                  </w:r>
                  <w:r>
                    <w:rPr>
                      <w:rFonts w:hint="eastAsia"/>
                      <w:color w:val="auto"/>
                      <w:sz w:val="24"/>
                      <w:lang w:val="en-US" w:eastAsia="zh-CN"/>
                    </w:rPr>
                    <w:t>TP</w:t>
                  </w:r>
                </w:p>
              </w:tc>
              <w:tc>
                <w:tcPr>
                  <w:tcW w:w="1183" w:type="dxa"/>
                  <w:vAlign w:val="center"/>
                </w:tcPr>
                <w:p w14:paraId="3D016679">
                  <w:pPr>
                    <w:pStyle w:val="49"/>
                    <w:spacing w:line="240" w:lineRule="auto"/>
                    <w:rPr>
                      <w:color w:val="auto"/>
                      <w:sz w:val="24"/>
                    </w:rPr>
                  </w:pPr>
                  <w:r>
                    <w:rPr>
                      <w:rFonts w:hint="eastAsia"/>
                      <w:color w:val="auto"/>
                      <w:sz w:val="24"/>
                      <w:lang w:eastAsia="zh-CN"/>
                    </w:rPr>
                    <w:t>西彭工业园区</w:t>
                  </w:r>
                  <w:r>
                    <w:rPr>
                      <w:rFonts w:hint="eastAsia"/>
                      <w:color w:val="auto"/>
                      <w:sz w:val="24"/>
                    </w:rPr>
                    <w:t>污水处理厂</w:t>
                  </w:r>
                </w:p>
              </w:tc>
              <w:tc>
                <w:tcPr>
                  <w:tcW w:w="1183" w:type="dxa"/>
                  <w:vAlign w:val="center"/>
                </w:tcPr>
                <w:p w14:paraId="1C4BF073">
                  <w:pPr>
                    <w:pStyle w:val="49"/>
                    <w:spacing w:line="240" w:lineRule="auto"/>
                    <w:rPr>
                      <w:color w:val="auto"/>
                      <w:sz w:val="24"/>
                    </w:rPr>
                  </w:pPr>
                  <w:r>
                    <w:rPr>
                      <w:rFonts w:hint="eastAsia"/>
                      <w:color w:val="auto"/>
                      <w:sz w:val="24"/>
                    </w:rPr>
                    <w:t>间接排放</w:t>
                  </w:r>
                </w:p>
              </w:tc>
              <w:tc>
                <w:tcPr>
                  <w:tcW w:w="1183" w:type="dxa"/>
                  <w:vAlign w:val="center"/>
                </w:tcPr>
                <w:p w14:paraId="2BC99B45">
                  <w:pPr>
                    <w:pStyle w:val="49"/>
                    <w:spacing w:line="240" w:lineRule="auto"/>
                    <w:rPr>
                      <w:color w:val="auto"/>
                      <w:sz w:val="24"/>
                    </w:rPr>
                  </w:pPr>
                  <w:r>
                    <w:rPr>
                      <w:rFonts w:hint="eastAsia"/>
                      <w:color w:val="auto"/>
                      <w:sz w:val="24"/>
                    </w:rPr>
                    <w:t>/</w:t>
                  </w:r>
                </w:p>
              </w:tc>
              <w:tc>
                <w:tcPr>
                  <w:tcW w:w="1183" w:type="dxa"/>
                  <w:vAlign w:val="center"/>
                </w:tcPr>
                <w:p w14:paraId="1AD22F1A">
                  <w:pPr>
                    <w:pStyle w:val="49"/>
                    <w:spacing w:line="240" w:lineRule="auto"/>
                    <w:rPr>
                      <w:color w:val="auto"/>
                      <w:sz w:val="24"/>
                    </w:rPr>
                  </w:pPr>
                  <w:r>
                    <w:rPr>
                      <w:rFonts w:hint="eastAsia"/>
                      <w:color w:val="auto"/>
                      <w:sz w:val="24"/>
                    </w:rPr>
                    <w:t>生化池</w:t>
                  </w:r>
                </w:p>
              </w:tc>
              <w:tc>
                <w:tcPr>
                  <w:tcW w:w="1183" w:type="dxa"/>
                  <w:vAlign w:val="center"/>
                </w:tcPr>
                <w:p w14:paraId="28B23145">
                  <w:pPr>
                    <w:pStyle w:val="49"/>
                    <w:spacing w:line="240" w:lineRule="auto"/>
                    <w:rPr>
                      <w:color w:val="auto"/>
                      <w:sz w:val="24"/>
                    </w:rPr>
                  </w:pPr>
                  <w:r>
                    <w:rPr>
                      <w:rFonts w:hint="eastAsia"/>
                      <w:color w:val="auto"/>
                      <w:sz w:val="24"/>
                    </w:rPr>
                    <w:t>生化池：厌氧生化</w:t>
                  </w:r>
                </w:p>
              </w:tc>
              <w:tc>
                <w:tcPr>
                  <w:tcW w:w="1183" w:type="dxa"/>
                  <w:vAlign w:val="center"/>
                </w:tcPr>
                <w:p w14:paraId="4C3B1A77">
                  <w:pPr>
                    <w:pStyle w:val="49"/>
                    <w:spacing w:line="240" w:lineRule="auto"/>
                    <w:rPr>
                      <w:color w:val="auto"/>
                      <w:sz w:val="24"/>
                    </w:rPr>
                  </w:pPr>
                  <w:r>
                    <w:rPr>
                      <w:rFonts w:hint="eastAsia"/>
                      <w:color w:val="auto"/>
                      <w:sz w:val="24"/>
                    </w:rPr>
                    <w:t>/</w:t>
                  </w:r>
                </w:p>
              </w:tc>
              <w:tc>
                <w:tcPr>
                  <w:tcW w:w="1183" w:type="dxa"/>
                  <w:vAlign w:val="center"/>
                </w:tcPr>
                <w:p w14:paraId="2A90F6FC">
                  <w:pPr>
                    <w:pStyle w:val="49"/>
                    <w:spacing w:line="240" w:lineRule="auto"/>
                    <w:rPr>
                      <w:color w:val="auto"/>
                      <w:sz w:val="24"/>
                    </w:rPr>
                  </w:pPr>
                  <w:r>
                    <w:rPr>
                      <w:rFonts w:hint="eastAsia"/>
                      <w:color w:val="auto"/>
                      <w:sz w:val="24"/>
                    </w:rPr>
                    <w:t>是</w:t>
                  </w:r>
                </w:p>
              </w:tc>
              <w:tc>
                <w:tcPr>
                  <w:tcW w:w="1184" w:type="dxa"/>
                  <w:vAlign w:val="center"/>
                </w:tcPr>
                <w:p w14:paraId="1F94EA21">
                  <w:pPr>
                    <w:pStyle w:val="49"/>
                    <w:spacing w:line="240" w:lineRule="auto"/>
                    <w:rPr>
                      <w:color w:val="auto"/>
                      <w:sz w:val="24"/>
                    </w:rPr>
                  </w:pPr>
                  <w:r>
                    <w:rPr>
                      <w:rFonts w:hint="eastAsia"/>
                      <w:color w:val="auto"/>
                      <w:sz w:val="24"/>
                    </w:rPr>
                    <w:t>一般排放口</w:t>
                  </w:r>
                </w:p>
              </w:tc>
            </w:tr>
          </w:tbl>
          <w:p w14:paraId="2E6FEAAA">
            <w:pPr>
              <w:pStyle w:val="49"/>
              <w:spacing w:line="240" w:lineRule="auto"/>
              <w:rPr>
                <w:color w:val="auto"/>
                <w:sz w:val="24"/>
              </w:rPr>
            </w:pPr>
            <w:r>
              <w:rPr>
                <w:rFonts w:hint="eastAsia"/>
                <w:color w:val="auto"/>
                <w:sz w:val="24"/>
              </w:rPr>
              <w:t>表4-8废水污染物排放信息表</w:t>
            </w:r>
          </w:p>
          <w:tbl>
            <w:tblPr>
              <w:tblStyle w:val="32"/>
              <w:tblW w:w="130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2667"/>
              <w:gridCol w:w="2606"/>
              <w:gridCol w:w="4338"/>
              <w:gridCol w:w="2170"/>
            </w:tblGrid>
            <w:tr w14:paraId="242A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Pr>
                <w:p w14:paraId="5FD00C1E">
                  <w:pPr>
                    <w:pStyle w:val="49"/>
                    <w:spacing w:line="240" w:lineRule="auto"/>
                    <w:rPr>
                      <w:color w:val="auto"/>
                      <w:sz w:val="24"/>
                    </w:rPr>
                  </w:pPr>
                  <w:r>
                    <w:rPr>
                      <w:rFonts w:hint="eastAsia"/>
                      <w:color w:val="auto"/>
                      <w:sz w:val="24"/>
                    </w:rPr>
                    <w:t>序号</w:t>
                  </w:r>
                </w:p>
              </w:tc>
              <w:tc>
                <w:tcPr>
                  <w:tcW w:w="2667" w:type="dxa"/>
                </w:tcPr>
                <w:p w14:paraId="78A5CC44">
                  <w:pPr>
                    <w:pStyle w:val="49"/>
                    <w:spacing w:line="240" w:lineRule="auto"/>
                    <w:rPr>
                      <w:color w:val="auto"/>
                      <w:sz w:val="24"/>
                    </w:rPr>
                  </w:pPr>
                  <w:r>
                    <w:rPr>
                      <w:rFonts w:hint="eastAsia"/>
                      <w:color w:val="auto"/>
                      <w:sz w:val="24"/>
                    </w:rPr>
                    <w:t>排放口编号</w:t>
                  </w:r>
                </w:p>
              </w:tc>
              <w:tc>
                <w:tcPr>
                  <w:tcW w:w="2606" w:type="dxa"/>
                </w:tcPr>
                <w:p w14:paraId="7848627B">
                  <w:pPr>
                    <w:pStyle w:val="49"/>
                    <w:spacing w:line="240" w:lineRule="auto"/>
                    <w:rPr>
                      <w:color w:val="auto"/>
                      <w:sz w:val="24"/>
                    </w:rPr>
                  </w:pPr>
                  <w:r>
                    <w:rPr>
                      <w:rFonts w:hint="eastAsia"/>
                      <w:color w:val="auto"/>
                      <w:sz w:val="24"/>
                    </w:rPr>
                    <w:t>污染物种类</w:t>
                  </w:r>
                </w:p>
              </w:tc>
              <w:tc>
                <w:tcPr>
                  <w:tcW w:w="4338" w:type="dxa"/>
                </w:tcPr>
                <w:p w14:paraId="3DF0894E">
                  <w:pPr>
                    <w:pStyle w:val="49"/>
                    <w:spacing w:line="240" w:lineRule="auto"/>
                    <w:rPr>
                      <w:rFonts w:hint="eastAsia" w:eastAsia="仿宋"/>
                      <w:color w:val="auto"/>
                      <w:sz w:val="24"/>
                      <w:lang w:eastAsia="zh-CN"/>
                    </w:rPr>
                  </w:pPr>
                  <w:r>
                    <w:rPr>
                      <w:rFonts w:hint="eastAsia"/>
                      <w:color w:val="auto"/>
                      <w:sz w:val="24"/>
                    </w:rPr>
                    <w:t>排放浓度（mg/L）</w:t>
                  </w:r>
                  <w:r>
                    <w:rPr>
                      <w:rFonts w:hint="eastAsia"/>
                      <w:color w:val="auto"/>
                      <w:sz w:val="24"/>
                      <w:lang w:eastAsia="zh-CN"/>
                    </w:rPr>
                    <w:t>（排入外环境）</w:t>
                  </w:r>
                </w:p>
              </w:tc>
              <w:tc>
                <w:tcPr>
                  <w:tcW w:w="2170" w:type="dxa"/>
                </w:tcPr>
                <w:p w14:paraId="04BE4573">
                  <w:pPr>
                    <w:pStyle w:val="49"/>
                    <w:spacing w:line="240" w:lineRule="auto"/>
                    <w:rPr>
                      <w:color w:val="auto"/>
                      <w:sz w:val="24"/>
                    </w:rPr>
                  </w:pPr>
                  <w:r>
                    <w:rPr>
                      <w:rFonts w:hint="eastAsia"/>
                      <w:color w:val="auto"/>
                      <w:sz w:val="24"/>
                    </w:rPr>
                    <w:t>年排放量（t/a）</w:t>
                  </w:r>
                </w:p>
              </w:tc>
            </w:tr>
            <w:tr w14:paraId="11B5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vAlign w:val="center"/>
                </w:tcPr>
                <w:p w14:paraId="48E09617">
                  <w:pPr>
                    <w:pStyle w:val="49"/>
                    <w:spacing w:line="240" w:lineRule="auto"/>
                    <w:rPr>
                      <w:color w:val="auto"/>
                      <w:sz w:val="24"/>
                    </w:rPr>
                  </w:pPr>
                  <w:r>
                    <w:rPr>
                      <w:rFonts w:hint="eastAsia"/>
                      <w:color w:val="auto"/>
                      <w:sz w:val="24"/>
                    </w:rPr>
                    <w:t>1</w:t>
                  </w:r>
                </w:p>
              </w:tc>
              <w:tc>
                <w:tcPr>
                  <w:tcW w:w="2667" w:type="dxa"/>
                  <w:vMerge w:val="restart"/>
                  <w:vAlign w:val="center"/>
                </w:tcPr>
                <w:p w14:paraId="6B06ADA3">
                  <w:pPr>
                    <w:pStyle w:val="49"/>
                    <w:spacing w:line="240" w:lineRule="auto"/>
                    <w:rPr>
                      <w:color w:val="auto"/>
                      <w:sz w:val="24"/>
                    </w:rPr>
                  </w:pPr>
                  <w:r>
                    <w:rPr>
                      <w:rFonts w:hint="eastAsia"/>
                      <w:color w:val="auto"/>
                      <w:sz w:val="24"/>
                    </w:rPr>
                    <w:t>DW001</w:t>
                  </w:r>
                </w:p>
              </w:tc>
              <w:tc>
                <w:tcPr>
                  <w:tcW w:w="2606" w:type="dxa"/>
                </w:tcPr>
                <w:p w14:paraId="6EA68E82">
                  <w:pPr>
                    <w:pStyle w:val="49"/>
                    <w:spacing w:line="240" w:lineRule="auto"/>
                    <w:rPr>
                      <w:color w:val="auto"/>
                      <w:sz w:val="24"/>
                    </w:rPr>
                  </w:pPr>
                  <w:r>
                    <w:rPr>
                      <w:rFonts w:hint="eastAsia"/>
                      <w:color w:val="auto"/>
                      <w:sz w:val="24"/>
                    </w:rPr>
                    <w:t>COD</w:t>
                  </w:r>
                </w:p>
              </w:tc>
              <w:tc>
                <w:tcPr>
                  <w:tcW w:w="4338" w:type="dxa"/>
                  <w:vAlign w:val="center"/>
                </w:tcPr>
                <w:p w14:paraId="4F2F04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eastAsia" w:ascii="Times New Roman" w:hAnsi="Times New Roman" w:cs="Times New Roman"/>
                      <w:color w:val="auto"/>
                      <w:sz w:val="24"/>
                      <w:szCs w:val="24"/>
                    </w:rPr>
                    <w:t>30</w:t>
                  </w:r>
                </w:p>
              </w:tc>
              <w:tc>
                <w:tcPr>
                  <w:tcW w:w="2170" w:type="dxa"/>
                  <w:vAlign w:val="center"/>
                </w:tcPr>
                <w:p w14:paraId="00948D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olor w:val="auto"/>
                      <w:sz w:val="24"/>
                      <w:lang w:val="en-US"/>
                    </w:rPr>
                  </w:pPr>
                  <w:r>
                    <w:rPr>
                      <w:rFonts w:hint="default" w:ascii="Times New Roman" w:hAnsi="Times New Roman" w:eastAsia="宋体" w:cs="Times New Roman"/>
                      <w:i w:val="0"/>
                      <w:iCs w:val="0"/>
                      <w:color w:val="auto"/>
                      <w:kern w:val="0"/>
                      <w:sz w:val="24"/>
                      <w:szCs w:val="24"/>
                      <w:u w:val="none"/>
                      <w:lang w:val="en-US" w:eastAsia="zh-CN" w:bidi="ar"/>
                    </w:rPr>
                    <w:t xml:space="preserve">0.0150 </w:t>
                  </w:r>
                </w:p>
              </w:tc>
            </w:tr>
            <w:tr w14:paraId="52B3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14:paraId="4C5B3720">
                  <w:pPr>
                    <w:pStyle w:val="49"/>
                    <w:spacing w:line="240" w:lineRule="auto"/>
                    <w:rPr>
                      <w:color w:val="auto"/>
                      <w:sz w:val="24"/>
                    </w:rPr>
                  </w:pPr>
                </w:p>
              </w:tc>
              <w:tc>
                <w:tcPr>
                  <w:tcW w:w="2667" w:type="dxa"/>
                  <w:vMerge w:val="continue"/>
                </w:tcPr>
                <w:p w14:paraId="3886ABDB">
                  <w:pPr>
                    <w:pStyle w:val="49"/>
                    <w:spacing w:line="240" w:lineRule="auto"/>
                    <w:rPr>
                      <w:color w:val="auto"/>
                      <w:sz w:val="24"/>
                    </w:rPr>
                  </w:pPr>
                </w:p>
              </w:tc>
              <w:tc>
                <w:tcPr>
                  <w:tcW w:w="2606" w:type="dxa"/>
                </w:tcPr>
                <w:p w14:paraId="5AC80F78">
                  <w:pPr>
                    <w:pStyle w:val="49"/>
                    <w:spacing w:line="240" w:lineRule="auto"/>
                    <w:rPr>
                      <w:color w:val="auto"/>
                      <w:sz w:val="24"/>
                    </w:rPr>
                  </w:pPr>
                  <w:r>
                    <w:rPr>
                      <w:rFonts w:hint="eastAsia"/>
                      <w:color w:val="auto"/>
                      <w:sz w:val="24"/>
                    </w:rPr>
                    <w:t>BOD</w:t>
                  </w:r>
                  <w:r>
                    <w:rPr>
                      <w:rFonts w:hint="eastAsia"/>
                      <w:color w:val="auto"/>
                      <w:sz w:val="24"/>
                      <w:vertAlign w:val="subscript"/>
                    </w:rPr>
                    <w:t>5</w:t>
                  </w:r>
                </w:p>
              </w:tc>
              <w:tc>
                <w:tcPr>
                  <w:tcW w:w="4338" w:type="dxa"/>
                  <w:vAlign w:val="center"/>
                </w:tcPr>
                <w:p w14:paraId="4ACC03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eastAsia" w:ascii="Times New Roman" w:hAnsi="Times New Roman" w:cs="Times New Roman"/>
                      <w:color w:val="auto"/>
                      <w:sz w:val="24"/>
                      <w:szCs w:val="24"/>
                    </w:rPr>
                    <w:t>10</w:t>
                  </w:r>
                </w:p>
              </w:tc>
              <w:tc>
                <w:tcPr>
                  <w:tcW w:w="2170" w:type="dxa"/>
                  <w:vAlign w:val="center"/>
                </w:tcPr>
                <w:p w14:paraId="6254F9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default" w:ascii="Times New Roman" w:hAnsi="Times New Roman" w:eastAsia="宋体" w:cs="Times New Roman"/>
                      <w:i w:val="0"/>
                      <w:iCs w:val="0"/>
                      <w:color w:val="auto"/>
                      <w:kern w:val="0"/>
                      <w:sz w:val="24"/>
                      <w:szCs w:val="24"/>
                      <w:u w:val="none"/>
                      <w:lang w:val="en-US" w:eastAsia="zh-CN" w:bidi="ar"/>
                    </w:rPr>
                    <w:t xml:space="preserve">0.0050 </w:t>
                  </w:r>
                </w:p>
              </w:tc>
            </w:tr>
            <w:tr w14:paraId="363B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14:paraId="3F103620">
                  <w:pPr>
                    <w:pStyle w:val="49"/>
                    <w:spacing w:line="240" w:lineRule="auto"/>
                    <w:rPr>
                      <w:color w:val="auto"/>
                      <w:sz w:val="24"/>
                    </w:rPr>
                  </w:pPr>
                </w:p>
              </w:tc>
              <w:tc>
                <w:tcPr>
                  <w:tcW w:w="2667" w:type="dxa"/>
                  <w:vMerge w:val="continue"/>
                </w:tcPr>
                <w:p w14:paraId="7624988A">
                  <w:pPr>
                    <w:pStyle w:val="49"/>
                    <w:spacing w:line="240" w:lineRule="auto"/>
                    <w:rPr>
                      <w:color w:val="auto"/>
                      <w:sz w:val="24"/>
                    </w:rPr>
                  </w:pPr>
                </w:p>
              </w:tc>
              <w:tc>
                <w:tcPr>
                  <w:tcW w:w="2606" w:type="dxa"/>
                </w:tcPr>
                <w:p w14:paraId="29D54A5D">
                  <w:pPr>
                    <w:pStyle w:val="49"/>
                    <w:spacing w:line="240" w:lineRule="auto"/>
                    <w:rPr>
                      <w:color w:val="auto"/>
                      <w:sz w:val="24"/>
                    </w:rPr>
                  </w:pPr>
                  <w:r>
                    <w:rPr>
                      <w:rFonts w:hint="eastAsia"/>
                      <w:color w:val="auto"/>
                      <w:sz w:val="24"/>
                    </w:rPr>
                    <w:t>SS</w:t>
                  </w:r>
                </w:p>
              </w:tc>
              <w:tc>
                <w:tcPr>
                  <w:tcW w:w="4338" w:type="dxa"/>
                  <w:vAlign w:val="center"/>
                </w:tcPr>
                <w:p w14:paraId="7329EF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eastAsia" w:ascii="Times New Roman" w:hAnsi="Times New Roman" w:cs="Times New Roman"/>
                      <w:color w:val="auto"/>
                      <w:sz w:val="24"/>
                      <w:szCs w:val="24"/>
                    </w:rPr>
                    <w:t>10</w:t>
                  </w:r>
                </w:p>
              </w:tc>
              <w:tc>
                <w:tcPr>
                  <w:tcW w:w="2170" w:type="dxa"/>
                  <w:vAlign w:val="center"/>
                </w:tcPr>
                <w:p w14:paraId="15612C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default" w:ascii="Times New Roman" w:hAnsi="Times New Roman" w:eastAsia="宋体" w:cs="Times New Roman"/>
                      <w:i w:val="0"/>
                      <w:iCs w:val="0"/>
                      <w:color w:val="auto"/>
                      <w:kern w:val="0"/>
                      <w:sz w:val="24"/>
                      <w:szCs w:val="24"/>
                      <w:u w:val="none"/>
                      <w:lang w:val="en-US" w:eastAsia="zh-CN" w:bidi="ar"/>
                    </w:rPr>
                    <w:t xml:space="preserve">0.0050 </w:t>
                  </w:r>
                </w:p>
              </w:tc>
            </w:tr>
            <w:tr w14:paraId="71AE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14:paraId="58F42D33">
                  <w:pPr>
                    <w:pStyle w:val="49"/>
                    <w:spacing w:line="240" w:lineRule="auto"/>
                    <w:rPr>
                      <w:color w:val="auto"/>
                      <w:sz w:val="24"/>
                    </w:rPr>
                  </w:pPr>
                </w:p>
              </w:tc>
              <w:tc>
                <w:tcPr>
                  <w:tcW w:w="2667" w:type="dxa"/>
                  <w:vMerge w:val="continue"/>
                </w:tcPr>
                <w:p w14:paraId="73CCD024">
                  <w:pPr>
                    <w:pStyle w:val="49"/>
                    <w:spacing w:line="240" w:lineRule="auto"/>
                    <w:rPr>
                      <w:color w:val="auto"/>
                      <w:sz w:val="24"/>
                    </w:rPr>
                  </w:pPr>
                </w:p>
              </w:tc>
              <w:tc>
                <w:tcPr>
                  <w:tcW w:w="2606" w:type="dxa"/>
                </w:tcPr>
                <w:p w14:paraId="656075B3">
                  <w:pPr>
                    <w:pStyle w:val="49"/>
                    <w:spacing w:line="240" w:lineRule="auto"/>
                    <w:rPr>
                      <w:color w:val="auto"/>
                      <w:sz w:val="24"/>
                    </w:rPr>
                  </w:pPr>
                  <w:r>
                    <w:rPr>
                      <w:rFonts w:hint="eastAsia"/>
                      <w:color w:val="auto"/>
                      <w:sz w:val="24"/>
                    </w:rPr>
                    <w:t>氨氮</w:t>
                  </w:r>
                </w:p>
              </w:tc>
              <w:tc>
                <w:tcPr>
                  <w:tcW w:w="4338" w:type="dxa"/>
                  <w:vAlign w:val="center"/>
                </w:tcPr>
                <w:p w14:paraId="21BD29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eastAsia" w:ascii="Times New Roman" w:hAnsi="Times New Roman" w:cs="Times New Roman"/>
                      <w:color w:val="auto"/>
                      <w:sz w:val="24"/>
                      <w:szCs w:val="24"/>
                    </w:rPr>
                    <w:t>1.5</w:t>
                  </w:r>
                </w:p>
              </w:tc>
              <w:tc>
                <w:tcPr>
                  <w:tcW w:w="2170" w:type="dxa"/>
                  <w:vAlign w:val="center"/>
                </w:tcPr>
                <w:p w14:paraId="59F1AC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default" w:ascii="Times New Roman" w:hAnsi="Times New Roman" w:eastAsia="宋体" w:cs="Times New Roman"/>
                      <w:i w:val="0"/>
                      <w:iCs w:val="0"/>
                      <w:color w:val="auto"/>
                      <w:kern w:val="0"/>
                      <w:sz w:val="24"/>
                      <w:szCs w:val="24"/>
                      <w:u w:val="none"/>
                      <w:lang w:val="en-US" w:eastAsia="zh-CN" w:bidi="ar"/>
                    </w:rPr>
                    <w:t xml:space="preserve">0.0007 </w:t>
                  </w:r>
                </w:p>
              </w:tc>
            </w:tr>
            <w:tr w14:paraId="12B4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14:paraId="5F0A2CD5">
                  <w:pPr>
                    <w:pStyle w:val="49"/>
                    <w:spacing w:line="240" w:lineRule="auto"/>
                    <w:rPr>
                      <w:color w:val="auto"/>
                      <w:sz w:val="24"/>
                    </w:rPr>
                  </w:pPr>
                </w:p>
              </w:tc>
              <w:tc>
                <w:tcPr>
                  <w:tcW w:w="2667" w:type="dxa"/>
                  <w:vMerge w:val="continue"/>
                </w:tcPr>
                <w:p w14:paraId="21D5C20F">
                  <w:pPr>
                    <w:pStyle w:val="49"/>
                    <w:spacing w:line="240" w:lineRule="auto"/>
                    <w:rPr>
                      <w:color w:val="auto"/>
                      <w:sz w:val="24"/>
                    </w:rPr>
                  </w:pPr>
                </w:p>
              </w:tc>
              <w:tc>
                <w:tcPr>
                  <w:tcW w:w="2606" w:type="dxa"/>
                </w:tcPr>
                <w:p w14:paraId="4689AF2D">
                  <w:pPr>
                    <w:pStyle w:val="49"/>
                    <w:spacing w:line="240" w:lineRule="auto"/>
                    <w:rPr>
                      <w:color w:val="auto"/>
                      <w:sz w:val="24"/>
                    </w:rPr>
                  </w:pPr>
                  <w:r>
                    <w:rPr>
                      <w:rFonts w:hint="eastAsia"/>
                      <w:color w:val="auto"/>
                      <w:sz w:val="24"/>
                    </w:rPr>
                    <w:t>石油类</w:t>
                  </w:r>
                </w:p>
              </w:tc>
              <w:tc>
                <w:tcPr>
                  <w:tcW w:w="4338" w:type="dxa"/>
                  <w:vAlign w:val="center"/>
                </w:tcPr>
                <w:p w14:paraId="62E05B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eastAsia" w:ascii="Times New Roman" w:hAnsi="Times New Roman" w:cs="Times New Roman"/>
                      <w:color w:val="auto"/>
                      <w:sz w:val="24"/>
                      <w:szCs w:val="24"/>
                    </w:rPr>
                    <w:t>1</w:t>
                  </w:r>
                </w:p>
              </w:tc>
              <w:tc>
                <w:tcPr>
                  <w:tcW w:w="2170" w:type="dxa"/>
                  <w:vAlign w:val="center"/>
                </w:tcPr>
                <w:p w14:paraId="199CE4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default" w:ascii="Times New Roman" w:hAnsi="Times New Roman" w:eastAsia="宋体" w:cs="Times New Roman"/>
                      <w:i w:val="0"/>
                      <w:iCs w:val="0"/>
                      <w:color w:val="auto"/>
                      <w:kern w:val="0"/>
                      <w:sz w:val="24"/>
                      <w:szCs w:val="24"/>
                      <w:u w:val="none"/>
                      <w:lang w:val="en-US" w:eastAsia="zh-CN" w:bidi="ar"/>
                    </w:rPr>
                    <w:t xml:space="preserve">0.0005 </w:t>
                  </w:r>
                </w:p>
              </w:tc>
            </w:tr>
            <w:tr w14:paraId="6B64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14:paraId="2D997030">
                  <w:pPr>
                    <w:pStyle w:val="49"/>
                    <w:spacing w:line="240" w:lineRule="auto"/>
                    <w:rPr>
                      <w:color w:val="auto"/>
                      <w:sz w:val="24"/>
                    </w:rPr>
                  </w:pPr>
                </w:p>
              </w:tc>
              <w:tc>
                <w:tcPr>
                  <w:tcW w:w="2667" w:type="dxa"/>
                  <w:vMerge w:val="continue"/>
                </w:tcPr>
                <w:p w14:paraId="39AD3816">
                  <w:pPr>
                    <w:pStyle w:val="49"/>
                    <w:spacing w:line="240" w:lineRule="auto"/>
                    <w:rPr>
                      <w:color w:val="auto"/>
                      <w:sz w:val="24"/>
                    </w:rPr>
                  </w:pPr>
                </w:p>
              </w:tc>
              <w:tc>
                <w:tcPr>
                  <w:tcW w:w="2606" w:type="dxa"/>
                </w:tcPr>
                <w:p w14:paraId="4FE930AE">
                  <w:pPr>
                    <w:pStyle w:val="49"/>
                    <w:spacing w:line="240" w:lineRule="auto"/>
                    <w:rPr>
                      <w:rFonts w:hint="default" w:eastAsia="仿宋"/>
                      <w:color w:val="auto"/>
                      <w:sz w:val="24"/>
                      <w:lang w:val="en-US" w:eastAsia="zh-CN"/>
                    </w:rPr>
                  </w:pPr>
                  <w:r>
                    <w:rPr>
                      <w:rFonts w:hint="eastAsia"/>
                      <w:color w:val="auto"/>
                      <w:sz w:val="24"/>
                      <w:lang w:val="en-US" w:eastAsia="zh-CN"/>
                    </w:rPr>
                    <w:t>TP</w:t>
                  </w:r>
                </w:p>
              </w:tc>
              <w:tc>
                <w:tcPr>
                  <w:tcW w:w="4338" w:type="dxa"/>
                  <w:vAlign w:val="center"/>
                </w:tcPr>
                <w:p w14:paraId="525E76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sz w:val="24"/>
                      <w:szCs w:val="24"/>
                      <w:lang w:val="en-US" w:eastAsia="zh-CN"/>
                    </w:rPr>
                  </w:pPr>
                  <w:r>
                    <w:rPr>
                      <w:rFonts w:hint="eastAsia" w:ascii="Times New Roman" w:hAnsi="Times New Roman" w:cs="Times New Roman"/>
                      <w:color w:val="auto"/>
                      <w:sz w:val="24"/>
                      <w:szCs w:val="24"/>
                      <w:lang w:val="en-US" w:eastAsia="zh-CN"/>
                    </w:rPr>
                    <w:t>0.3</w:t>
                  </w:r>
                </w:p>
              </w:tc>
              <w:tc>
                <w:tcPr>
                  <w:tcW w:w="2170" w:type="dxa"/>
                  <w:vAlign w:val="center"/>
                </w:tcPr>
                <w:p w14:paraId="2D3386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0.0001</w:t>
                  </w:r>
                </w:p>
              </w:tc>
            </w:tr>
            <w:tr w14:paraId="6730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dxa"/>
                  <w:gridSpan w:val="2"/>
                  <w:vMerge w:val="restart"/>
                  <w:vAlign w:val="center"/>
                </w:tcPr>
                <w:p w14:paraId="1772B046">
                  <w:pPr>
                    <w:pStyle w:val="49"/>
                    <w:spacing w:line="240" w:lineRule="auto"/>
                    <w:rPr>
                      <w:color w:val="auto"/>
                      <w:sz w:val="24"/>
                    </w:rPr>
                  </w:pPr>
                  <w:r>
                    <w:rPr>
                      <w:rFonts w:hint="eastAsia"/>
                      <w:color w:val="auto"/>
                      <w:sz w:val="24"/>
                    </w:rPr>
                    <w:t>全厂排放口合计</w:t>
                  </w:r>
                </w:p>
              </w:tc>
              <w:tc>
                <w:tcPr>
                  <w:tcW w:w="6944" w:type="dxa"/>
                  <w:gridSpan w:val="2"/>
                </w:tcPr>
                <w:p w14:paraId="206A16D0">
                  <w:pPr>
                    <w:pStyle w:val="49"/>
                    <w:spacing w:line="240" w:lineRule="auto"/>
                    <w:rPr>
                      <w:color w:val="auto"/>
                      <w:sz w:val="24"/>
                    </w:rPr>
                  </w:pPr>
                  <w:r>
                    <w:rPr>
                      <w:rFonts w:hint="eastAsia"/>
                      <w:color w:val="auto"/>
                      <w:sz w:val="24"/>
                    </w:rPr>
                    <w:t>COD</w:t>
                  </w:r>
                </w:p>
              </w:tc>
              <w:tc>
                <w:tcPr>
                  <w:tcW w:w="2170" w:type="dxa"/>
                  <w:vAlign w:val="center"/>
                </w:tcPr>
                <w:p w14:paraId="2E09B3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olor w:val="auto"/>
                      <w:sz w:val="24"/>
                      <w:lang w:val="en-US"/>
                    </w:rPr>
                  </w:pPr>
                  <w:r>
                    <w:rPr>
                      <w:rFonts w:hint="default" w:ascii="Times New Roman" w:hAnsi="Times New Roman" w:eastAsia="宋体" w:cs="Times New Roman"/>
                      <w:i w:val="0"/>
                      <w:iCs w:val="0"/>
                      <w:color w:val="auto"/>
                      <w:kern w:val="0"/>
                      <w:sz w:val="24"/>
                      <w:szCs w:val="24"/>
                      <w:u w:val="none"/>
                      <w:lang w:val="en-US" w:eastAsia="zh-CN" w:bidi="ar"/>
                    </w:rPr>
                    <w:t xml:space="preserve">0.0150 </w:t>
                  </w:r>
                </w:p>
              </w:tc>
            </w:tr>
            <w:tr w14:paraId="6359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dxa"/>
                  <w:gridSpan w:val="2"/>
                  <w:vMerge w:val="continue"/>
                </w:tcPr>
                <w:p w14:paraId="5C1A1B19">
                  <w:pPr>
                    <w:pStyle w:val="49"/>
                    <w:spacing w:line="240" w:lineRule="auto"/>
                    <w:rPr>
                      <w:color w:val="auto"/>
                      <w:sz w:val="24"/>
                    </w:rPr>
                  </w:pPr>
                </w:p>
              </w:tc>
              <w:tc>
                <w:tcPr>
                  <w:tcW w:w="6944" w:type="dxa"/>
                  <w:gridSpan w:val="2"/>
                </w:tcPr>
                <w:p w14:paraId="5A644DEF">
                  <w:pPr>
                    <w:pStyle w:val="49"/>
                    <w:spacing w:line="240" w:lineRule="auto"/>
                    <w:rPr>
                      <w:color w:val="auto"/>
                      <w:sz w:val="24"/>
                    </w:rPr>
                  </w:pPr>
                  <w:r>
                    <w:rPr>
                      <w:rFonts w:hint="eastAsia"/>
                      <w:color w:val="auto"/>
                      <w:sz w:val="24"/>
                    </w:rPr>
                    <w:t>BOD</w:t>
                  </w:r>
                  <w:r>
                    <w:rPr>
                      <w:rFonts w:hint="eastAsia"/>
                      <w:color w:val="auto"/>
                      <w:sz w:val="24"/>
                      <w:vertAlign w:val="subscript"/>
                    </w:rPr>
                    <w:t>5</w:t>
                  </w:r>
                </w:p>
              </w:tc>
              <w:tc>
                <w:tcPr>
                  <w:tcW w:w="2170" w:type="dxa"/>
                  <w:vAlign w:val="center"/>
                </w:tcPr>
                <w:p w14:paraId="7369A3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default" w:ascii="Times New Roman" w:hAnsi="Times New Roman" w:eastAsia="宋体" w:cs="Times New Roman"/>
                      <w:i w:val="0"/>
                      <w:iCs w:val="0"/>
                      <w:color w:val="auto"/>
                      <w:kern w:val="0"/>
                      <w:sz w:val="24"/>
                      <w:szCs w:val="24"/>
                      <w:u w:val="none"/>
                      <w:lang w:val="en-US" w:eastAsia="zh-CN" w:bidi="ar"/>
                    </w:rPr>
                    <w:t xml:space="preserve">0.0050 </w:t>
                  </w:r>
                </w:p>
              </w:tc>
            </w:tr>
            <w:tr w14:paraId="22A2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dxa"/>
                  <w:gridSpan w:val="2"/>
                  <w:vMerge w:val="continue"/>
                </w:tcPr>
                <w:p w14:paraId="6ADF21BD">
                  <w:pPr>
                    <w:pStyle w:val="49"/>
                    <w:spacing w:line="240" w:lineRule="auto"/>
                    <w:rPr>
                      <w:color w:val="auto"/>
                      <w:sz w:val="24"/>
                    </w:rPr>
                  </w:pPr>
                </w:p>
              </w:tc>
              <w:tc>
                <w:tcPr>
                  <w:tcW w:w="6944" w:type="dxa"/>
                  <w:gridSpan w:val="2"/>
                </w:tcPr>
                <w:p w14:paraId="623F2C28">
                  <w:pPr>
                    <w:pStyle w:val="49"/>
                    <w:spacing w:line="240" w:lineRule="auto"/>
                    <w:rPr>
                      <w:color w:val="auto"/>
                      <w:sz w:val="24"/>
                    </w:rPr>
                  </w:pPr>
                  <w:r>
                    <w:rPr>
                      <w:rFonts w:hint="eastAsia"/>
                      <w:color w:val="auto"/>
                      <w:sz w:val="24"/>
                    </w:rPr>
                    <w:t>SS</w:t>
                  </w:r>
                </w:p>
              </w:tc>
              <w:tc>
                <w:tcPr>
                  <w:tcW w:w="2170" w:type="dxa"/>
                  <w:vAlign w:val="center"/>
                </w:tcPr>
                <w:p w14:paraId="3739CE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default" w:ascii="Times New Roman" w:hAnsi="Times New Roman" w:eastAsia="宋体" w:cs="Times New Roman"/>
                      <w:i w:val="0"/>
                      <w:iCs w:val="0"/>
                      <w:color w:val="auto"/>
                      <w:kern w:val="0"/>
                      <w:sz w:val="24"/>
                      <w:szCs w:val="24"/>
                      <w:u w:val="none"/>
                      <w:lang w:val="en-US" w:eastAsia="zh-CN" w:bidi="ar"/>
                    </w:rPr>
                    <w:t xml:space="preserve">0.0050 </w:t>
                  </w:r>
                </w:p>
              </w:tc>
            </w:tr>
            <w:tr w14:paraId="27B4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dxa"/>
                  <w:gridSpan w:val="2"/>
                  <w:vMerge w:val="continue"/>
                </w:tcPr>
                <w:p w14:paraId="5CC8F58D">
                  <w:pPr>
                    <w:pStyle w:val="49"/>
                    <w:spacing w:line="240" w:lineRule="auto"/>
                    <w:rPr>
                      <w:color w:val="auto"/>
                      <w:sz w:val="24"/>
                    </w:rPr>
                  </w:pPr>
                </w:p>
              </w:tc>
              <w:tc>
                <w:tcPr>
                  <w:tcW w:w="6944" w:type="dxa"/>
                  <w:gridSpan w:val="2"/>
                </w:tcPr>
                <w:p w14:paraId="2AC83F44">
                  <w:pPr>
                    <w:pStyle w:val="49"/>
                    <w:spacing w:line="240" w:lineRule="auto"/>
                    <w:rPr>
                      <w:color w:val="auto"/>
                      <w:sz w:val="24"/>
                    </w:rPr>
                  </w:pPr>
                  <w:r>
                    <w:rPr>
                      <w:rFonts w:hint="eastAsia"/>
                      <w:color w:val="auto"/>
                      <w:sz w:val="24"/>
                    </w:rPr>
                    <w:t>氨氮</w:t>
                  </w:r>
                </w:p>
              </w:tc>
              <w:tc>
                <w:tcPr>
                  <w:tcW w:w="2170" w:type="dxa"/>
                  <w:vAlign w:val="center"/>
                </w:tcPr>
                <w:p w14:paraId="42F8D4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default" w:ascii="Times New Roman" w:hAnsi="Times New Roman" w:eastAsia="宋体" w:cs="Times New Roman"/>
                      <w:i w:val="0"/>
                      <w:iCs w:val="0"/>
                      <w:color w:val="auto"/>
                      <w:kern w:val="0"/>
                      <w:sz w:val="24"/>
                      <w:szCs w:val="24"/>
                      <w:u w:val="none"/>
                      <w:lang w:val="en-US" w:eastAsia="zh-CN" w:bidi="ar"/>
                    </w:rPr>
                    <w:t xml:space="preserve">0.0007 </w:t>
                  </w:r>
                </w:p>
              </w:tc>
            </w:tr>
            <w:tr w14:paraId="3B7B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dxa"/>
                  <w:gridSpan w:val="2"/>
                  <w:vMerge w:val="continue"/>
                </w:tcPr>
                <w:p w14:paraId="4F0F896B">
                  <w:pPr>
                    <w:pStyle w:val="49"/>
                    <w:spacing w:line="240" w:lineRule="auto"/>
                    <w:rPr>
                      <w:color w:val="auto"/>
                      <w:sz w:val="24"/>
                    </w:rPr>
                  </w:pPr>
                </w:p>
              </w:tc>
              <w:tc>
                <w:tcPr>
                  <w:tcW w:w="6944" w:type="dxa"/>
                  <w:gridSpan w:val="2"/>
                </w:tcPr>
                <w:p w14:paraId="56F49F69">
                  <w:pPr>
                    <w:pStyle w:val="49"/>
                    <w:spacing w:line="240" w:lineRule="auto"/>
                    <w:rPr>
                      <w:color w:val="auto"/>
                      <w:sz w:val="24"/>
                    </w:rPr>
                  </w:pPr>
                  <w:r>
                    <w:rPr>
                      <w:rFonts w:hint="eastAsia"/>
                      <w:color w:val="auto"/>
                      <w:sz w:val="24"/>
                    </w:rPr>
                    <w:t>石油类</w:t>
                  </w:r>
                </w:p>
              </w:tc>
              <w:tc>
                <w:tcPr>
                  <w:tcW w:w="2170" w:type="dxa"/>
                  <w:vAlign w:val="center"/>
                </w:tcPr>
                <w:p w14:paraId="6219B0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olor w:val="auto"/>
                      <w:sz w:val="24"/>
                    </w:rPr>
                  </w:pPr>
                  <w:r>
                    <w:rPr>
                      <w:rFonts w:hint="default" w:ascii="Times New Roman" w:hAnsi="Times New Roman" w:eastAsia="宋体" w:cs="Times New Roman"/>
                      <w:i w:val="0"/>
                      <w:iCs w:val="0"/>
                      <w:color w:val="auto"/>
                      <w:kern w:val="0"/>
                      <w:sz w:val="24"/>
                      <w:szCs w:val="24"/>
                      <w:u w:val="none"/>
                      <w:lang w:val="en-US" w:eastAsia="zh-CN" w:bidi="ar"/>
                    </w:rPr>
                    <w:t xml:space="preserve">0.0005 </w:t>
                  </w:r>
                </w:p>
              </w:tc>
            </w:tr>
            <w:tr w14:paraId="7C0B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8" w:type="dxa"/>
                  <w:gridSpan w:val="2"/>
                  <w:vMerge w:val="continue"/>
                </w:tcPr>
                <w:p w14:paraId="49720C7D">
                  <w:pPr>
                    <w:pStyle w:val="49"/>
                    <w:spacing w:line="240" w:lineRule="auto"/>
                    <w:rPr>
                      <w:color w:val="auto"/>
                      <w:sz w:val="24"/>
                    </w:rPr>
                  </w:pPr>
                </w:p>
              </w:tc>
              <w:tc>
                <w:tcPr>
                  <w:tcW w:w="6944" w:type="dxa"/>
                  <w:gridSpan w:val="2"/>
                </w:tcPr>
                <w:p w14:paraId="70D8FE75">
                  <w:pPr>
                    <w:pStyle w:val="49"/>
                    <w:spacing w:line="240" w:lineRule="auto"/>
                    <w:rPr>
                      <w:rFonts w:hint="default" w:eastAsia="仿宋"/>
                      <w:color w:val="auto"/>
                      <w:sz w:val="24"/>
                      <w:lang w:val="en-US" w:eastAsia="zh-CN"/>
                    </w:rPr>
                  </w:pPr>
                  <w:r>
                    <w:rPr>
                      <w:rFonts w:hint="eastAsia"/>
                      <w:color w:val="auto"/>
                      <w:sz w:val="24"/>
                      <w:lang w:val="en-US" w:eastAsia="zh-CN"/>
                    </w:rPr>
                    <w:t>TP</w:t>
                  </w:r>
                </w:p>
              </w:tc>
              <w:tc>
                <w:tcPr>
                  <w:tcW w:w="2170" w:type="dxa"/>
                  <w:vAlign w:val="center"/>
                </w:tcPr>
                <w:p w14:paraId="24848A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0.0001</w:t>
                  </w:r>
                </w:p>
              </w:tc>
            </w:tr>
          </w:tbl>
          <w:p w14:paraId="30A24E02">
            <w:pPr>
              <w:pStyle w:val="49"/>
              <w:spacing w:line="240" w:lineRule="auto"/>
              <w:rPr>
                <w:color w:val="auto"/>
                <w:sz w:val="24"/>
              </w:rPr>
            </w:pPr>
          </w:p>
        </w:tc>
      </w:tr>
    </w:tbl>
    <w:p w14:paraId="007BF2C8">
      <w:pPr>
        <w:ind w:firstLine="560"/>
        <w:rPr>
          <w:color w:val="auto"/>
          <w:sz w:val="28"/>
        </w:rPr>
        <w:sectPr>
          <w:pgSz w:w="16838" w:h="11906" w:orient="landscape"/>
          <w:pgMar w:top="1531" w:right="1701" w:bottom="1531" w:left="1701" w:header="851" w:footer="851" w:gutter="0"/>
          <w:cols w:space="720" w:num="1"/>
          <w:docGrid w:linePitch="312" w:charSpace="0"/>
        </w:sectPr>
      </w:pPr>
    </w:p>
    <w:tbl>
      <w:tblPr>
        <w:tblStyle w:val="32"/>
        <w:tblW w:w="8869" w:type="dxa"/>
        <w:tblInd w:w="-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8491"/>
      </w:tblGrid>
      <w:tr w14:paraId="4B29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7" w:hRule="atLeast"/>
        </w:trPr>
        <w:tc>
          <w:tcPr>
            <w:tcW w:w="378" w:type="dxa"/>
            <w:vAlign w:val="center"/>
          </w:tcPr>
          <w:p w14:paraId="49C361DD">
            <w:pPr>
              <w:pStyle w:val="49"/>
              <w:rPr>
                <w:color w:val="auto"/>
                <w:sz w:val="28"/>
              </w:rPr>
            </w:pPr>
            <w:r>
              <w:rPr>
                <w:rFonts w:hint="eastAsia"/>
                <w:color w:val="auto"/>
                <w:sz w:val="28"/>
              </w:rPr>
              <w:t>运营期环境影</w:t>
            </w:r>
          </w:p>
          <w:p w14:paraId="00A319AC">
            <w:pPr>
              <w:pStyle w:val="53"/>
              <w:spacing w:before="0" w:beforeLines="0" w:line="240" w:lineRule="auto"/>
              <w:jc w:val="center"/>
              <w:rPr>
                <w:rFonts w:ascii="仿宋" w:hAnsi="仿宋"/>
                <w:color w:val="auto"/>
                <w:sz w:val="28"/>
              </w:rPr>
            </w:pPr>
            <w:r>
              <w:rPr>
                <w:rFonts w:hint="eastAsia"/>
                <w:b w:val="0"/>
                <w:color w:val="auto"/>
                <w:sz w:val="28"/>
              </w:rPr>
              <w:t>响和保护措施</w:t>
            </w:r>
          </w:p>
        </w:tc>
        <w:tc>
          <w:tcPr>
            <w:tcW w:w="8491" w:type="dxa"/>
          </w:tcPr>
          <w:p w14:paraId="5D334F51">
            <w:pPr>
              <w:pStyle w:val="53"/>
              <w:spacing w:before="120"/>
              <w:rPr>
                <w:rFonts w:ascii="仿宋" w:hAnsi="仿宋"/>
                <w:color w:val="auto"/>
                <w:sz w:val="28"/>
              </w:rPr>
            </w:pPr>
            <w:r>
              <w:rPr>
                <w:rFonts w:hint="eastAsia" w:ascii="仿宋" w:hAnsi="仿宋"/>
                <w:color w:val="auto"/>
                <w:sz w:val="28"/>
                <w:lang w:val="en-US"/>
              </w:rPr>
              <w:t>4.3</w:t>
            </w:r>
            <w:r>
              <w:rPr>
                <w:rFonts w:ascii="仿宋" w:hAnsi="仿宋"/>
                <w:color w:val="auto"/>
                <w:sz w:val="28"/>
              </w:rPr>
              <w:t>.2</w:t>
            </w:r>
            <w:r>
              <w:rPr>
                <w:rFonts w:hint="eastAsia" w:ascii="仿宋" w:hAnsi="仿宋"/>
                <w:color w:val="auto"/>
                <w:sz w:val="28"/>
              </w:rPr>
              <w:t>排放口基本情况</w:t>
            </w:r>
          </w:p>
          <w:p w14:paraId="31892554">
            <w:pPr>
              <w:ind w:firstLine="560"/>
              <w:rPr>
                <w:color w:val="auto"/>
                <w:sz w:val="24"/>
                <w:szCs w:val="32"/>
              </w:rPr>
            </w:pPr>
            <w:r>
              <w:rPr>
                <w:rFonts w:hint="eastAsia"/>
                <w:color w:val="auto"/>
                <w:sz w:val="28"/>
              </w:rPr>
              <w:t>项目废水排放口基本情况见表4-9</w:t>
            </w:r>
          </w:p>
          <w:p w14:paraId="58154610">
            <w:pPr>
              <w:spacing w:line="240" w:lineRule="auto"/>
              <w:ind w:firstLine="0" w:firstLineChars="0"/>
              <w:jc w:val="center"/>
              <w:rPr>
                <w:color w:val="auto"/>
                <w:sz w:val="24"/>
                <w:szCs w:val="32"/>
              </w:rPr>
            </w:pPr>
            <w:r>
              <w:rPr>
                <w:rFonts w:hint="eastAsia"/>
                <w:color w:val="auto"/>
                <w:sz w:val="24"/>
                <w:szCs w:val="32"/>
              </w:rPr>
              <w:t>表4-9废水排放口基本情况一览表</w:t>
            </w:r>
          </w:p>
          <w:tbl>
            <w:tblPr>
              <w:tblStyle w:val="32"/>
              <w:tblW w:w="8131" w:type="dxa"/>
              <w:tblInd w:w="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547"/>
              <w:gridCol w:w="1118"/>
              <w:gridCol w:w="1290"/>
              <w:gridCol w:w="1010"/>
              <w:gridCol w:w="810"/>
              <w:gridCol w:w="798"/>
              <w:gridCol w:w="449"/>
              <w:gridCol w:w="402"/>
              <w:gridCol w:w="620"/>
              <w:gridCol w:w="678"/>
            </w:tblGrid>
            <w:tr w14:paraId="75E3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746054">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序号</w:t>
                  </w:r>
                </w:p>
              </w:tc>
              <w:tc>
                <w:tcPr>
                  <w:tcW w:w="5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0D2D33">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排放口编号</w:t>
                  </w:r>
                </w:p>
              </w:tc>
              <w:tc>
                <w:tcPr>
                  <w:tcW w:w="2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94BEFE">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排放口地理坐标</w:t>
                  </w:r>
                </w:p>
              </w:tc>
              <w:tc>
                <w:tcPr>
                  <w:tcW w:w="10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D46184">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废水排放量m</w:t>
                  </w:r>
                  <w:r>
                    <w:rPr>
                      <w:rFonts w:hint="eastAsia" w:ascii="仿宋" w:hAnsi="仿宋" w:cs="仿宋"/>
                      <w:color w:val="auto"/>
                      <w:kern w:val="2"/>
                      <w:szCs w:val="24"/>
                      <w:vertAlign w:val="superscript"/>
                      <w:lang w:val="en-US" w:bidi="ar"/>
                    </w:rPr>
                    <w:t>3</w:t>
                  </w:r>
                  <w:r>
                    <w:rPr>
                      <w:rFonts w:hint="eastAsia" w:ascii="仿宋" w:hAnsi="仿宋" w:cs="仿宋"/>
                      <w:color w:val="auto"/>
                      <w:kern w:val="2"/>
                      <w:szCs w:val="24"/>
                      <w:lang w:val="en-US" w:bidi="ar"/>
                    </w:rPr>
                    <w:t>/d</w:t>
                  </w:r>
                </w:p>
              </w:tc>
              <w:tc>
                <w:tcPr>
                  <w:tcW w:w="8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559F3C">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排放去向</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53FCA9">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规律</w:t>
                  </w:r>
                </w:p>
              </w:tc>
              <w:tc>
                <w:tcPr>
                  <w:tcW w:w="4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7BEAA2">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间歇排放时段</w:t>
                  </w:r>
                </w:p>
              </w:tc>
              <w:tc>
                <w:tcPr>
                  <w:tcW w:w="1700" w:type="dxa"/>
                  <w:gridSpan w:val="3"/>
                  <w:tcBorders>
                    <w:top w:val="single" w:color="auto" w:sz="4" w:space="0"/>
                    <w:left w:val="single" w:color="auto" w:sz="4" w:space="0"/>
                    <w:bottom w:val="nil"/>
                    <w:right w:val="single" w:color="auto" w:sz="4" w:space="0"/>
                  </w:tcBorders>
                  <w:shd w:val="clear" w:color="auto" w:fill="auto"/>
                  <w:vAlign w:val="center"/>
                </w:tcPr>
                <w:p w14:paraId="2DC86249">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受纳污水处理厂信息</w:t>
                  </w:r>
                </w:p>
              </w:tc>
            </w:tr>
            <w:tr w14:paraId="553E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A90CD7">
                  <w:pPr>
                    <w:ind w:firstLine="400"/>
                    <w:rPr>
                      <w:rFonts w:ascii="Times New Roman" w:hAnsi="Times New Roman"/>
                      <w:color w:val="auto"/>
                      <w:sz w:val="20"/>
                      <w:szCs w:val="20"/>
                    </w:rPr>
                  </w:pPr>
                </w:p>
              </w:tc>
              <w:tc>
                <w:tcPr>
                  <w:tcW w:w="54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428A6F">
                  <w:pPr>
                    <w:ind w:firstLine="400"/>
                    <w:rPr>
                      <w:rFonts w:ascii="Times New Roman" w:hAnsi="Times New Roman"/>
                      <w:color w:val="auto"/>
                      <w:sz w:val="20"/>
                      <w:szCs w:val="20"/>
                    </w:rPr>
                  </w:pP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14:paraId="52A4943C">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经度</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52174FA5">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纬度</w:t>
                  </w:r>
                </w:p>
              </w:tc>
              <w:tc>
                <w:tcPr>
                  <w:tcW w:w="10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250A96">
                  <w:pPr>
                    <w:ind w:firstLine="400"/>
                    <w:rPr>
                      <w:rFonts w:ascii="Times New Roman" w:hAnsi="Times New Roman"/>
                      <w:color w:val="auto"/>
                      <w:sz w:val="20"/>
                      <w:szCs w:val="20"/>
                    </w:rPr>
                  </w:pPr>
                </w:p>
              </w:tc>
              <w:tc>
                <w:tcPr>
                  <w:tcW w:w="8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5AF0A8">
                  <w:pPr>
                    <w:ind w:firstLine="400"/>
                    <w:rPr>
                      <w:rFonts w:ascii="Times New Roman" w:hAnsi="Times New Roman"/>
                      <w:color w:val="auto"/>
                      <w:sz w:val="20"/>
                      <w:szCs w:val="20"/>
                    </w:rPr>
                  </w:pPr>
                </w:p>
              </w:tc>
              <w:tc>
                <w:tcPr>
                  <w:tcW w:w="7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EDCDAB">
                  <w:pPr>
                    <w:ind w:firstLine="400"/>
                    <w:rPr>
                      <w:rFonts w:ascii="Times New Roman" w:hAnsi="Times New Roman"/>
                      <w:color w:val="auto"/>
                      <w:sz w:val="20"/>
                      <w:szCs w:val="20"/>
                    </w:rPr>
                  </w:pPr>
                </w:p>
              </w:tc>
              <w:tc>
                <w:tcPr>
                  <w:tcW w:w="4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33784C">
                  <w:pPr>
                    <w:ind w:firstLine="400"/>
                    <w:rPr>
                      <w:rFonts w:ascii="Times New Roman" w:hAnsi="Times New Roman"/>
                      <w:color w:val="auto"/>
                      <w:sz w:val="20"/>
                      <w:szCs w:val="20"/>
                    </w:rPr>
                  </w:pP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FC2B95">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名称</w:t>
                  </w:r>
                </w:p>
              </w:tc>
              <w:tc>
                <w:tcPr>
                  <w:tcW w:w="620" w:type="dxa"/>
                  <w:tcBorders>
                    <w:top w:val="single" w:color="auto" w:sz="4" w:space="0"/>
                    <w:left w:val="single" w:color="auto" w:sz="4" w:space="0"/>
                    <w:bottom w:val="single" w:color="auto" w:sz="4" w:space="0"/>
                    <w:right w:val="single" w:color="auto" w:sz="4" w:space="0"/>
                  </w:tcBorders>
                  <w:shd w:val="clear" w:color="auto" w:fill="auto"/>
                  <w:vAlign w:val="center"/>
                </w:tcPr>
                <w:p w14:paraId="00344057">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污染物种类</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14:paraId="639DA4B8">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排放标准限值mg/</w:t>
                  </w:r>
                  <w:r>
                    <w:rPr>
                      <w:rFonts w:hint="eastAsia" w:ascii="仿宋" w:hAnsi="仿宋"/>
                      <w:color w:val="auto"/>
                      <w:kern w:val="2"/>
                      <w:szCs w:val="24"/>
                      <w:lang w:val="en-US" w:bidi="ar"/>
                    </w:rPr>
                    <w:t>L</w:t>
                  </w:r>
                </w:p>
              </w:tc>
            </w:tr>
            <w:tr w14:paraId="72EF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 w:type="dxa"/>
                  <w:vMerge w:val="restart"/>
                  <w:tcBorders>
                    <w:top w:val="nil"/>
                    <w:left w:val="single" w:color="auto" w:sz="4" w:space="0"/>
                    <w:right w:val="single" w:color="auto" w:sz="4" w:space="0"/>
                  </w:tcBorders>
                  <w:shd w:val="clear" w:color="auto" w:fill="auto"/>
                  <w:vAlign w:val="center"/>
                </w:tcPr>
                <w:p w14:paraId="15F93658">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olor w:val="auto"/>
                      <w:kern w:val="2"/>
                      <w:szCs w:val="24"/>
                      <w:lang w:val="en-US" w:bidi="ar"/>
                    </w:rPr>
                    <w:t>1</w:t>
                  </w:r>
                </w:p>
              </w:tc>
              <w:tc>
                <w:tcPr>
                  <w:tcW w:w="547" w:type="dxa"/>
                  <w:vMerge w:val="restart"/>
                  <w:tcBorders>
                    <w:top w:val="nil"/>
                    <w:left w:val="single" w:color="auto" w:sz="4" w:space="0"/>
                    <w:right w:val="single" w:color="auto" w:sz="4" w:space="0"/>
                  </w:tcBorders>
                  <w:shd w:val="clear" w:color="auto" w:fill="auto"/>
                  <w:vAlign w:val="center"/>
                </w:tcPr>
                <w:p w14:paraId="0F44236F">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lang w:val="en-US"/>
                    </w:rPr>
                  </w:pPr>
                  <w:r>
                    <w:rPr>
                      <w:rFonts w:hint="eastAsia" w:ascii="仿宋" w:hAnsi="仿宋"/>
                      <w:color w:val="auto"/>
                      <w:kern w:val="2"/>
                      <w:szCs w:val="24"/>
                      <w:lang w:val="en-US" w:bidi="ar"/>
                    </w:rPr>
                    <w:t>DW001</w:t>
                  </w:r>
                </w:p>
              </w:tc>
              <w:tc>
                <w:tcPr>
                  <w:tcW w:w="1118" w:type="dxa"/>
                  <w:vMerge w:val="restart"/>
                  <w:tcBorders>
                    <w:top w:val="nil"/>
                    <w:left w:val="single" w:color="auto" w:sz="4" w:space="0"/>
                    <w:right w:val="single" w:color="auto" w:sz="4" w:space="0"/>
                  </w:tcBorders>
                  <w:shd w:val="clear" w:color="auto" w:fill="auto"/>
                  <w:vAlign w:val="center"/>
                </w:tcPr>
                <w:p w14:paraId="2E010ED1">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highlight w:val="none"/>
                    </w:rPr>
                  </w:pPr>
                  <w:r>
                    <w:rPr>
                      <w:rFonts w:hint="eastAsia" w:ascii="仿宋" w:hAnsi="仿宋" w:cs="仿宋"/>
                      <w:color w:val="auto"/>
                      <w:kern w:val="2"/>
                      <w:szCs w:val="24"/>
                      <w:highlight w:val="none"/>
                      <w:lang w:val="en-US" w:bidi="ar"/>
                    </w:rPr>
                    <w:t>106°</w:t>
                  </w:r>
                  <w:r>
                    <w:rPr>
                      <w:rFonts w:hint="eastAsia" w:ascii="仿宋" w:hAnsi="仿宋" w:cs="仿宋"/>
                      <w:color w:val="auto"/>
                      <w:kern w:val="2"/>
                      <w:szCs w:val="24"/>
                      <w:highlight w:val="none"/>
                      <w:lang w:val="en-US" w:eastAsia="zh-CN" w:bidi="ar"/>
                    </w:rPr>
                    <w:t>17</w:t>
                  </w:r>
                  <w:r>
                    <w:rPr>
                      <w:rFonts w:hint="eastAsia" w:ascii="仿宋" w:hAnsi="仿宋" w:cs="仿宋"/>
                      <w:color w:val="auto"/>
                      <w:kern w:val="2"/>
                      <w:szCs w:val="24"/>
                      <w:highlight w:val="none"/>
                      <w:lang w:val="en-US" w:bidi="ar"/>
                    </w:rPr>
                    <w:t>′</w:t>
                  </w:r>
                  <w:r>
                    <w:rPr>
                      <w:rFonts w:hint="eastAsia" w:ascii="仿宋" w:hAnsi="仿宋" w:cs="仿宋"/>
                      <w:color w:val="auto"/>
                      <w:kern w:val="2"/>
                      <w:szCs w:val="24"/>
                      <w:highlight w:val="none"/>
                      <w:lang w:val="en-US" w:eastAsia="zh-CN" w:bidi="ar"/>
                    </w:rPr>
                    <w:t>45</w:t>
                  </w:r>
                  <w:r>
                    <w:rPr>
                      <w:rFonts w:hint="eastAsia" w:ascii="仿宋" w:hAnsi="仿宋" w:cs="仿宋"/>
                      <w:color w:val="auto"/>
                      <w:kern w:val="2"/>
                      <w:szCs w:val="24"/>
                      <w:highlight w:val="none"/>
                      <w:lang w:val="en-US" w:bidi="ar"/>
                    </w:rPr>
                    <w:t>.</w:t>
                  </w:r>
                  <w:r>
                    <w:rPr>
                      <w:rFonts w:hint="eastAsia" w:ascii="仿宋" w:hAnsi="仿宋" w:cs="仿宋"/>
                      <w:color w:val="auto"/>
                      <w:kern w:val="2"/>
                      <w:szCs w:val="24"/>
                      <w:highlight w:val="none"/>
                      <w:lang w:val="en-US" w:eastAsia="zh-CN" w:bidi="ar"/>
                    </w:rPr>
                    <w:t>39864</w:t>
                  </w:r>
                  <w:r>
                    <w:rPr>
                      <w:rFonts w:hint="eastAsia" w:ascii="仿宋" w:hAnsi="仿宋" w:cs="仿宋"/>
                      <w:color w:val="auto"/>
                      <w:kern w:val="2"/>
                      <w:szCs w:val="24"/>
                      <w:highlight w:val="none"/>
                      <w:lang w:val="en-US" w:bidi="ar"/>
                    </w:rPr>
                    <w:t>″</w:t>
                  </w:r>
                </w:p>
              </w:tc>
              <w:tc>
                <w:tcPr>
                  <w:tcW w:w="1290" w:type="dxa"/>
                  <w:vMerge w:val="restart"/>
                  <w:tcBorders>
                    <w:top w:val="nil"/>
                    <w:left w:val="single" w:color="auto" w:sz="4" w:space="0"/>
                    <w:right w:val="single" w:color="auto" w:sz="4" w:space="0"/>
                  </w:tcBorders>
                  <w:shd w:val="clear" w:color="auto" w:fill="auto"/>
                  <w:vAlign w:val="center"/>
                </w:tcPr>
                <w:p w14:paraId="2060847A">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highlight w:val="none"/>
                    </w:rPr>
                  </w:pPr>
                  <w:r>
                    <w:rPr>
                      <w:rFonts w:hint="eastAsia" w:ascii="仿宋" w:hAnsi="仿宋" w:cs="仿宋"/>
                      <w:color w:val="auto"/>
                      <w:kern w:val="2"/>
                      <w:szCs w:val="24"/>
                      <w:highlight w:val="none"/>
                      <w:lang w:val="en-US" w:bidi="ar"/>
                    </w:rPr>
                    <w:t>29°</w:t>
                  </w:r>
                  <w:r>
                    <w:rPr>
                      <w:rFonts w:hint="eastAsia" w:ascii="仿宋" w:hAnsi="仿宋" w:cs="仿宋"/>
                      <w:color w:val="auto"/>
                      <w:kern w:val="2"/>
                      <w:szCs w:val="24"/>
                      <w:highlight w:val="none"/>
                      <w:lang w:val="en-US" w:eastAsia="zh-CN" w:bidi="ar"/>
                    </w:rPr>
                    <w:t>19</w:t>
                  </w:r>
                  <w:r>
                    <w:rPr>
                      <w:rFonts w:hint="eastAsia" w:ascii="仿宋" w:hAnsi="仿宋" w:cs="仿宋"/>
                      <w:color w:val="auto"/>
                      <w:kern w:val="2"/>
                      <w:szCs w:val="24"/>
                      <w:highlight w:val="none"/>
                      <w:lang w:val="en-US" w:bidi="ar"/>
                    </w:rPr>
                    <w:t>′</w:t>
                  </w:r>
                  <w:r>
                    <w:rPr>
                      <w:rFonts w:hint="eastAsia" w:ascii="仿宋" w:hAnsi="仿宋" w:cs="仿宋"/>
                      <w:color w:val="auto"/>
                      <w:kern w:val="2"/>
                      <w:szCs w:val="24"/>
                      <w:highlight w:val="none"/>
                      <w:lang w:val="en-US" w:eastAsia="zh-CN" w:bidi="ar"/>
                    </w:rPr>
                    <w:t>20</w:t>
                  </w:r>
                  <w:r>
                    <w:rPr>
                      <w:rFonts w:hint="eastAsia" w:ascii="仿宋" w:hAnsi="仿宋" w:cs="仿宋"/>
                      <w:color w:val="auto"/>
                      <w:kern w:val="2"/>
                      <w:szCs w:val="24"/>
                      <w:highlight w:val="none"/>
                      <w:lang w:val="en-US" w:bidi="ar"/>
                    </w:rPr>
                    <w:t>.</w:t>
                  </w:r>
                  <w:r>
                    <w:rPr>
                      <w:rFonts w:hint="eastAsia" w:ascii="仿宋" w:hAnsi="仿宋" w:cs="仿宋"/>
                      <w:color w:val="auto"/>
                      <w:kern w:val="2"/>
                      <w:szCs w:val="24"/>
                      <w:highlight w:val="none"/>
                      <w:lang w:val="en-US" w:eastAsia="zh-CN" w:bidi="ar"/>
                    </w:rPr>
                    <w:t>73544</w:t>
                  </w:r>
                  <w:r>
                    <w:rPr>
                      <w:rFonts w:hint="eastAsia" w:ascii="仿宋" w:hAnsi="仿宋" w:cs="仿宋"/>
                      <w:color w:val="auto"/>
                      <w:kern w:val="2"/>
                      <w:szCs w:val="24"/>
                      <w:highlight w:val="none"/>
                      <w:lang w:val="en-US" w:bidi="ar"/>
                    </w:rPr>
                    <w:t>″</w:t>
                  </w:r>
                </w:p>
              </w:tc>
              <w:tc>
                <w:tcPr>
                  <w:tcW w:w="1010" w:type="dxa"/>
                  <w:vMerge w:val="restart"/>
                  <w:tcBorders>
                    <w:top w:val="nil"/>
                    <w:left w:val="single" w:color="auto" w:sz="4" w:space="0"/>
                    <w:right w:val="single" w:color="auto" w:sz="4" w:space="0"/>
                  </w:tcBorders>
                  <w:shd w:val="clear" w:color="auto" w:fill="auto"/>
                  <w:vAlign w:val="center"/>
                </w:tcPr>
                <w:p w14:paraId="779CC9A8">
                  <w:pPr>
                    <w:pStyle w:val="27"/>
                    <w:widowControl w:val="0"/>
                    <w:autoSpaceDE w:val="0"/>
                    <w:spacing w:before="0" w:beforeAutospacing="0" w:after="0" w:afterAutospacing="0" w:line="320" w:lineRule="exact"/>
                    <w:ind w:firstLine="0" w:firstLineChars="0"/>
                    <w:jc w:val="both"/>
                    <w:rPr>
                      <w:rFonts w:hint="default" w:ascii="仿宋" w:hAnsi="仿宋" w:eastAsia="仿宋"/>
                      <w:color w:val="auto"/>
                      <w:kern w:val="2"/>
                      <w:sz w:val="18"/>
                      <w:szCs w:val="18"/>
                      <w:lang w:val="en-US" w:eastAsia="zh-CN"/>
                    </w:rPr>
                  </w:pPr>
                  <w:r>
                    <w:rPr>
                      <w:rFonts w:hint="eastAsia" w:ascii="仿宋" w:hAnsi="仿宋"/>
                      <w:color w:val="auto"/>
                      <w:kern w:val="2"/>
                      <w:sz w:val="24"/>
                      <w:szCs w:val="24"/>
                      <w:highlight w:val="none"/>
                      <w:lang w:val="en-US" w:eastAsia="zh-CN"/>
                    </w:rPr>
                    <w:t>3.825</w:t>
                  </w:r>
                </w:p>
              </w:tc>
              <w:tc>
                <w:tcPr>
                  <w:tcW w:w="810" w:type="dxa"/>
                  <w:vMerge w:val="restart"/>
                  <w:tcBorders>
                    <w:top w:val="nil"/>
                    <w:left w:val="single" w:color="auto" w:sz="4" w:space="0"/>
                    <w:right w:val="single" w:color="auto" w:sz="4" w:space="0"/>
                  </w:tcBorders>
                  <w:shd w:val="clear" w:color="auto" w:fill="auto"/>
                  <w:vAlign w:val="center"/>
                </w:tcPr>
                <w:p w14:paraId="517CA2F5">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eastAsia="zh-CN" w:bidi="ar"/>
                    </w:rPr>
                    <w:t>西彭工业园区</w:t>
                  </w:r>
                  <w:r>
                    <w:rPr>
                      <w:rFonts w:hint="eastAsia" w:ascii="仿宋" w:hAnsi="仿宋" w:cs="仿宋"/>
                      <w:color w:val="auto"/>
                      <w:kern w:val="2"/>
                      <w:szCs w:val="24"/>
                      <w:lang w:val="en-US" w:bidi="ar"/>
                    </w:rPr>
                    <w:t>污水处理厂</w:t>
                  </w:r>
                </w:p>
              </w:tc>
              <w:tc>
                <w:tcPr>
                  <w:tcW w:w="798" w:type="dxa"/>
                  <w:vMerge w:val="restart"/>
                  <w:tcBorders>
                    <w:top w:val="nil"/>
                    <w:left w:val="single" w:color="auto" w:sz="4" w:space="0"/>
                    <w:right w:val="single" w:color="auto" w:sz="4" w:space="0"/>
                  </w:tcBorders>
                  <w:shd w:val="clear" w:color="auto" w:fill="auto"/>
                  <w:vAlign w:val="center"/>
                </w:tcPr>
                <w:p w14:paraId="43C323FC">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连续排放，流量不稳定，但有周期性规律</w:t>
                  </w:r>
                </w:p>
              </w:tc>
              <w:tc>
                <w:tcPr>
                  <w:tcW w:w="449" w:type="dxa"/>
                  <w:vMerge w:val="restart"/>
                  <w:tcBorders>
                    <w:top w:val="nil"/>
                    <w:left w:val="single" w:color="auto" w:sz="4" w:space="0"/>
                    <w:right w:val="single" w:color="auto" w:sz="4" w:space="0"/>
                  </w:tcBorders>
                  <w:shd w:val="clear" w:color="auto" w:fill="auto"/>
                  <w:vAlign w:val="center"/>
                </w:tcPr>
                <w:p w14:paraId="5FFEF6B6">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olor w:val="auto"/>
                      <w:kern w:val="2"/>
                      <w:szCs w:val="24"/>
                      <w:lang w:val="en-US" w:bidi="ar"/>
                    </w:rPr>
                    <w:t>/</w:t>
                  </w:r>
                </w:p>
              </w:tc>
              <w:tc>
                <w:tcPr>
                  <w:tcW w:w="402" w:type="dxa"/>
                  <w:vMerge w:val="restart"/>
                  <w:tcBorders>
                    <w:top w:val="nil"/>
                    <w:left w:val="single" w:color="auto" w:sz="4" w:space="0"/>
                    <w:right w:val="single" w:color="auto" w:sz="4" w:space="0"/>
                  </w:tcBorders>
                  <w:shd w:val="clear" w:color="auto" w:fill="auto"/>
                  <w:vAlign w:val="center"/>
                </w:tcPr>
                <w:p w14:paraId="115BA747">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highlight w:val="yellow"/>
                    </w:rPr>
                  </w:pPr>
                  <w:r>
                    <w:rPr>
                      <w:rFonts w:hint="eastAsia" w:ascii="仿宋" w:hAnsi="仿宋" w:cs="仿宋"/>
                      <w:color w:val="auto"/>
                      <w:kern w:val="2"/>
                      <w:szCs w:val="24"/>
                      <w:lang w:val="en-US" w:eastAsia="zh-CN" w:bidi="ar"/>
                    </w:rPr>
                    <w:t>西彭工业园区</w:t>
                  </w:r>
                  <w:r>
                    <w:rPr>
                      <w:rFonts w:hint="eastAsia" w:ascii="仿宋" w:hAnsi="仿宋" w:cs="仿宋"/>
                      <w:color w:val="auto"/>
                      <w:kern w:val="2"/>
                      <w:szCs w:val="24"/>
                      <w:highlight w:val="none"/>
                      <w:lang w:val="en-US" w:bidi="ar"/>
                    </w:rPr>
                    <w:t>污水处理厂</w:t>
                  </w:r>
                </w:p>
              </w:tc>
              <w:tc>
                <w:tcPr>
                  <w:tcW w:w="620" w:type="dxa"/>
                  <w:tcBorders>
                    <w:top w:val="single" w:color="auto" w:sz="4" w:space="0"/>
                    <w:left w:val="single" w:color="auto" w:sz="4" w:space="0"/>
                    <w:bottom w:val="single" w:color="auto" w:sz="4" w:space="0"/>
                    <w:right w:val="single" w:color="auto" w:sz="4" w:space="0"/>
                  </w:tcBorders>
                  <w:shd w:val="clear" w:color="auto" w:fill="auto"/>
                  <w:vAlign w:val="center"/>
                </w:tcPr>
                <w:p w14:paraId="6F64E11B">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highlight w:val="none"/>
                    </w:rPr>
                  </w:pPr>
                  <w:r>
                    <w:rPr>
                      <w:rFonts w:hint="eastAsia" w:ascii="仿宋" w:hAnsi="仿宋" w:cs="仿宋"/>
                      <w:color w:val="auto"/>
                      <w:kern w:val="2"/>
                      <w:szCs w:val="24"/>
                      <w:highlight w:val="none"/>
                      <w:lang w:val="en-US" w:bidi="ar"/>
                    </w:rPr>
                    <w:t>C</w:t>
                  </w:r>
                  <w:r>
                    <w:rPr>
                      <w:rFonts w:hint="eastAsia" w:ascii="仿宋" w:hAnsi="仿宋"/>
                      <w:color w:val="auto"/>
                      <w:kern w:val="2"/>
                      <w:szCs w:val="24"/>
                      <w:highlight w:val="none"/>
                      <w:lang w:val="en-US" w:bidi="ar"/>
                    </w:rPr>
                    <w:t>OD</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14:paraId="04CFBE9E">
                  <w:pPr>
                    <w:pStyle w:val="27"/>
                    <w:widowControl w:val="0"/>
                    <w:autoSpaceDE w:val="0"/>
                    <w:spacing w:before="0" w:beforeAutospacing="0" w:after="0" w:afterAutospacing="0" w:line="320" w:lineRule="exact"/>
                    <w:ind w:firstLine="0" w:firstLineChars="0"/>
                    <w:jc w:val="center"/>
                    <w:rPr>
                      <w:rFonts w:ascii="仿宋" w:hAnsi="仿宋"/>
                      <w:color w:val="auto"/>
                      <w:kern w:val="2"/>
                      <w:szCs w:val="24"/>
                      <w:highlight w:val="none"/>
                      <w:lang w:val="en-US"/>
                    </w:rPr>
                  </w:pPr>
                  <w:r>
                    <w:rPr>
                      <w:rFonts w:hint="eastAsia" w:ascii="仿宋" w:hAnsi="仿宋"/>
                      <w:color w:val="auto"/>
                      <w:kern w:val="2"/>
                      <w:szCs w:val="24"/>
                      <w:highlight w:val="none"/>
                      <w:lang w:val="en-US"/>
                    </w:rPr>
                    <w:t>30</w:t>
                  </w:r>
                </w:p>
              </w:tc>
            </w:tr>
            <w:tr w14:paraId="76E4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 w:type="dxa"/>
                  <w:vMerge w:val="continue"/>
                  <w:tcBorders>
                    <w:left w:val="single" w:color="auto" w:sz="4" w:space="0"/>
                    <w:right w:val="single" w:color="auto" w:sz="4" w:space="0"/>
                  </w:tcBorders>
                  <w:shd w:val="clear" w:color="auto" w:fill="auto"/>
                  <w:vAlign w:val="center"/>
                </w:tcPr>
                <w:p w14:paraId="37062584">
                  <w:pPr>
                    <w:ind w:firstLine="400"/>
                    <w:rPr>
                      <w:rFonts w:ascii="Times New Roman" w:hAnsi="Times New Roman"/>
                      <w:color w:val="auto"/>
                      <w:sz w:val="20"/>
                      <w:szCs w:val="20"/>
                    </w:rPr>
                  </w:pPr>
                </w:p>
              </w:tc>
              <w:tc>
                <w:tcPr>
                  <w:tcW w:w="547" w:type="dxa"/>
                  <w:vMerge w:val="continue"/>
                  <w:tcBorders>
                    <w:left w:val="single" w:color="auto" w:sz="4" w:space="0"/>
                    <w:right w:val="single" w:color="auto" w:sz="4" w:space="0"/>
                  </w:tcBorders>
                  <w:shd w:val="clear" w:color="auto" w:fill="auto"/>
                  <w:vAlign w:val="center"/>
                </w:tcPr>
                <w:p w14:paraId="61BA1814">
                  <w:pPr>
                    <w:ind w:firstLine="400"/>
                    <w:rPr>
                      <w:rFonts w:ascii="Times New Roman" w:hAnsi="Times New Roman"/>
                      <w:color w:val="auto"/>
                      <w:sz w:val="20"/>
                      <w:szCs w:val="20"/>
                    </w:rPr>
                  </w:pPr>
                </w:p>
              </w:tc>
              <w:tc>
                <w:tcPr>
                  <w:tcW w:w="1118" w:type="dxa"/>
                  <w:vMerge w:val="continue"/>
                  <w:tcBorders>
                    <w:left w:val="single" w:color="auto" w:sz="4" w:space="0"/>
                    <w:right w:val="single" w:color="auto" w:sz="4" w:space="0"/>
                  </w:tcBorders>
                  <w:shd w:val="clear" w:color="auto" w:fill="auto"/>
                  <w:vAlign w:val="center"/>
                </w:tcPr>
                <w:p w14:paraId="42762B8D">
                  <w:pPr>
                    <w:ind w:firstLine="400"/>
                    <w:rPr>
                      <w:rFonts w:ascii="Times New Roman" w:hAnsi="Times New Roman"/>
                      <w:color w:val="auto"/>
                      <w:sz w:val="20"/>
                      <w:szCs w:val="20"/>
                    </w:rPr>
                  </w:pPr>
                </w:p>
              </w:tc>
              <w:tc>
                <w:tcPr>
                  <w:tcW w:w="1290" w:type="dxa"/>
                  <w:vMerge w:val="continue"/>
                  <w:tcBorders>
                    <w:left w:val="single" w:color="auto" w:sz="4" w:space="0"/>
                    <w:right w:val="single" w:color="auto" w:sz="4" w:space="0"/>
                  </w:tcBorders>
                  <w:shd w:val="clear" w:color="auto" w:fill="auto"/>
                  <w:vAlign w:val="center"/>
                </w:tcPr>
                <w:p w14:paraId="61480992">
                  <w:pPr>
                    <w:ind w:firstLine="400"/>
                    <w:rPr>
                      <w:rFonts w:ascii="Times New Roman" w:hAnsi="Times New Roman"/>
                      <w:color w:val="auto"/>
                      <w:sz w:val="20"/>
                      <w:szCs w:val="20"/>
                    </w:rPr>
                  </w:pPr>
                </w:p>
              </w:tc>
              <w:tc>
                <w:tcPr>
                  <w:tcW w:w="1010" w:type="dxa"/>
                  <w:vMerge w:val="continue"/>
                  <w:tcBorders>
                    <w:left w:val="single" w:color="auto" w:sz="4" w:space="0"/>
                    <w:right w:val="single" w:color="auto" w:sz="4" w:space="0"/>
                  </w:tcBorders>
                  <w:shd w:val="clear" w:color="auto" w:fill="auto"/>
                  <w:vAlign w:val="center"/>
                </w:tcPr>
                <w:p w14:paraId="3613DB60">
                  <w:pPr>
                    <w:ind w:firstLine="400"/>
                    <w:rPr>
                      <w:rFonts w:ascii="Times New Roman" w:hAnsi="Times New Roman"/>
                      <w:color w:val="auto"/>
                      <w:sz w:val="20"/>
                      <w:szCs w:val="20"/>
                    </w:rPr>
                  </w:pPr>
                </w:p>
              </w:tc>
              <w:tc>
                <w:tcPr>
                  <w:tcW w:w="810" w:type="dxa"/>
                  <w:vMerge w:val="continue"/>
                  <w:tcBorders>
                    <w:left w:val="single" w:color="auto" w:sz="4" w:space="0"/>
                    <w:right w:val="single" w:color="auto" w:sz="4" w:space="0"/>
                  </w:tcBorders>
                  <w:shd w:val="clear" w:color="auto" w:fill="auto"/>
                  <w:vAlign w:val="center"/>
                </w:tcPr>
                <w:p w14:paraId="3EFC67DE">
                  <w:pPr>
                    <w:ind w:firstLine="400"/>
                    <w:rPr>
                      <w:rFonts w:ascii="Times New Roman" w:hAnsi="Times New Roman"/>
                      <w:color w:val="auto"/>
                      <w:sz w:val="20"/>
                      <w:szCs w:val="20"/>
                    </w:rPr>
                  </w:pPr>
                </w:p>
              </w:tc>
              <w:tc>
                <w:tcPr>
                  <w:tcW w:w="798" w:type="dxa"/>
                  <w:vMerge w:val="continue"/>
                  <w:tcBorders>
                    <w:left w:val="single" w:color="auto" w:sz="4" w:space="0"/>
                    <w:right w:val="single" w:color="auto" w:sz="4" w:space="0"/>
                  </w:tcBorders>
                  <w:shd w:val="clear" w:color="auto" w:fill="auto"/>
                  <w:vAlign w:val="center"/>
                </w:tcPr>
                <w:p w14:paraId="115533E0">
                  <w:pPr>
                    <w:ind w:firstLine="400"/>
                    <w:rPr>
                      <w:rFonts w:ascii="Times New Roman" w:hAnsi="Times New Roman"/>
                      <w:color w:val="auto"/>
                      <w:sz w:val="20"/>
                      <w:szCs w:val="20"/>
                    </w:rPr>
                  </w:pPr>
                </w:p>
              </w:tc>
              <w:tc>
                <w:tcPr>
                  <w:tcW w:w="449" w:type="dxa"/>
                  <w:vMerge w:val="continue"/>
                  <w:tcBorders>
                    <w:left w:val="single" w:color="auto" w:sz="4" w:space="0"/>
                    <w:right w:val="single" w:color="auto" w:sz="4" w:space="0"/>
                  </w:tcBorders>
                  <w:shd w:val="clear" w:color="auto" w:fill="auto"/>
                  <w:vAlign w:val="center"/>
                </w:tcPr>
                <w:p w14:paraId="154BABCE">
                  <w:pPr>
                    <w:ind w:firstLine="400"/>
                    <w:rPr>
                      <w:rFonts w:ascii="Times New Roman" w:hAnsi="Times New Roman"/>
                      <w:color w:val="auto"/>
                      <w:sz w:val="20"/>
                      <w:szCs w:val="20"/>
                    </w:rPr>
                  </w:pPr>
                </w:p>
              </w:tc>
              <w:tc>
                <w:tcPr>
                  <w:tcW w:w="402" w:type="dxa"/>
                  <w:vMerge w:val="continue"/>
                  <w:tcBorders>
                    <w:left w:val="single" w:color="auto" w:sz="4" w:space="0"/>
                    <w:right w:val="single" w:color="auto" w:sz="4" w:space="0"/>
                  </w:tcBorders>
                  <w:shd w:val="clear" w:color="auto" w:fill="auto"/>
                  <w:vAlign w:val="center"/>
                </w:tcPr>
                <w:p w14:paraId="66D5B9D8">
                  <w:pPr>
                    <w:ind w:firstLine="400"/>
                    <w:rPr>
                      <w:rFonts w:ascii="Times New Roman" w:hAnsi="Times New Roman"/>
                      <w:color w:val="auto"/>
                      <w:sz w:val="20"/>
                      <w:szCs w:val="20"/>
                      <w:highlight w:val="yellow"/>
                    </w:rPr>
                  </w:pPr>
                </w:p>
              </w:tc>
              <w:tc>
                <w:tcPr>
                  <w:tcW w:w="620" w:type="dxa"/>
                  <w:tcBorders>
                    <w:top w:val="single" w:color="auto" w:sz="4" w:space="0"/>
                    <w:left w:val="single" w:color="auto" w:sz="4" w:space="0"/>
                    <w:bottom w:val="single" w:color="auto" w:sz="4" w:space="0"/>
                    <w:right w:val="single" w:color="auto" w:sz="4" w:space="0"/>
                  </w:tcBorders>
                  <w:shd w:val="clear" w:color="auto" w:fill="auto"/>
                  <w:vAlign w:val="center"/>
                </w:tcPr>
                <w:p w14:paraId="6A525763">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highlight w:val="none"/>
                    </w:rPr>
                  </w:pPr>
                  <w:r>
                    <w:rPr>
                      <w:rFonts w:hint="eastAsia" w:ascii="仿宋" w:hAnsi="仿宋" w:cs="仿宋"/>
                      <w:color w:val="auto"/>
                      <w:kern w:val="2"/>
                      <w:szCs w:val="24"/>
                      <w:highlight w:val="none"/>
                      <w:lang w:val="en-US" w:bidi="ar"/>
                    </w:rPr>
                    <w:t>B</w:t>
                  </w:r>
                  <w:r>
                    <w:rPr>
                      <w:rFonts w:hint="eastAsia" w:ascii="仿宋" w:hAnsi="仿宋"/>
                      <w:color w:val="auto"/>
                      <w:kern w:val="2"/>
                      <w:szCs w:val="24"/>
                      <w:highlight w:val="none"/>
                      <w:lang w:val="en-US" w:bidi="ar"/>
                    </w:rPr>
                    <w:t>OD</w:t>
                  </w:r>
                  <w:r>
                    <w:rPr>
                      <w:rFonts w:hint="eastAsia" w:ascii="仿宋" w:hAnsi="仿宋"/>
                      <w:color w:val="auto"/>
                      <w:kern w:val="2"/>
                      <w:szCs w:val="24"/>
                      <w:highlight w:val="none"/>
                      <w:vertAlign w:val="subscript"/>
                      <w:lang w:val="en-US" w:bidi="ar"/>
                    </w:rPr>
                    <w:t>5</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14:paraId="53985A0F">
                  <w:pPr>
                    <w:pStyle w:val="27"/>
                    <w:widowControl w:val="0"/>
                    <w:autoSpaceDE w:val="0"/>
                    <w:spacing w:before="0" w:beforeAutospacing="0" w:after="0" w:afterAutospacing="0" w:line="320" w:lineRule="exact"/>
                    <w:ind w:firstLine="0" w:firstLineChars="0"/>
                    <w:jc w:val="center"/>
                    <w:rPr>
                      <w:rFonts w:ascii="仿宋" w:hAnsi="仿宋"/>
                      <w:color w:val="auto"/>
                      <w:kern w:val="2"/>
                      <w:szCs w:val="24"/>
                      <w:highlight w:val="none"/>
                      <w:lang w:val="en-US"/>
                    </w:rPr>
                  </w:pPr>
                  <w:r>
                    <w:rPr>
                      <w:rFonts w:hint="eastAsia" w:ascii="仿宋" w:hAnsi="仿宋"/>
                      <w:color w:val="auto"/>
                      <w:kern w:val="2"/>
                      <w:szCs w:val="24"/>
                      <w:highlight w:val="none"/>
                      <w:lang w:val="en-US"/>
                    </w:rPr>
                    <w:t>10</w:t>
                  </w:r>
                </w:p>
              </w:tc>
            </w:tr>
            <w:tr w14:paraId="296F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 w:type="dxa"/>
                  <w:vMerge w:val="continue"/>
                  <w:tcBorders>
                    <w:left w:val="single" w:color="auto" w:sz="4" w:space="0"/>
                    <w:right w:val="single" w:color="auto" w:sz="4" w:space="0"/>
                  </w:tcBorders>
                  <w:shd w:val="clear" w:color="auto" w:fill="auto"/>
                  <w:vAlign w:val="center"/>
                </w:tcPr>
                <w:p w14:paraId="5A057947">
                  <w:pPr>
                    <w:ind w:firstLine="400"/>
                    <w:rPr>
                      <w:rFonts w:ascii="Times New Roman" w:hAnsi="Times New Roman"/>
                      <w:color w:val="auto"/>
                      <w:sz w:val="20"/>
                      <w:szCs w:val="20"/>
                    </w:rPr>
                  </w:pPr>
                </w:p>
              </w:tc>
              <w:tc>
                <w:tcPr>
                  <w:tcW w:w="547" w:type="dxa"/>
                  <w:vMerge w:val="continue"/>
                  <w:tcBorders>
                    <w:left w:val="single" w:color="auto" w:sz="4" w:space="0"/>
                    <w:right w:val="single" w:color="auto" w:sz="4" w:space="0"/>
                  </w:tcBorders>
                  <w:shd w:val="clear" w:color="auto" w:fill="auto"/>
                  <w:vAlign w:val="center"/>
                </w:tcPr>
                <w:p w14:paraId="0370FDD7">
                  <w:pPr>
                    <w:ind w:firstLine="400"/>
                    <w:rPr>
                      <w:rFonts w:ascii="Times New Roman" w:hAnsi="Times New Roman"/>
                      <w:color w:val="auto"/>
                      <w:sz w:val="20"/>
                      <w:szCs w:val="20"/>
                    </w:rPr>
                  </w:pPr>
                </w:p>
              </w:tc>
              <w:tc>
                <w:tcPr>
                  <w:tcW w:w="1118" w:type="dxa"/>
                  <w:vMerge w:val="continue"/>
                  <w:tcBorders>
                    <w:left w:val="single" w:color="auto" w:sz="4" w:space="0"/>
                    <w:right w:val="single" w:color="auto" w:sz="4" w:space="0"/>
                  </w:tcBorders>
                  <w:shd w:val="clear" w:color="auto" w:fill="auto"/>
                  <w:vAlign w:val="center"/>
                </w:tcPr>
                <w:p w14:paraId="4C8F7D30">
                  <w:pPr>
                    <w:ind w:firstLine="400"/>
                    <w:rPr>
                      <w:rFonts w:ascii="Times New Roman" w:hAnsi="Times New Roman"/>
                      <w:color w:val="auto"/>
                      <w:sz w:val="20"/>
                      <w:szCs w:val="20"/>
                    </w:rPr>
                  </w:pPr>
                </w:p>
              </w:tc>
              <w:tc>
                <w:tcPr>
                  <w:tcW w:w="1290" w:type="dxa"/>
                  <w:vMerge w:val="continue"/>
                  <w:tcBorders>
                    <w:left w:val="single" w:color="auto" w:sz="4" w:space="0"/>
                    <w:right w:val="single" w:color="auto" w:sz="4" w:space="0"/>
                  </w:tcBorders>
                  <w:shd w:val="clear" w:color="auto" w:fill="auto"/>
                  <w:vAlign w:val="center"/>
                </w:tcPr>
                <w:p w14:paraId="07697E72">
                  <w:pPr>
                    <w:ind w:firstLine="400"/>
                    <w:rPr>
                      <w:rFonts w:ascii="Times New Roman" w:hAnsi="Times New Roman"/>
                      <w:color w:val="auto"/>
                      <w:sz w:val="20"/>
                      <w:szCs w:val="20"/>
                    </w:rPr>
                  </w:pPr>
                </w:p>
              </w:tc>
              <w:tc>
                <w:tcPr>
                  <w:tcW w:w="1010" w:type="dxa"/>
                  <w:vMerge w:val="continue"/>
                  <w:tcBorders>
                    <w:left w:val="single" w:color="auto" w:sz="4" w:space="0"/>
                    <w:right w:val="single" w:color="auto" w:sz="4" w:space="0"/>
                  </w:tcBorders>
                  <w:shd w:val="clear" w:color="auto" w:fill="auto"/>
                  <w:vAlign w:val="center"/>
                </w:tcPr>
                <w:p w14:paraId="767E69DC">
                  <w:pPr>
                    <w:ind w:firstLine="400"/>
                    <w:rPr>
                      <w:rFonts w:ascii="Times New Roman" w:hAnsi="Times New Roman"/>
                      <w:color w:val="auto"/>
                      <w:sz w:val="20"/>
                      <w:szCs w:val="20"/>
                    </w:rPr>
                  </w:pPr>
                </w:p>
              </w:tc>
              <w:tc>
                <w:tcPr>
                  <w:tcW w:w="810" w:type="dxa"/>
                  <w:vMerge w:val="continue"/>
                  <w:tcBorders>
                    <w:left w:val="single" w:color="auto" w:sz="4" w:space="0"/>
                    <w:right w:val="single" w:color="auto" w:sz="4" w:space="0"/>
                  </w:tcBorders>
                  <w:shd w:val="clear" w:color="auto" w:fill="auto"/>
                  <w:vAlign w:val="center"/>
                </w:tcPr>
                <w:p w14:paraId="5026BC78">
                  <w:pPr>
                    <w:ind w:firstLine="400"/>
                    <w:rPr>
                      <w:rFonts w:ascii="Times New Roman" w:hAnsi="Times New Roman"/>
                      <w:color w:val="auto"/>
                      <w:sz w:val="20"/>
                      <w:szCs w:val="20"/>
                    </w:rPr>
                  </w:pPr>
                </w:p>
              </w:tc>
              <w:tc>
                <w:tcPr>
                  <w:tcW w:w="798" w:type="dxa"/>
                  <w:vMerge w:val="continue"/>
                  <w:tcBorders>
                    <w:left w:val="single" w:color="auto" w:sz="4" w:space="0"/>
                    <w:right w:val="single" w:color="auto" w:sz="4" w:space="0"/>
                  </w:tcBorders>
                  <w:shd w:val="clear" w:color="auto" w:fill="auto"/>
                  <w:vAlign w:val="center"/>
                </w:tcPr>
                <w:p w14:paraId="47321C00">
                  <w:pPr>
                    <w:ind w:firstLine="400"/>
                    <w:rPr>
                      <w:rFonts w:ascii="Times New Roman" w:hAnsi="Times New Roman"/>
                      <w:color w:val="auto"/>
                      <w:sz w:val="20"/>
                      <w:szCs w:val="20"/>
                    </w:rPr>
                  </w:pPr>
                </w:p>
              </w:tc>
              <w:tc>
                <w:tcPr>
                  <w:tcW w:w="449" w:type="dxa"/>
                  <w:vMerge w:val="continue"/>
                  <w:tcBorders>
                    <w:left w:val="single" w:color="auto" w:sz="4" w:space="0"/>
                    <w:right w:val="single" w:color="auto" w:sz="4" w:space="0"/>
                  </w:tcBorders>
                  <w:shd w:val="clear" w:color="auto" w:fill="auto"/>
                  <w:vAlign w:val="center"/>
                </w:tcPr>
                <w:p w14:paraId="4ACD859A">
                  <w:pPr>
                    <w:ind w:firstLine="400"/>
                    <w:rPr>
                      <w:rFonts w:ascii="Times New Roman" w:hAnsi="Times New Roman"/>
                      <w:color w:val="auto"/>
                      <w:sz w:val="20"/>
                      <w:szCs w:val="20"/>
                    </w:rPr>
                  </w:pPr>
                </w:p>
              </w:tc>
              <w:tc>
                <w:tcPr>
                  <w:tcW w:w="402" w:type="dxa"/>
                  <w:vMerge w:val="continue"/>
                  <w:tcBorders>
                    <w:left w:val="single" w:color="auto" w:sz="4" w:space="0"/>
                    <w:right w:val="single" w:color="auto" w:sz="4" w:space="0"/>
                  </w:tcBorders>
                  <w:shd w:val="clear" w:color="auto" w:fill="auto"/>
                  <w:vAlign w:val="center"/>
                </w:tcPr>
                <w:p w14:paraId="5749C353">
                  <w:pPr>
                    <w:ind w:firstLine="400"/>
                    <w:rPr>
                      <w:rFonts w:ascii="Times New Roman" w:hAnsi="Times New Roman"/>
                      <w:color w:val="auto"/>
                      <w:sz w:val="20"/>
                      <w:szCs w:val="20"/>
                      <w:highlight w:val="yellow"/>
                    </w:rPr>
                  </w:pPr>
                </w:p>
              </w:tc>
              <w:tc>
                <w:tcPr>
                  <w:tcW w:w="620" w:type="dxa"/>
                  <w:tcBorders>
                    <w:top w:val="single" w:color="auto" w:sz="4" w:space="0"/>
                    <w:left w:val="single" w:color="auto" w:sz="4" w:space="0"/>
                    <w:bottom w:val="single" w:color="auto" w:sz="4" w:space="0"/>
                    <w:right w:val="single" w:color="auto" w:sz="4" w:space="0"/>
                  </w:tcBorders>
                  <w:shd w:val="clear" w:color="auto" w:fill="auto"/>
                  <w:vAlign w:val="center"/>
                </w:tcPr>
                <w:p w14:paraId="1F1D4533">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highlight w:val="none"/>
                    </w:rPr>
                  </w:pPr>
                  <w:r>
                    <w:rPr>
                      <w:rFonts w:hint="eastAsia" w:ascii="仿宋" w:hAnsi="仿宋" w:cs="仿宋"/>
                      <w:color w:val="auto"/>
                      <w:kern w:val="2"/>
                      <w:szCs w:val="24"/>
                      <w:highlight w:val="none"/>
                      <w:lang w:val="en-US" w:bidi="ar"/>
                    </w:rPr>
                    <w:t>S</w:t>
                  </w:r>
                  <w:r>
                    <w:rPr>
                      <w:rFonts w:hint="eastAsia" w:ascii="仿宋" w:hAnsi="仿宋"/>
                      <w:color w:val="auto"/>
                      <w:kern w:val="2"/>
                      <w:szCs w:val="24"/>
                      <w:highlight w:val="none"/>
                      <w:lang w:val="en-US" w:bidi="ar"/>
                    </w:rPr>
                    <w:t>S</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14:paraId="76802CF2">
                  <w:pPr>
                    <w:pStyle w:val="27"/>
                    <w:widowControl w:val="0"/>
                    <w:autoSpaceDE w:val="0"/>
                    <w:spacing w:before="0" w:beforeAutospacing="0" w:after="0" w:afterAutospacing="0" w:line="320" w:lineRule="exact"/>
                    <w:ind w:firstLine="0" w:firstLineChars="0"/>
                    <w:jc w:val="center"/>
                    <w:rPr>
                      <w:rFonts w:ascii="仿宋" w:hAnsi="仿宋"/>
                      <w:color w:val="auto"/>
                      <w:kern w:val="2"/>
                      <w:szCs w:val="24"/>
                      <w:highlight w:val="none"/>
                      <w:lang w:val="en-US"/>
                    </w:rPr>
                  </w:pPr>
                  <w:r>
                    <w:rPr>
                      <w:rFonts w:hint="eastAsia" w:ascii="仿宋" w:hAnsi="仿宋"/>
                      <w:color w:val="auto"/>
                      <w:kern w:val="2"/>
                      <w:szCs w:val="24"/>
                      <w:highlight w:val="none"/>
                      <w:lang w:val="en-US"/>
                    </w:rPr>
                    <w:t>10</w:t>
                  </w:r>
                </w:p>
              </w:tc>
            </w:tr>
            <w:tr w14:paraId="72D4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 w:type="dxa"/>
                  <w:vMerge w:val="continue"/>
                  <w:tcBorders>
                    <w:left w:val="single" w:color="auto" w:sz="4" w:space="0"/>
                    <w:right w:val="single" w:color="auto" w:sz="4" w:space="0"/>
                  </w:tcBorders>
                  <w:shd w:val="clear" w:color="auto" w:fill="auto"/>
                  <w:vAlign w:val="center"/>
                </w:tcPr>
                <w:p w14:paraId="237851F4">
                  <w:pPr>
                    <w:ind w:firstLine="400"/>
                    <w:rPr>
                      <w:rFonts w:ascii="Times New Roman" w:hAnsi="Times New Roman"/>
                      <w:color w:val="auto"/>
                      <w:sz w:val="20"/>
                      <w:szCs w:val="20"/>
                    </w:rPr>
                  </w:pPr>
                </w:p>
              </w:tc>
              <w:tc>
                <w:tcPr>
                  <w:tcW w:w="547" w:type="dxa"/>
                  <w:vMerge w:val="continue"/>
                  <w:tcBorders>
                    <w:left w:val="single" w:color="auto" w:sz="4" w:space="0"/>
                    <w:right w:val="single" w:color="auto" w:sz="4" w:space="0"/>
                  </w:tcBorders>
                  <w:shd w:val="clear" w:color="auto" w:fill="auto"/>
                  <w:vAlign w:val="center"/>
                </w:tcPr>
                <w:p w14:paraId="2142DFB4">
                  <w:pPr>
                    <w:ind w:firstLine="400"/>
                    <w:rPr>
                      <w:rFonts w:ascii="Times New Roman" w:hAnsi="Times New Roman"/>
                      <w:color w:val="auto"/>
                      <w:sz w:val="20"/>
                      <w:szCs w:val="20"/>
                    </w:rPr>
                  </w:pPr>
                </w:p>
              </w:tc>
              <w:tc>
                <w:tcPr>
                  <w:tcW w:w="1118" w:type="dxa"/>
                  <w:vMerge w:val="continue"/>
                  <w:tcBorders>
                    <w:left w:val="single" w:color="auto" w:sz="4" w:space="0"/>
                    <w:right w:val="single" w:color="auto" w:sz="4" w:space="0"/>
                  </w:tcBorders>
                  <w:shd w:val="clear" w:color="auto" w:fill="auto"/>
                  <w:vAlign w:val="center"/>
                </w:tcPr>
                <w:p w14:paraId="1A6FC9E8">
                  <w:pPr>
                    <w:ind w:firstLine="400"/>
                    <w:rPr>
                      <w:rFonts w:ascii="Times New Roman" w:hAnsi="Times New Roman"/>
                      <w:color w:val="auto"/>
                      <w:sz w:val="20"/>
                      <w:szCs w:val="20"/>
                    </w:rPr>
                  </w:pPr>
                </w:p>
              </w:tc>
              <w:tc>
                <w:tcPr>
                  <w:tcW w:w="1290" w:type="dxa"/>
                  <w:vMerge w:val="continue"/>
                  <w:tcBorders>
                    <w:left w:val="single" w:color="auto" w:sz="4" w:space="0"/>
                    <w:right w:val="single" w:color="auto" w:sz="4" w:space="0"/>
                  </w:tcBorders>
                  <w:shd w:val="clear" w:color="auto" w:fill="auto"/>
                  <w:vAlign w:val="center"/>
                </w:tcPr>
                <w:p w14:paraId="2BDD6E10">
                  <w:pPr>
                    <w:ind w:firstLine="400"/>
                    <w:rPr>
                      <w:rFonts w:ascii="Times New Roman" w:hAnsi="Times New Roman"/>
                      <w:color w:val="auto"/>
                      <w:sz w:val="20"/>
                      <w:szCs w:val="20"/>
                    </w:rPr>
                  </w:pPr>
                </w:p>
              </w:tc>
              <w:tc>
                <w:tcPr>
                  <w:tcW w:w="1010" w:type="dxa"/>
                  <w:vMerge w:val="continue"/>
                  <w:tcBorders>
                    <w:left w:val="single" w:color="auto" w:sz="4" w:space="0"/>
                    <w:right w:val="single" w:color="auto" w:sz="4" w:space="0"/>
                  </w:tcBorders>
                  <w:shd w:val="clear" w:color="auto" w:fill="auto"/>
                  <w:vAlign w:val="center"/>
                </w:tcPr>
                <w:p w14:paraId="20F3BB58">
                  <w:pPr>
                    <w:ind w:firstLine="400"/>
                    <w:rPr>
                      <w:rFonts w:ascii="Times New Roman" w:hAnsi="Times New Roman"/>
                      <w:color w:val="auto"/>
                      <w:sz w:val="20"/>
                      <w:szCs w:val="20"/>
                    </w:rPr>
                  </w:pPr>
                </w:p>
              </w:tc>
              <w:tc>
                <w:tcPr>
                  <w:tcW w:w="810" w:type="dxa"/>
                  <w:vMerge w:val="continue"/>
                  <w:tcBorders>
                    <w:left w:val="single" w:color="auto" w:sz="4" w:space="0"/>
                    <w:right w:val="single" w:color="auto" w:sz="4" w:space="0"/>
                  </w:tcBorders>
                  <w:shd w:val="clear" w:color="auto" w:fill="auto"/>
                  <w:vAlign w:val="center"/>
                </w:tcPr>
                <w:p w14:paraId="245141BC">
                  <w:pPr>
                    <w:ind w:firstLine="400"/>
                    <w:rPr>
                      <w:rFonts w:ascii="Times New Roman" w:hAnsi="Times New Roman"/>
                      <w:color w:val="auto"/>
                      <w:sz w:val="20"/>
                      <w:szCs w:val="20"/>
                    </w:rPr>
                  </w:pPr>
                </w:p>
              </w:tc>
              <w:tc>
                <w:tcPr>
                  <w:tcW w:w="798" w:type="dxa"/>
                  <w:vMerge w:val="continue"/>
                  <w:tcBorders>
                    <w:left w:val="single" w:color="auto" w:sz="4" w:space="0"/>
                    <w:right w:val="single" w:color="auto" w:sz="4" w:space="0"/>
                  </w:tcBorders>
                  <w:shd w:val="clear" w:color="auto" w:fill="auto"/>
                  <w:vAlign w:val="center"/>
                </w:tcPr>
                <w:p w14:paraId="2C805729">
                  <w:pPr>
                    <w:ind w:firstLine="400"/>
                    <w:rPr>
                      <w:rFonts w:ascii="Times New Roman" w:hAnsi="Times New Roman"/>
                      <w:color w:val="auto"/>
                      <w:sz w:val="20"/>
                      <w:szCs w:val="20"/>
                    </w:rPr>
                  </w:pPr>
                </w:p>
              </w:tc>
              <w:tc>
                <w:tcPr>
                  <w:tcW w:w="449" w:type="dxa"/>
                  <w:vMerge w:val="continue"/>
                  <w:tcBorders>
                    <w:left w:val="single" w:color="auto" w:sz="4" w:space="0"/>
                    <w:right w:val="single" w:color="auto" w:sz="4" w:space="0"/>
                  </w:tcBorders>
                  <w:shd w:val="clear" w:color="auto" w:fill="auto"/>
                  <w:vAlign w:val="center"/>
                </w:tcPr>
                <w:p w14:paraId="3D696B50">
                  <w:pPr>
                    <w:ind w:firstLine="400"/>
                    <w:rPr>
                      <w:rFonts w:ascii="Times New Roman" w:hAnsi="Times New Roman"/>
                      <w:color w:val="auto"/>
                      <w:sz w:val="20"/>
                      <w:szCs w:val="20"/>
                    </w:rPr>
                  </w:pPr>
                </w:p>
              </w:tc>
              <w:tc>
                <w:tcPr>
                  <w:tcW w:w="402" w:type="dxa"/>
                  <w:vMerge w:val="continue"/>
                  <w:tcBorders>
                    <w:left w:val="single" w:color="auto" w:sz="4" w:space="0"/>
                    <w:right w:val="single" w:color="auto" w:sz="4" w:space="0"/>
                  </w:tcBorders>
                  <w:shd w:val="clear" w:color="auto" w:fill="auto"/>
                  <w:vAlign w:val="center"/>
                </w:tcPr>
                <w:p w14:paraId="2E272D32">
                  <w:pPr>
                    <w:ind w:firstLine="400"/>
                    <w:rPr>
                      <w:rFonts w:ascii="Times New Roman" w:hAnsi="Times New Roman"/>
                      <w:color w:val="auto"/>
                      <w:sz w:val="20"/>
                      <w:szCs w:val="20"/>
                      <w:highlight w:val="yellow"/>
                    </w:rPr>
                  </w:pPr>
                </w:p>
              </w:tc>
              <w:tc>
                <w:tcPr>
                  <w:tcW w:w="620" w:type="dxa"/>
                  <w:tcBorders>
                    <w:top w:val="single" w:color="auto" w:sz="4" w:space="0"/>
                    <w:left w:val="single" w:color="auto" w:sz="4" w:space="0"/>
                    <w:bottom w:val="single" w:color="auto" w:sz="4" w:space="0"/>
                    <w:right w:val="single" w:color="auto" w:sz="4" w:space="0"/>
                  </w:tcBorders>
                  <w:shd w:val="clear" w:color="auto" w:fill="auto"/>
                  <w:vAlign w:val="center"/>
                </w:tcPr>
                <w:p w14:paraId="5A0D17AE">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highlight w:val="none"/>
                    </w:rPr>
                  </w:pPr>
                  <w:r>
                    <w:rPr>
                      <w:rFonts w:hint="eastAsia" w:ascii="仿宋" w:hAnsi="仿宋" w:cs="仿宋"/>
                      <w:color w:val="auto"/>
                      <w:kern w:val="2"/>
                      <w:szCs w:val="24"/>
                      <w:highlight w:val="none"/>
                      <w:lang w:val="en-US" w:bidi="ar"/>
                    </w:rPr>
                    <w:t>氨氮</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14:paraId="61CF55EF">
                  <w:pPr>
                    <w:pStyle w:val="27"/>
                    <w:widowControl w:val="0"/>
                    <w:autoSpaceDE w:val="0"/>
                    <w:spacing w:before="0" w:beforeAutospacing="0" w:after="0" w:afterAutospacing="0" w:line="320" w:lineRule="exact"/>
                    <w:ind w:firstLine="0" w:firstLineChars="0"/>
                    <w:jc w:val="center"/>
                    <w:rPr>
                      <w:rFonts w:ascii="仿宋" w:hAnsi="仿宋"/>
                      <w:color w:val="auto"/>
                      <w:kern w:val="2"/>
                      <w:szCs w:val="24"/>
                      <w:highlight w:val="none"/>
                      <w:lang w:val="en-US"/>
                    </w:rPr>
                  </w:pPr>
                  <w:r>
                    <w:rPr>
                      <w:rFonts w:hint="eastAsia" w:ascii="仿宋" w:hAnsi="仿宋"/>
                      <w:color w:val="auto"/>
                      <w:kern w:val="2"/>
                      <w:szCs w:val="24"/>
                      <w:highlight w:val="none"/>
                      <w:lang w:val="en-US"/>
                    </w:rPr>
                    <w:t>1.5</w:t>
                  </w:r>
                </w:p>
              </w:tc>
            </w:tr>
            <w:tr w14:paraId="686D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409" w:type="dxa"/>
                  <w:vMerge w:val="continue"/>
                  <w:tcBorders>
                    <w:left w:val="single" w:color="auto" w:sz="4" w:space="0"/>
                    <w:right w:val="single" w:color="auto" w:sz="4" w:space="0"/>
                  </w:tcBorders>
                  <w:shd w:val="clear" w:color="auto" w:fill="auto"/>
                  <w:vAlign w:val="center"/>
                </w:tcPr>
                <w:p w14:paraId="17331E42">
                  <w:pPr>
                    <w:ind w:firstLine="400"/>
                    <w:rPr>
                      <w:rFonts w:ascii="Times New Roman" w:hAnsi="Times New Roman"/>
                      <w:color w:val="auto"/>
                      <w:sz w:val="20"/>
                      <w:szCs w:val="20"/>
                    </w:rPr>
                  </w:pPr>
                </w:p>
              </w:tc>
              <w:tc>
                <w:tcPr>
                  <w:tcW w:w="547" w:type="dxa"/>
                  <w:vMerge w:val="continue"/>
                  <w:tcBorders>
                    <w:left w:val="single" w:color="auto" w:sz="4" w:space="0"/>
                    <w:right w:val="single" w:color="auto" w:sz="4" w:space="0"/>
                  </w:tcBorders>
                  <w:shd w:val="clear" w:color="auto" w:fill="auto"/>
                  <w:vAlign w:val="center"/>
                </w:tcPr>
                <w:p w14:paraId="66414A8F">
                  <w:pPr>
                    <w:ind w:firstLine="400"/>
                    <w:rPr>
                      <w:rFonts w:ascii="Times New Roman" w:hAnsi="Times New Roman"/>
                      <w:color w:val="auto"/>
                      <w:sz w:val="20"/>
                      <w:szCs w:val="20"/>
                    </w:rPr>
                  </w:pPr>
                </w:p>
              </w:tc>
              <w:tc>
                <w:tcPr>
                  <w:tcW w:w="1118" w:type="dxa"/>
                  <w:vMerge w:val="continue"/>
                  <w:tcBorders>
                    <w:left w:val="single" w:color="auto" w:sz="4" w:space="0"/>
                    <w:right w:val="single" w:color="auto" w:sz="4" w:space="0"/>
                  </w:tcBorders>
                  <w:shd w:val="clear" w:color="auto" w:fill="auto"/>
                  <w:vAlign w:val="center"/>
                </w:tcPr>
                <w:p w14:paraId="43E1F101">
                  <w:pPr>
                    <w:ind w:firstLine="400"/>
                    <w:rPr>
                      <w:rFonts w:ascii="Times New Roman" w:hAnsi="Times New Roman"/>
                      <w:color w:val="auto"/>
                      <w:sz w:val="20"/>
                      <w:szCs w:val="20"/>
                    </w:rPr>
                  </w:pPr>
                </w:p>
              </w:tc>
              <w:tc>
                <w:tcPr>
                  <w:tcW w:w="1290" w:type="dxa"/>
                  <w:vMerge w:val="continue"/>
                  <w:tcBorders>
                    <w:left w:val="single" w:color="auto" w:sz="4" w:space="0"/>
                    <w:right w:val="single" w:color="auto" w:sz="4" w:space="0"/>
                  </w:tcBorders>
                  <w:shd w:val="clear" w:color="auto" w:fill="auto"/>
                  <w:vAlign w:val="center"/>
                </w:tcPr>
                <w:p w14:paraId="5DD3F14F">
                  <w:pPr>
                    <w:ind w:firstLine="400"/>
                    <w:rPr>
                      <w:rFonts w:ascii="Times New Roman" w:hAnsi="Times New Roman"/>
                      <w:color w:val="auto"/>
                      <w:sz w:val="20"/>
                      <w:szCs w:val="20"/>
                    </w:rPr>
                  </w:pPr>
                </w:p>
              </w:tc>
              <w:tc>
                <w:tcPr>
                  <w:tcW w:w="1010" w:type="dxa"/>
                  <w:vMerge w:val="continue"/>
                  <w:tcBorders>
                    <w:left w:val="single" w:color="auto" w:sz="4" w:space="0"/>
                    <w:right w:val="single" w:color="auto" w:sz="4" w:space="0"/>
                  </w:tcBorders>
                  <w:shd w:val="clear" w:color="auto" w:fill="auto"/>
                  <w:vAlign w:val="center"/>
                </w:tcPr>
                <w:p w14:paraId="1E566CCF">
                  <w:pPr>
                    <w:ind w:firstLine="400"/>
                    <w:rPr>
                      <w:rFonts w:ascii="Times New Roman" w:hAnsi="Times New Roman"/>
                      <w:color w:val="auto"/>
                      <w:sz w:val="20"/>
                      <w:szCs w:val="20"/>
                    </w:rPr>
                  </w:pPr>
                </w:p>
              </w:tc>
              <w:tc>
                <w:tcPr>
                  <w:tcW w:w="810" w:type="dxa"/>
                  <w:vMerge w:val="continue"/>
                  <w:tcBorders>
                    <w:left w:val="single" w:color="auto" w:sz="4" w:space="0"/>
                    <w:right w:val="single" w:color="auto" w:sz="4" w:space="0"/>
                  </w:tcBorders>
                  <w:shd w:val="clear" w:color="auto" w:fill="auto"/>
                  <w:vAlign w:val="center"/>
                </w:tcPr>
                <w:p w14:paraId="51FD6837">
                  <w:pPr>
                    <w:ind w:firstLine="400"/>
                    <w:rPr>
                      <w:rFonts w:ascii="Times New Roman" w:hAnsi="Times New Roman"/>
                      <w:color w:val="auto"/>
                      <w:sz w:val="20"/>
                      <w:szCs w:val="20"/>
                    </w:rPr>
                  </w:pPr>
                </w:p>
              </w:tc>
              <w:tc>
                <w:tcPr>
                  <w:tcW w:w="798" w:type="dxa"/>
                  <w:vMerge w:val="continue"/>
                  <w:tcBorders>
                    <w:left w:val="single" w:color="auto" w:sz="4" w:space="0"/>
                    <w:right w:val="single" w:color="auto" w:sz="4" w:space="0"/>
                  </w:tcBorders>
                  <w:shd w:val="clear" w:color="auto" w:fill="auto"/>
                  <w:vAlign w:val="center"/>
                </w:tcPr>
                <w:p w14:paraId="64213845">
                  <w:pPr>
                    <w:ind w:firstLine="400"/>
                    <w:rPr>
                      <w:rFonts w:ascii="Times New Roman" w:hAnsi="Times New Roman"/>
                      <w:color w:val="auto"/>
                      <w:sz w:val="20"/>
                      <w:szCs w:val="20"/>
                    </w:rPr>
                  </w:pPr>
                </w:p>
              </w:tc>
              <w:tc>
                <w:tcPr>
                  <w:tcW w:w="449" w:type="dxa"/>
                  <w:vMerge w:val="continue"/>
                  <w:tcBorders>
                    <w:left w:val="single" w:color="auto" w:sz="4" w:space="0"/>
                    <w:right w:val="single" w:color="auto" w:sz="4" w:space="0"/>
                  </w:tcBorders>
                  <w:shd w:val="clear" w:color="auto" w:fill="auto"/>
                  <w:vAlign w:val="center"/>
                </w:tcPr>
                <w:p w14:paraId="49DD041D">
                  <w:pPr>
                    <w:ind w:firstLine="400"/>
                    <w:rPr>
                      <w:rFonts w:ascii="Times New Roman" w:hAnsi="Times New Roman"/>
                      <w:color w:val="auto"/>
                      <w:sz w:val="20"/>
                      <w:szCs w:val="20"/>
                    </w:rPr>
                  </w:pPr>
                </w:p>
              </w:tc>
              <w:tc>
                <w:tcPr>
                  <w:tcW w:w="402" w:type="dxa"/>
                  <w:vMerge w:val="continue"/>
                  <w:tcBorders>
                    <w:left w:val="single" w:color="auto" w:sz="4" w:space="0"/>
                    <w:right w:val="single" w:color="auto" w:sz="4" w:space="0"/>
                  </w:tcBorders>
                  <w:shd w:val="clear" w:color="auto" w:fill="auto"/>
                  <w:vAlign w:val="center"/>
                </w:tcPr>
                <w:p w14:paraId="0B8A11DA">
                  <w:pPr>
                    <w:ind w:firstLine="400"/>
                    <w:rPr>
                      <w:rFonts w:ascii="Times New Roman" w:hAnsi="Times New Roman"/>
                      <w:color w:val="auto"/>
                      <w:sz w:val="20"/>
                      <w:szCs w:val="20"/>
                      <w:highlight w:val="yellow"/>
                    </w:rPr>
                  </w:pPr>
                </w:p>
              </w:tc>
              <w:tc>
                <w:tcPr>
                  <w:tcW w:w="620" w:type="dxa"/>
                  <w:tcBorders>
                    <w:top w:val="single" w:color="auto" w:sz="4" w:space="0"/>
                    <w:left w:val="single" w:color="auto" w:sz="4" w:space="0"/>
                    <w:bottom w:val="single" w:color="auto" w:sz="4" w:space="0"/>
                    <w:right w:val="single" w:color="auto" w:sz="4" w:space="0"/>
                  </w:tcBorders>
                  <w:shd w:val="clear" w:color="auto" w:fill="auto"/>
                  <w:vAlign w:val="center"/>
                </w:tcPr>
                <w:p w14:paraId="58740375">
                  <w:pPr>
                    <w:pStyle w:val="27"/>
                    <w:widowControl w:val="0"/>
                    <w:autoSpaceDE w:val="0"/>
                    <w:spacing w:before="0" w:beforeAutospacing="0" w:after="0" w:afterAutospacing="0" w:line="320" w:lineRule="exact"/>
                    <w:ind w:firstLine="0" w:firstLineChars="0"/>
                    <w:jc w:val="center"/>
                    <w:rPr>
                      <w:rFonts w:ascii="仿宋" w:hAnsi="仿宋" w:cs="仿宋"/>
                      <w:color w:val="auto"/>
                      <w:kern w:val="2"/>
                      <w:szCs w:val="24"/>
                      <w:highlight w:val="none"/>
                      <w:lang w:val="en-US" w:bidi="ar"/>
                    </w:rPr>
                  </w:pPr>
                  <w:r>
                    <w:rPr>
                      <w:rFonts w:hint="eastAsia" w:ascii="仿宋" w:hAnsi="仿宋" w:cs="仿宋"/>
                      <w:color w:val="auto"/>
                      <w:kern w:val="2"/>
                      <w:szCs w:val="24"/>
                      <w:highlight w:val="none"/>
                      <w:lang w:val="en-US" w:bidi="ar"/>
                    </w:rPr>
                    <w:t>石油类</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14:paraId="06B3932F">
                  <w:pPr>
                    <w:pStyle w:val="27"/>
                    <w:widowControl w:val="0"/>
                    <w:autoSpaceDE w:val="0"/>
                    <w:spacing w:before="0" w:beforeAutospacing="0" w:after="0" w:afterAutospacing="0" w:line="320" w:lineRule="exact"/>
                    <w:ind w:firstLine="0" w:firstLineChars="0"/>
                    <w:jc w:val="center"/>
                    <w:rPr>
                      <w:rFonts w:ascii="仿宋" w:hAnsi="仿宋" w:cs="仿宋"/>
                      <w:color w:val="auto"/>
                      <w:kern w:val="2"/>
                      <w:sz w:val="28"/>
                      <w:szCs w:val="28"/>
                      <w:highlight w:val="none"/>
                      <w:lang w:val="en-US" w:bidi="ar"/>
                    </w:rPr>
                  </w:pPr>
                  <w:r>
                    <w:rPr>
                      <w:rFonts w:hint="eastAsia" w:ascii="仿宋" w:hAnsi="仿宋" w:cs="仿宋"/>
                      <w:color w:val="auto"/>
                      <w:kern w:val="2"/>
                      <w:szCs w:val="24"/>
                      <w:highlight w:val="none"/>
                      <w:lang w:val="en-US" w:bidi="ar"/>
                    </w:rPr>
                    <w:t>1</w:t>
                  </w:r>
                </w:p>
              </w:tc>
            </w:tr>
            <w:tr w14:paraId="09EF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09" w:type="dxa"/>
                  <w:vMerge w:val="continue"/>
                  <w:tcBorders>
                    <w:left w:val="single" w:color="auto" w:sz="4" w:space="0"/>
                    <w:bottom w:val="single" w:color="auto" w:sz="4" w:space="0"/>
                    <w:right w:val="single" w:color="auto" w:sz="4" w:space="0"/>
                  </w:tcBorders>
                  <w:shd w:val="clear" w:color="auto" w:fill="auto"/>
                  <w:vAlign w:val="center"/>
                </w:tcPr>
                <w:p w14:paraId="307400D2">
                  <w:pPr>
                    <w:ind w:firstLine="400"/>
                    <w:rPr>
                      <w:rFonts w:ascii="Times New Roman" w:hAnsi="Times New Roman"/>
                      <w:color w:val="auto"/>
                      <w:sz w:val="20"/>
                      <w:szCs w:val="20"/>
                    </w:rPr>
                  </w:pPr>
                </w:p>
              </w:tc>
              <w:tc>
                <w:tcPr>
                  <w:tcW w:w="547" w:type="dxa"/>
                  <w:vMerge w:val="continue"/>
                  <w:tcBorders>
                    <w:left w:val="single" w:color="auto" w:sz="4" w:space="0"/>
                    <w:bottom w:val="single" w:color="auto" w:sz="4" w:space="0"/>
                    <w:right w:val="single" w:color="auto" w:sz="4" w:space="0"/>
                  </w:tcBorders>
                  <w:shd w:val="clear" w:color="auto" w:fill="auto"/>
                  <w:vAlign w:val="center"/>
                </w:tcPr>
                <w:p w14:paraId="4E5D1DF7">
                  <w:pPr>
                    <w:ind w:firstLine="400"/>
                    <w:rPr>
                      <w:rFonts w:ascii="Times New Roman" w:hAnsi="Times New Roman"/>
                      <w:color w:val="auto"/>
                      <w:sz w:val="20"/>
                      <w:szCs w:val="20"/>
                    </w:rPr>
                  </w:pPr>
                </w:p>
              </w:tc>
              <w:tc>
                <w:tcPr>
                  <w:tcW w:w="1118" w:type="dxa"/>
                  <w:vMerge w:val="continue"/>
                  <w:tcBorders>
                    <w:left w:val="single" w:color="auto" w:sz="4" w:space="0"/>
                    <w:bottom w:val="single" w:color="auto" w:sz="4" w:space="0"/>
                    <w:right w:val="single" w:color="auto" w:sz="4" w:space="0"/>
                  </w:tcBorders>
                  <w:shd w:val="clear" w:color="auto" w:fill="auto"/>
                  <w:vAlign w:val="center"/>
                </w:tcPr>
                <w:p w14:paraId="0B99B482">
                  <w:pPr>
                    <w:ind w:firstLine="400"/>
                    <w:rPr>
                      <w:rFonts w:ascii="Times New Roman" w:hAnsi="Times New Roman"/>
                      <w:color w:val="auto"/>
                      <w:sz w:val="20"/>
                      <w:szCs w:val="20"/>
                    </w:rPr>
                  </w:pPr>
                </w:p>
              </w:tc>
              <w:tc>
                <w:tcPr>
                  <w:tcW w:w="1290" w:type="dxa"/>
                  <w:vMerge w:val="continue"/>
                  <w:tcBorders>
                    <w:left w:val="single" w:color="auto" w:sz="4" w:space="0"/>
                    <w:bottom w:val="single" w:color="auto" w:sz="4" w:space="0"/>
                    <w:right w:val="single" w:color="auto" w:sz="4" w:space="0"/>
                  </w:tcBorders>
                  <w:shd w:val="clear" w:color="auto" w:fill="auto"/>
                  <w:vAlign w:val="center"/>
                </w:tcPr>
                <w:p w14:paraId="0903B9B5">
                  <w:pPr>
                    <w:ind w:firstLine="400"/>
                    <w:rPr>
                      <w:rFonts w:ascii="Times New Roman" w:hAnsi="Times New Roman"/>
                      <w:color w:val="auto"/>
                      <w:sz w:val="20"/>
                      <w:szCs w:val="20"/>
                    </w:rPr>
                  </w:pPr>
                </w:p>
              </w:tc>
              <w:tc>
                <w:tcPr>
                  <w:tcW w:w="1010" w:type="dxa"/>
                  <w:vMerge w:val="continue"/>
                  <w:tcBorders>
                    <w:left w:val="single" w:color="auto" w:sz="4" w:space="0"/>
                    <w:bottom w:val="single" w:color="auto" w:sz="4" w:space="0"/>
                    <w:right w:val="single" w:color="auto" w:sz="4" w:space="0"/>
                  </w:tcBorders>
                  <w:shd w:val="clear" w:color="auto" w:fill="auto"/>
                  <w:vAlign w:val="center"/>
                </w:tcPr>
                <w:p w14:paraId="0646F630">
                  <w:pPr>
                    <w:ind w:firstLine="400"/>
                    <w:rPr>
                      <w:rFonts w:ascii="Times New Roman" w:hAnsi="Times New Roman"/>
                      <w:color w:val="auto"/>
                      <w:sz w:val="20"/>
                      <w:szCs w:val="20"/>
                    </w:rPr>
                  </w:pPr>
                </w:p>
              </w:tc>
              <w:tc>
                <w:tcPr>
                  <w:tcW w:w="810" w:type="dxa"/>
                  <w:vMerge w:val="continue"/>
                  <w:tcBorders>
                    <w:left w:val="single" w:color="auto" w:sz="4" w:space="0"/>
                    <w:bottom w:val="single" w:color="auto" w:sz="4" w:space="0"/>
                    <w:right w:val="single" w:color="auto" w:sz="4" w:space="0"/>
                  </w:tcBorders>
                  <w:shd w:val="clear" w:color="auto" w:fill="auto"/>
                  <w:vAlign w:val="center"/>
                </w:tcPr>
                <w:p w14:paraId="23CEAB8F">
                  <w:pPr>
                    <w:ind w:firstLine="400"/>
                    <w:rPr>
                      <w:rFonts w:ascii="Times New Roman" w:hAnsi="Times New Roman"/>
                      <w:color w:val="auto"/>
                      <w:sz w:val="20"/>
                      <w:szCs w:val="20"/>
                    </w:rPr>
                  </w:pPr>
                </w:p>
              </w:tc>
              <w:tc>
                <w:tcPr>
                  <w:tcW w:w="798" w:type="dxa"/>
                  <w:vMerge w:val="continue"/>
                  <w:tcBorders>
                    <w:left w:val="single" w:color="auto" w:sz="4" w:space="0"/>
                    <w:bottom w:val="single" w:color="auto" w:sz="4" w:space="0"/>
                    <w:right w:val="single" w:color="auto" w:sz="4" w:space="0"/>
                  </w:tcBorders>
                  <w:shd w:val="clear" w:color="auto" w:fill="auto"/>
                  <w:vAlign w:val="center"/>
                </w:tcPr>
                <w:p w14:paraId="27635689">
                  <w:pPr>
                    <w:ind w:firstLine="400"/>
                    <w:rPr>
                      <w:rFonts w:ascii="Times New Roman" w:hAnsi="Times New Roman"/>
                      <w:color w:val="auto"/>
                      <w:sz w:val="20"/>
                      <w:szCs w:val="20"/>
                    </w:rPr>
                  </w:pPr>
                </w:p>
              </w:tc>
              <w:tc>
                <w:tcPr>
                  <w:tcW w:w="449" w:type="dxa"/>
                  <w:vMerge w:val="continue"/>
                  <w:tcBorders>
                    <w:left w:val="single" w:color="auto" w:sz="4" w:space="0"/>
                    <w:bottom w:val="single" w:color="auto" w:sz="4" w:space="0"/>
                    <w:right w:val="single" w:color="auto" w:sz="4" w:space="0"/>
                  </w:tcBorders>
                  <w:shd w:val="clear" w:color="auto" w:fill="auto"/>
                  <w:vAlign w:val="center"/>
                </w:tcPr>
                <w:p w14:paraId="4E02115A">
                  <w:pPr>
                    <w:ind w:firstLine="400"/>
                    <w:rPr>
                      <w:rFonts w:ascii="Times New Roman" w:hAnsi="Times New Roman"/>
                      <w:color w:val="auto"/>
                      <w:sz w:val="20"/>
                      <w:szCs w:val="20"/>
                    </w:rPr>
                  </w:pPr>
                </w:p>
              </w:tc>
              <w:tc>
                <w:tcPr>
                  <w:tcW w:w="402" w:type="dxa"/>
                  <w:vMerge w:val="continue"/>
                  <w:tcBorders>
                    <w:left w:val="single" w:color="auto" w:sz="4" w:space="0"/>
                    <w:bottom w:val="single" w:color="auto" w:sz="4" w:space="0"/>
                    <w:right w:val="single" w:color="auto" w:sz="4" w:space="0"/>
                  </w:tcBorders>
                  <w:shd w:val="clear" w:color="auto" w:fill="auto"/>
                  <w:vAlign w:val="center"/>
                </w:tcPr>
                <w:p w14:paraId="2CBD9E76">
                  <w:pPr>
                    <w:ind w:firstLine="400"/>
                    <w:rPr>
                      <w:rFonts w:ascii="Times New Roman" w:hAnsi="Times New Roman"/>
                      <w:color w:val="auto"/>
                      <w:sz w:val="20"/>
                      <w:szCs w:val="20"/>
                      <w:highlight w:val="yellow"/>
                    </w:rPr>
                  </w:pPr>
                </w:p>
              </w:tc>
              <w:tc>
                <w:tcPr>
                  <w:tcW w:w="620" w:type="dxa"/>
                  <w:tcBorders>
                    <w:top w:val="single" w:color="auto" w:sz="4" w:space="0"/>
                    <w:left w:val="single" w:color="auto" w:sz="4" w:space="0"/>
                    <w:right w:val="single" w:color="auto" w:sz="4" w:space="0"/>
                  </w:tcBorders>
                  <w:shd w:val="clear" w:color="auto" w:fill="auto"/>
                  <w:vAlign w:val="center"/>
                </w:tcPr>
                <w:p w14:paraId="101C7B42">
                  <w:pPr>
                    <w:pStyle w:val="27"/>
                    <w:widowControl w:val="0"/>
                    <w:autoSpaceDE w:val="0"/>
                    <w:spacing w:before="0" w:beforeAutospacing="0" w:after="0" w:afterAutospacing="0" w:line="320" w:lineRule="exact"/>
                    <w:ind w:firstLine="0" w:firstLineChars="0"/>
                    <w:jc w:val="center"/>
                    <w:rPr>
                      <w:rFonts w:hint="default" w:ascii="仿宋" w:hAnsi="仿宋" w:eastAsia="仿宋" w:cs="仿宋"/>
                      <w:color w:val="auto"/>
                      <w:kern w:val="2"/>
                      <w:szCs w:val="24"/>
                      <w:highlight w:val="none"/>
                      <w:lang w:val="en-US" w:eastAsia="zh-CN" w:bidi="ar"/>
                    </w:rPr>
                  </w:pPr>
                  <w:r>
                    <w:rPr>
                      <w:rFonts w:hint="eastAsia" w:ascii="仿宋" w:hAnsi="仿宋" w:cs="仿宋"/>
                      <w:color w:val="auto"/>
                      <w:kern w:val="2"/>
                      <w:szCs w:val="24"/>
                      <w:highlight w:val="none"/>
                      <w:lang w:val="en-US" w:eastAsia="zh-CN" w:bidi="ar"/>
                    </w:rPr>
                    <w:t>TP</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14:paraId="486E0D49">
                  <w:pPr>
                    <w:pStyle w:val="27"/>
                    <w:widowControl w:val="0"/>
                    <w:autoSpaceDE w:val="0"/>
                    <w:spacing w:before="0" w:beforeAutospacing="0" w:after="0" w:afterAutospacing="0" w:line="320" w:lineRule="exact"/>
                    <w:ind w:firstLine="0" w:firstLineChars="0"/>
                    <w:jc w:val="center"/>
                    <w:rPr>
                      <w:rFonts w:hint="default" w:ascii="仿宋" w:hAnsi="仿宋" w:eastAsia="仿宋" w:cs="仿宋"/>
                      <w:color w:val="auto"/>
                      <w:kern w:val="2"/>
                      <w:szCs w:val="24"/>
                      <w:highlight w:val="none"/>
                      <w:lang w:val="en-US" w:eastAsia="zh-CN" w:bidi="ar"/>
                    </w:rPr>
                  </w:pPr>
                  <w:r>
                    <w:rPr>
                      <w:rFonts w:hint="eastAsia" w:ascii="仿宋" w:hAnsi="仿宋" w:cs="仿宋"/>
                      <w:color w:val="auto"/>
                      <w:kern w:val="2"/>
                      <w:szCs w:val="24"/>
                      <w:highlight w:val="none"/>
                      <w:lang w:val="en-US" w:eastAsia="zh-CN" w:bidi="ar"/>
                    </w:rPr>
                    <w:t>0.3</w:t>
                  </w:r>
                </w:p>
              </w:tc>
            </w:tr>
          </w:tbl>
          <w:p w14:paraId="7EC638FE">
            <w:pPr>
              <w:spacing w:line="240" w:lineRule="auto"/>
              <w:ind w:firstLine="0" w:firstLineChars="0"/>
              <w:rPr>
                <w:color w:val="auto"/>
              </w:rPr>
            </w:pPr>
          </w:p>
          <w:p w14:paraId="59689E2E">
            <w:pPr>
              <w:spacing w:line="240" w:lineRule="auto"/>
              <w:ind w:firstLine="0" w:firstLineChars="0"/>
              <w:jc w:val="center"/>
              <w:rPr>
                <w:color w:val="auto"/>
                <w:sz w:val="24"/>
                <w:szCs w:val="32"/>
              </w:rPr>
            </w:pPr>
            <w:r>
              <w:rPr>
                <w:rFonts w:hint="eastAsia"/>
                <w:color w:val="auto"/>
                <w:sz w:val="24"/>
                <w:szCs w:val="32"/>
              </w:rPr>
              <w:t>4-10废水污染物排放执行标准表</w:t>
            </w:r>
          </w:p>
          <w:tbl>
            <w:tblPr>
              <w:tblStyle w:val="32"/>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733"/>
              <w:gridCol w:w="1784"/>
              <w:gridCol w:w="2233"/>
              <w:gridCol w:w="1889"/>
            </w:tblGrid>
            <w:tr w14:paraId="1259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53" w:type="dxa"/>
                  <w:vMerge w:val="restart"/>
                  <w:vAlign w:val="center"/>
                </w:tcPr>
                <w:p w14:paraId="4EE55EF0">
                  <w:pPr>
                    <w:spacing w:line="240" w:lineRule="auto"/>
                    <w:ind w:firstLine="0" w:firstLineChars="0"/>
                    <w:jc w:val="center"/>
                    <w:rPr>
                      <w:color w:val="auto"/>
                      <w:sz w:val="24"/>
                      <w:szCs w:val="32"/>
                    </w:rPr>
                  </w:pPr>
                  <w:r>
                    <w:rPr>
                      <w:rFonts w:hint="eastAsia"/>
                      <w:color w:val="auto"/>
                      <w:sz w:val="24"/>
                      <w:szCs w:val="32"/>
                    </w:rPr>
                    <w:t>序号</w:t>
                  </w:r>
                </w:p>
              </w:tc>
              <w:tc>
                <w:tcPr>
                  <w:tcW w:w="1733" w:type="dxa"/>
                  <w:vMerge w:val="restart"/>
                  <w:vAlign w:val="center"/>
                </w:tcPr>
                <w:p w14:paraId="7A4B5FD7">
                  <w:pPr>
                    <w:spacing w:line="240" w:lineRule="auto"/>
                    <w:ind w:firstLine="0" w:firstLineChars="0"/>
                    <w:jc w:val="center"/>
                    <w:rPr>
                      <w:color w:val="auto"/>
                      <w:sz w:val="24"/>
                      <w:szCs w:val="32"/>
                    </w:rPr>
                  </w:pPr>
                  <w:r>
                    <w:rPr>
                      <w:rFonts w:hint="eastAsia"/>
                      <w:color w:val="auto"/>
                      <w:sz w:val="24"/>
                      <w:szCs w:val="32"/>
                    </w:rPr>
                    <w:t>排放口编号</w:t>
                  </w:r>
                </w:p>
              </w:tc>
              <w:tc>
                <w:tcPr>
                  <w:tcW w:w="1784" w:type="dxa"/>
                  <w:vMerge w:val="restart"/>
                  <w:vAlign w:val="center"/>
                </w:tcPr>
                <w:p w14:paraId="133F0122">
                  <w:pPr>
                    <w:spacing w:line="240" w:lineRule="auto"/>
                    <w:ind w:firstLine="0" w:firstLineChars="0"/>
                    <w:jc w:val="center"/>
                    <w:rPr>
                      <w:color w:val="auto"/>
                      <w:sz w:val="24"/>
                      <w:szCs w:val="32"/>
                    </w:rPr>
                  </w:pPr>
                  <w:r>
                    <w:rPr>
                      <w:rFonts w:hint="eastAsia"/>
                      <w:color w:val="auto"/>
                      <w:sz w:val="24"/>
                      <w:szCs w:val="32"/>
                    </w:rPr>
                    <w:t>污染物种类</w:t>
                  </w:r>
                </w:p>
              </w:tc>
              <w:tc>
                <w:tcPr>
                  <w:tcW w:w="4122" w:type="dxa"/>
                  <w:gridSpan w:val="2"/>
                  <w:vAlign w:val="center"/>
                </w:tcPr>
                <w:p w14:paraId="6E88489E">
                  <w:pPr>
                    <w:spacing w:line="240" w:lineRule="auto"/>
                    <w:ind w:firstLine="0" w:firstLineChars="0"/>
                    <w:jc w:val="center"/>
                    <w:rPr>
                      <w:color w:val="auto"/>
                      <w:sz w:val="24"/>
                      <w:szCs w:val="32"/>
                    </w:rPr>
                  </w:pPr>
                  <w:r>
                    <w:rPr>
                      <w:rFonts w:hint="eastAsia"/>
                      <w:color w:val="auto"/>
                      <w:sz w:val="24"/>
                      <w:szCs w:val="32"/>
                    </w:rPr>
                    <w:t>排放标准</w:t>
                  </w:r>
                </w:p>
              </w:tc>
            </w:tr>
            <w:tr w14:paraId="43D3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53" w:type="dxa"/>
                  <w:vMerge w:val="continue"/>
                  <w:vAlign w:val="center"/>
                </w:tcPr>
                <w:p w14:paraId="6A5B5129">
                  <w:pPr>
                    <w:spacing w:line="240" w:lineRule="auto"/>
                    <w:ind w:firstLine="0" w:firstLineChars="0"/>
                    <w:jc w:val="center"/>
                    <w:rPr>
                      <w:color w:val="auto"/>
                    </w:rPr>
                  </w:pPr>
                </w:p>
              </w:tc>
              <w:tc>
                <w:tcPr>
                  <w:tcW w:w="1733" w:type="dxa"/>
                  <w:vMerge w:val="continue"/>
                  <w:vAlign w:val="center"/>
                </w:tcPr>
                <w:p w14:paraId="0513DF63">
                  <w:pPr>
                    <w:spacing w:line="240" w:lineRule="auto"/>
                    <w:ind w:firstLine="0" w:firstLineChars="0"/>
                    <w:jc w:val="center"/>
                    <w:rPr>
                      <w:color w:val="auto"/>
                    </w:rPr>
                  </w:pPr>
                </w:p>
              </w:tc>
              <w:tc>
                <w:tcPr>
                  <w:tcW w:w="1784" w:type="dxa"/>
                  <w:vMerge w:val="continue"/>
                  <w:vAlign w:val="center"/>
                </w:tcPr>
                <w:p w14:paraId="7E2D1DA0">
                  <w:pPr>
                    <w:spacing w:line="240" w:lineRule="auto"/>
                    <w:ind w:firstLine="0" w:firstLineChars="0"/>
                    <w:jc w:val="center"/>
                    <w:rPr>
                      <w:color w:val="auto"/>
                    </w:rPr>
                  </w:pPr>
                </w:p>
              </w:tc>
              <w:tc>
                <w:tcPr>
                  <w:tcW w:w="2233" w:type="dxa"/>
                  <w:vAlign w:val="center"/>
                </w:tcPr>
                <w:p w14:paraId="4626D355">
                  <w:pPr>
                    <w:spacing w:line="240" w:lineRule="auto"/>
                    <w:ind w:firstLine="0" w:firstLineChars="0"/>
                    <w:jc w:val="center"/>
                    <w:rPr>
                      <w:color w:val="auto"/>
                      <w:sz w:val="24"/>
                      <w:szCs w:val="32"/>
                    </w:rPr>
                  </w:pPr>
                  <w:r>
                    <w:rPr>
                      <w:rFonts w:hint="eastAsia"/>
                      <w:color w:val="auto"/>
                      <w:sz w:val="24"/>
                      <w:szCs w:val="32"/>
                    </w:rPr>
                    <w:t>名称</w:t>
                  </w:r>
                </w:p>
              </w:tc>
              <w:tc>
                <w:tcPr>
                  <w:tcW w:w="1889" w:type="dxa"/>
                  <w:vAlign w:val="center"/>
                </w:tcPr>
                <w:p w14:paraId="725FB411">
                  <w:pPr>
                    <w:spacing w:line="240" w:lineRule="auto"/>
                    <w:ind w:firstLine="0" w:firstLineChars="0"/>
                    <w:jc w:val="center"/>
                    <w:rPr>
                      <w:color w:val="auto"/>
                      <w:sz w:val="24"/>
                      <w:szCs w:val="32"/>
                    </w:rPr>
                  </w:pPr>
                  <w:r>
                    <w:rPr>
                      <w:rFonts w:hint="eastAsia"/>
                      <w:color w:val="auto"/>
                      <w:sz w:val="24"/>
                      <w:szCs w:val="32"/>
                    </w:rPr>
                    <w:t>排放标准浓度限值（mg/L）</w:t>
                  </w:r>
                </w:p>
              </w:tc>
            </w:tr>
            <w:tr w14:paraId="2BC5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2BD6F416">
                  <w:pPr>
                    <w:spacing w:line="240" w:lineRule="auto"/>
                    <w:ind w:firstLine="0" w:firstLineChars="0"/>
                    <w:jc w:val="center"/>
                    <w:rPr>
                      <w:color w:val="auto"/>
                      <w:sz w:val="24"/>
                      <w:szCs w:val="32"/>
                    </w:rPr>
                  </w:pPr>
                  <w:r>
                    <w:rPr>
                      <w:rFonts w:hint="eastAsia"/>
                      <w:color w:val="auto"/>
                      <w:sz w:val="24"/>
                      <w:szCs w:val="32"/>
                    </w:rPr>
                    <w:t>1</w:t>
                  </w:r>
                </w:p>
              </w:tc>
              <w:tc>
                <w:tcPr>
                  <w:tcW w:w="1733" w:type="dxa"/>
                  <w:vMerge w:val="restart"/>
                  <w:vAlign w:val="center"/>
                </w:tcPr>
                <w:p w14:paraId="0AFE9AC3">
                  <w:pPr>
                    <w:spacing w:line="240" w:lineRule="auto"/>
                    <w:ind w:firstLine="0" w:firstLineChars="0"/>
                    <w:jc w:val="center"/>
                    <w:rPr>
                      <w:color w:val="auto"/>
                      <w:sz w:val="24"/>
                      <w:szCs w:val="32"/>
                    </w:rPr>
                  </w:pPr>
                  <w:r>
                    <w:rPr>
                      <w:rFonts w:hint="eastAsia"/>
                      <w:color w:val="auto"/>
                      <w:sz w:val="24"/>
                      <w:szCs w:val="32"/>
                    </w:rPr>
                    <w:t>废水总排口DW001</w:t>
                  </w:r>
                </w:p>
              </w:tc>
              <w:tc>
                <w:tcPr>
                  <w:tcW w:w="1784" w:type="dxa"/>
                  <w:vAlign w:val="center"/>
                </w:tcPr>
                <w:p w14:paraId="115F515C">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C</w:t>
                  </w:r>
                  <w:r>
                    <w:rPr>
                      <w:rFonts w:hint="eastAsia" w:ascii="仿宋" w:hAnsi="仿宋"/>
                      <w:color w:val="auto"/>
                      <w:kern w:val="2"/>
                      <w:szCs w:val="24"/>
                      <w:lang w:val="en-US" w:bidi="ar"/>
                    </w:rPr>
                    <w:t>OD</w:t>
                  </w:r>
                </w:p>
              </w:tc>
              <w:tc>
                <w:tcPr>
                  <w:tcW w:w="2233" w:type="dxa"/>
                  <w:vMerge w:val="restart"/>
                  <w:vAlign w:val="center"/>
                </w:tcPr>
                <w:p w14:paraId="122CAD01">
                  <w:pPr>
                    <w:spacing w:line="240" w:lineRule="auto"/>
                    <w:ind w:firstLine="0" w:firstLineChars="0"/>
                    <w:jc w:val="center"/>
                    <w:rPr>
                      <w:color w:val="auto"/>
                      <w:sz w:val="24"/>
                      <w:szCs w:val="32"/>
                    </w:rPr>
                  </w:pPr>
                  <w:r>
                    <w:rPr>
                      <w:rFonts w:hint="eastAsia"/>
                      <w:color w:val="auto"/>
                      <w:sz w:val="24"/>
                      <w:szCs w:val="32"/>
                    </w:rPr>
                    <w:t>《污水综合排放标准》（GB8978-1996）三级标准</w:t>
                  </w:r>
                </w:p>
              </w:tc>
              <w:tc>
                <w:tcPr>
                  <w:tcW w:w="1889" w:type="dxa"/>
                  <w:vAlign w:val="center"/>
                </w:tcPr>
                <w:p w14:paraId="68FB37A5">
                  <w:pPr>
                    <w:spacing w:line="240" w:lineRule="auto"/>
                    <w:ind w:firstLine="0" w:firstLineChars="0"/>
                    <w:jc w:val="center"/>
                    <w:rPr>
                      <w:color w:val="auto"/>
                      <w:sz w:val="24"/>
                      <w:szCs w:val="32"/>
                    </w:rPr>
                  </w:pPr>
                  <w:r>
                    <w:rPr>
                      <w:rFonts w:hint="eastAsia"/>
                      <w:color w:val="auto"/>
                      <w:sz w:val="24"/>
                      <w:szCs w:val="32"/>
                    </w:rPr>
                    <w:t>500</w:t>
                  </w:r>
                </w:p>
              </w:tc>
            </w:tr>
            <w:tr w14:paraId="3C9F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6CAEDC25">
                  <w:pPr>
                    <w:spacing w:line="240" w:lineRule="auto"/>
                    <w:ind w:firstLine="0" w:firstLineChars="0"/>
                    <w:jc w:val="center"/>
                    <w:rPr>
                      <w:color w:val="auto"/>
                      <w:sz w:val="24"/>
                      <w:szCs w:val="32"/>
                    </w:rPr>
                  </w:pPr>
                </w:p>
              </w:tc>
              <w:tc>
                <w:tcPr>
                  <w:tcW w:w="1733" w:type="dxa"/>
                  <w:vMerge w:val="continue"/>
                  <w:vAlign w:val="center"/>
                </w:tcPr>
                <w:p w14:paraId="117090F7">
                  <w:pPr>
                    <w:spacing w:line="240" w:lineRule="auto"/>
                    <w:ind w:firstLine="0" w:firstLineChars="0"/>
                    <w:jc w:val="center"/>
                    <w:rPr>
                      <w:color w:val="auto"/>
                      <w:sz w:val="24"/>
                      <w:szCs w:val="32"/>
                    </w:rPr>
                  </w:pPr>
                </w:p>
              </w:tc>
              <w:tc>
                <w:tcPr>
                  <w:tcW w:w="1784" w:type="dxa"/>
                  <w:vAlign w:val="center"/>
                </w:tcPr>
                <w:p w14:paraId="2E67E783">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B</w:t>
                  </w:r>
                  <w:r>
                    <w:rPr>
                      <w:rFonts w:hint="eastAsia" w:ascii="仿宋" w:hAnsi="仿宋"/>
                      <w:color w:val="auto"/>
                      <w:kern w:val="2"/>
                      <w:szCs w:val="24"/>
                      <w:lang w:val="en-US" w:bidi="ar"/>
                    </w:rPr>
                    <w:t>OD</w:t>
                  </w:r>
                  <w:r>
                    <w:rPr>
                      <w:rFonts w:hint="eastAsia" w:ascii="仿宋" w:hAnsi="仿宋"/>
                      <w:color w:val="auto"/>
                      <w:kern w:val="2"/>
                      <w:szCs w:val="24"/>
                      <w:vertAlign w:val="subscript"/>
                      <w:lang w:val="en-US" w:bidi="ar"/>
                    </w:rPr>
                    <w:t>5</w:t>
                  </w:r>
                </w:p>
              </w:tc>
              <w:tc>
                <w:tcPr>
                  <w:tcW w:w="2233" w:type="dxa"/>
                  <w:vMerge w:val="continue"/>
                  <w:vAlign w:val="center"/>
                </w:tcPr>
                <w:p w14:paraId="124C19FF">
                  <w:pPr>
                    <w:spacing w:line="240" w:lineRule="auto"/>
                    <w:ind w:firstLine="0" w:firstLineChars="0"/>
                    <w:jc w:val="center"/>
                    <w:rPr>
                      <w:color w:val="auto"/>
                      <w:sz w:val="24"/>
                      <w:szCs w:val="32"/>
                    </w:rPr>
                  </w:pPr>
                </w:p>
              </w:tc>
              <w:tc>
                <w:tcPr>
                  <w:tcW w:w="1889" w:type="dxa"/>
                  <w:vAlign w:val="center"/>
                </w:tcPr>
                <w:p w14:paraId="2CFD2928">
                  <w:pPr>
                    <w:spacing w:line="240" w:lineRule="auto"/>
                    <w:ind w:firstLine="0" w:firstLineChars="0"/>
                    <w:jc w:val="center"/>
                    <w:rPr>
                      <w:color w:val="auto"/>
                      <w:sz w:val="24"/>
                      <w:szCs w:val="32"/>
                    </w:rPr>
                  </w:pPr>
                  <w:r>
                    <w:rPr>
                      <w:rFonts w:hint="eastAsia"/>
                      <w:color w:val="auto"/>
                      <w:sz w:val="24"/>
                      <w:szCs w:val="32"/>
                    </w:rPr>
                    <w:t>300</w:t>
                  </w:r>
                </w:p>
              </w:tc>
            </w:tr>
            <w:tr w14:paraId="48A6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6C21093F">
                  <w:pPr>
                    <w:spacing w:line="240" w:lineRule="auto"/>
                    <w:ind w:firstLine="0" w:firstLineChars="0"/>
                    <w:jc w:val="center"/>
                    <w:rPr>
                      <w:color w:val="auto"/>
                      <w:sz w:val="24"/>
                      <w:szCs w:val="32"/>
                    </w:rPr>
                  </w:pPr>
                </w:p>
              </w:tc>
              <w:tc>
                <w:tcPr>
                  <w:tcW w:w="1733" w:type="dxa"/>
                  <w:vMerge w:val="continue"/>
                  <w:vAlign w:val="center"/>
                </w:tcPr>
                <w:p w14:paraId="555849B3">
                  <w:pPr>
                    <w:spacing w:line="240" w:lineRule="auto"/>
                    <w:ind w:firstLine="0" w:firstLineChars="0"/>
                    <w:jc w:val="center"/>
                    <w:rPr>
                      <w:color w:val="auto"/>
                      <w:sz w:val="24"/>
                      <w:szCs w:val="32"/>
                    </w:rPr>
                  </w:pPr>
                </w:p>
              </w:tc>
              <w:tc>
                <w:tcPr>
                  <w:tcW w:w="1784" w:type="dxa"/>
                  <w:vAlign w:val="center"/>
                </w:tcPr>
                <w:p w14:paraId="67B8F3AA">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S</w:t>
                  </w:r>
                  <w:r>
                    <w:rPr>
                      <w:rFonts w:hint="eastAsia" w:ascii="仿宋" w:hAnsi="仿宋"/>
                      <w:color w:val="auto"/>
                      <w:kern w:val="2"/>
                      <w:szCs w:val="24"/>
                      <w:lang w:val="en-US" w:bidi="ar"/>
                    </w:rPr>
                    <w:t>S</w:t>
                  </w:r>
                </w:p>
              </w:tc>
              <w:tc>
                <w:tcPr>
                  <w:tcW w:w="2233" w:type="dxa"/>
                  <w:vMerge w:val="continue"/>
                  <w:vAlign w:val="center"/>
                </w:tcPr>
                <w:p w14:paraId="287CA624">
                  <w:pPr>
                    <w:spacing w:line="240" w:lineRule="auto"/>
                    <w:ind w:firstLine="0" w:firstLineChars="0"/>
                    <w:jc w:val="center"/>
                    <w:rPr>
                      <w:color w:val="auto"/>
                      <w:sz w:val="24"/>
                      <w:szCs w:val="32"/>
                    </w:rPr>
                  </w:pPr>
                </w:p>
              </w:tc>
              <w:tc>
                <w:tcPr>
                  <w:tcW w:w="1889" w:type="dxa"/>
                  <w:vAlign w:val="center"/>
                </w:tcPr>
                <w:p w14:paraId="2607C07C">
                  <w:pPr>
                    <w:spacing w:line="240" w:lineRule="auto"/>
                    <w:ind w:firstLine="0" w:firstLineChars="0"/>
                    <w:jc w:val="center"/>
                    <w:rPr>
                      <w:color w:val="auto"/>
                      <w:sz w:val="24"/>
                      <w:szCs w:val="32"/>
                    </w:rPr>
                  </w:pPr>
                  <w:r>
                    <w:rPr>
                      <w:rFonts w:hint="eastAsia"/>
                      <w:color w:val="auto"/>
                      <w:sz w:val="24"/>
                      <w:szCs w:val="32"/>
                    </w:rPr>
                    <w:t>400</w:t>
                  </w:r>
                </w:p>
              </w:tc>
            </w:tr>
            <w:tr w14:paraId="4236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30552880">
                  <w:pPr>
                    <w:spacing w:line="240" w:lineRule="auto"/>
                    <w:ind w:firstLine="0" w:firstLineChars="0"/>
                    <w:jc w:val="center"/>
                    <w:rPr>
                      <w:color w:val="auto"/>
                      <w:sz w:val="24"/>
                      <w:szCs w:val="32"/>
                    </w:rPr>
                  </w:pPr>
                </w:p>
              </w:tc>
              <w:tc>
                <w:tcPr>
                  <w:tcW w:w="1733" w:type="dxa"/>
                  <w:vMerge w:val="continue"/>
                  <w:vAlign w:val="center"/>
                </w:tcPr>
                <w:p w14:paraId="645DC311">
                  <w:pPr>
                    <w:spacing w:line="240" w:lineRule="auto"/>
                    <w:ind w:firstLine="0" w:firstLineChars="0"/>
                    <w:jc w:val="center"/>
                    <w:rPr>
                      <w:color w:val="auto"/>
                      <w:sz w:val="24"/>
                      <w:szCs w:val="32"/>
                    </w:rPr>
                  </w:pPr>
                </w:p>
              </w:tc>
              <w:tc>
                <w:tcPr>
                  <w:tcW w:w="1784" w:type="dxa"/>
                  <w:vAlign w:val="center"/>
                </w:tcPr>
                <w:p w14:paraId="6C025177">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氨氮</w:t>
                  </w:r>
                </w:p>
              </w:tc>
              <w:tc>
                <w:tcPr>
                  <w:tcW w:w="2233" w:type="dxa"/>
                  <w:vMerge w:val="continue"/>
                  <w:vAlign w:val="center"/>
                </w:tcPr>
                <w:p w14:paraId="72318041">
                  <w:pPr>
                    <w:spacing w:line="240" w:lineRule="auto"/>
                    <w:ind w:firstLine="0" w:firstLineChars="0"/>
                    <w:jc w:val="center"/>
                    <w:rPr>
                      <w:color w:val="auto"/>
                      <w:sz w:val="24"/>
                      <w:szCs w:val="32"/>
                    </w:rPr>
                  </w:pPr>
                </w:p>
              </w:tc>
              <w:tc>
                <w:tcPr>
                  <w:tcW w:w="1889" w:type="dxa"/>
                  <w:vAlign w:val="center"/>
                </w:tcPr>
                <w:p w14:paraId="22566DA7">
                  <w:pPr>
                    <w:spacing w:line="240" w:lineRule="auto"/>
                    <w:ind w:firstLine="0" w:firstLineChars="0"/>
                    <w:jc w:val="center"/>
                    <w:rPr>
                      <w:color w:val="auto"/>
                      <w:sz w:val="24"/>
                      <w:szCs w:val="32"/>
                    </w:rPr>
                  </w:pPr>
                  <w:r>
                    <w:rPr>
                      <w:rFonts w:hint="eastAsia"/>
                      <w:color w:val="auto"/>
                      <w:sz w:val="24"/>
                      <w:szCs w:val="32"/>
                    </w:rPr>
                    <w:t>45</w:t>
                  </w:r>
                </w:p>
              </w:tc>
            </w:tr>
            <w:tr w14:paraId="7A38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366AE495">
                  <w:pPr>
                    <w:spacing w:line="240" w:lineRule="auto"/>
                    <w:ind w:firstLine="0" w:firstLineChars="0"/>
                    <w:jc w:val="center"/>
                    <w:rPr>
                      <w:color w:val="auto"/>
                      <w:sz w:val="24"/>
                      <w:szCs w:val="32"/>
                    </w:rPr>
                  </w:pPr>
                </w:p>
              </w:tc>
              <w:tc>
                <w:tcPr>
                  <w:tcW w:w="1733" w:type="dxa"/>
                  <w:vMerge w:val="continue"/>
                  <w:vAlign w:val="center"/>
                </w:tcPr>
                <w:p w14:paraId="0133ED87">
                  <w:pPr>
                    <w:spacing w:line="240" w:lineRule="auto"/>
                    <w:ind w:firstLine="0" w:firstLineChars="0"/>
                    <w:jc w:val="center"/>
                    <w:rPr>
                      <w:color w:val="auto"/>
                      <w:sz w:val="24"/>
                      <w:szCs w:val="32"/>
                    </w:rPr>
                  </w:pPr>
                </w:p>
              </w:tc>
              <w:tc>
                <w:tcPr>
                  <w:tcW w:w="1784" w:type="dxa"/>
                  <w:vAlign w:val="center"/>
                </w:tcPr>
                <w:p w14:paraId="544DB2C0">
                  <w:pPr>
                    <w:pStyle w:val="27"/>
                    <w:widowControl w:val="0"/>
                    <w:autoSpaceDE w:val="0"/>
                    <w:spacing w:before="0" w:beforeAutospacing="0" w:after="0" w:afterAutospacing="0" w:line="320" w:lineRule="exact"/>
                    <w:ind w:firstLine="0" w:firstLineChars="0"/>
                    <w:jc w:val="center"/>
                    <w:rPr>
                      <w:rFonts w:ascii="仿宋" w:hAnsi="仿宋"/>
                      <w:color w:val="auto"/>
                      <w:kern w:val="2"/>
                      <w:sz w:val="18"/>
                      <w:szCs w:val="18"/>
                    </w:rPr>
                  </w:pPr>
                  <w:r>
                    <w:rPr>
                      <w:rFonts w:hint="eastAsia" w:ascii="仿宋" w:hAnsi="仿宋" w:cs="仿宋"/>
                      <w:color w:val="auto"/>
                      <w:kern w:val="2"/>
                      <w:szCs w:val="24"/>
                      <w:lang w:val="en-US" w:bidi="ar"/>
                    </w:rPr>
                    <w:t>动植物油</w:t>
                  </w:r>
                </w:p>
              </w:tc>
              <w:tc>
                <w:tcPr>
                  <w:tcW w:w="2233" w:type="dxa"/>
                  <w:vMerge w:val="continue"/>
                  <w:vAlign w:val="center"/>
                </w:tcPr>
                <w:p w14:paraId="0279EEA4">
                  <w:pPr>
                    <w:spacing w:line="240" w:lineRule="auto"/>
                    <w:ind w:firstLine="0" w:firstLineChars="0"/>
                    <w:jc w:val="center"/>
                    <w:rPr>
                      <w:color w:val="auto"/>
                      <w:sz w:val="24"/>
                      <w:szCs w:val="32"/>
                    </w:rPr>
                  </w:pPr>
                </w:p>
              </w:tc>
              <w:tc>
                <w:tcPr>
                  <w:tcW w:w="1889" w:type="dxa"/>
                  <w:vAlign w:val="center"/>
                </w:tcPr>
                <w:p w14:paraId="27261F97">
                  <w:pPr>
                    <w:spacing w:line="240" w:lineRule="auto"/>
                    <w:ind w:firstLine="0" w:firstLineChars="0"/>
                    <w:jc w:val="center"/>
                    <w:rPr>
                      <w:color w:val="auto"/>
                      <w:sz w:val="24"/>
                      <w:szCs w:val="32"/>
                    </w:rPr>
                  </w:pPr>
                  <w:r>
                    <w:rPr>
                      <w:rFonts w:hint="eastAsia"/>
                      <w:color w:val="auto"/>
                      <w:sz w:val="24"/>
                      <w:szCs w:val="32"/>
                    </w:rPr>
                    <w:t>100</w:t>
                  </w:r>
                </w:p>
              </w:tc>
            </w:tr>
            <w:tr w14:paraId="1001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1E81A6B4">
                  <w:pPr>
                    <w:spacing w:line="240" w:lineRule="auto"/>
                    <w:ind w:firstLine="0" w:firstLineChars="0"/>
                    <w:jc w:val="center"/>
                    <w:rPr>
                      <w:color w:val="auto"/>
                      <w:sz w:val="24"/>
                      <w:szCs w:val="32"/>
                    </w:rPr>
                  </w:pPr>
                </w:p>
              </w:tc>
              <w:tc>
                <w:tcPr>
                  <w:tcW w:w="1733" w:type="dxa"/>
                  <w:vMerge w:val="continue"/>
                  <w:vAlign w:val="center"/>
                </w:tcPr>
                <w:p w14:paraId="4A17B4EE">
                  <w:pPr>
                    <w:spacing w:line="240" w:lineRule="auto"/>
                    <w:ind w:firstLine="0" w:firstLineChars="0"/>
                    <w:jc w:val="center"/>
                    <w:rPr>
                      <w:color w:val="auto"/>
                      <w:sz w:val="24"/>
                      <w:szCs w:val="32"/>
                    </w:rPr>
                  </w:pPr>
                </w:p>
              </w:tc>
              <w:tc>
                <w:tcPr>
                  <w:tcW w:w="1784" w:type="dxa"/>
                  <w:vAlign w:val="center"/>
                </w:tcPr>
                <w:p w14:paraId="3FB3B736">
                  <w:pPr>
                    <w:pStyle w:val="27"/>
                    <w:widowControl w:val="0"/>
                    <w:autoSpaceDE w:val="0"/>
                    <w:spacing w:before="0" w:beforeAutospacing="0" w:after="0" w:afterAutospacing="0" w:line="320" w:lineRule="exact"/>
                    <w:ind w:firstLine="0" w:firstLineChars="0"/>
                    <w:jc w:val="center"/>
                    <w:rPr>
                      <w:rFonts w:ascii="仿宋" w:hAnsi="仿宋" w:cs="仿宋"/>
                      <w:color w:val="auto"/>
                      <w:kern w:val="2"/>
                      <w:szCs w:val="24"/>
                      <w:lang w:val="en-US" w:bidi="ar"/>
                    </w:rPr>
                  </w:pPr>
                  <w:r>
                    <w:rPr>
                      <w:rFonts w:hint="eastAsia" w:ascii="仿宋" w:hAnsi="仿宋" w:cs="仿宋"/>
                      <w:color w:val="auto"/>
                      <w:kern w:val="2"/>
                      <w:szCs w:val="24"/>
                      <w:lang w:val="en-US" w:bidi="ar"/>
                    </w:rPr>
                    <w:t>石油类</w:t>
                  </w:r>
                </w:p>
              </w:tc>
              <w:tc>
                <w:tcPr>
                  <w:tcW w:w="2233" w:type="dxa"/>
                  <w:vMerge w:val="continue"/>
                  <w:vAlign w:val="center"/>
                </w:tcPr>
                <w:p w14:paraId="2344B007">
                  <w:pPr>
                    <w:spacing w:line="240" w:lineRule="auto"/>
                    <w:ind w:firstLine="0" w:firstLineChars="0"/>
                    <w:jc w:val="center"/>
                    <w:rPr>
                      <w:color w:val="auto"/>
                      <w:sz w:val="24"/>
                      <w:szCs w:val="32"/>
                    </w:rPr>
                  </w:pPr>
                </w:p>
              </w:tc>
              <w:tc>
                <w:tcPr>
                  <w:tcW w:w="1889" w:type="dxa"/>
                  <w:vAlign w:val="center"/>
                </w:tcPr>
                <w:p w14:paraId="77B0E447">
                  <w:pPr>
                    <w:spacing w:line="240" w:lineRule="auto"/>
                    <w:ind w:firstLine="0" w:firstLineChars="0"/>
                    <w:jc w:val="center"/>
                    <w:rPr>
                      <w:color w:val="auto"/>
                      <w:sz w:val="24"/>
                      <w:szCs w:val="32"/>
                    </w:rPr>
                  </w:pPr>
                  <w:r>
                    <w:rPr>
                      <w:rFonts w:hint="eastAsia"/>
                      <w:color w:val="auto"/>
                      <w:sz w:val="24"/>
                      <w:szCs w:val="32"/>
                    </w:rPr>
                    <w:t>20</w:t>
                  </w:r>
                </w:p>
              </w:tc>
            </w:tr>
            <w:tr w14:paraId="75DA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047205A9">
                  <w:pPr>
                    <w:spacing w:line="240" w:lineRule="auto"/>
                    <w:ind w:firstLine="0" w:firstLineChars="0"/>
                    <w:jc w:val="center"/>
                    <w:rPr>
                      <w:color w:val="auto"/>
                      <w:sz w:val="24"/>
                      <w:szCs w:val="32"/>
                    </w:rPr>
                  </w:pPr>
                </w:p>
              </w:tc>
              <w:tc>
                <w:tcPr>
                  <w:tcW w:w="1733" w:type="dxa"/>
                  <w:vMerge w:val="continue"/>
                  <w:vAlign w:val="center"/>
                </w:tcPr>
                <w:p w14:paraId="55DE68A5">
                  <w:pPr>
                    <w:spacing w:line="240" w:lineRule="auto"/>
                    <w:ind w:firstLine="0" w:firstLineChars="0"/>
                    <w:jc w:val="center"/>
                    <w:rPr>
                      <w:color w:val="auto"/>
                      <w:sz w:val="24"/>
                      <w:szCs w:val="32"/>
                    </w:rPr>
                  </w:pPr>
                </w:p>
              </w:tc>
              <w:tc>
                <w:tcPr>
                  <w:tcW w:w="1784" w:type="dxa"/>
                  <w:vAlign w:val="center"/>
                </w:tcPr>
                <w:p w14:paraId="2ED4E84B">
                  <w:pPr>
                    <w:pStyle w:val="27"/>
                    <w:widowControl w:val="0"/>
                    <w:autoSpaceDE w:val="0"/>
                    <w:spacing w:before="0" w:beforeAutospacing="0" w:after="0" w:afterAutospacing="0" w:line="320" w:lineRule="exact"/>
                    <w:ind w:firstLine="0" w:firstLineChars="0"/>
                    <w:jc w:val="center"/>
                    <w:rPr>
                      <w:rFonts w:hint="default" w:ascii="仿宋" w:hAnsi="仿宋" w:eastAsia="仿宋" w:cs="仿宋"/>
                      <w:color w:val="auto"/>
                      <w:kern w:val="2"/>
                      <w:szCs w:val="24"/>
                      <w:lang w:val="en-US" w:eastAsia="zh-CN" w:bidi="ar"/>
                    </w:rPr>
                  </w:pPr>
                  <w:r>
                    <w:rPr>
                      <w:rFonts w:hint="eastAsia" w:ascii="仿宋" w:hAnsi="仿宋" w:cs="仿宋"/>
                      <w:color w:val="auto"/>
                      <w:kern w:val="2"/>
                      <w:szCs w:val="24"/>
                      <w:lang w:val="en-US" w:eastAsia="zh-CN" w:bidi="ar"/>
                    </w:rPr>
                    <w:t>TP</w:t>
                  </w:r>
                </w:p>
              </w:tc>
              <w:tc>
                <w:tcPr>
                  <w:tcW w:w="2233" w:type="dxa"/>
                  <w:vMerge w:val="continue"/>
                  <w:vAlign w:val="center"/>
                </w:tcPr>
                <w:p w14:paraId="37E542C3">
                  <w:pPr>
                    <w:spacing w:line="240" w:lineRule="auto"/>
                    <w:ind w:firstLine="0" w:firstLineChars="0"/>
                    <w:jc w:val="center"/>
                    <w:rPr>
                      <w:color w:val="auto"/>
                      <w:sz w:val="24"/>
                      <w:szCs w:val="32"/>
                    </w:rPr>
                  </w:pPr>
                </w:p>
              </w:tc>
              <w:tc>
                <w:tcPr>
                  <w:tcW w:w="1889" w:type="dxa"/>
                  <w:vAlign w:val="center"/>
                </w:tcPr>
                <w:p w14:paraId="1285878E">
                  <w:pPr>
                    <w:spacing w:line="240" w:lineRule="auto"/>
                    <w:ind w:firstLine="0" w:firstLineChars="0"/>
                    <w:jc w:val="center"/>
                    <w:rPr>
                      <w:rFonts w:hint="eastAsia" w:eastAsia="仿宋"/>
                      <w:color w:val="auto"/>
                      <w:sz w:val="24"/>
                      <w:szCs w:val="32"/>
                      <w:lang w:val="en-US" w:eastAsia="zh-CN"/>
                    </w:rPr>
                  </w:pPr>
                  <w:r>
                    <w:rPr>
                      <w:rFonts w:hint="eastAsia"/>
                      <w:color w:val="auto"/>
                      <w:sz w:val="24"/>
                      <w:szCs w:val="32"/>
                      <w:lang w:val="en-US" w:eastAsia="zh-CN"/>
                    </w:rPr>
                    <w:t>8</w:t>
                  </w:r>
                </w:p>
              </w:tc>
            </w:tr>
          </w:tbl>
          <w:p w14:paraId="071140B6">
            <w:pPr>
              <w:spacing w:line="240" w:lineRule="auto"/>
              <w:ind w:firstLine="0" w:firstLineChars="0"/>
              <w:rPr>
                <w:color w:val="auto"/>
                <w:sz w:val="24"/>
                <w:szCs w:val="32"/>
              </w:rPr>
            </w:pPr>
          </w:p>
          <w:p w14:paraId="69719336">
            <w:pPr>
              <w:pStyle w:val="53"/>
              <w:spacing w:before="120"/>
              <w:rPr>
                <w:rFonts w:ascii="仿宋" w:hAnsi="仿宋"/>
                <w:color w:val="auto"/>
                <w:sz w:val="28"/>
              </w:rPr>
            </w:pPr>
            <w:r>
              <w:rPr>
                <w:rFonts w:hint="eastAsia" w:ascii="仿宋" w:hAnsi="仿宋"/>
                <w:color w:val="auto"/>
                <w:sz w:val="28"/>
                <w:lang w:val="en-US"/>
              </w:rPr>
              <w:t>4.3</w:t>
            </w:r>
            <w:r>
              <w:rPr>
                <w:rFonts w:ascii="仿宋" w:hAnsi="仿宋"/>
                <w:color w:val="auto"/>
                <w:sz w:val="28"/>
              </w:rPr>
              <w:t>.3</w:t>
            </w:r>
            <w:r>
              <w:rPr>
                <w:rFonts w:hint="eastAsia" w:ascii="仿宋" w:hAnsi="仿宋"/>
                <w:color w:val="auto"/>
                <w:sz w:val="28"/>
              </w:rPr>
              <w:t>监测要求</w:t>
            </w:r>
          </w:p>
          <w:p w14:paraId="44686EB7">
            <w:pPr>
              <w:ind w:firstLine="560"/>
              <w:rPr>
                <w:color w:val="auto"/>
                <w:sz w:val="28"/>
              </w:rPr>
            </w:pPr>
            <w:r>
              <w:rPr>
                <w:rFonts w:hint="eastAsia"/>
                <w:bCs/>
                <w:color w:val="auto"/>
                <w:sz w:val="28"/>
              </w:rPr>
              <w:t>根据《排污单位自行监测技术指南总则》（HJ819-2017）、《排污许可证申请与核发技术规范橡胶和塑料制品工业》（HJ1122-2020）、</w:t>
            </w:r>
            <w:r>
              <w:rPr>
                <w:rFonts w:hint="eastAsia"/>
                <w:bCs/>
                <w:color w:val="auto"/>
                <w:sz w:val="28"/>
                <w:lang w:eastAsia="zh-CN"/>
              </w:rPr>
              <w:t>《</w:t>
            </w:r>
            <w:r>
              <w:rPr>
                <w:rFonts w:hint="eastAsia"/>
                <w:bCs/>
                <w:color w:val="auto"/>
                <w:sz w:val="28"/>
              </w:rPr>
              <w:fldChar w:fldCharType="begin"/>
            </w:r>
            <w:r>
              <w:rPr>
                <w:rFonts w:hint="eastAsia"/>
                <w:bCs/>
                <w:color w:val="auto"/>
                <w:sz w:val="28"/>
              </w:rPr>
              <w:instrText xml:space="preserve"> HYPERLINK "https://www.mee.gov.cn/ywgz/fgbz/bz/bzwb/jcffbz/202112/W020211206547863741730.pdf" </w:instrText>
            </w:r>
            <w:r>
              <w:rPr>
                <w:rFonts w:hint="eastAsia"/>
                <w:bCs/>
                <w:color w:val="auto"/>
                <w:sz w:val="28"/>
              </w:rPr>
              <w:fldChar w:fldCharType="separate"/>
            </w:r>
            <w:r>
              <w:rPr>
                <w:rFonts w:hint="eastAsia"/>
                <w:bCs/>
                <w:color w:val="auto"/>
                <w:sz w:val="28"/>
              </w:rPr>
              <w:t>排污单位自行监测技术指南橡胶和塑料制品</w:t>
            </w:r>
            <w:r>
              <w:rPr>
                <w:rFonts w:hint="eastAsia"/>
                <w:bCs/>
                <w:color w:val="auto"/>
                <w:sz w:val="28"/>
                <w:lang w:eastAsia="zh-CN"/>
              </w:rPr>
              <w:t>》</w:t>
            </w:r>
            <w:r>
              <w:rPr>
                <w:rFonts w:hint="eastAsia"/>
                <w:bCs/>
                <w:color w:val="auto"/>
                <w:sz w:val="28"/>
              </w:rPr>
              <w:t>（HJ1207—2021）</w:t>
            </w:r>
            <w:r>
              <w:rPr>
                <w:rFonts w:hint="eastAsia"/>
                <w:bCs/>
                <w:color w:val="auto"/>
                <w:sz w:val="28"/>
              </w:rPr>
              <w:fldChar w:fldCharType="end"/>
            </w:r>
            <w:r>
              <w:rPr>
                <w:rFonts w:hint="eastAsia"/>
                <w:bCs/>
                <w:color w:val="auto"/>
                <w:sz w:val="28"/>
              </w:rPr>
              <w:t>文件要求，本项目废水监测要求见表</w:t>
            </w:r>
            <w:r>
              <w:rPr>
                <w:rFonts w:hint="eastAsia"/>
                <w:color w:val="auto"/>
                <w:sz w:val="28"/>
              </w:rPr>
              <w:t>4-11。</w:t>
            </w:r>
          </w:p>
          <w:p w14:paraId="18B3C463">
            <w:pPr>
              <w:pStyle w:val="75"/>
              <w:rPr>
                <w:color w:val="auto"/>
                <w:lang w:val="en-US"/>
              </w:rPr>
            </w:pPr>
            <w:r>
              <w:rPr>
                <w:rFonts w:hint="eastAsia"/>
                <w:color w:val="auto"/>
                <w:sz w:val="24"/>
              </w:rPr>
              <w:t>表4-</w:t>
            </w:r>
            <w:r>
              <w:rPr>
                <w:rFonts w:hint="eastAsia"/>
                <w:color w:val="auto"/>
                <w:sz w:val="24"/>
                <w:lang w:val="en-US"/>
              </w:rPr>
              <w:t>11</w:t>
            </w:r>
            <w:r>
              <w:rPr>
                <w:rFonts w:hint="eastAsia"/>
                <w:color w:val="auto"/>
                <w:sz w:val="24"/>
              </w:rPr>
              <w:t>废水监测要求一览表</w:t>
            </w:r>
          </w:p>
          <w:tbl>
            <w:tblPr>
              <w:tblStyle w:val="32"/>
              <w:tblW w:w="8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1917"/>
              <w:gridCol w:w="1917"/>
              <w:gridCol w:w="2381"/>
            </w:tblGrid>
            <w:tr w14:paraId="1A2A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dxa"/>
                  <w:vAlign w:val="center"/>
                </w:tcPr>
                <w:p w14:paraId="537F4936">
                  <w:pPr>
                    <w:pStyle w:val="48"/>
                    <w:rPr>
                      <w:color w:val="auto"/>
                      <w:szCs w:val="18"/>
                    </w:rPr>
                  </w:pPr>
                  <w:r>
                    <w:rPr>
                      <w:rFonts w:hint="eastAsia"/>
                      <w:color w:val="auto"/>
                      <w:sz w:val="24"/>
                      <w:szCs w:val="18"/>
                    </w:rPr>
                    <w:t>监测点位</w:t>
                  </w:r>
                </w:p>
              </w:tc>
              <w:tc>
                <w:tcPr>
                  <w:tcW w:w="1917" w:type="dxa"/>
                  <w:vAlign w:val="center"/>
                </w:tcPr>
                <w:p w14:paraId="70079AE3">
                  <w:pPr>
                    <w:pStyle w:val="48"/>
                    <w:rPr>
                      <w:color w:val="auto"/>
                      <w:szCs w:val="18"/>
                    </w:rPr>
                  </w:pPr>
                  <w:r>
                    <w:rPr>
                      <w:rFonts w:hint="eastAsia"/>
                      <w:color w:val="auto"/>
                      <w:sz w:val="24"/>
                      <w:szCs w:val="18"/>
                    </w:rPr>
                    <w:t>监测因子</w:t>
                  </w:r>
                </w:p>
              </w:tc>
              <w:tc>
                <w:tcPr>
                  <w:tcW w:w="1917" w:type="dxa"/>
                  <w:vAlign w:val="center"/>
                </w:tcPr>
                <w:p w14:paraId="65E9D34C">
                  <w:pPr>
                    <w:pStyle w:val="48"/>
                    <w:rPr>
                      <w:color w:val="auto"/>
                      <w:szCs w:val="18"/>
                    </w:rPr>
                  </w:pPr>
                  <w:r>
                    <w:rPr>
                      <w:rFonts w:hint="eastAsia"/>
                      <w:color w:val="auto"/>
                      <w:sz w:val="24"/>
                      <w:szCs w:val="18"/>
                    </w:rPr>
                    <w:t>监测频率</w:t>
                  </w:r>
                </w:p>
              </w:tc>
              <w:tc>
                <w:tcPr>
                  <w:tcW w:w="2381" w:type="dxa"/>
                  <w:vAlign w:val="center"/>
                </w:tcPr>
                <w:p w14:paraId="0312C50D">
                  <w:pPr>
                    <w:pStyle w:val="48"/>
                    <w:rPr>
                      <w:color w:val="auto"/>
                      <w:szCs w:val="18"/>
                    </w:rPr>
                  </w:pPr>
                  <w:r>
                    <w:rPr>
                      <w:rFonts w:hint="eastAsia"/>
                      <w:color w:val="auto"/>
                      <w:sz w:val="24"/>
                      <w:szCs w:val="18"/>
                    </w:rPr>
                    <w:t>执行标准</w:t>
                  </w:r>
                </w:p>
              </w:tc>
            </w:tr>
            <w:tr w14:paraId="6334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047" w:type="dxa"/>
                  <w:vAlign w:val="center"/>
                </w:tcPr>
                <w:p w14:paraId="2BE0757C">
                  <w:pPr>
                    <w:pStyle w:val="48"/>
                    <w:rPr>
                      <w:color w:val="auto"/>
                      <w:szCs w:val="18"/>
                    </w:rPr>
                  </w:pPr>
                  <w:r>
                    <w:rPr>
                      <w:rFonts w:hint="eastAsia"/>
                      <w:color w:val="auto"/>
                      <w:sz w:val="24"/>
                      <w:szCs w:val="18"/>
                      <w:highlight w:val="none"/>
                      <w:lang w:eastAsia="zh-CN"/>
                    </w:rPr>
                    <w:t>生化池</w:t>
                  </w:r>
                  <w:r>
                    <w:rPr>
                      <w:rFonts w:hint="eastAsia"/>
                      <w:color w:val="auto"/>
                      <w:sz w:val="24"/>
                      <w:szCs w:val="18"/>
                      <w:highlight w:val="none"/>
                    </w:rPr>
                    <w:t>排口</w:t>
                  </w:r>
                </w:p>
              </w:tc>
              <w:tc>
                <w:tcPr>
                  <w:tcW w:w="1917" w:type="dxa"/>
                  <w:vAlign w:val="center"/>
                </w:tcPr>
                <w:p w14:paraId="7AB7C84F">
                  <w:pPr>
                    <w:pStyle w:val="48"/>
                    <w:rPr>
                      <w:rFonts w:hint="default" w:eastAsia="仿宋"/>
                      <w:color w:val="auto"/>
                      <w:sz w:val="24"/>
                      <w:szCs w:val="18"/>
                      <w:highlight w:val="yellow"/>
                      <w:lang w:val="en-US" w:eastAsia="zh-CN"/>
                    </w:rPr>
                  </w:pPr>
                  <w:r>
                    <w:rPr>
                      <w:rFonts w:hint="eastAsia"/>
                      <w:color w:val="auto"/>
                      <w:sz w:val="24"/>
                      <w:szCs w:val="18"/>
                      <w:highlight w:val="none"/>
                    </w:rPr>
                    <w:t>pH、</w:t>
                  </w:r>
                  <w:r>
                    <w:rPr>
                      <w:color w:val="auto"/>
                      <w:sz w:val="24"/>
                      <w:szCs w:val="18"/>
                      <w:highlight w:val="none"/>
                    </w:rPr>
                    <w:t>COD、</w:t>
                  </w:r>
                  <w:r>
                    <w:rPr>
                      <w:rFonts w:hint="eastAsia"/>
                      <w:color w:val="auto"/>
                      <w:sz w:val="24"/>
                      <w:szCs w:val="18"/>
                      <w:highlight w:val="none"/>
                    </w:rPr>
                    <w:t>氨氮、</w:t>
                  </w:r>
                  <w:r>
                    <w:rPr>
                      <w:color w:val="auto"/>
                      <w:sz w:val="24"/>
                      <w:szCs w:val="18"/>
                      <w:highlight w:val="none"/>
                    </w:rPr>
                    <w:t>BOD</w:t>
                  </w:r>
                  <w:r>
                    <w:rPr>
                      <w:color w:val="auto"/>
                      <w:sz w:val="24"/>
                      <w:szCs w:val="18"/>
                      <w:highlight w:val="none"/>
                      <w:vertAlign w:val="subscript"/>
                    </w:rPr>
                    <w:t>5</w:t>
                  </w:r>
                  <w:r>
                    <w:rPr>
                      <w:color w:val="auto"/>
                      <w:sz w:val="24"/>
                      <w:szCs w:val="18"/>
                      <w:highlight w:val="none"/>
                    </w:rPr>
                    <w:t>、SS、</w:t>
                  </w:r>
                  <w:r>
                    <w:rPr>
                      <w:rFonts w:hint="eastAsia"/>
                      <w:color w:val="auto"/>
                      <w:sz w:val="24"/>
                      <w:szCs w:val="18"/>
                      <w:highlight w:val="none"/>
                    </w:rPr>
                    <w:t>石油类</w:t>
                  </w:r>
                  <w:r>
                    <w:rPr>
                      <w:rFonts w:hint="eastAsia"/>
                      <w:color w:val="auto"/>
                      <w:sz w:val="24"/>
                      <w:szCs w:val="18"/>
                      <w:highlight w:val="none"/>
                      <w:lang w:eastAsia="zh-CN"/>
                    </w:rPr>
                    <w:t>、</w:t>
                  </w:r>
                  <w:r>
                    <w:rPr>
                      <w:rFonts w:hint="eastAsia"/>
                      <w:color w:val="auto"/>
                      <w:sz w:val="24"/>
                      <w:szCs w:val="18"/>
                      <w:highlight w:val="none"/>
                      <w:lang w:val="en-US" w:eastAsia="zh-CN"/>
                    </w:rPr>
                    <w:t>TP</w:t>
                  </w:r>
                </w:p>
              </w:tc>
              <w:tc>
                <w:tcPr>
                  <w:tcW w:w="1917" w:type="dxa"/>
                  <w:vAlign w:val="center"/>
                </w:tcPr>
                <w:p w14:paraId="4D0C35D3">
                  <w:pPr>
                    <w:pStyle w:val="48"/>
                    <w:rPr>
                      <w:rFonts w:hint="eastAsia"/>
                      <w:color w:val="auto"/>
                      <w:sz w:val="24"/>
                      <w:szCs w:val="18"/>
                      <w:highlight w:val="yellow"/>
                    </w:rPr>
                  </w:pPr>
                  <w:r>
                    <w:rPr>
                      <w:rFonts w:hint="eastAsia"/>
                      <w:color w:val="auto"/>
                      <w:sz w:val="24"/>
                      <w:szCs w:val="18"/>
                      <w:highlight w:val="none"/>
                    </w:rPr>
                    <w:t>验收时监测一次，本项目依托的生化池责任主体为重庆盛德佳工贸有限公司，例行监测由其负责。</w:t>
                  </w:r>
                </w:p>
              </w:tc>
              <w:tc>
                <w:tcPr>
                  <w:tcW w:w="2381" w:type="dxa"/>
                  <w:vAlign w:val="center"/>
                </w:tcPr>
                <w:p w14:paraId="4D9F9816">
                  <w:pPr>
                    <w:pStyle w:val="48"/>
                    <w:rPr>
                      <w:color w:val="auto"/>
                      <w:szCs w:val="18"/>
                    </w:rPr>
                  </w:pPr>
                  <w:r>
                    <w:rPr>
                      <w:rFonts w:hint="eastAsia"/>
                      <w:color w:val="auto"/>
                      <w:sz w:val="24"/>
                      <w:szCs w:val="18"/>
                    </w:rPr>
                    <w:t>《污水综合排放标准》（GB8978-1996）三级标准</w:t>
                  </w:r>
                </w:p>
              </w:tc>
            </w:tr>
          </w:tbl>
          <w:p w14:paraId="6473298A">
            <w:pPr>
              <w:pStyle w:val="53"/>
              <w:spacing w:before="120"/>
              <w:rPr>
                <w:rFonts w:ascii="仿宋" w:hAnsi="仿宋"/>
                <w:color w:val="auto"/>
                <w:sz w:val="28"/>
              </w:rPr>
            </w:pPr>
            <w:r>
              <w:rPr>
                <w:rFonts w:hint="eastAsia" w:ascii="仿宋" w:hAnsi="仿宋"/>
                <w:color w:val="auto"/>
                <w:sz w:val="28"/>
                <w:lang w:val="en-US"/>
              </w:rPr>
              <w:t>4.3</w:t>
            </w:r>
            <w:r>
              <w:rPr>
                <w:rFonts w:ascii="仿宋" w:hAnsi="仿宋"/>
                <w:color w:val="auto"/>
                <w:sz w:val="28"/>
              </w:rPr>
              <w:t>.</w:t>
            </w:r>
            <w:r>
              <w:rPr>
                <w:rFonts w:hint="eastAsia" w:ascii="仿宋" w:hAnsi="仿宋"/>
                <w:color w:val="auto"/>
                <w:sz w:val="28"/>
                <w:lang w:val="en-US"/>
              </w:rPr>
              <w:t>4</w:t>
            </w:r>
            <w:r>
              <w:rPr>
                <w:rFonts w:hint="eastAsia" w:ascii="仿宋" w:hAnsi="仿宋"/>
                <w:color w:val="auto"/>
                <w:sz w:val="28"/>
              </w:rPr>
              <w:t>项目污水处理设施依托可行性分析</w:t>
            </w:r>
          </w:p>
          <w:p w14:paraId="079D0107">
            <w:pPr>
              <w:ind w:firstLine="560"/>
              <w:rPr>
                <w:color w:val="auto"/>
                <w:sz w:val="28"/>
              </w:rPr>
            </w:pPr>
            <w:r>
              <w:rPr>
                <w:rFonts w:hint="eastAsia"/>
                <w:color w:val="auto"/>
                <w:sz w:val="28"/>
              </w:rPr>
              <w:t>1）生化池接纳能力分析</w:t>
            </w:r>
          </w:p>
          <w:p w14:paraId="4084287D">
            <w:pPr>
              <w:ind w:firstLine="560"/>
              <w:rPr>
                <w:rFonts w:hint="eastAsia"/>
                <w:color w:val="auto"/>
                <w:sz w:val="28"/>
              </w:rPr>
            </w:pPr>
            <w:r>
              <w:rPr>
                <w:rFonts w:hint="eastAsia"/>
                <w:color w:val="auto"/>
                <w:sz w:val="28"/>
              </w:rPr>
              <w:t>本项目</w:t>
            </w:r>
            <w:r>
              <w:rPr>
                <w:rFonts w:hint="eastAsia"/>
                <w:color w:val="auto"/>
                <w:sz w:val="28"/>
                <w:lang w:eastAsia="zh-CN"/>
              </w:rPr>
              <w:t>员工</w:t>
            </w:r>
            <w:r>
              <w:rPr>
                <w:rFonts w:hint="eastAsia"/>
                <w:color w:val="auto"/>
                <w:sz w:val="28"/>
              </w:rPr>
              <w:t>生活污水</w:t>
            </w:r>
            <w:r>
              <w:rPr>
                <w:rFonts w:hint="eastAsia"/>
                <w:color w:val="auto"/>
                <w:sz w:val="28"/>
                <w:lang w:eastAsia="zh-CN"/>
              </w:rPr>
              <w:t>与地面清洁废水</w:t>
            </w:r>
            <w:r>
              <w:rPr>
                <w:rFonts w:hint="eastAsia"/>
                <w:color w:val="auto"/>
                <w:sz w:val="28"/>
              </w:rPr>
              <w:t>主要</w:t>
            </w:r>
            <w:r>
              <w:rPr>
                <w:rFonts w:hint="eastAsia"/>
                <w:color w:val="auto"/>
                <w:sz w:val="28"/>
                <w:lang w:eastAsia="zh-CN"/>
              </w:rPr>
              <w:t>依托重庆盛德佳工贸有限公司现有</w:t>
            </w:r>
            <w:r>
              <w:rPr>
                <w:rFonts w:hint="eastAsia"/>
                <w:color w:val="auto"/>
                <w:sz w:val="28"/>
              </w:rPr>
              <w:t>的生化池（</w:t>
            </w:r>
            <w:r>
              <w:rPr>
                <w:rFonts w:hint="eastAsia"/>
                <w:color w:val="auto"/>
                <w:sz w:val="28"/>
                <w:lang w:val="en-US" w:eastAsia="zh-CN"/>
              </w:rPr>
              <w:t>9</w:t>
            </w:r>
            <w:r>
              <w:rPr>
                <w:rFonts w:hint="eastAsia"/>
                <w:color w:val="auto"/>
                <w:sz w:val="28"/>
              </w:rPr>
              <w:t>0m</w:t>
            </w:r>
            <w:r>
              <w:rPr>
                <w:rFonts w:hint="eastAsia"/>
                <w:color w:val="auto"/>
                <w:sz w:val="28"/>
                <w:vertAlign w:val="superscript"/>
              </w:rPr>
              <w:t>3</w:t>
            </w:r>
            <w:r>
              <w:rPr>
                <w:rFonts w:hint="eastAsia"/>
                <w:color w:val="auto"/>
                <w:sz w:val="28"/>
              </w:rPr>
              <w:t>/d）进行处理，</w:t>
            </w:r>
            <w:r>
              <w:rPr>
                <w:rFonts w:hint="eastAsia"/>
                <w:color w:val="auto"/>
                <w:sz w:val="28"/>
                <w:lang w:eastAsia="zh-CN"/>
              </w:rPr>
              <w:t>该生化池已于</w:t>
            </w:r>
            <w:r>
              <w:rPr>
                <w:rFonts w:hint="eastAsia"/>
                <w:color w:val="auto"/>
                <w:sz w:val="28"/>
                <w:lang w:val="en-US" w:eastAsia="zh-CN"/>
              </w:rPr>
              <w:t>2020年10月</w:t>
            </w:r>
            <w:r>
              <w:rPr>
                <w:rFonts w:hint="eastAsia"/>
                <w:color w:val="auto"/>
                <w:sz w:val="28"/>
                <w:lang w:eastAsia="zh-CN"/>
              </w:rPr>
              <w:t>通过竣工验收，</w:t>
            </w:r>
            <w:r>
              <w:rPr>
                <w:rFonts w:hint="eastAsia"/>
                <w:color w:val="auto"/>
                <w:sz w:val="28"/>
              </w:rPr>
              <w:t>处理工艺为“厌氧+沉淀”</w:t>
            </w:r>
            <w:r>
              <w:rPr>
                <w:rFonts w:hint="eastAsia"/>
                <w:color w:val="auto"/>
                <w:sz w:val="28"/>
                <w:lang w:eastAsia="zh-CN"/>
              </w:rPr>
              <w:t>，本项目</w:t>
            </w:r>
            <w:r>
              <w:rPr>
                <w:rFonts w:hint="eastAsia"/>
                <w:color w:val="auto"/>
                <w:sz w:val="28"/>
              </w:rPr>
              <w:t>最大日排放废水量约为</w:t>
            </w:r>
            <w:r>
              <w:rPr>
                <w:rFonts w:hint="eastAsia"/>
                <w:color w:val="auto"/>
                <w:sz w:val="28"/>
                <w:highlight w:val="none"/>
                <w:lang w:val="en-US" w:eastAsia="zh-CN"/>
              </w:rPr>
              <w:t>3.825</w:t>
            </w:r>
            <w:r>
              <w:rPr>
                <w:rFonts w:hint="eastAsia"/>
                <w:color w:val="auto"/>
                <w:sz w:val="28"/>
                <w:highlight w:val="none"/>
              </w:rPr>
              <w:t>m</w:t>
            </w:r>
            <w:r>
              <w:rPr>
                <w:rFonts w:hint="eastAsia"/>
                <w:color w:val="auto"/>
                <w:sz w:val="28"/>
                <w:highlight w:val="none"/>
                <w:vertAlign w:val="superscript"/>
              </w:rPr>
              <w:t>3</w:t>
            </w:r>
            <w:r>
              <w:rPr>
                <w:rFonts w:hint="eastAsia"/>
                <w:color w:val="auto"/>
                <w:sz w:val="28"/>
                <w:highlight w:val="none"/>
              </w:rPr>
              <w:t>/d，</w:t>
            </w:r>
            <w:r>
              <w:rPr>
                <w:rFonts w:hint="eastAsia"/>
                <w:color w:val="auto"/>
                <w:sz w:val="28"/>
                <w:highlight w:val="none"/>
                <w:lang w:eastAsia="zh-CN"/>
              </w:rPr>
              <w:t>现有生化池废水处理量约为</w:t>
            </w:r>
            <w:r>
              <w:rPr>
                <w:rFonts w:hint="eastAsia"/>
                <w:color w:val="auto"/>
                <w:sz w:val="28"/>
                <w:highlight w:val="none"/>
                <w:lang w:val="en-US" w:eastAsia="zh-CN"/>
              </w:rPr>
              <w:t>40</w:t>
            </w:r>
            <w:r>
              <w:rPr>
                <w:rFonts w:hint="eastAsia"/>
                <w:color w:val="auto"/>
                <w:sz w:val="28"/>
                <w:highlight w:val="none"/>
                <w:lang w:eastAsia="zh-CN"/>
              </w:rPr>
              <w:t>m</w:t>
            </w:r>
            <w:r>
              <w:rPr>
                <w:rFonts w:hint="eastAsia"/>
                <w:color w:val="auto"/>
                <w:sz w:val="28"/>
                <w:highlight w:val="none"/>
                <w:vertAlign w:val="superscript"/>
                <w:lang w:eastAsia="zh-CN"/>
              </w:rPr>
              <w:t>3</w:t>
            </w:r>
            <w:r>
              <w:rPr>
                <w:rFonts w:hint="eastAsia"/>
                <w:color w:val="auto"/>
                <w:sz w:val="28"/>
                <w:highlight w:val="none"/>
                <w:lang w:eastAsia="zh-CN"/>
              </w:rPr>
              <w:t>/d，远小于生化池剩余处理能力</w:t>
            </w:r>
            <w:r>
              <w:rPr>
                <w:rFonts w:hint="eastAsia"/>
                <w:color w:val="auto"/>
                <w:sz w:val="28"/>
                <w:lang w:eastAsia="zh-CN"/>
              </w:rPr>
              <w:t>，</w:t>
            </w:r>
            <w:r>
              <w:rPr>
                <w:rFonts w:hint="eastAsia"/>
                <w:color w:val="auto"/>
                <w:sz w:val="28"/>
              </w:rPr>
              <w:t>生化池能接纳本项目废水。生活污水主要污染物为COD、氨氮等，属于易生化类型废水，生化池处理生活污水是一种成熟可靠的生活污水治理技术，广泛运用于工业企业中，处理后满足《污水综合排放标准》（GB8978-1996）中三级标准要求，治理措施可行。</w:t>
            </w:r>
          </w:p>
          <w:p w14:paraId="536E4C46">
            <w:pPr>
              <w:ind w:firstLine="560"/>
              <w:rPr>
                <w:color w:val="auto"/>
                <w:sz w:val="28"/>
              </w:rPr>
            </w:pPr>
            <w:r>
              <w:rPr>
                <w:rFonts w:hint="eastAsia"/>
                <w:color w:val="auto"/>
                <w:sz w:val="28"/>
              </w:rPr>
              <w:t>本项目产生的生活废水对周边环境影响小。</w:t>
            </w:r>
          </w:p>
          <w:p w14:paraId="258B7C72">
            <w:pPr>
              <w:ind w:firstLine="560"/>
              <w:rPr>
                <w:bCs/>
                <w:color w:val="auto"/>
                <w:sz w:val="28"/>
              </w:rPr>
            </w:pPr>
            <w:r>
              <w:rPr>
                <w:rFonts w:hint="eastAsia"/>
                <w:color w:val="auto"/>
                <w:sz w:val="28"/>
              </w:rPr>
              <w:t>2）污水处理厂接纳能力分析</w:t>
            </w:r>
          </w:p>
          <w:p w14:paraId="397F78EE">
            <w:pPr>
              <w:spacing w:line="360" w:lineRule="auto"/>
              <w:ind w:firstLine="560" w:firstLineChars="200"/>
              <w:rPr>
                <w:color w:val="auto"/>
                <w:sz w:val="28"/>
                <w:szCs w:val="28"/>
              </w:rPr>
            </w:pPr>
            <w:r>
              <w:rPr>
                <w:color w:val="auto"/>
                <w:sz w:val="28"/>
                <w:szCs w:val="28"/>
              </w:rPr>
              <w:t>本项目所在区域属于西彭工业园区污水处理厂服务范围，厂区污废水经预处理达标后</w:t>
            </w:r>
            <w:r>
              <w:rPr>
                <w:color w:val="auto"/>
                <w:sz w:val="28"/>
                <w:szCs w:val="36"/>
              </w:rPr>
              <w:t>接入市政污水管网排至西彭工业园区污水处理厂</w:t>
            </w:r>
            <w:r>
              <w:rPr>
                <w:color w:val="auto"/>
                <w:sz w:val="28"/>
                <w:szCs w:val="28"/>
              </w:rPr>
              <w:t>。</w:t>
            </w:r>
          </w:p>
          <w:p w14:paraId="35856664">
            <w:pPr>
              <w:spacing w:line="360" w:lineRule="auto"/>
              <w:ind w:firstLine="560" w:firstLineChars="200"/>
              <w:rPr>
                <w:color w:val="auto"/>
                <w:sz w:val="28"/>
                <w:szCs w:val="28"/>
              </w:rPr>
            </w:pPr>
            <w:r>
              <w:rPr>
                <w:color w:val="auto"/>
                <w:sz w:val="28"/>
                <w:szCs w:val="28"/>
              </w:rPr>
              <w:t>西彭工业园区污水处理厂一期工程建设规模为0.7万m</w:t>
            </w:r>
            <w:r>
              <w:rPr>
                <w:color w:val="auto"/>
                <w:sz w:val="28"/>
                <w:szCs w:val="28"/>
                <w:vertAlign w:val="superscript"/>
              </w:rPr>
              <w:t>3</w:t>
            </w:r>
            <w:r>
              <w:rPr>
                <w:color w:val="auto"/>
                <w:sz w:val="28"/>
                <w:szCs w:val="28"/>
              </w:rPr>
              <w:t>/d（含0.2万m</w:t>
            </w:r>
            <w:r>
              <w:rPr>
                <w:color w:val="auto"/>
                <w:sz w:val="28"/>
                <w:szCs w:val="28"/>
                <w:vertAlign w:val="superscript"/>
              </w:rPr>
              <w:t>3</w:t>
            </w:r>
            <w:r>
              <w:rPr>
                <w:color w:val="auto"/>
                <w:sz w:val="28"/>
                <w:szCs w:val="28"/>
              </w:rPr>
              <w:t>/d污水应急系统），采用“水解酸化+生物接触氧化”工艺，出水水质执行《污水综合排放标准》（GB8978-1996）一级标准，目前处理量约0.4万m</w:t>
            </w:r>
            <w:r>
              <w:rPr>
                <w:color w:val="auto"/>
                <w:sz w:val="28"/>
                <w:szCs w:val="28"/>
                <w:vertAlign w:val="superscript"/>
              </w:rPr>
              <w:t>3</w:t>
            </w:r>
            <w:r>
              <w:rPr>
                <w:color w:val="auto"/>
                <w:sz w:val="28"/>
                <w:szCs w:val="28"/>
              </w:rPr>
              <w:t>/d，运行正常，各污染物稳定达标排放。二期提标扩建工程已建设完成，建成规模1.5万m</w:t>
            </w:r>
            <w:r>
              <w:rPr>
                <w:color w:val="auto"/>
                <w:sz w:val="28"/>
                <w:szCs w:val="28"/>
                <w:vertAlign w:val="superscript"/>
              </w:rPr>
              <w:t>3</w:t>
            </w:r>
            <w:r>
              <w:rPr>
                <w:color w:val="auto"/>
                <w:sz w:val="28"/>
                <w:szCs w:val="28"/>
              </w:rPr>
              <w:t>/d，主体工艺采用“多级AO+臭氧接触氧化池+滤布滤池”，出水达《城镇污水处理厂污染物排放标准》（GB18918-2002）（含2006年、2025年修改单）一级A标准（COD、NH</w:t>
            </w:r>
            <w:r>
              <w:rPr>
                <w:color w:val="auto"/>
                <w:sz w:val="28"/>
                <w:szCs w:val="28"/>
                <w:vertAlign w:val="subscript"/>
              </w:rPr>
              <w:t>3</w:t>
            </w:r>
            <w:r>
              <w:rPr>
                <w:color w:val="auto"/>
                <w:sz w:val="28"/>
                <w:szCs w:val="28"/>
              </w:rPr>
              <w:t>-N、TP执行《地表水环境质量标准》（GB3838-2002）IV类标准）后尾水排入</w:t>
            </w:r>
            <w:r>
              <w:rPr>
                <w:color w:val="auto"/>
                <w:sz w:val="28"/>
                <w:szCs w:val="28"/>
                <w:highlight w:val="none"/>
              </w:rPr>
              <w:t>桥头河，</w:t>
            </w:r>
            <w:r>
              <w:rPr>
                <w:color w:val="auto"/>
                <w:sz w:val="28"/>
                <w:szCs w:val="28"/>
              </w:rPr>
              <w:t>最终汇入长江。目前正在进行调试运行。</w:t>
            </w:r>
          </w:p>
          <w:p w14:paraId="2102FDE8">
            <w:pPr>
              <w:spacing w:line="360" w:lineRule="auto"/>
              <w:ind w:firstLine="560" w:firstLineChars="200"/>
              <w:rPr>
                <w:color w:val="auto"/>
                <w:sz w:val="28"/>
                <w:szCs w:val="36"/>
              </w:rPr>
            </w:pPr>
            <w:r>
              <w:rPr>
                <w:color w:val="auto"/>
                <w:sz w:val="28"/>
                <w:szCs w:val="36"/>
              </w:rPr>
              <w:t>本项目位于已建成工业园区，区域市政污水管网已建成并与园区污水处理厂相连，项目生活污水经预处理达到《污水综合排放标准》（GB8978-1996）三级标准后接入市政污水管网，其水质符合西彭工业园区污水处理厂接纳要求；</w:t>
            </w:r>
            <w:r>
              <w:rPr>
                <w:i/>
                <w:iCs/>
                <w:color w:val="auto"/>
                <w:sz w:val="28"/>
                <w:szCs w:val="36"/>
              </w:rPr>
              <w:t>同时本项目污废水最大排放量</w:t>
            </w:r>
            <w:r>
              <w:rPr>
                <w:rFonts w:hint="eastAsia"/>
                <w:i/>
                <w:iCs/>
                <w:color w:val="auto"/>
                <w:sz w:val="28"/>
                <w:szCs w:val="36"/>
                <w:lang w:val="en-US" w:eastAsia="zh-CN"/>
              </w:rPr>
              <w:t>3.825</w:t>
            </w:r>
            <w:r>
              <w:rPr>
                <w:i/>
                <w:iCs/>
                <w:color w:val="auto"/>
                <w:sz w:val="28"/>
                <w:szCs w:val="36"/>
                <w:highlight w:val="none"/>
              </w:rPr>
              <w:t>m</w:t>
            </w:r>
            <w:r>
              <w:rPr>
                <w:i/>
                <w:iCs/>
                <w:color w:val="auto"/>
                <w:sz w:val="28"/>
                <w:szCs w:val="36"/>
                <w:highlight w:val="none"/>
                <w:vertAlign w:val="superscript"/>
              </w:rPr>
              <w:t>3</w:t>
            </w:r>
            <w:r>
              <w:rPr>
                <w:i/>
                <w:iCs/>
                <w:color w:val="auto"/>
                <w:sz w:val="28"/>
                <w:szCs w:val="36"/>
                <w:highlight w:val="none"/>
              </w:rPr>
              <w:t>/d</w:t>
            </w:r>
            <w:r>
              <w:rPr>
                <w:color w:val="auto"/>
                <w:sz w:val="28"/>
                <w:szCs w:val="36"/>
                <w:highlight w:val="none"/>
              </w:rPr>
              <w:t>，</w:t>
            </w:r>
            <w:r>
              <w:rPr>
                <w:color w:val="auto"/>
                <w:sz w:val="28"/>
                <w:szCs w:val="28"/>
              </w:rPr>
              <w:t>园区污水处理厂近期完成了提标扩建工程，处理能力足够</w:t>
            </w:r>
            <w:r>
              <w:rPr>
                <w:color w:val="auto"/>
                <w:sz w:val="28"/>
                <w:szCs w:val="36"/>
              </w:rPr>
              <w:t>，满足项目需求。项目废水</w:t>
            </w:r>
            <w:r>
              <w:rPr>
                <w:color w:val="auto"/>
                <w:sz w:val="28"/>
                <w:szCs w:val="28"/>
              </w:rPr>
              <w:t>污染物简单，</w:t>
            </w:r>
            <w:r>
              <w:rPr>
                <w:color w:val="auto"/>
                <w:sz w:val="28"/>
                <w:szCs w:val="36"/>
              </w:rPr>
              <w:t>浓度较低，经厂区预处理达标后满足西彭工业园区污水处理厂的纳管水质要求，排放不会对园区污水处理厂造成较大冲击，依托可行。</w:t>
            </w:r>
          </w:p>
          <w:p w14:paraId="381596FB">
            <w:pPr>
              <w:pStyle w:val="53"/>
              <w:spacing w:before="120"/>
              <w:ind w:firstLine="560" w:firstLineChars="200"/>
              <w:rPr>
                <w:rFonts w:ascii="仿宋" w:hAnsi="仿宋"/>
                <w:b w:val="0"/>
                <w:bCs/>
                <w:color w:val="auto"/>
                <w:sz w:val="28"/>
              </w:rPr>
            </w:pPr>
            <w:r>
              <w:rPr>
                <w:b w:val="0"/>
                <w:bCs/>
                <w:color w:val="auto"/>
                <w:sz w:val="28"/>
                <w:szCs w:val="28"/>
              </w:rPr>
              <w:t>综上，本项目污废水污染物简单、排放量较小，无论是从水质和水量上分析，都不会对污水处理厂造成较大冲击，处理措施可行</w:t>
            </w:r>
            <w:r>
              <w:rPr>
                <w:rFonts w:hint="eastAsia" w:ascii="仿宋" w:hAnsi="仿宋"/>
                <w:b w:val="0"/>
                <w:bCs/>
                <w:color w:val="auto"/>
                <w:sz w:val="28"/>
              </w:rPr>
              <w:t>。</w:t>
            </w:r>
          </w:p>
          <w:p w14:paraId="07F4A6C9">
            <w:pPr>
              <w:pStyle w:val="53"/>
              <w:spacing w:before="120"/>
              <w:ind w:firstLine="560" w:firstLineChars="200"/>
              <w:rPr>
                <w:rFonts w:ascii="仿宋" w:hAnsi="仿宋"/>
                <w:color w:val="auto"/>
                <w:sz w:val="28"/>
              </w:rPr>
            </w:pPr>
            <w:r>
              <w:rPr>
                <w:rFonts w:hint="eastAsia" w:ascii="仿宋" w:hAnsi="仿宋"/>
                <w:b w:val="0"/>
                <w:bCs/>
                <w:color w:val="auto"/>
                <w:sz w:val="28"/>
              </w:rPr>
              <w:t>综上所述，本项目产生的污废水依托西彭工业园区污水处理厂处理可行。</w:t>
            </w:r>
          </w:p>
        </w:tc>
      </w:tr>
    </w:tbl>
    <w:p w14:paraId="4D062019">
      <w:pPr>
        <w:ind w:firstLine="420"/>
        <w:rPr>
          <w:color w:val="auto"/>
        </w:rPr>
        <w:sectPr>
          <w:pgSz w:w="11906" w:h="16838"/>
          <w:pgMar w:top="1701" w:right="1531" w:bottom="1701" w:left="1531" w:header="851" w:footer="851" w:gutter="0"/>
          <w:cols w:space="720" w:num="1"/>
          <w:docGrid w:linePitch="312" w:charSpace="0"/>
        </w:sectPr>
      </w:pPr>
    </w:p>
    <w:tbl>
      <w:tblPr>
        <w:tblStyle w:val="31"/>
        <w:tblW w:w="88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6"/>
        <w:gridCol w:w="8486"/>
      </w:tblGrid>
      <w:tr w14:paraId="580EF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336" w:type="dxa"/>
            <w:tcMar>
              <w:left w:w="28" w:type="dxa"/>
              <w:right w:w="28" w:type="dxa"/>
            </w:tcMar>
            <w:vAlign w:val="center"/>
          </w:tcPr>
          <w:p w14:paraId="3677EBDA">
            <w:pPr>
              <w:pStyle w:val="49"/>
              <w:rPr>
                <w:color w:val="auto"/>
                <w:sz w:val="28"/>
              </w:rPr>
            </w:pPr>
            <w:r>
              <w:rPr>
                <w:rFonts w:hint="eastAsia"/>
                <w:color w:val="auto"/>
                <w:sz w:val="28"/>
              </w:rPr>
              <w:t>运营期环境影</w:t>
            </w:r>
          </w:p>
          <w:p w14:paraId="0EB52AFD">
            <w:pPr>
              <w:pStyle w:val="49"/>
              <w:rPr>
                <w:color w:val="auto"/>
              </w:rPr>
            </w:pPr>
            <w:r>
              <w:rPr>
                <w:rFonts w:hint="eastAsia"/>
                <w:color w:val="auto"/>
                <w:sz w:val="28"/>
              </w:rPr>
              <w:t>响和保护措施</w:t>
            </w:r>
          </w:p>
        </w:tc>
        <w:tc>
          <w:tcPr>
            <w:tcW w:w="8486" w:type="dxa"/>
            <w:vAlign w:val="center"/>
          </w:tcPr>
          <w:p w14:paraId="5678AA2B">
            <w:pPr>
              <w:pStyle w:val="53"/>
              <w:spacing w:before="120"/>
              <w:rPr>
                <w:rFonts w:ascii="仿宋" w:hAnsi="仿宋" w:cs="仿宋"/>
                <w:color w:val="auto"/>
                <w:sz w:val="28"/>
                <w:szCs w:val="28"/>
              </w:rPr>
            </w:pPr>
            <w:r>
              <w:rPr>
                <w:rFonts w:hint="eastAsia" w:ascii="仿宋" w:hAnsi="仿宋" w:cs="仿宋"/>
                <w:color w:val="auto"/>
                <w:sz w:val="28"/>
                <w:szCs w:val="28"/>
                <w:lang w:val="en-US"/>
              </w:rPr>
              <w:t>4.4</w:t>
            </w:r>
            <w:r>
              <w:rPr>
                <w:rFonts w:hint="eastAsia" w:ascii="仿宋" w:hAnsi="仿宋" w:cs="仿宋"/>
                <w:color w:val="auto"/>
                <w:sz w:val="28"/>
                <w:szCs w:val="28"/>
              </w:rPr>
              <w:t>.噪声环境影响及保护措施</w:t>
            </w:r>
          </w:p>
          <w:p w14:paraId="43A92D95">
            <w:pPr>
              <w:pStyle w:val="53"/>
              <w:spacing w:before="120"/>
              <w:rPr>
                <w:rFonts w:ascii="仿宋" w:hAnsi="仿宋" w:cs="仿宋"/>
                <w:color w:val="auto"/>
                <w:sz w:val="28"/>
                <w:szCs w:val="28"/>
              </w:rPr>
            </w:pPr>
            <w:r>
              <w:rPr>
                <w:rFonts w:hint="eastAsia" w:ascii="仿宋" w:hAnsi="仿宋" w:cs="仿宋"/>
                <w:color w:val="auto"/>
                <w:sz w:val="28"/>
                <w:szCs w:val="28"/>
                <w:lang w:val="en-US"/>
              </w:rPr>
              <w:t>4.4</w:t>
            </w:r>
            <w:r>
              <w:rPr>
                <w:rFonts w:hint="eastAsia" w:ascii="仿宋" w:hAnsi="仿宋" w:cs="仿宋"/>
                <w:color w:val="auto"/>
                <w:sz w:val="28"/>
                <w:szCs w:val="28"/>
              </w:rPr>
              <w:t>.1噪声源强及降噪措施</w:t>
            </w:r>
          </w:p>
          <w:p w14:paraId="54BA4DE7">
            <w:pPr>
              <w:ind w:firstLine="560"/>
              <w:rPr>
                <w:rFonts w:cs="仿宋"/>
                <w:color w:val="auto"/>
                <w:sz w:val="28"/>
                <w:szCs w:val="28"/>
              </w:rPr>
            </w:pPr>
            <w:r>
              <w:rPr>
                <w:rFonts w:hint="eastAsia" w:cs="仿宋"/>
                <w:color w:val="auto"/>
                <w:sz w:val="28"/>
                <w:szCs w:val="28"/>
              </w:rPr>
              <w:t>本项目的噪声源主要来源于各生产设备、设施。噪声值在</w:t>
            </w:r>
            <w:r>
              <w:rPr>
                <w:rFonts w:hint="eastAsia" w:cs="仿宋"/>
                <w:color w:val="auto"/>
                <w:sz w:val="28"/>
                <w:szCs w:val="28"/>
                <w:lang w:val="en-US" w:eastAsia="zh-CN"/>
              </w:rPr>
              <w:t>70</w:t>
            </w:r>
            <w:r>
              <w:rPr>
                <w:rFonts w:hint="eastAsia" w:cs="仿宋"/>
                <w:color w:val="auto"/>
                <w:sz w:val="28"/>
                <w:szCs w:val="28"/>
              </w:rPr>
              <w:t>-85dB(A)之间。</w:t>
            </w:r>
          </w:p>
          <w:p w14:paraId="129E2583">
            <w:pPr>
              <w:pStyle w:val="53"/>
              <w:spacing w:before="120"/>
              <w:rPr>
                <w:rFonts w:ascii="仿宋" w:hAnsi="仿宋" w:cs="仿宋"/>
                <w:color w:val="auto"/>
                <w:sz w:val="28"/>
                <w:szCs w:val="28"/>
              </w:rPr>
            </w:pPr>
            <w:r>
              <w:rPr>
                <w:rFonts w:hint="eastAsia" w:ascii="仿宋" w:hAnsi="仿宋" w:cs="仿宋"/>
                <w:color w:val="auto"/>
                <w:sz w:val="28"/>
                <w:szCs w:val="28"/>
                <w:lang w:val="en-US"/>
              </w:rPr>
              <w:t>4.4</w:t>
            </w:r>
            <w:r>
              <w:rPr>
                <w:rFonts w:hint="eastAsia" w:ascii="仿宋" w:hAnsi="仿宋" w:cs="仿宋"/>
                <w:color w:val="auto"/>
                <w:sz w:val="28"/>
                <w:szCs w:val="28"/>
              </w:rPr>
              <w:t>.2噪声影响及达标分析</w:t>
            </w:r>
          </w:p>
          <w:p w14:paraId="29E1D1EB">
            <w:pPr>
              <w:ind w:firstLine="560"/>
              <w:rPr>
                <w:rFonts w:cs="仿宋"/>
                <w:color w:val="auto"/>
                <w:sz w:val="28"/>
                <w:szCs w:val="28"/>
              </w:rPr>
            </w:pPr>
            <w:r>
              <w:rPr>
                <w:rFonts w:hint="eastAsia" w:cs="仿宋"/>
                <w:color w:val="auto"/>
                <w:sz w:val="28"/>
                <w:szCs w:val="28"/>
              </w:rPr>
              <w:t>（1）厂界噪声预测</w:t>
            </w:r>
          </w:p>
          <w:p w14:paraId="0DCD8C77">
            <w:pPr>
              <w:ind w:firstLine="560"/>
              <w:rPr>
                <w:rFonts w:cs="仿宋"/>
                <w:color w:val="auto"/>
                <w:sz w:val="28"/>
                <w:szCs w:val="28"/>
              </w:rPr>
            </w:pPr>
            <w:r>
              <w:rPr>
                <w:rFonts w:hint="eastAsia" w:cs="仿宋"/>
                <w:color w:val="auto"/>
                <w:sz w:val="28"/>
                <w:szCs w:val="28"/>
              </w:rPr>
              <w:t>本项目噪声污染主要来源于各类生产设备的机械噪声，采取基础减振、厂房隔声等措施减小对外环境的影响。</w:t>
            </w:r>
          </w:p>
          <w:p w14:paraId="3AA8D488">
            <w:pPr>
              <w:ind w:firstLine="560"/>
              <w:rPr>
                <w:rFonts w:cs="仿宋"/>
                <w:color w:val="auto"/>
                <w:sz w:val="28"/>
                <w:szCs w:val="28"/>
                <w:lang w:val="zh-CN"/>
              </w:rPr>
            </w:pPr>
            <w:r>
              <w:rPr>
                <w:rFonts w:hint="eastAsia" w:cs="仿宋"/>
                <w:color w:val="auto"/>
                <w:sz w:val="28"/>
                <w:szCs w:val="28"/>
              </w:rPr>
              <w:t>（2）预测模式</w:t>
            </w:r>
          </w:p>
          <w:p w14:paraId="47E8B398">
            <w:pPr>
              <w:ind w:firstLine="560"/>
              <w:rPr>
                <w:rFonts w:cs="仿宋"/>
                <w:color w:val="auto"/>
                <w:sz w:val="28"/>
                <w:szCs w:val="28"/>
                <w:lang w:val="zh-CN"/>
              </w:rPr>
            </w:pPr>
            <w:r>
              <w:rPr>
                <w:rFonts w:hint="eastAsia" w:cs="仿宋"/>
                <w:color w:val="auto"/>
                <w:sz w:val="28"/>
                <w:szCs w:val="28"/>
                <w:lang w:val="zh-CN"/>
              </w:rPr>
              <w:t>根据《环境影响评价技术导则声环境》（HJ2.4－2021）中推荐的以下公式，对项目的声环境影响进行预测。</w:t>
            </w:r>
          </w:p>
          <w:p w14:paraId="16AC245F">
            <w:pPr>
              <w:widowControl/>
              <w:ind w:firstLine="562"/>
              <w:jc w:val="left"/>
              <w:rPr>
                <w:rFonts w:hint="eastAsia" w:eastAsia="仿宋" w:cs="仿宋"/>
                <w:color w:val="auto"/>
                <w:sz w:val="28"/>
                <w:szCs w:val="28"/>
                <w:lang w:eastAsia="zh-CN"/>
              </w:rPr>
            </w:pPr>
            <w:r>
              <w:rPr>
                <w:rFonts w:hint="eastAsia" w:cs="仿宋"/>
                <w:b/>
                <w:bCs/>
                <w:color w:val="auto"/>
                <w:kern w:val="0"/>
                <w:sz w:val="28"/>
                <w:szCs w:val="28"/>
                <w:lang w:bidi="ar"/>
              </w:rPr>
              <w:t>①室内声源等效室外声源声功率级计算方法：</w:t>
            </w:r>
          </w:p>
          <w:p w14:paraId="5866CDEB">
            <w:pPr>
              <w:widowControl/>
              <w:numPr>
                <w:ilvl w:val="0"/>
                <w:numId w:val="17"/>
              </w:numPr>
              <w:ind w:firstLine="560"/>
              <w:jc w:val="left"/>
              <w:rPr>
                <w:rFonts w:cs="仿宋"/>
                <w:color w:val="auto"/>
                <w:kern w:val="0"/>
                <w:sz w:val="28"/>
                <w:szCs w:val="28"/>
                <w:lang w:bidi="ar"/>
              </w:rPr>
            </w:pPr>
            <w:r>
              <w:rPr>
                <w:rFonts w:hint="eastAsia" w:cs="仿宋"/>
                <w:color w:val="auto"/>
                <w:kern w:val="0"/>
                <w:sz w:val="28"/>
                <w:szCs w:val="28"/>
                <w:lang w:bidi="ar"/>
              </w:rPr>
              <w:t>室内声源靠近围护结构处的倍频带声压级或A声级</w:t>
            </w:r>
          </w:p>
          <w:p w14:paraId="26BB2E84">
            <w:pPr>
              <w:pStyle w:val="46"/>
              <w:keepNext w:val="0"/>
              <w:keepLines w:val="0"/>
              <w:pageBreakBefore w:val="0"/>
              <w:widowControl/>
              <w:kinsoku/>
              <w:wordWrap/>
              <w:overflowPunct/>
              <w:topLinePunct w:val="0"/>
              <w:autoSpaceDE w:val="0"/>
              <w:autoSpaceDN w:val="0"/>
              <w:bidi w:val="0"/>
              <w:adjustRightInd/>
              <w:snapToGrid/>
              <w:spacing w:line="240" w:lineRule="auto"/>
              <w:ind w:firstLine="482"/>
              <w:jc w:val="center"/>
              <w:textAlignment w:val="auto"/>
              <w:rPr>
                <w:rFonts w:ascii="仿宋" w:hAnsi="仿宋" w:eastAsia="仿宋" w:cs="仿宋"/>
                <w:color w:val="auto"/>
                <w:sz w:val="28"/>
                <w:szCs w:val="28"/>
              </w:rPr>
            </w:pPr>
            <w:r>
              <w:rPr>
                <w:color w:val="auto"/>
              </w:rPr>
              <w:drawing>
                <wp:inline distT="0" distB="0" distL="114300" distR="114300">
                  <wp:extent cx="2771775" cy="628650"/>
                  <wp:effectExtent l="0" t="0" r="9525"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6"/>
                          <a:stretch>
                            <a:fillRect/>
                          </a:stretch>
                        </pic:blipFill>
                        <pic:spPr>
                          <a:xfrm>
                            <a:off x="0" y="0"/>
                            <a:ext cx="2771775" cy="628650"/>
                          </a:xfrm>
                          <a:prstGeom prst="rect">
                            <a:avLst/>
                          </a:prstGeom>
                          <a:noFill/>
                          <a:ln>
                            <a:noFill/>
                          </a:ln>
                        </pic:spPr>
                      </pic:pic>
                    </a:graphicData>
                  </a:graphic>
                </wp:inline>
              </w:drawing>
            </w:r>
          </w:p>
          <w:p w14:paraId="145D3F37">
            <w:pPr>
              <w:widowControl/>
              <w:ind w:firstLine="560"/>
              <w:jc w:val="left"/>
              <w:rPr>
                <w:rFonts w:hint="eastAsia" w:eastAsia="仿宋" w:cs="仿宋"/>
                <w:color w:val="auto"/>
                <w:sz w:val="28"/>
                <w:szCs w:val="28"/>
                <w:lang w:eastAsia="zh-CN"/>
              </w:rPr>
            </w:pPr>
            <w:r>
              <w:rPr>
                <w:rFonts w:hint="eastAsia" w:cs="仿宋"/>
                <w:color w:val="auto"/>
                <w:kern w:val="0"/>
                <w:sz w:val="28"/>
                <w:szCs w:val="28"/>
                <w:lang w:bidi="ar"/>
              </w:rPr>
              <w:t>式中：Lp1——靠近开口处（或窗户）室内某倍频带的声压级或A声级，dB；</w:t>
            </w:r>
          </w:p>
          <w:p w14:paraId="5E559728">
            <w:pPr>
              <w:widowControl/>
              <w:ind w:firstLine="1400" w:firstLineChars="500"/>
              <w:jc w:val="left"/>
              <w:rPr>
                <w:rFonts w:hint="eastAsia" w:eastAsia="仿宋" w:cs="仿宋"/>
                <w:color w:val="auto"/>
                <w:sz w:val="28"/>
                <w:szCs w:val="28"/>
                <w:lang w:eastAsia="zh-CN"/>
              </w:rPr>
            </w:pPr>
            <w:r>
              <w:rPr>
                <w:rFonts w:hint="eastAsia" w:cs="仿宋"/>
                <w:color w:val="auto"/>
                <w:kern w:val="0"/>
                <w:sz w:val="28"/>
                <w:szCs w:val="28"/>
                <w:lang w:bidi="ar"/>
              </w:rPr>
              <w:t>Lw——点声源声功率级（A计权或倍频带），dB；</w:t>
            </w:r>
          </w:p>
          <w:p w14:paraId="7FDBC981">
            <w:pPr>
              <w:widowControl/>
              <w:ind w:firstLine="1400" w:firstLineChars="500"/>
              <w:jc w:val="left"/>
              <w:rPr>
                <w:rFonts w:hint="eastAsia" w:eastAsia="仿宋" w:cs="仿宋"/>
                <w:color w:val="auto"/>
                <w:sz w:val="28"/>
                <w:szCs w:val="28"/>
                <w:lang w:eastAsia="zh-CN"/>
              </w:rPr>
            </w:pPr>
            <w:r>
              <w:rPr>
                <w:rFonts w:hint="eastAsia" w:cs="仿宋"/>
                <w:color w:val="auto"/>
                <w:kern w:val="0"/>
                <w:sz w:val="28"/>
                <w:szCs w:val="28"/>
                <w:lang w:bidi="ar"/>
              </w:rPr>
              <w:t>Q——指向性因数：通常对无指向性声源，当声源放在房间中心时，Q=1；当放在一面墙的中心时，Q=2；当放在两面墙夹角处时，Q=4；当放在三面墙夹角处时，Q=8。本项目设备主要沿厂房墙壁四周布置，故本项目Q=2。</w:t>
            </w:r>
          </w:p>
          <w:p w14:paraId="1423140F">
            <w:pPr>
              <w:widowControl/>
              <w:ind w:firstLine="1400" w:firstLineChars="500"/>
              <w:jc w:val="left"/>
              <w:rPr>
                <w:rFonts w:hint="eastAsia" w:eastAsia="仿宋" w:cs="仿宋"/>
                <w:color w:val="auto"/>
                <w:sz w:val="28"/>
                <w:szCs w:val="28"/>
                <w:lang w:eastAsia="zh-CN"/>
              </w:rPr>
            </w:pPr>
            <w:r>
              <w:rPr>
                <w:rFonts w:hint="eastAsia" w:cs="仿宋"/>
                <w:color w:val="auto"/>
                <w:kern w:val="0"/>
                <w:sz w:val="28"/>
                <w:szCs w:val="28"/>
                <w:lang w:bidi="ar"/>
              </w:rPr>
              <w:t>R——房间常数，R=Sα/（1-α），S为房间内表面面积，m2，α为平均吸声系数；</w:t>
            </w:r>
          </w:p>
          <w:p w14:paraId="169E2985">
            <w:pPr>
              <w:widowControl/>
              <w:ind w:firstLine="1400" w:firstLineChars="500"/>
              <w:jc w:val="left"/>
              <w:rPr>
                <w:rFonts w:hint="eastAsia" w:eastAsia="仿宋" w:cs="仿宋"/>
                <w:color w:val="auto"/>
                <w:sz w:val="28"/>
                <w:szCs w:val="28"/>
                <w:lang w:eastAsia="zh-CN"/>
              </w:rPr>
            </w:pPr>
            <w:r>
              <w:rPr>
                <w:rFonts w:hint="eastAsia" w:cs="仿宋"/>
                <w:color w:val="auto"/>
                <w:kern w:val="0"/>
                <w:sz w:val="28"/>
                <w:szCs w:val="28"/>
                <w:lang w:bidi="ar"/>
              </w:rPr>
              <w:t>r——声源到靠近围护结构某点处的距离，m。</w:t>
            </w:r>
          </w:p>
          <w:p w14:paraId="7CD286B1">
            <w:pPr>
              <w:widowControl/>
              <w:ind w:firstLine="560"/>
              <w:jc w:val="left"/>
              <w:rPr>
                <w:rFonts w:hint="eastAsia" w:eastAsia="仿宋" w:cs="仿宋"/>
                <w:color w:val="auto"/>
                <w:sz w:val="28"/>
                <w:szCs w:val="28"/>
                <w:lang w:eastAsia="zh-CN"/>
              </w:rPr>
            </w:pPr>
            <w:r>
              <w:rPr>
                <w:rFonts w:hint="eastAsia" w:cs="仿宋"/>
                <w:color w:val="auto"/>
                <w:kern w:val="0"/>
                <w:sz w:val="28"/>
                <w:szCs w:val="28"/>
                <w:lang w:bidi="ar"/>
              </w:rPr>
              <w:t>B、所有室内声源在围护结构处产生的i倍频带叠加声压级</w:t>
            </w:r>
          </w:p>
          <w:p w14:paraId="3BA44F40">
            <w:pPr>
              <w:widowControl/>
              <w:ind w:firstLine="420"/>
              <w:jc w:val="center"/>
              <w:rPr>
                <w:rFonts w:cs="仿宋"/>
                <w:color w:val="auto"/>
                <w:kern w:val="0"/>
                <w:sz w:val="28"/>
                <w:szCs w:val="28"/>
                <w:lang w:bidi="ar"/>
              </w:rPr>
            </w:pPr>
            <w:r>
              <w:rPr>
                <w:color w:val="auto"/>
              </w:rPr>
              <w:drawing>
                <wp:inline distT="0" distB="0" distL="114300" distR="114300">
                  <wp:extent cx="2562225" cy="704850"/>
                  <wp:effectExtent l="0" t="0" r="9525"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7"/>
                          <a:stretch>
                            <a:fillRect/>
                          </a:stretch>
                        </pic:blipFill>
                        <pic:spPr>
                          <a:xfrm>
                            <a:off x="0" y="0"/>
                            <a:ext cx="2562225" cy="704850"/>
                          </a:xfrm>
                          <a:prstGeom prst="rect">
                            <a:avLst/>
                          </a:prstGeom>
                          <a:noFill/>
                          <a:ln>
                            <a:noFill/>
                          </a:ln>
                        </pic:spPr>
                      </pic:pic>
                    </a:graphicData>
                  </a:graphic>
                </wp:inline>
              </w:drawing>
            </w:r>
          </w:p>
          <w:p w14:paraId="5B7BEBCE">
            <w:pPr>
              <w:widowControl/>
              <w:ind w:firstLine="560"/>
              <w:jc w:val="left"/>
              <w:rPr>
                <w:rFonts w:hint="eastAsia" w:eastAsia="仿宋" w:cs="仿宋"/>
                <w:color w:val="auto"/>
                <w:sz w:val="28"/>
                <w:szCs w:val="28"/>
                <w:lang w:eastAsia="zh-CN"/>
              </w:rPr>
            </w:pPr>
            <w:r>
              <w:rPr>
                <w:rFonts w:hint="eastAsia" w:cs="仿宋"/>
                <w:color w:val="auto"/>
                <w:kern w:val="0"/>
                <w:sz w:val="28"/>
                <w:szCs w:val="28"/>
                <w:lang w:bidi="ar"/>
              </w:rPr>
              <w:t>式中：Lp1i（T）——靠近围护结构处室内N个声源i倍频带的叠加声压级，dB；</w:t>
            </w:r>
          </w:p>
          <w:p w14:paraId="49D1F319">
            <w:pPr>
              <w:widowControl/>
              <w:ind w:firstLine="1400" w:firstLineChars="500"/>
              <w:jc w:val="left"/>
              <w:rPr>
                <w:rFonts w:hint="eastAsia" w:eastAsia="仿宋" w:cs="仿宋"/>
                <w:color w:val="auto"/>
                <w:sz w:val="28"/>
                <w:szCs w:val="28"/>
                <w:lang w:eastAsia="zh-CN"/>
              </w:rPr>
            </w:pPr>
            <w:r>
              <w:rPr>
                <w:rFonts w:hint="eastAsia" w:cs="仿宋"/>
                <w:color w:val="auto"/>
                <w:kern w:val="0"/>
                <w:sz w:val="28"/>
                <w:szCs w:val="28"/>
                <w:lang w:bidi="ar"/>
              </w:rPr>
              <w:t>Lp1ij——室内j声源i倍频带的声压级，dB；</w:t>
            </w:r>
          </w:p>
          <w:p w14:paraId="281E7DE8">
            <w:pPr>
              <w:widowControl/>
              <w:ind w:firstLine="1400" w:firstLineChars="500"/>
              <w:jc w:val="left"/>
              <w:rPr>
                <w:rFonts w:cs="仿宋"/>
                <w:color w:val="auto"/>
                <w:sz w:val="28"/>
                <w:szCs w:val="28"/>
              </w:rPr>
            </w:pPr>
            <w:r>
              <w:rPr>
                <w:rFonts w:hint="eastAsia" w:cs="仿宋"/>
                <w:color w:val="auto"/>
                <w:kern w:val="0"/>
                <w:sz w:val="28"/>
                <w:szCs w:val="28"/>
                <w:lang w:bidi="ar"/>
              </w:rPr>
              <w:t>N——室内声源总数</w:t>
            </w:r>
          </w:p>
          <w:p w14:paraId="7D11133B">
            <w:pPr>
              <w:widowControl/>
              <w:ind w:firstLine="560"/>
              <w:jc w:val="left"/>
              <w:rPr>
                <w:rFonts w:hint="eastAsia" w:eastAsia="仿宋" w:cs="仿宋"/>
                <w:color w:val="auto"/>
                <w:sz w:val="28"/>
                <w:szCs w:val="28"/>
                <w:lang w:eastAsia="zh-CN"/>
              </w:rPr>
            </w:pPr>
            <w:r>
              <w:rPr>
                <w:rFonts w:hint="eastAsia" w:cs="仿宋"/>
                <w:color w:val="auto"/>
                <w:kern w:val="0"/>
                <w:sz w:val="28"/>
                <w:szCs w:val="28"/>
                <w:lang w:bidi="ar"/>
              </w:rPr>
              <w:t>C、靠近室外围护结构处的声压级</w:t>
            </w:r>
          </w:p>
          <w:p w14:paraId="5C3EAF16">
            <w:pPr>
              <w:widowControl/>
              <w:ind w:firstLine="420"/>
              <w:jc w:val="center"/>
              <w:rPr>
                <w:rFonts w:cs="仿宋"/>
                <w:color w:val="auto"/>
                <w:kern w:val="0"/>
                <w:sz w:val="28"/>
                <w:szCs w:val="28"/>
                <w:lang w:bidi="ar"/>
              </w:rPr>
            </w:pPr>
            <w:r>
              <w:rPr>
                <w:color w:val="auto"/>
              </w:rPr>
              <w:drawing>
                <wp:inline distT="0" distB="0" distL="114300" distR="114300">
                  <wp:extent cx="2619375" cy="495300"/>
                  <wp:effectExtent l="0" t="0" r="9525"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8"/>
                          <a:stretch>
                            <a:fillRect/>
                          </a:stretch>
                        </pic:blipFill>
                        <pic:spPr>
                          <a:xfrm>
                            <a:off x="0" y="0"/>
                            <a:ext cx="2619375" cy="495300"/>
                          </a:xfrm>
                          <a:prstGeom prst="rect">
                            <a:avLst/>
                          </a:prstGeom>
                          <a:noFill/>
                          <a:ln>
                            <a:noFill/>
                          </a:ln>
                        </pic:spPr>
                      </pic:pic>
                    </a:graphicData>
                  </a:graphic>
                </wp:inline>
              </w:drawing>
            </w:r>
          </w:p>
          <w:p w14:paraId="4DF16DC0">
            <w:pPr>
              <w:widowControl/>
              <w:ind w:firstLine="560"/>
              <w:jc w:val="left"/>
              <w:rPr>
                <w:rFonts w:hint="eastAsia" w:eastAsia="仿宋" w:cs="仿宋"/>
                <w:color w:val="auto"/>
                <w:sz w:val="28"/>
                <w:szCs w:val="28"/>
                <w:lang w:eastAsia="zh-CN"/>
              </w:rPr>
            </w:pPr>
            <w:r>
              <w:rPr>
                <w:rFonts w:hint="eastAsia" w:cs="仿宋"/>
                <w:color w:val="auto"/>
                <w:kern w:val="0"/>
                <w:sz w:val="28"/>
                <w:szCs w:val="28"/>
                <w:lang w:bidi="ar"/>
              </w:rPr>
              <w:t>式中：Lp2i（T）——靠近围护结构处室外N个声源i倍频带的叠加声压级，dB；</w:t>
            </w:r>
          </w:p>
          <w:p w14:paraId="19E21BDB">
            <w:pPr>
              <w:widowControl/>
              <w:ind w:firstLine="1400" w:firstLineChars="500"/>
              <w:jc w:val="left"/>
              <w:rPr>
                <w:rFonts w:hint="eastAsia" w:eastAsia="仿宋" w:cs="仿宋"/>
                <w:color w:val="auto"/>
                <w:sz w:val="28"/>
                <w:szCs w:val="28"/>
                <w:lang w:eastAsia="zh-CN"/>
              </w:rPr>
            </w:pPr>
            <w:r>
              <w:rPr>
                <w:rFonts w:hint="eastAsia" w:cs="仿宋"/>
                <w:color w:val="auto"/>
                <w:kern w:val="0"/>
                <w:sz w:val="28"/>
                <w:szCs w:val="28"/>
                <w:lang w:bidi="ar"/>
              </w:rPr>
              <w:t>Lp1i（T）——靠近围护结构处室内N个声源i倍频带的叠加声压级，dB；</w:t>
            </w:r>
          </w:p>
          <w:p w14:paraId="574A3779">
            <w:pPr>
              <w:widowControl/>
              <w:ind w:firstLine="1400" w:firstLineChars="500"/>
              <w:jc w:val="left"/>
              <w:rPr>
                <w:rFonts w:cs="仿宋"/>
                <w:color w:val="auto"/>
                <w:sz w:val="28"/>
                <w:szCs w:val="28"/>
              </w:rPr>
            </w:pPr>
            <w:r>
              <w:rPr>
                <w:rFonts w:hint="eastAsia" w:cs="仿宋"/>
                <w:color w:val="auto"/>
                <w:kern w:val="0"/>
                <w:sz w:val="28"/>
                <w:szCs w:val="28"/>
                <w:lang w:bidi="ar"/>
              </w:rPr>
              <w:t>TLi——围护结构i倍频带的隔声量，dB。</w:t>
            </w:r>
          </w:p>
          <w:p w14:paraId="33423003">
            <w:pPr>
              <w:widowControl/>
              <w:ind w:firstLine="560"/>
              <w:jc w:val="left"/>
              <w:rPr>
                <w:color w:val="auto"/>
              </w:rPr>
            </w:pPr>
            <w:r>
              <w:rPr>
                <w:rFonts w:hint="eastAsia" w:cs="仿宋"/>
                <w:color w:val="auto"/>
                <w:kern w:val="0"/>
                <w:sz w:val="28"/>
                <w:szCs w:val="28"/>
                <w:lang w:bidi="ar"/>
              </w:rPr>
              <w:t>②</w:t>
            </w:r>
            <w:r>
              <w:rPr>
                <w:rFonts w:hint="eastAsia" w:cs="仿宋"/>
                <w:b/>
                <w:bCs/>
                <w:color w:val="auto"/>
                <w:kern w:val="0"/>
                <w:sz w:val="28"/>
                <w:szCs w:val="28"/>
                <w:lang w:bidi="ar"/>
              </w:rPr>
              <w:t>室外声源在预测点产生的声压级计算模型</w:t>
            </w:r>
          </w:p>
          <w:p w14:paraId="494D4E51">
            <w:pPr>
              <w:widowControl/>
              <w:ind w:firstLine="560"/>
              <w:jc w:val="left"/>
              <w:rPr>
                <w:rFonts w:cs="仿宋"/>
                <w:color w:val="auto"/>
                <w:sz w:val="28"/>
                <w:szCs w:val="28"/>
              </w:rPr>
            </w:pPr>
            <w:r>
              <w:rPr>
                <w:rFonts w:hint="eastAsia" w:cs="仿宋"/>
                <w:color w:val="auto"/>
                <w:kern w:val="0"/>
                <w:sz w:val="28"/>
                <w:szCs w:val="28"/>
                <w:lang w:bidi="ar"/>
              </w:rPr>
              <w:t>结合项目平面布置情况和外环境关系，项目周边主要为工业企业，本次噪声预测只考虑几何发散衰减，其室外声源预测方法计算预测点处的A声级如下所示</w:t>
            </w:r>
          </w:p>
          <w:p w14:paraId="0D94B5D8">
            <w:pPr>
              <w:widowControl/>
              <w:ind w:firstLine="420"/>
              <w:jc w:val="center"/>
              <w:rPr>
                <w:rFonts w:cs="仿宋"/>
                <w:color w:val="auto"/>
                <w:kern w:val="0"/>
                <w:sz w:val="28"/>
                <w:szCs w:val="28"/>
                <w:lang w:bidi="ar"/>
              </w:rPr>
            </w:pPr>
            <w:r>
              <w:rPr>
                <w:color w:val="auto"/>
              </w:rPr>
              <w:drawing>
                <wp:inline distT="0" distB="0" distL="114300" distR="114300">
                  <wp:extent cx="2133600" cy="524510"/>
                  <wp:effectExtent l="0" t="0" r="0" b="889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9"/>
                          <a:srcRect b="1667"/>
                          <a:stretch>
                            <a:fillRect/>
                          </a:stretch>
                        </pic:blipFill>
                        <pic:spPr>
                          <a:xfrm>
                            <a:off x="0" y="0"/>
                            <a:ext cx="2133600" cy="524510"/>
                          </a:xfrm>
                          <a:prstGeom prst="rect">
                            <a:avLst/>
                          </a:prstGeom>
                          <a:noFill/>
                          <a:ln>
                            <a:noFill/>
                          </a:ln>
                        </pic:spPr>
                      </pic:pic>
                    </a:graphicData>
                  </a:graphic>
                </wp:inline>
              </w:drawing>
            </w:r>
          </w:p>
          <w:p w14:paraId="29E8339C">
            <w:pPr>
              <w:widowControl/>
              <w:ind w:firstLine="560"/>
              <w:jc w:val="left"/>
              <w:rPr>
                <w:rFonts w:hint="eastAsia" w:eastAsia="仿宋" w:cs="仿宋"/>
                <w:color w:val="auto"/>
                <w:sz w:val="28"/>
                <w:szCs w:val="28"/>
                <w:lang w:eastAsia="zh-CN"/>
              </w:rPr>
            </w:pPr>
            <w:r>
              <w:rPr>
                <w:rFonts w:hint="eastAsia" w:cs="仿宋"/>
                <w:color w:val="auto"/>
                <w:kern w:val="0"/>
                <w:sz w:val="28"/>
                <w:szCs w:val="28"/>
                <w:lang w:bidi="ar"/>
              </w:rPr>
              <w:t>式中：</w:t>
            </w:r>
          </w:p>
          <w:p w14:paraId="2996F0E7">
            <w:pPr>
              <w:widowControl/>
              <w:ind w:firstLine="560"/>
              <w:jc w:val="left"/>
              <w:rPr>
                <w:rFonts w:cs="仿宋"/>
                <w:color w:val="auto"/>
                <w:kern w:val="0"/>
                <w:sz w:val="28"/>
                <w:szCs w:val="28"/>
                <w:lang w:bidi="ar"/>
              </w:rPr>
            </w:pPr>
            <w:r>
              <w:rPr>
                <w:rFonts w:hint="eastAsia" w:cs="仿宋"/>
                <w:i/>
                <w:iCs/>
                <w:color w:val="auto"/>
                <w:kern w:val="0"/>
                <w:sz w:val="28"/>
                <w:szCs w:val="28"/>
                <w:lang w:bidi="ar"/>
              </w:rPr>
              <w:t>LA</w:t>
            </w:r>
            <w:r>
              <w:rPr>
                <w:rFonts w:hint="eastAsia" w:cs="仿宋"/>
                <w:color w:val="auto"/>
                <w:kern w:val="0"/>
                <w:sz w:val="28"/>
                <w:szCs w:val="28"/>
                <w:lang w:bidi="ar"/>
              </w:rPr>
              <w:t>（</w:t>
            </w:r>
            <w:r>
              <w:rPr>
                <w:rFonts w:hint="eastAsia" w:cs="仿宋"/>
                <w:i/>
                <w:iCs/>
                <w:color w:val="auto"/>
                <w:kern w:val="0"/>
                <w:sz w:val="28"/>
                <w:szCs w:val="28"/>
                <w:lang w:bidi="ar"/>
              </w:rPr>
              <w:t>r</w:t>
            </w:r>
            <w:r>
              <w:rPr>
                <w:rFonts w:hint="eastAsia" w:cs="仿宋"/>
                <w:color w:val="auto"/>
                <w:kern w:val="0"/>
                <w:sz w:val="28"/>
                <w:szCs w:val="28"/>
                <w:lang w:bidi="ar"/>
              </w:rPr>
              <w:t>）—距离声源r处的A声级，dB（A）</w:t>
            </w:r>
          </w:p>
          <w:p w14:paraId="08775CF1">
            <w:pPr>
              <w:widowControl/>
              <w:ind w:firstLine="560"/>
              <w:jc w:val="left"/>
              <w:rPr>
                <w:rFonts w:hint="eastAsia" w:eastAsia="仿宋" w:cs="仿宋"/>
                <w:color w:val="auto"/>
                <w:sz w:val="28"/>
                <w:szCs w:val="28"/>
                <w:lang w:eastAsia="zh-CN"/>
              </w:rPr>
            </w:pPr>
            <w:r>
              <w:rPr>
                <w:rFonts w:hint="eastAsia" w:cs="仿宋"/>
                <w:i/>
                <w:iCs/>
                <w:color w:val="auto"/>
                <w:kern w:val="0"/>
                <w:sz w:val="28"/>
                <w:szCs w:val="28"/>
                <w:lang w:bidi="ar"/>
              </w:rPr>
              <w:t>LA（r0）</w:t>
            </w:r>
            <w:r>
              <w:rPr>
                <w:rFonts w:hint="eastAsia" w:cs="仿宋"/>
                <w:color w:val="auto"/>
                <w:kern w:val="0"/>
                <w:sz w:val="28"/>
                <w:szCs w:val="28"/>
                <w:lang w:bidi="ar"/>
              </w:rPr>
              <w:t>—距离声源r0处的A声级，dB（A）；</w:t>
            </w:r>
          </w:p>
          <w:p w14:paraId="45D5865D">
            <w:pPr>
              <w:widowControl/>
              <w:ind w:firstLine="560"/>
              <w:jc w:val="left"/>
              <w:rPr>
                <w:rFonts w:cs="仿宋"/>
                <w:color w:val="auto"/>
                <w:sz w:val="28"/>
                <w:szCs w:val="28"/>
              </w:rPr>
            </w:pPr>
            <w:r>
              <w:rPr>
                <w:rFonts w:hint="eastAsia" w:cs="仿宋"/>
                <w:i/>
                <w:iCs/>
                <w:color w:val="auto"/>
                <w:kern w:val="0"/>
                <w:sz w:val="28"/>
                <w:szCs w:val="28"/>
                <w:lang w:bidi="ar"/>
              </w:rPr>
              <w:t>Adiv</w:t>
            </w:r>
            <w:r>
              <w:rPr>
                <w:rFonts w:hint="eastAsia" w:cs="仿宋"/>
                <w:color w:val="auto"/>
                <w:kern w:val="0"/>
                <w:sz w:val="28"/>
                <w:szCs w:val="28"/>
                <w:lang w:bidi="ar"/>
              </w:rPr>
              <w:t>—几何发散引起的倍频带衰减，dB，计算公式见（HJ2.4－2021）附录A。</w:t>
            </w:r>
          </w:p>
          <w:p w14:paraId="2B477C2F">
            <w:pPr>
              <w:pStyle w:val="46"/>
              <w:ind w:firstLine="480"/>
              <w:rPr>
                <w:color w:val="auto"/>
              </w:rPr>
            </w:pPr>
          </w:p>
          <w:p w14:paraId="04CD065D">
            <w:pPr>
              <w:widowControl/>
              <w:ind w:firstLine="560"/>
              <w:jc w:val="left"/>
              <w:rPr>
                <w:rFonts w:cs="仿宋"/>
                <w:color w:val="auto"/>
                <w:kern w:val="0"/>
                <w:sz w:val="28"/>
                <w:szCs w:val="28"/>
                <w:lang w:bidi="ar"/>
              </w:rPr>
            </w:pPr>
            <w:r>
              <w:rPr>
                <w:rFonts w:hint="eastAsia" w:cs="仿宋"/>
                <w:color w:val="auto"/>
                <w:kern w:val="0"/>
                <w:sz w:val="28"/>
                <w:szCs w:val="28"/>
                <w:lang w:bidi="ar"/>
              </w:rPr>
              <w:t>③</w:t>
            </w:r>
            <w:r>
              <w:rPr>
                <w:rFonts w:hint="eastAsia" w:cs="仿宋"/>
                <w:b/>
                <w:bCs/>
                <w:color w:val="auto"/>
                <w:kern w:val="0"/>
                <w:sz w:val="28"/>
                <w:szCs w:val="28"/>
                <w:lang w:bidi="ar"/>
              </w:rPr>
              <w:t>计算结果</w:t>
            </w:r>
          </w:p>
          <w:p w14:paraId="0C1DC0DC">
            <w:pPr>
              <w:widowControl/>
              <w:ind w:firstLine="560"/>
              <w:jc w:val="left"/>
              <w:rPr>
                <w:rFonts w:cs="仿宋"/>
                <w:color w:val="auto"/>
                <w:sz w:val="28"/>
                <w:szCs w:val="28"/>
              </w:rPr>
            </w:pPr>
            <w:r>
              <w:rPr>
                <w:rFonts w:hint="eastAsia" w:cs="仿宋"/>
                <w:color w:val="auto"/>
                <w:kern w:val="0"/>
                <w:sz w:val="28"/>
                <w:szCs w:val="28"/>
                <w:lang w:bidi="ar"/>
              </w:rPr>
              <w:t>厂界噪声，多声源共同叠加作用的等效声级计算公式为：</w:t>
            </w:r>
          </w:p>
          <w:p w14:paraId="5EDF3193">
            <w:pPr>
              <w:ind w:firstLine="0" w:firstLineChars="0"/>
              <w:jc w:val="center"/>
              <w:rPr>
                <w:rFonts w:cs="仿宋"/>
                <w:color w:val="auto"/>
                <w:sz w:val="28"/>
                <w:szCs w:val="28"/>
                <w:lang w:val="zh-CN"/>
              </w:rPr>
            </w:pPr>
            <w:r>
              <w:rPr>
                <w:color w:val="auto"/>
              </w:rPr>
              <w:drawing>
                <wp:inline distT="0" distB="0" distL="114300" distR="114300">
                  <wp:extent cx="2505075" cy="695325"/>
                  <wp:effectExtent l="0" t="0" r="9525" b="952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0"/>
                          <a:stretch>
                            <a:fillRect/>
                          </a:stretch>
                        </pic:blipFill>
                        <pic:spPr>
                          <a:xfrm>
                            <a:off x="0" y="0"/>
                            <a:ext cx="2505075" cy="695325"/>
                          </a:xfrm>
                          <a:prstGeom prst="rect">
                            <a:avLst/>
                          </a:prstGeom>
                          <a:noFill/>
                          <a:ln>
                            <a:noFill/>
                          </a:ln>
                        </pic:spPr>
                      </pic:pic>
                    </a:graphicData>
                  </a:graphic>
                </wp:inline>
              </w:drawing>
            </w:r>
          </w:p>
          <w:p w14:paraId="21E771A7">
            <w:pPr>
              <w:widowControl/>
              <w:ind w:firstLine="560"/>
              <w:jc w:val="left"/>
              <w:rPr>
                <w:rFonts w:hint="eastAsia" w:eastAsia="仿宋" w:cs="仿宋"/>
                <w:color w:val="auto"/>
                <w:sz w:val="28"/>
                <w:szCs w:val="28"/>
                <w:lang w:eastAsia="zh-CN"/>
              </w:rPr>
            </w:pPr>
            <w:r>
              <w:rPr>
                <w:rFonts w:hint="eastAsia" w:cs="仿宋"/>
                <w:color w:val="auto"/>
                <w:kern w:val="0"/>
                <w:sz w:val="28"/>
                <w:szCs w:val="28"/>
                <w:lang w:bidi="ar"/>
              </w:rPr>
              <w:t>式中：Lp——n个噪声源在同一受声点上的合成A声压级dB(A)；</w:t>
            </w:r>
          </w:p>
          <w:p w14:paraId="3ACB168A">
            <w:pPr>
              <w:widowControl/>
              <w:ind w:firstLine="1400" w:firstLineChars="500"/>
              <w:jc w:val="left"/>
              <w:rPr>
                <w:rFonts w:cs="仿宋"/>
                <w:color w:val="auto"/>
                <w:sz w:val="28"/>
                <w:szCs w:val="28"/>
              </w:rPr>
            </w:pPr>
            <w:r>
              <w:rPr>
                <w:rFonts w:hint="eastAsia" w:cs="仿宋"/>
                <w:color w:val="auto"/>
                <w:kern w:val="0"/>
                <w:sz w:val="28"/>
                <w:szCs w:val="28"/>
                <w:lang w:bidi="ar"/>
              </w:rPr>
              <w:t>Lpi——第i个噪声源在受声点的A声压级dB(A)；</w:t>
            </w:r>
          </w:p>
          <w:p w14:paraId="418D4E3E">
            <w:pPr>
              <w:widowControl/>
              <w:ind w:firstLine="560"/>
              <w:jc w:val="left"/>
              <w:rPr>
                <w:rFonts w:cs="仿宋"/>
                <w:color w:val="auto"/>
                <w:sz w:val="28"/>
                <w:szCs w:val="28"/>
              </w:rPr>
            </w:pPr>
            <w:r>
              <w:rPr>
                <w:rFonts w:hint="eastAsia" w:cs="仿宋"/>
                <w:color w:val="auto"/>
                <w:kern w:val="0"/>
                <w:sz w:val="28"/>
                <w:szCs w:val="28"/>
                <w:lang w:bidi="ar"/>
              </w:rPr>
              <w:t>按上述预测模式，噪声源强调查清单见表4-10，4-11。</w:t>
            </w:r>
          </w:p>
          <w:p w14:paraId="5A1E9C48">
            <w:pPr>
              <w:widowControl/>
              <w:ind w:firstLine="480"/>
              <w:jc w:val="center"/>
              <w:rPr>
                <w:rFonts w:cs="仿宋"/>
                <w:color w:val="auto"/>
                <w:sz w:val="24"/>
              </w:rPr>
            </w:pPr>
          </w:p>
          <w:p w14:paraId="6AA64666">
            <w:pPr>
              <w:pStyle w:val="46"/>
              <w:ind w:firstLine="560"/>
              <w:rPr>
                <w:rFonts w:ascii="仿宋" w:hAnsi="仿宋" w:eastAsia="仿宋" w:cs="仿宋"/>
                <w:color w:val="auto"/>
                <w:sz w:val="28"/>
                <w:szCs w:val="28"/>
                <w:lang w:val="zh-CN"/>
              </w:rPr>
            </w:pPr>
          </w:p>
          <w:p w14:paraId="70BE02FB">
            <w:pPr>
              <w:pStyle w:val="46"/>
              <w:ind w:firstLine="480"/>
              <w:rPr>
                <w:color w:val="auto"/>
                <w:lang w:val="zh-CN"/>
              </w:rPr>
            </w:pPr>
          </w:p>
          <w:p w14:paraId="2A024905">
            <w:pPr>
              <w:pStyle w:val="46"/>
              <w:ind w:firstLine="480"/>
              <w:rPr>
                <w:color w:val="auto"/>
                <w:lang w:val="zh-CN"/>
              </w:rPr>
            </w:pPr>
          </w:p>
          <w:p w14:paraId="5F6FF9E5">
            <w:pPr>
              <w:pStyle w:val="46"/>
              <w:ind w:firstLine="480"/>
              <w:rPr>
                <w:color w:val="auto"/>
                <w:lang w:val="zh-CN"/>
              </w:rPr>
            </w:pPr>
          </w:p>
          <w:p w14:paraId="22B12559">
            <w:pPr>
              <w:pStyle w:val="46"/>
              <w:ind w:firstLine="480"/>
              <w:rPr>
                <w:color w:val="auto"/>
                <w:lang w:val="zh-CN"/>
              </w:rPr>
            </w:pPr>
          </w:p>
          <w:p w14:paraId="312A57B9">
            <w:pPr>
              <w:pStyle w:val="46"/>
              <w:ind w:firstLine="0" w:firstLineChars="0"/>
              <w:rPr>
                <w:color w:val="auto"/>
                <w:lang w:val="zh-CN"/>
              </w:rPr>
            </w:pPr>
          </w:p>
          <w:p w14:paraId="7A14BC5F">
            <w:pPr>
              <w:pStyle w:val="46"/>
              <w:ind w:firstLine="480"/>
              <w:rPr>
                <w:color w:val="auto"/>
                <w:lang w:val="zh-CN"/>
              </w:rPr>
            </w:pPr>
          </w:p>
          <w:p w14:paraId="264EAB90">
            <w:pPr>
              <w:pStyle w:val="46"/>
              <w:ind w:firstLine="480"/>
              <w:rPr>
                <w:color w:val="auto"/>
                <w:lang w:val="zh-CN"/>
              </w:rPr>
            </w:pPr>
          </w:p>
          <w:p w14:paraId="50057D28">
            <w:pPr>
              <w:pStyle w:val="46"/>
              <w:ind w:firstLine="480"/>
              <w:rPr>
                <w:color w:val="auto"/>
                <w:lang w:val="zh-CN"/>
              </w:rPr>
            </w:pPr>
          </w:p>
          <w:p w14:paraId="747CEB36">
            <w:pPr>
              <w:pStyle w:val="46"/>
              <w:ind w:left="0" w:leftChars="0" w:firstLine="0" w:firstLineChars="0"/>
              <w:rPr>
                <w:color w:val="auto"/>
                <w:lang w:val="zh-CN"/>
              </w:rPr>
            </w:pPr>
          </w:p>
        </w:tc>
      </w:tr>
    </w:tbl>
    <w:p w14:paraId="1358FBEC">
      <w:pPr>
        <w:ind w:firstLine="560"/>
        <w:rPr>
          <w:color w:val="auto"/>
          <w:sz w:val="28"/>
        </w:rPr>
      </w:pPr>
    </w:p>
    <w:p w14:paraId="0E683FCC">
      <w:pPr>
        <w:ind w:firstLine="420"/>
        <w:rPr>
          <w:color w:val="auto"/>
        </w:rPr>
        <w:sectPr>
          <w:pgSz w:w="11906" w:h="16838"/>
          <w:pgMar w:top="1701" w:right="1531" w:bottom="1701" w:left="1531" w:header="851" w:footer="851" w:gutter="0"/>
          <w:cols w:space="720" w:num="1"/>
          <w:docGrid w:linePitch="312" w:charSpace="0"/>
        </w:sectPr>
      </w:pPr>
    </w:p>
    <w:p w14:paraId="21FDA779">
      <w:pPr>
        <w:widowControl/>
        <w:spacing w:line="240" w:lineRule="auto"/>
        <w:ind w:firstLine="0" w:firstLineChars="0"/>
        <w:jc w:val="center"/>
        <w:rPr>
          <w:rFonts w:cs="仿宋"/>
          <w:b/>
          <w:bCs/>
          <w:color w:val="auto"/>
          <w:kern w:val="0"/>
          <w:sz w:val="24"/>
          <w:lang w:bidi="ar"/>
        </w:rPr>
      </w:pPr>
      <w:r>
        <w:rPr>
          <w:rFonts w:hint="eastAsia" w:cs="仿宋"/>
          <w:b/>
          <w:bCs/>
          <w:color w:val="auto"/>
          <w:kern w:val="0"/>
          <w:sz w:val="24"/>
          <w:lang w:bidi="ar"/>
        </w:rPr>
        <w:t>表4-10噪声源强调查清单（室外声源）</w:t>
      </w:r>
    </w:p>
    <w:tbl>
      <w:tblPr>
        <w:tblStyle w:val="31"/>
        <w:tblW w:w="11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981"/>
        <w:gridCol w:w="1050"/>
        <w:gridCol w:w="1232"/>
        <w:gridCol w:w="1635"/>
        <w:gridCol w:w="1709"/>
        <w:gridCol w:w="2602"/>
        <w:gridCol w:w="1276"/>
      </w:tblGrid>
      <w:tr w14:paraId="06CE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1" w:type="dxa"/>
            <w:vMerge w:val="restart"/>
            <w:vAlign w:val="center"/>
          </w:tcPr>
          <w:p w14:paraId="25234255">
            <w:pPr>
              <w:pStyle w:val="27"/>
              <w:spacing w:before="0" w:beforeAutospacing="0" w:after="0" w:afterAutospacing="0" w:line="240" w:lineRule="auto"/>
              <w:ind w:firstLine="0" w:firstLineChars="0"/>
              <w:jc w:val="center"/>
              <w:outlineLvl w:val="0"/>
              <w:rPr>
                <w:rFonts w:ascii="仿宋" w:hAnsi="仿宋" w:cs="仿宋"/>
                <w:b/>
                <w:snapToGrid w:val="0"/>
                <w:color w:val="auto"/>
                <w:szCs w:val="24"/>
              </w:rPr>
            </w:pPr>
            <w:r>
              <w:rPr>
                <w:rFonts w:hint="eastAsia" w:ascii="仿宋" w:hAnsi="仿宋" w:cs="仿宋"/>
                <w:b/>
                <w:snapToGrid w:val="0"/>
                <w:color w:val="auto"/>
                <w:szCs w:val="24"/>
              </w:rPr>
              <w:t>声源名称</w:t>
            </w:r>
          </w:p>
        </w:tc>
        <w:tc>
          <w:tcPr>
            <w:tcW w:w="3263" w:type="dxa"/>
            <w:gridSpan w:val="3"/>
            <w:vAlign w:val="center"/>
          </w:tcPr>
          <w:p w14:paraId="4D7294A7">
            <w:pPr>
              <w:pStyle w:val="27"/>
              <w:spacing w:before="0" w:beforeAutospacing="0" w:after="0" w:afterAutospacing="0" w:line="240" w:lineRule="auto"/>
              <w:ind w:firstLine="0" w:firstLineChars="0"/>
              <w:jc w:val="center"/>
              <w:outlineLvl w:val="0"/>
              <w:rPr>
                <w:rFonts w:ascii="仿宋" w:hAnsi="仿宋" w:cs="仿宋"/>
                <w:b/>
                <w:snapToGrid w:val="0"/>
                <w:color w:val="auto"/>
                <w:szCs w:val="24"/>
              </w:rPr>
            </w:pPr>
            <w:r>
              <w:rPr>
                <w:rFonts w:hint="eastAsia" w:ascii="仿宋" w:hAnsi="仿宋" w:cs="仿宋"/>
                <w:b/>
                <w:snapToGrid w:val="0"/>
                <w:color w:val="auto"/>
                <w:szCs w:val="24"/>
              </w:rPr>
              <w:t>空间相对位置</w:t>
            </w:r>
          </w:p>
        </w:tc>
        <w:tc>
          <w:tcPr>
            <w:tcW w:w="3344" w:type="dxa"/>
            <w:gridSpan w:val="2"/>
            <w:vAlign w:val="center"/>
          </w:tcPr>
          <w:p w14:paraId="1D9A3F8E">
            <w:pPr>
              <w:pStyle w:val="27"/>
              <w:spacing w:before="0" w:beforeAutospacing="0" w:after="0" w:afterAutospacing="0" w:line="240" w:lineRule="auto"/>
              <w:ind w:firstLine="0" w:firstLineChars="0"/>
              <w:jc w:val="center"/>
              <w:outlineLvl w:val="0"/>
              <w:rPr>
                <w:rFonts w:ascii="仿宋" w:hAnsi="仿宋" w:cs="仿宋"/>
                <w:b/>
                <w:snapToGrid w:val="0"/>
                <w:color w:val="auto"/>
                <w:szCs w:val="24"/>
              </w:rPr>
            </w:pPr>
            <w:r>
              <w:rPr>
                <w:rFonts w:hint="eastAsia" w:ascii="仿宋" w:hAnsi="仿宋" w:cs="仿宋"/>
                <w:b/>
                <w:snapToGrid w:val="0"/>
                <w:color w:val="auto"/>
                <w:szCs w:val="24"/>
              </w:rPr>
              <w:t>声源源强</w:t>
            </w:r>
          </w:p>
        </w:tc>
        <w:tc>
          <w:tcPr>
            <w:tcW w:w="2602" w:type="dxa"/>
            <w:vMerge w:val="restart"/>
            <w:vAlign w:val="center"/>
          </w:tcPr>
          <w:p w14:paraId="008ED458">
            <w:pPr>
              <w:pStyle w:val="27"/>
              <w:spacing w:before="0" w:beforeAutospacing="0" w:after="0" w:afterAutospacing="0" w:line="240" w:lineRule="auto"/>
              <w:ind w:firstLine="0" w:firstLineChars="0"/>
              <w:jc w:val="center"/>
              <w:outlineLvl w:val="0"/>
              <w:rPr>
                <w:rFonts w:ascii="仿宋" w:hAnsi="仿宋" w:cs="仿宋"/>
                <w:b/>
                <w:snapToGrid w:val="0"/>
                <w:color w:val="auto"/>
                <w:szCs w:val="24"/>
              </w:rPr>
            </w:pPr>
            <w:r>
              <w:rPr>
                <w:rFonts w:hint="eastAsia" w:ascii="仿宋" w:hAnsi="仿宋" w:cs="仿宋"/>
                <w:b/>
                <w:snapToGrid w:val="0"/>
                <w:color w:val="auto"/>
                <w:szCs w:val="24"/>
              </w:rPr>
              <w:t>声源控制措施</w:t>
            </w:r>
          </w:p>
        </w:tc>
        <w:tc>
          <w:tcPr>
            <w:tcW w:w="1276" w:type="dxa"/>
            <w:vMerge w:val="restart"/>
            <w:vAlign w:val="center"/>
          </w:tcPr>
          <w:p w14:paraId="268BFD27">
            <w:pPr>
              <w:pStyle w:val="27"/>
              <w:spacing w:before="0" w:beforeAutospacing="0" w:after="0" w:afterAutospacing="0" w:line="240" w:lineRule="auto"/>
              <w:ind w:firstLine="0" w:firstLineChars="0"/>
              <w:jc w:val="center"/>
              <w:outlineLvl w:val="0"/>
              <w:rPr>
                <w:rFonts w:ascii="仿宋" w:hAnsi="仿宋" w:cs="仿宋"/>
                <w:b/>
                <w:snapToGrid w:val="0"/>
                <w:color w:val="auto"/>
                <w:szCs w:val="24"/>
              </w:rPr>
            </w:pPr>
            <w:r>
              <w:rPr>
                <w:rFonts w:hint="eastAsia" w:ascii="仿宋" w:hAnsi="仿宋" w:cs="仿宋"/>
                <w:b/>
                <w:snapToGrid w:val="0"/>
                <w:color w:val="auto"/>
                <w:szCs w:val="24"/>
              </w:rPr>
              <w:t>运行时段</w:t>
            </w:r>
          </w:p>
        </w:tc>
      </w:tr>
      <w:tr w14:paraId="08D6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1" w:type="dxa"/>
            <w:vMerge w:val="continue"/>
            <w:vAlign w:val="center"/>
          </w:tcPr>
          <w:p w14:paraId="5A8F3B04">
            <w:pPr>
              <w:pStyle w:val="27"/>
              <w:spacing w:before="0" w:beforeAutospacing="0" w:after="0" w:afterAutospacing="0" w:line="240" w:lineRule="auto"/>
              <w:ind w:firstLine="0" w:firstLineChars="0"/>
              <w:jc w:val="center"/>
              <w:outlineLvl w:val="0"/>
              <w:rPr>
                <w:rFonts w:ascii="仿宋" w:hAnsi="仿宋" w:cs="仿宋"/>
                <w:b/>
                <w:snapToGrid w:val="0"/>
                <w:color w:val="auto"/>
                <w:szCs w:val="24"/>
              </w:rPr>
            </w:pPr>
          </w:p>
        </w:tc>
        <w:tc>
          <w:tcPr>
            <w:tcW w:w="981" w:type="dxa"/>
            <w:vAlign w:val="center"/>
          </w:tcPr>
          <w:p w14:paraId="188E20AA">
            <w:pPr>
              <w:widowControl/>
              <w:spacing w:line="240" w:lineRule="auto"/>
              <w:ind w:firstLine="0" w:firstLineChars="0"/>
              <w:jc w:val="center"/>
              <w:rPr>
                <w:rFonts w:cs="仿宋"/>
                <w:b/>
                <w:snapToGrid w:val="0"/>
                <w:color w:val="auto"/>
                <w:sz w:val="24"/>
              </w:rPr>
            </w:pPr>
            <w:r>
              <w:rPr>
                <w:rFonts w:hint="eastAsia" w:cs="仿宋"/>
                <w:color w:val="auto"/>
                <w:kern w:val="0"/>
                <w:sz w:val="24"/>
                <w:lang w:bidi="ar"/>
              </w:rPr>
              <w:t>X</w:t>
            </w:r>
          </w:p>
        </w:tc>
        <w:tc>
          <w:tcPr>
            <w:tcW w:w="1050" w:type="dxa"/>
            <w:vAlign w:val="center"/>
          </w:tcPr>
          <w:p w14:paraId="1ABD0DF2">
            <w:pPr>
              <w:pStyle w:val="27"/>
              <w:spacing w:before="0" w:beforeAutospacing="0" w:after="0" w:afterAutospacing="0" w:line="240" w:lineRule="auto"/>
              <w:ind w:firstLine="0" w:firstLineChars="0"/>
              <w:jc w:val="center"/>
              <w:outlineLvl w:val="0"/>
              <w:rPr>
                <w:rFonts w:ascii="仿宋" w:hAnsi="仿宋" w:cs="仿宋"/>
                <w:b/>
                <w:snapToGrid w:val="0"/>
                <w:color w:val="auto"/>
                <w:szCs w:val="24"/>
              </w:rPr>
            </w:pPr>
            <w:r>
              <w:rPr>
                <w:rFonts w:hint="eastAsia" w:ascii="仿宋" w:hAnsi="仿宋" w:cs="仿宋"/>
                <w:color w:val="auto"/>
                <w:szCs w:val="24"/>
                <w:lang w:bidi="ar"/>
              </w:rPr>
              <w:t>Y</w:t>
            </w:r>
          </w:p>
        </w:tc>
        <w:tc>
          <w:tcPr>
            <w:tcW w:w="1232" w:type="dxa"/>
            <w:vAlign w:val="center"/>
          </w:tcPr>
          <w:p w14:paraId="50EC4731">
            <w:pPr>
              <w:pStyle w:val="27"/>
              <w:spacing w:before="0" w:beforeAutospacing="0" w:after="0" w:afterAutospacing="0" w:line="240" w:lineRule="auto"/>
              <w:ind w:firstLine="0" w:firstLineChars="0"/>
              <w:jc w:val="center"/>
              <w:outlineLvl w:val="0"/>
              <w:rPr>
                <w:rFonts w:ascii="仿宋" w:hAnsi="仿宋" w:cs="仿宋"/>
                <w:b/>
                <w:snapToGrid w:val="0"/>
                <w:color w:val="auto"/>
                <w:szCs w:val="24"/>
              </w:rPr>
            </w:pPr>
            <w:r>
              <w:rPr>
                <w:rFonts w:hint="eastAsia" w:ascii="仿宋" w:hAnsi="仿宋" w:cs="仿宋"/>
                <w:color w:val="auto"/>
                <w:szCs w:val="24"/>
                <w:lang w:bidi="ar"/>
              </w:rPr>
              <w:t>Z</w:t>
            </w:r>
          </w:p>
        </w:tc>
        <w:tc>
          <w:tcPr>
            <w:tcW w:w="1635" w:type="dxa"/>
            <w:vAlign w:val="center"/>
          </w:tcPr>
          <w:p w14:paraId="49B4B1A7">
            <w:pPr>
              <w:pStyle w:val="27"/>
              <w:spacing w:before="0" w:beforeAutospacing="0" w:after="0" w:afterAutospacing="0" w:line="240" w:lineRule="auto"/>
              <w:ind w:firstLine="0" w:firstLineChars="0"/>
              <w:jc w:val="center"/>
              <w:outlineLvl w:val="0"/>
              <w:rPr>
                <w:rFonts w:ascii="仿宋" w:hAnsi="仿宋" w:cs="仿宋"/>
                <w:b/>
                <w:snapToGrid w:val="0"/>
                <w:color w:val="auto"/>
                <w:szCs w:val="24"/>
              </w:rPr>
            </w:pPr>
            <w:r>
              <w:rPr>
                <w:rFonts w:hint="eastAsia" w:ascii="仿宋" w:hAnsi="仿宋" w:cs="仿宋"/>
                <w:color w:val="auto"/>
                <w:szCs w:val="24"/>
                <w:lang w:bidi="ar"/>
              </w:rPr>
              <w:t>距声源距离/m</w:t>
            </w:r>
          </w:p>
        </w:tc>
        <w:tc>
          <w:tcPr>
            <w:tcW w:w="1709" w:type="dxa"/>
          </w:tcPr>
          <w:p w14:paraId="267240E5">
            <w:pPr>
              <w:widowControl/>
              <w:spacing w:line="240" w:lineRule="auto"/>
              <w:ind w:firstLine="0" w:firstLineChars="0"/>
              <w:jc w:val="left"/>
              <w:rPr>
                <w:rFonts w:cs="仿宋"/>
                <w:b/>
                <w:snapToGrid w:val="0"/>
                <w:color w:val="auto"/>
                <w:sz w:val="24"/>
              </w:rPr>
            </w:pPr>
            <w:r>
              <w:rPr>
                <w:rFonts w:hint="eastAsia" w:cs="仿宋"/>
                <w:color w:val="auto"/>
                <w:kern w:val="0"/>
                <w:sz w:val="24"/>
                <w:lang w:bidi="ar"/>
              </w:rPr>
              <w:t>声压级/dB（A）</w:t>
            </w:r>
          </w:p>
        </w:tc>
        <w:tc>
          <w:tcPr>
            <w:tcW w:w="2602" w:type="dxa"/>
            <w:vMerge w:val="continue"/>
          </w:tcPr>
          <w:p w14:paraId="287F9BEC">
            <w:pPr>
              <w:pStyle w:val="27"/>
              <w:spacing w:before="0" w:beforeAutospacing="0" w:after="0" w:afterAutospacing="0" w:line="240" w:lineRule="auto"/>
              <w:ind w:firstLine="0" w:firstLineChars="0"/>
              <w:jc w:val="center"/>
              <w:outlineLvl w:val="0"/>
              <w:rPr>
                <w:rFonts w:ascii="仿宋" w:hAnsi="仿宋" w:cs="仿宋"/>
                <w:b/>
                <w:snapToGrid w:val="0"/>
                <w:color w:val="auto"/>
                <w:szCs w:val="24"/>
              </w:rPr>
            </w:pPr>
          </w:p>
        </w:tc>
        <w:tc>
          <w:tcPr>
            <w:tcW w:w="1276" w:type="dxa"/>
            <w:vMerge w:val="continue"/>
          </w:tcPr>
          <w:p w14:paraId="67D4DA43">
            <w:pPr>
              <w:pStyle w:val="27"/>
              <w:spacing w:before="0" w:beforeAutospacing="0" w:after="0" w:afterAutospacing="0" w:line="240" w:lineRule="auto"/>
              <w:ind w:firstLine="0" w:firstLineChars="0"/>
              <w:jc w:val="center"/>
              <w:outlineLvl w:val="0"/>
              <w:rPr>
                <w:rFonts w:ascii="仿宋" w:hAnsi="仿宋" w:cs="仿宋"/>
                <w:b/>
                <w:snapToGrid w:val="0"/>
                <w:color w:val="auto"/>
                <w:szCs w:val="24"/>
              </w:rPr>
            </w:pPr>
          </w:p>
        </w:tc>
      </w:tr>
      <w:tr w14:paraId="002B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71" w:type="dxa"/>
            <w:vAlign w:val="center"/>
          </w:tcPr>
          <w:p w14:paraId="41F296E7">
            <w:pPr>
              <w:pStyle w:val="27"/>
              <w:spacing w:before="0" w:beforeAutospacing="0" w:after="0" w:afterAutospacing="0" w:line="240" w:lineRule="auto"/>
              <w:ind w:firstLine="0" w:firstLineChars="0"/>
              <w:jc w:val="center"/>
              <w:outlineLvl w:val="0"/>
              <w:rPr>
                <w:rFonts w:ascii="仿宋" w:hAnsi="仿宋" w:cs="仿宋"/>
                <w:bCs/>
                <w:snapToGrid w:val="0"/>
                <w:color w:val="auto"/>
                <w:szCs w:val="24"/>
                <w:lang w:val="en-US"/>
              </w:rPr>
            </w:pPr>
            <w:r>
              <w:rPr>
                <w:rFonts w:hint="eastAsia" w:ascii="仿宋" w:hAnsi="仿宋" w:cs="仿宋"/>
                <w:bCs/>
                <w:snapToGrid w:val="0"/>
                <w:color w:val="auto"/>
                <w:szCs w:val="24"/>
              </w:rPr>
              <w:t>风机</w:t>
            </w:r>
            <w:r>
              <w:rPr>
                <w:rFonts w:hint="eastAsia" w:ascii="仿宋" w:hAnsi="仿宋" w:cs="仿宋"/>
                <w:bCs/>
                <w:snapToGrid w:val="0"/>
                <w:color w:val="auto"/>
                <w:szCs w:val="24"/>
                <w:lang w:val="en-US"/>
              </w:rPr>
              <w:t>1</w:t>
            </w:r>
          </w:p>
        </w:tc>
        <w:tc>
          <w:tcPr>
            <w:tcW w:w="981" w:type="dxa"/>
            <w:vAlign w:val="center"/>
          </w:tcPr>
          <w:p w14:paraId="561A8751">
            <w:pPr>
              <w:widowControl/>
              <w:spacing w:line="240" w:lineRule="auto"/>
              <w:ind w:firstLine="0" w:firstLineChars="0"/>
              <w:jc w:val="center"/>
              <w:rPr>
                <w:rFonts w:hint="default" w:eastAsia="仿宋" w:cs="仿宋"/>
                <w:color w:val="auto"/>
                <w:kern w:val="0"/>
                <w:sz w:val="24"/>
                <w:lang w:val="en-US" w:eastAsia="zh-CN" w:bidi="ar"/>
              </w:rPr>
            </w:pPr>
            <w:r>
              <w:rPr>
                <w:rFonts w:hint="eastAsia" w:cs="仿宋"/>
                <w:color w:val="auto"/>
                <w:kern w:val="0"/>
                <w:sz w:val="24"/>
                <w:lang w:val="en-US" w:eastAsia="zh-CN" w:bidi="ar"/>
              </w:rPr>
              <w:t>15</w:t>
            </w:r>
          </w:p>
        </w:tc>
        <w:tc>
          <w:tcPr>
            <w:tcW w:w="1050" w:type="dxa"/>
            <w:vAlign w:val="center"/>
          </w:tcPr>
          <w:p w14:paraId="51052D60">
            <w:pPr>
              <w:pStyle w:val="27"/>
              <w:spacing w:before="0" w:beforeAutospacing="0" w:after="0" w:afterAutospacing="0" w:line="240" w:lineRule="auto"/>
              <w:ind w:firstLine="0" w:firstLineChars="0"/>
              <w:jc w:val="center"/>
              <w:outlineLvl w:val="0"/>
              <w:rPr>
                <w:rFonts w:hint="default" w:ascii="仿宋" w:hAnsi="仿宋" w:eastAsia="仿宋" w:cs="仿宋"/>
                <w:color w:val="auto"/>
                <w:szCs w:val="24"/>
                <w:lang w:val="en-US" w:eastAsia="zh-CN" w:bidi="ar"/>
              </w:rPr>
            </w:pPr>
            <w:r>
              <w:rPr>
                <w:rFonts w:hint="eastAsia" w:ascii="仿宋" w:hAnsi="仿宋" w:cs="仿宋"/>
                <w:color w:val="auto"/>
                <w:szCs w:val="24"/>
                <w:lang w:val="en-US" w:eastAsia="zh-CN" w:bidi="ar"/>
              </w:rPr>
              <w:t>13</w:t>
            </w:r>
          </w:p>
        </w:tc>
        <w:tc>
          <w:tcPr>
            <w:tcW w:w="1232" w:type="dxa"/>
            <w:vAlign w:val="center"/>
          </w:tcPr>
          <w:p w14:paraId="19A34CB7">
            <w:pPr>
              <w:pStyle w:val="27"/>
              <w:spacing w:before="0" w:beforeAutospacing="0" w:after="0" w:afterAutospacing="0" w:line="240" w:lineRule="auto"/>
              <w:ind w:firstLine="0" w:firstLineChars="0"/>
              <w:jc w:val="center"/>
              <w:outlineLvl w:val="0"/>
              <w:rPr>
                <w:rFonts w:hint="default" w:ascii="仿宋" w:hAnsi="仿宋" w:eastAsia="仿宋" w:cs="仿宋"/>
                <w:color w:val="auto"/>
                <w:szCs w:val="24"/>
                <w:lang w:val="en-US" w:eastAsia="zh-CN" w:bidi="ar"/>
              </w:rPr>
            </w:pPr>
            <w:r>
              <w:rPr>
                <w:rFonts w:hint="eastAsia" w:ascii="仿宋" w:hAnsi="仿宋" w:cs="仿宋"/>
                <w:color w:val="auto"/>
                <w:szCs w:val="24"/>
                <w:lang w:val="en-US" w:eastAsia="zh-CN" w:bidi="ar"/>
              </w:rPr>
              <w:t>15</w:t>
            </w:r>
          </w:p>
        </w:tc>
        <w:tc>
          <w:tcPr>
            <w:tcW w:w="1635" w:type="dxa"/>
            <w:vAlign w:val="center"/>
          </w:tcPr>
          <w:p w14:paraId="1507F6B7">
            <w:pPr>
              <w:pStyle w:val="27"/>
              <w:spacing w:before="0" w:beforeAutospacing="0" w:after="0" w:afterAutospacing="0" w:line="240" w:lineRule="auto"/>
              <w:ind w:firstLine="0" w:firstLineChars="0"/>
              <w:jc w:val="center"/>
              <w:outlineLvl w:val="0"/>
              <w:rPr>
                <w:rFonts w:ascii="仿宋" w:hAnsi="仿宋" w:cs="仿宋"/>
                <w:color w:val="auto"/>
                <w:szCs w:val="24"/>
                <w:lang w:bidi="ar"/>
              </w:rPr>
            </w:pPr>
            <w:r>
              <w:rPr>
                <w:rFonts w:hint="eastAsia" w:ascii="仿宋" w:hAnsi="仿宋" w:cs="仿宋"/>
                <w:color w:val="auto"/>
                <w:szCs w:val="24"/>
                <w:lang w:bidi="ar"/>
              </w:rPr>
              <w:t>1</w:t>
            </w:r>
          </w:p>
        </w:tc>
        <w:tc>
          <w:tcPr>
            <w:tcW w:w="1709" w:type="dxa"/>
            <w:vAlign w:val="center"/>
          </w:tcPr>
          <w:p w14:paraId="3AA9018F">
            <w:pPr>
              <w:widowControl/>
              <w:spacing w:line="240" w:lineRule="auto"/>
              <w:ind w:firstLine="0" w:firstLineChars="0"/>
              <w:jc w:val="center"/>
              <w:rPr>
                <w:rFonts w:cs="仿宋"/>
                <w:color w:val="auto"/>
                <w:kern w:val="0"/>
                <w:sz w:val="24"/>
                <w:lang w:bidi="ar"/>
              </w:rPr>
            </w:pPr>
            <w:r>
              <w:rPr>
                <w:rFonts w:hint="eastAsia" w:cs="仿宋"/>
                <w:color w:val="auto"/>
                <w:kern w:val="0"/>
                <w:sz w:val="24"/>
                <w:lang w:bidi="ar"/>
              </w:rPr>
              <w:t>85</w:t>
            </w:r>
          </w:p>
        </w:tc>
        <w:tc>
          <w:tcPr>
            <w:tcW w:w="2602" w:type="dxa"/>
            <w:vAlign w:val="center"/>
          </w:tcPr>
          <w:p w14:paraId="3486C964">
            <w:pPr>
              <w:pStyle w:val="27"/>
              <w:spacing w:before="0" w:beforeAutospacing="0" w:after="0" w:afterAutospacing="0" w:line="240" w:lineRule="auto"/>
              <w:ind w:firstLine="0" w:firstLineChars="0"/>
              <w:jc w:val="center"/>
              <w:outlineLvl w:val="0"/>
              <w:rPr>
                <w:rFonts w:ascii="仿宋" w:hAnsi="仿宋" w:cs="仿宋"/>
                <w:b/>
                <w:snapToGrid w:val="0"/>
                <w:color w:val="auto"/>
                <w:szCs w:val="24"/>
              </w:rPr>
            </w:pPr>
            <w:r>
              <w:rPr>
                <w:rFonts w:hint="eastAsia" w:ascii="仿宋" w:hAnsi="仿宋" w:cs="仿宋"/>
                <w:bCs/>
                <w:snapToGrid w:val="0"/>
                <w:color w:val="auto"/>
                <w:szCs w:val="24"/>
                <w:highlight w:val="none"/>
                <w:lang w:val="en-US"/>
              </w:rPr>
              <w:t>选用低噪声设备、</w:t>
            </w:r>
            <w:r>
              <w:rPr>
                <w:rFonts w:hint="eastAsia" w:ascii="仿宋" w:hAnsi="仿宋" w:cs="仿宋"/>
                <w:bCs/>
                <w:snapToGrid w:val="0"/>
                <w:color w:val="auto"/>
                <w:szCs w:val="24"/>
                <w:highlight w:val="none"/>
                <w:lang w:val="en-US" w:eastAsia="zh-CN"/>
              </w:rPr>
              <w:t>设置隔声罩，</w:t>
            </w:r>
            <w:r>
              <w:rPr>
                <w:rFonts w:hint="eastAsia" w:ascii="仿宋" w:hAnsi="仿宋" w:cs="仿宋"/>
                <w:bCs/>
                <w:snapToGrid w:val="0"/>
                <w:color w:val="auto"/>
                <w:szCs w:val="24"/>
                <w:highlight w:val="none"/>
                <w:lang w:val="en-US"/>
              </w:rPr>
              <w:t>设备加装基座、基础减振、设绿化带</w:t>
            </w:r>
          </w:p>
        </w:tc>
        <w:tc>
          <w:tcPr>
            <w:tcW w:w="1276" w:type="dxa"/>
            <w:vAlign w:val="center"/>
          </w:tcPr>
          <w:p w14:paraId="502E5CA6">
            <w:pPr>
              <w:spacing w:line="240" w:lineRule="auto"/>
              <w:ind w:firstLine="0" w:firstLineChars="0"/>
              <w:jc w:val="center"/>
              <w:outlineLvl w:val="0"/>
              <w:rPr>
                <w:rFonts w:cs="仿宋"/>
                <w:b/>
                <w:snapToGrid w:val="0"/>
                <w:color w:val="auto"/>
                <w:sz w:val="24"/>
                <w:highlight w:val="yellow"/>
              </w:rPr>
            </w:pPr>
            <w:r>
              <w:rPr>
                <w:rFonts w:hint="eastAsia"/>
                <w:color w:val="auto"/>
                <w:kern w:val="0"/>
                <w:sz w:val="24"/>
                <w:lang w:bidi="ar"/>
              </w:rPr>
              <w:t>昼间</w:t>
            </w:r>
          </w:p>
        </w:tc>
      </w:tr>
    </w:tbl>
    <w:p w14:paraId="18100326">
      <w:pPr>
        <w:widowControl/>
        <w:spacing w:line="240" w:lineRule="auto"/>
        <w:ind w:firstLine="0" w:firstLineChars="0"/>
        <w:jc w:val="center"/>
        <w:rPr>
          <w:rFonts w:cs="仿宋"/>
          <w:b/>
          <w:bCs/>
          <w:color w:val="auto"/>
          <w:kern w:val="0"/>
          <w:sz w:val="24"/>
          <w:lang w:bidi="ar"/>
        </w:rPr>
      </w:pPr>
      <w:r>
        <w:rPr>
          <w:rFonts w:hint="eastAsia" w:cs="仿宋"/>
          <w:b/>
          <w:bCs/>
          <w:color w:val="auto"/>
          <w:kern w:val="0"/>
          <w:sz w:val="24"/>
          <w:lang w:bidi="ar"/>
        </w:rPr>
        <w:t>表4-11噪声源强调查清单（室内声源）</w:t>
      </w:r>
    </w:p>
    <w:tbl>
      <w:tblPr>
        <w:tblStyle w:val="31"/>
        <w:tblW w:w="14029" w:type="dxa"/>
        <w:tblInd w:w="-3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711"/>
        <w:gridCol w:w="550"/>
        <w:gridCol w:w="714"/>
        <w:gridCol w:w="387"/>
        <w:gridCol w:w="595"/>
        <w:gridCol w:w="504"/>
        <w:gridCol w:w="547"/>
        <w:gridCol w:w="505"/>
        <w:gridCol w:w="487"/>
        <w:gridCol w:w="463"/>
        <w:gridCol w:w="487"/>
        <w:gridCol w:w="500"/>
        <w:gridCol w:w="488"/>
        <w:gridCol w:w="500"/>
        <w:gridCol w:w="540"/>
        <w:gridCol w:w="700"/>
        <w:gridCol w:w="701"/>
        <w:gridCol w:w="371"/>
        <w:gridCol w:w="418"/>
        <w:gridCol w:w="450"/>
        <w:gridCol w:w="461"/>
        <w:gridCol w:w="621"/>
        <w:gridCol w:w="632"/>
        <w:gridCol w:w="643"/>
        <w:gridCol w:w="682"/>
      </w:tblGrid>
      <w:tr w14:paraId="1780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72" w:type="dxa"/>
            <w:vMerge w:val="restart"/>
            <w:vAlign w:val="center"/>
          </w:tcPr>
          <w:p w14:paraId="42BAE1BE">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序号</w:t>
            </w:r>
          </w:p>
        </w:tc>
        <w:tc>
          <w:tcPr>
            <w:tcW w:w="711" w:type="dxa"/>
            <w:vMerge w:val="restart"/>
            <w:vAlign w:val="center"/>
          </w:tcPr>
          <w:p w14:paraId="6B2049DA">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声源名称</w:t>
            </w:r>
          </w:p>
        </w:tc>
        <w:tc>
          <w:tcPr>
            <w:tcW w:w="1264" w:type="dxa"/>
            <w:gridSpan w:val="2"/>
            <w:vMerge w:val="restart"/>
            <w:vAlign w:val="center"/>
          </w:tcPr>
          <w:p w14:paraId="65386065">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声源源强</w:t>
            </w:r>
          </w:p>
        </w:tc>
        <w:tc>
          <w:tcPr>
            <w:tcW w:w="387" w:type="dxa"/>
            <w:vMerge w:val="restart"/>
            <w:vAlign w:val="center"/>
          </w:tcPr>
          <w:p w14:paraId="38B65078">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声源控制措施</w:t>
            </w:r>
          </w:p>
        </w:tc>
        <w:tc>
          <w:tcPr>
            <w:tcW w:w="1646" w:type="dxa"/>
            <w:gridSpan w:val="3"/>
            <w:vMerge w:val="restart"/>
            <w:vAlign w:val="center"/>
          </w:tcPr>
          <w:p w14:paraId="7759B10F">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空间相对位置/m</w:t>
            </w:r>
          </w:p>
        </w:tc>
        <w:tc>
          <w:tcPr>
            <w:tcW w:w="1942" w:type="dxa"/>
            <w:gridSpan w:val="4"/>
            <w:vMerge w:val="restart"/>
            <w:vAlign w:val="center"/>
          </w:tcPr>
          <w:p w14:paraId="5D67DA49">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距室内厂界距离/m</w:t>
            </w:r>
          </w:p>
        </w:tc>
        <w:tc>
          <w:tcPr>
            <w:tcW w:w="2028" w:type="dxa"/>
            <w:gridSpan w:val="4"/>
            <w:vMerge w:val="restart"/>
            <w:vAlign w:val="center"/>
          </w:tcPr>
          <w:p w14:paraId="1F690A4A">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室内厂界声级/dB（A）</w:t>
            </w:r>
          </w:p>
        </w:tc>
        <w:tc>
          <w:tcPr>
            <w:tcW w:w="700" w:type="dxa"/>
            <w:vMerge w:val="restart"/>
            <w:vAlign w:val="center"/>
          </w:tcPr>
          <w:p w14:paraId="7451BE91">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运行时段</w:t>
            </w:r>
          </w:p>
        </w:tc>
        <w:tc>
          <w:tcPr>
            <w:tcW w:w="701" w:type="dxa"/>
            <w:vMerge w:val="restart"/>
            <w:vAlign w:val="center"/>
          </w:tcPr>
          <w:p w14:paraId="7FBEDCBC">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建筑物插入损失/dB（A）</w:t>
            </w:r>
          </w:p>
        </w:tc>
        <w:tc>
          <w:tcPr>
            <w:tcW w:w="4278" w:type="dxa"/>
            <w:gridSpan w:val="8"/>
            <w:vAlign w:val="center"/>
          </w:tcPr>
          <w:p w14:paraId="7FDA4468">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建筑物外噪声</w:t>
            </w:r>
          </w:p>
        </w:tc>
      </w:tr>
      <w:tr w14:paraId="2FA4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72" w:type="dxa"/>
            <w:vMerge w:val="continue"/>
            <w:vAlign w:val="center"/>
          </w:tcPr>
          <w:p w14:paraId="2F12CA9E">
            <w:pPr>
              <w:pStyle w:val="27"/>
              <w:spacing w:before="0" w:beforeAutospacing="0" w:after="0" w:afterAutospacing="0" w:line="240" w:lineRule="auto"/>
              <w:ind w:firstLine="0" w:firstLineChars="0"/>
              <w:outlineLvl w:val="0"/>
              <w:rPr>
                <w:rFonts w:hint="default" w:ascii="Times New Roman" w:hAnsi="Times New Roman" w:cs="Times New Roman"/>
                <w:i/>
                <w:iCs/>
                <w:color w:val="auto"/>
                <w:sz w:val="24"/>
                <w:szCs w:val="24"/>
              </w:rPr>
            </w:pPr>
          </w:p>
        </w:tc>
        <w:tc>
          <w:tcPr>
            <w:tcW w:w="711" w:type="dxa"/>
            <w:vMerge w:val="continue"/>
            <w:vAlign w:val="center"/>
          </w:tcPr>
          <w:p w14:paraId="6512BB0C">
            <w:pPr>
              <w:pStyle w:val="27"/>
              <w:spacing w:before="0" w:beforeAutospacing="0" w:after="0" w:afterAutospacing="0" w:line="240" w:lineRule="auto"/>
              <w:ind w:firstLine="0" w:firstLineChars="0"/>
              <w:outlineLvl w:val="0"/>
              <w:rPr>
                <w:rFonts w:hint="default" w:ascii="Times New Roman" w:hAnsi="Times New Roman" w:cs="Times New Roman"/>
                <w:i/>
                <w:iCs/>
                <w:color w:val="auto"/>
                <w:sz w:val="24"/>
                <w:szCs w:val="24"/>
              </w:rPr>
            </w:pPr>
          </w:p>
        </w:tc>
        <w:tc>
          <w:tcPr>
            <w:tcW w:w="1264" w:type="dxa"/>
            <w:gridSpan w:val="2"/>
            <w:vMerge w:val="continue"/>
            <w:vAlign w:val="center"/>
          </w:tcPr>
          <w:p w14:paraId="2CF8ABAC">
            <w:pPr>
              <w:pStyle w:val="27"/>
              <w:spacing w:before="0" w:beforeAutospacing="0" w:after="0" w:afterAutospacing="0" w:line="240" w:lineRule="auto"/>
              <w:ind w:firstLine="0" w:firstLineChars="0"/>
              <w:outlineLvl w:val="0"/>
              <w:rPr>
                <w:rFonts w:hint="default" w:ascii="Times New Roman" w:hAnsi="Times New Roman" w:cs="Times New Roman"/>
                <w:i/>
                <w:iCs/>
                <w:color w:val="auto"/>
                <w:sz w:val="24"/>
                <w:szCs w:val="24"/>
              </w:rPr>
            </w:pPr>
          </w:p>
        </w:tc>
        <w:tc>
          <w:tcPr>
            <w:tcW w:w="387" w:type="dxa"/>
            <w:vMerge w:val="continue"/>
            <w:vAlign w:val="center"/>
          </w:tcPr>
          <w:p w14:paraId="329AC832">
            <w:pPr>
              <w:pStyle w:val="27"/>
              <w:spacing w:before="0" w:beforeAutospacing="0" w:after="0" w:afterAutospacing="0" w:line="240" w:lineRule="auto"/>
              <w:ind w:firstLine="0" w:firstLineChars="0"/>
              <w:outlineLvl w:val="0"/>
              <w:rPr>
                <w:rFonts w:hint="default" w:ascii="Times New Roman" w:hAnsi="Times New Roman" w:cs="Times New Roman"/>
                <w:i/>
                <w:iCs/>
                <w:color w:val="auto"/>
                <w:sz w:val="24"/>
                <w:szCs w:val="24"/>
              </w:rPr>
            </w:pPr>
          </w:p>
        </w:tc>
        <w:tc>
          <w:tcPr>
            <w:tcW w:w="1646" w:type="dxa"/>
            <w:gridSpan w:val="3"/>
            <w:vMerge w:val="continue"/>
            <w:vAlign w:val="center"/>
          </w:tcPr>
          <w:p w14:paraId="45B40F7E">
            <w:pPr>
              <w:pStyle w:val="27"/>
              <w:spacing w:before="0" w:beforeAutospacing="0" w:after="0" w:afterAutospacing="0" w:line="240" w:lineRule="auto"/>
              <w:ind w:firstLine="0" w:firstLineChars="0"/>
              <w:outlineLvl w:val="0"/>
              <w:rPr>
                <w:rFonts w:hint="default" w:ascii="Times New Roman" w:hAnsi="Times New Roman" w:cs="Times New Roman"/>
                <w:i/>
                <w:iCs/>
                <w:color w:val="auto"/>
                <w:sz w:val="24"/>
                <w:szCs w:val="24"/>
              </w:rPr>
            </w:pPr>
          </w:p>
        </w:tc>
        <w:tc>
          <w:tcPr>
            <w:tcW w:w="1942" w:type="dxa"/>
            <w:gridSpan w:val="4"/>
            <w:vMerge w:val="continue"/>
            <w:vAlign w:val="center"/>
          </w:tcPr>
          <w:p w14:paraId="496B9DE4">
            <w:pPr>
              <w:pStyle w:val="27"/>
              <w:spacing w:before="0" w:beforeAutospacing="0" w:after="0" w:afterAutospacing="0" w:line="240" w:lineRule="auto"/>
              <w:ind w:firstLine="0" w:firstLineChars="0"/>
              <w:outlineLvl w:val="0"/>
              <w:rPr>
                <w:rFonts w:hint="default" w:ascii="Times New Roman" w:hAnsi="Times New Roman" w:cs="Times New Roman"/>
                <w:i/>
                <w:iCs/>
                <w:color w:val="auto"/>
                <w:sz w:val="24"/>
                <w:szCs w:val="24"/>
              </w:rPr>
            </w:pPr>
          </w:p>
        </w:tc>
        <w:tc>
          <w:tcPr>
            <w:tcW w:w="2028" w:type="dxa"/>
            <w:gridSpan w:val="4"/>
            <w:vMerge w:val="continue"/>
            <w:vAlign w:val="center"/>
          </w:tcPr>
          <w:p w14:paraId="5EAAF3F9">
            <w:pPr>
              <w:pStyle w:val="27"/>
              <w:spacing w:before="0" w:beforeAutospacing="0" w:after="0" w:afterAutospacing="0" w:line="240" w:lineRule="auto"/>
              <w:ind w:firstLine="0" w:firstLineChars="0"/>
              <w:outlineLvl w:val="0"/>
              <w:rPr>
                <w:rFonts w:hint="default" w:ascii="Times New Roman" w:hAnsi="Times New Roman" w:cs="Times New Roman"/>
                <w:i/>
                <w:iCs/>
                <w:color w:val="auto"/>
                <w:sz w:val="24"/>
                <w:szCs w:val="24"/>
              </w:rPr>
            </w:pPr>
          </w:p>
        </w:tc>
        <w:tc>
          <w:tcPr>
            <w:tcW w:w="700" w:type="dxa"/>
            <w:vMerge w:val="continue"/>
            <w:vAlign w:val="center"/>
          </w:tcPr>
          <w:p w14:paraId="5B0297A5">
            <w:pPr>
              <w:pStyle w:val="27"/>
              <w:spacing w:before="0" w:beforeAutospacing="0" w:after="0" w:afterAutospacing="0" w:line="240" w:lineRule="auto"/>
              <w:ind w:firstLine="0" w:firstLineChars="0"/>
              <w:outlineLvl w:val="0"/>
              <w:rPr>
                <w:rFonts w:hint="default" w:ascii="Times New Roman" w:hAnsi="Times New Roman" w:cs="Times New Roman"/>
                <w:i/>
                <w:iCs/>
                <w:color w:val="auto"/>
                <w:sz w:val="24"/>
                <w:szCs w:val="24"/>
              </w:rPr>
            </w:pPr>
          </w:p>
        </w:tc>
        <w:tc>
          <w:tcPr>
            <w:tcW w:w="701" w:type="dxa"/>
            <w:vMerge w:val="continue"/>
            <w:vAlign w:val="center"/>
          </w:tcPr>
          <w:p w14:paraId="7BCFFBF4">
            <w:pPr>
              <w:pStyle w:val="27"/>
              <w:spacing w:before="0" w:beforeAutospacing="0" w:after="0" w:afterAutospacing="0" w:line="240" w:lineRule="auto"/>
              <w:ind w:firstLine="0" w:firstLineChars="0"/>
              <w:outlineLvl w:val="0"/>
              <w:rPr>
                <w:rFonts w:hint="default" w:ascii="Times New Roman" w:hAnsi="Times New Roman" w:cs="Times New Roman"/>
                <w:i/>
                <w:iCs/>
                <w:color w:val="auto"/>
                <w:sz w:val="24"/>
                <w:szCs w:val="24"/>
              </w:rPr>
            </w:pPr>
          </w:p>
        </w:tc>
        <w:tc>
          <w:tcPr>
            <w:tcW w:w="1700" w:type="dxa"/>
            <w:gridSpan w:val="4"/>
            <w:vAlign w:val="center"/>
          </w:tcPr>
          <w:p w14:paraId="67C8931E">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建筑物外距离/m</w:t>
            </w:r>
          </w:p>
        </w:tc>
        <w:tc>
          <w:tcPr>
            <w:tcW w:w="2578" w:type="dxa"/>
            <w:gridSpan w:val="4"/>
            <w:vAlign w:val="center"/>
          </w:tcPr>
          <w:p w14:paraId="16C8E0E6">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声压级/dB（A）</w:t>
            </w:r>
          </w:p>
        </w:tc>
      </w:tr>
      <w:tr w14:paraId="39CB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372" w:type="dxa"/>
            <w:vMerge w:val="continue"/>
            <w:vAlign w:val="center"/>
          </w:tcPr>
          <w:p w14:paraId="5698DA11">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711" w:type="dxa"/>
            <w:vMerge w:val="continue"/>
            <w:vAlign w:val="center"/>
          </w:tcPr>
          <w:p w14:paraId="630FAE20">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50" w:type="dxa"/>
            <w:vAlign w:val="center"/>
          </w:tcPr>
          <w:p w14:paraId="55DCDFEE">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距声源距离/m</w:t>
            </w:r>
          </w:p>
        </w:tc>
        <w:tc>
          <w:tcPr>
            <w:tcW w:w="714" w:type="dxa"/>
            <w:vAlign w:val="center"/>
          </w:tcPr>
          <w:p w14:paraId="3A41B639">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声压级/dB（A）</w:t>
            </w:r>
          </w:p>
        </w:tc>
        <w:tc>
          <w:tcPr>
            <w:tcW w:w="387" w:type="dxa"/>
            <w:vMerge w:val="continue"/>
            <w:vAlign w:val="center"/>
          </w:tcPr>
          <w:p w14:paraId="2086921C">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95" w:type="dxa"/>
            <w:vAlign w:val="center"/>
          </w:tcPr>
          <w:p w14:paraId="49111741">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X</w:t>
            </w:r>
          </w:p>
        </w:tc>
        <w:tc>
          <w:tcPr>
            <w:tcW w:w="504" w:type="dxa"/>
            <w:vAlign w:val="center"/>
          </w:tcPr>
          <w:p w14:paraId="2C9D7869">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Y</w:t>
            </w:r>
          </w:p>
        </w:tc>
        <w:tc>
          <w:tcPr>
            <w:tcW w:w="547" w:type="dxa"/>
            <w:vAlign w:val="center"/>
          </w:tcPr>
          <w:p w14:paraId="783BBD9C">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Z</w:t>
            </w:r>
          </w:p>
        </w:tc>
        <w:tc>
          <w:tcPr>
            <w:tcW w:w="505" w:type="dxa"/>
            <w:vAlign w:val="center"/>
          </w:tcPr>
          <w:p w14:paraId="5CC4CB5F">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东</w:t>
            </w:r>
          </w:p>
        </w:tc>
        <w:tc>
          <w:tcPr>
            <w:tcW w:w="487" w:type="dxa"/>
            <w:vAlign w:val="center"/>
          </w:tcPr>
          <w:p w14:paraId="210873B1">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南</w:t>
            </w:r>
          </w:p>
        </w:tc>
        <w:tc>
          <w:tcPr>
            <w:tcW w:w="463" w:type="dxa"/>
            <w:vAlign w:val="center"/>
          </w:tcPr>
          <w:p w14:paraId="7E3AF552">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西</w:t>
            </w:r>
          </w:p>
        </w:tc>
        <w:tc>
          <w:tcPr>
            <w:tcW w:w="487" w:type="dxa"/>
            <w:vAlign w:val="center"/>
          </w:tcPr>
          <w:p w14:paraId="7AB31AD7">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北</w:t>
            </w:r>
          </w:p>
        </w:tc>
        <w:tc>
          <w:tcPr>
            <w:tcW w:w="500" w:type="dxa"/>
            <w:vAlign w:val="center"/>
          </w:tcPr>
          <w:p w14:paraId="30019235">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东</w:t>
            </w:r>
          </w:p>
        </w:tc>
        <w:tc>
          <w:tcPr>
            <w:tcW w:w="488" w:type="dxa"/>
            <w:vAlign w:val="center"/>
          </w:tcPr>
          <w:p w14:paraId="7A9DDEA4">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南</w:t>
            </w:r>
          </w:p>
        </w:tc>
        <w:tc>
          <w:tcPr>
            <w:tcW w:w="500" w:type="dxa"/>
            <w:vAlign w:val="center"/>
          </w:tcPr>
          <w:p w14:paraId="1AC1C90B">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西</w:t>
            </w:r>
          </w:p>
        </w:tc>
        <w:tc>
          <w:tcPr>
            <w:tcW w:w="540" w:type="dxa"/>
            <w:vAlign w:val="center"/>
          </w:tcPr>
          <w:p w14:paraId="10301D11">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北</w:t>
            </w:r>
          </w:p>
        </w:tc>
        <w:tc>
          <w:tcPr>
            <w:tcW w:w="700" w:type="dxa"/>
            <w:vMerge w:val="continue"/>
            <w:vAlign w:val="center"/>
          </w:tcPr>
          <w:p w14:paraId="3E7A7EE7">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701" w:type="dxa"/>
            <w:vMerge w:val="continue"/>
            <w:vAlign w:val="center"/>
          </w:tcPr>
          <w:p w14:paraId="59E02664">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371" w:type="dxa"/>
            <w:vAlign w:val="center"/>
          </w:tcPr>
          <w:p w14:paraId="41CEED6E">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东</w:t>
            </w:r>
          </w:p>
        </w:tc>
        <w:tc>
          <w:tcPr>
            <w:tcW w:w="418" w:type="dxa"/>
            <w:vAlign w:val="center"/>
          </w:tcPr>
          <w:p w14:paraId="0B983FA6">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南</w:t>
            </w:r>
          </w:p>
        </w:tc>
        <w:tc>
          <w:tcPr>
            <w:tcW w:w="450" w:type="dxa"/>
            <w:vAlign w:val="center"/>
          </w:tcPr>
          <w:p w14:paraId="231F530E">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西</w:t>
            </w:r>
          </w:p>
        </w:tc>
        <w:tc>
          <w:tcPr>
            <w:tcW w:w="461" w:type="dxa"/>
            <w:vAlign w:val="center"/>
          </w:tcPr>
          <w:p w14:paraId="3229B7B8">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北</w:t>
            </w:r>
          </w:p>
        </w:tc>
        <w:tc>
          <w:tcPr>
            <w:tcW w:w="621" w:type="dxa"/>
            <w:vAlign w:val="center"/>
          </w:tcPr>
          <w:p w14:paraId="0CC1C76F">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东</w:t>
            </w:r>
          </w:p>
        </w:tc>
        <w:tc>
          <w:tcPr>
            <w:tcW w:w="632" w:type="dxa"/>
            <w:vAlign w:val="center"/>
          </w:tcPr>
          <w:p w14:paraId="4CE9344C">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南</w:t>
            </w:r>
          </w:p>
        </w:tc>
        <w:tc>
          <w:tcPr>
            <w:tcW w:w="643" w:type="dxa"/>
            <w:vAlign w:val="center"/>
          </w:tcPr>
          <w:p w14:paraId="65E6DDBA">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西</w:t>
            </w:r>
          </w:p>
        </w:tc>
        <w:tc>
          <w:tcPr>
            <w:tcW w:w="682" w:type="dxa"/>
            <w:vAlign w:val="center"/>
          </w:tcPr>
          <w:p w14:paraId="095F57C6">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北</w:t>
            </w:r>
          </w:p>
        </w:tc>
      </w:tr>
      <w:tr w14:paraId="25D9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09B6188A">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rPr>
            </w:pPr>
          </w:p>
        </w:tc>
        <w:tc>
          <w:tcPr>
            <w:tcW w:w="711" w:type="dxa"/>
            <w:vAlign w:val="center"/>
          </w:tcPr>
          <w:p w14:paraId="34BA576E">
            <w:pPr>
              <w:widowControl/>
              <w:spacing w:line="240" w:lineRule="auto"/>
              <w:ind w:firstLine="0" w:firstLineChars="0"/>
              <w:jc w:val="left"/>
              <w:textAlignment w:val="center"/>
              <w:rPr>
                <w:rFonts w:hint="default" w:ascii="Times New Roman" w:hAnsi="Times New Roman" w:eastAsia="仿宋" w:cs="Times New Roman"/>
                <w:bCs/>
                <w:i/>
                <w:iCs/>
                <w:snapToGrid w:val="0"/>
                <w:color w:val="auto"/>
                <w:sz w:val="24"/>
                <w:szCs w:val="24"/>
                <w:lang w:eastAsia="zh-CN"/>
              </w:rPr>
            </w:pPr>
            <w:r>
              <w:rPr>
                <w:rFonts w:hint="default" w:ascii="Times New Roman" w:hAnsi="Times New Roman" w:cs="Times New Roman"/>
                <w:bCs/>
                <w:i/>
                <w:iCs/>
                <w:snapToGrid w:val="0"/>
                <w:color w:val="auto"/>
                <w:sz w:val="24"/>
                <w:szCs w:val="24"/>
                <w:lang w:eastAsia="zh-CN"/>
              </w:rPr>
              <w:t>大机裁</w:t>
            </w:r>
          </w:p>
        </w:tc>
        <w:tc>
          <w:tcPr>
            <w:tcW w:w="550" w:type="dxa"/>
            <w:vAlign w:val="center"/>
          </w:tcPr>
          <w:p w14:paraId="5A27B06E">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lang w:val="en-US"/>
              </w:rPr>
            </w:pPr>
            <w:r>
              <w:rPr>
                <w:rFonts w:hint="default" w:ascii="Times New Roman" w:hAnsi="Times New Roman" w:cs="Times New Roman"/>
                <w:bCs/>
                <w:i/>
                <w:iCs/>
                <w:snapToGrid w:val="0"/>
                <w:color w:val="auto"/>
                <w:sz w:val="24"/>
                <w:szCs w:val="24"/>
                <w:lang w:val="en-US"/>
              </w:rPr>
              <w:t>1</w:t>
            </w:r>
          </w:p>
        </w:tc>
        <w:tc>
          <w:tcPr>
            <w:tcW w:w="714" w:type="dxa"/>
            <w:vAlign w:val="center"/>
          </w:tcPr>
          <w:p w14:paraId="0BB7CC12">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lang w:val="en-US"/>
              </w:rPr>
            </w:pPr>
            <w:r>
              <w:rPr>
                <w:rFonts w:hint="default" w:ascii="Times New Roman" w:hAnsi="Times New Roman" w:cs="Times New Roman"/>
                <w:bCs/>
                <w:i/>
                <w:iCs/>
                <w:snapToGrid w:val="0"/>
                <w:color w:val="auto"/>
                <w:sz w:val="24"/>
                <w:szCs w:val="24"/>
                <w:lang w:val="en-US"/>
              </w:rPr>
              <w:t>80</w:t>
            </w:r>
          </w:p>
        </w:tc>
        <w:tc>
          <w:tcPr>
            <w:tcW w:w="387" w:type="dxa"/>
            <w:vMerge w:val="restart"/>
            <w:vAlign w:val="center"/>
          </w:tcPr>
          <w:p w14:paraId="66B16BFF">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r>
              <w:rPr>
                <w:rFonts w:hint="default" w:ascii="Times New Roman" w:hAnsi="Times New Roman" w:cs="Times New Roman"/>
                <w:bCs/>
                <w:i/>
                <w:iCs/>
                <w:snapToGrid w:val="0"/>
                <w:color w:val="auto"/>
                <w:sz w:val="24"/>
                <w:szCs w:val="24"/>
              </w:rPr>
              <w:t>低噪声设备，基础减振、柔性连接，建筑隔声，加强设备维保</w:t>
            </w:r>
          </w:p>
        </w:tc>
        <w:tc>
          <w:tcPr>
            <w:tcW w:w="595" w:type="dxa"/>
            <w:vAlign w:val="center"/>
          </w:tcPr>
          <w:p w14:paraId="5E711C33">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-6</w:t>
            </w:r>
          </w:p>
        </w:tc>
        <w:tc>
          <w:tcPr>
            <w:tcW w:w="504" w:type="dxa"/>
            <w:vAlign w:val="center"/>
          </w:tcPr>
          <w:p w14:paraId="17FD5DBC">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13</w:t>
            </w:r>
          </w:p>
        </w:tc>
        <w:tc>
          <w:tcPr>
            <w:tcW w:w="547" w:type="dxa"/>
            <w:vAlign w:val="center"/>
          </w:tcPr>
          <w:p w14:paraId="6A5A2C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8</w:t>
            </w:r>
          </w:p>
        </w:tc>
        <w:tc>
          <w:tcPr>
            <w:tcW w:w="505" w:type="dxa"/>
            <w:vAlign w:val="bottom"/>
          </w:tcPr>
          <w:p w14:paraId="2E6A85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45.7 </w:t>
            </w:r>
          </w:p>
        </w:tc>
        <w:tc>
          <w:tcPr>
            <w:tcW w:w="487" w:type="dxa"/>
            <w:vAlign w:val="bottom"/>
          </w:tcPr>
          <w:p w14:paraId="2ED05A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28.2 </w:t>
            </w:r>
          </w:p>
        </w:tc>
        <w:tc>
          <w:tcPr>
            <w:tcW w:w="463" w:type="dxa"/>
            <w:vAlign w:val="bottom"/>
          </w:tcPr>
          <w:p w14:paraId="70E3DD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35.9 </w:t>
            </w:r>
          </w:p>
        </w:tc>
        <w:tc>
          <w:tcPr>
            <w:tcW w:w="487" w:type="dxa"/>
            <w:vAlign w:val="bottom"/>
          </w:tcPr>
          <w:p w14:paraId="710BCB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8.5 </w:t>
            </w:r>
          </w:p>
        </w:tc>
        <w:tc>
          <w:tcPr>
            <w:tcW w:w="500" w:type="dxa"/>
            <w:vAlign w:val="center"/>
          </w:tcPr>
          <w:p w14:paraId="228E4A0A">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47 </w:t>
            </w:r>
          </w:p>
        </w:tc>
        <w:tc>
          <w:tcPr>
            <w:tcW w:w="488" w:type="dxa"/>
            <w:vAlign w:val="center"/>
          </w:tcPr>
          <w:p w14:paraId="11EF2BFA">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51 </w:t>
            </w:r>
          </w:p>
        </w:tc>
        <w:tc>
          <w:tcPr>
            <w:tcW w:w="500" w:type="dxa"/>
            <w:vAlign w:val="center"/>
          </w:tcPr>
          <w:p w14:paraId="1EDAAA71">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49 </w:t>
            </w:r>
          </w:p>
        </w:tc>
        <w:tc>
          <w:tcPr>
            <w:tcW w:w="540" w:type="dxa"/>
            <w:vAlign w:val="center"/>
          </w:tcPr>
          <w:p w14:paraId="67C1EEF2">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61 </w:t>
            </w:r>
          </w:p>
        </w:tc>
        <w:tc>
          <w:tcPr>
            <w:tcW w:w="700" w:type="dxa"/>
            <w:vMerge w:val="restart"/>
            <w:vAlign w:val="center"/>
          </w:tcPr>
          <w:p w14:paraId="69BB1800">
            <w:pPr>
              <w:spacing w:line="240" w:lineRule="auto"/>
              <w:ind w:firstLine="0" w:firstLineChars="0"/>
              <w:jc w:val="left"/>
              <w:outlineLvl w:val="0"/>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昼间</w:t>
            </w:r>
          </w:p>
        </w:tc>
        <w:tc>
          <w:tcPr>
            <w:tcW w:w="701" w:type="dxa"/>
            <w:vMerge w:val="restart"/>
            <w:vAlign w:val="center"/>
          </w:tcPr>
          <w:p w14:paraId="6CE06201">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lang w:val="en-US"/>
              </w:rPr>
            </w:pPr>
            <w:r>
              <w:rPr>
                <w:rFonts w:hint="default" w:ascii="Times New Roman" w:hAnsi="Times New Roman" w:cs="Times New Roman"/>
                <w:bCs/>
                <w:i/>
                <w:iCs/>
                <w:snapToGrid w:val="0"/>
                <w:color w:val="auto"/>
                <w:sz w:val="24"/>
                <w:szCs w:val="24"/>
                <w:lang w:val="en-US"/>
              </w:rPr>
              <w:t>15</w:t>
            </w:r>
          </w:p>
          <w:p w14:paraId="59DA8E53">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lang w:val="en-US"/>
              </w:rPr>
            </w:pPr>
          </w:p>
        </w:tc>
        <w:tc>
          <w:tcPr>
            <w:tcW w:w="371" w:type="dxa"/>
            <w:vAlign w:val="center"/>
          </w:tcPr>
          <w:p w14:paraId="110256AB">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561ACD1A">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33DB4B12">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7B714A01">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1FA2FE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26 </w:t>
            </w:r>
          </w:p>
        </w:tc>
        <w:tc>
          <w:tcPr>
            <w:tcW w:w="632" w:type="dxa"/>
            <w:vAlign w:val="center"/>
          </w:tcPr>
          <w:p w14:paraId="0D5A61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30 </w:t>
            </w:r>
          </w:p>
        </w:tc>
        <w:tc>
          <w:tcPr>
            <w:tcW w:w="643" w:type="dxa"/>
            <w:vAlign w:val="center"/>
          </w:tcPr>
          <w:p w14:paraId="4FAA90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28 </w:t>
            </w:r>
          </w:p>
        </w:tc>
        <w:tc>
          <w:tcPr>
            <w:tcW w:w="682" w:type="dxa"/>
            <w:vAlign w:val="center"/>
          </w:tcPr>
          <w:p w14:paraId="2E90FF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40 </w:t>
            </w:r>
          </w:p>
        </w:tc>
      </w:tr>
      <w:tr w14:paraId="7BCD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6247D286">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rPr>
            </w:pPr>
          </w:p>
        </w:tc>
        <w:tc>
          <w:tcPr>
            <w:tcW w:w="711" w:type="dxa"/>
            <w:vAlign w:val="center"/>
          </w:tcPr>
          <w:p w14:paraId="36EBBC39">
            <w:pPr>
              <w:widowControl/>
              <w:spacing w:line="240" w:lineRule="auto"/>
              <w:ind w:firstLine="0" w:firstLineChars="0"/>
              <w:jc w:val="left"/>
              <w:textAlignment w:val="center"/>
              <w:rPr>
                <w:rFonts w:hint="default" w:ascii="Times New Roman" w:hAnsi="Times New Roman" w:eastAsia="仿宋" w:cs="Times New Roman"/>
                <w:bCs/>
                <w:i/>
                <w:iCs/>
                <w:snapToGrid w:val="0"/>
                <w:color w:val="auto"/>
                <w:sz w:val="24"/>
                <w:szCs w:val="24"/>
                <w:lang w:eastAsia="zh-CN"/>
              </w:rPr>
            </w:pPr>
            <w:r>
              <w:rPr>
                <w:rFonts w:hint="default" w:ascii="Times New Roman" w:hAnsi="Times New Roman" w:cs="Times New Roman"/>
                <w:bCs/>
                <w:i/>
                <w:iCs/>
                <w:snapToGrid w:val="0"/>
                <w:color w:val="auto"/>
                <w:sz w:val="24"/>
                <w:szCs w:val="24"/>
                <w:lang w:eastAsia="zh-CN"/>
              </w:rPr>
              <w:t>小机裁</w:t>
            </w:r>
          </w:p>
        </w:tc>
        <w:tc>
          <w:tcPr>
            <w:tcW w:w="550" w:type="dxa"/>
            <w:vAlign w:val="center"/>
          </w:tcPr>
          <w:p w14:paraId="06CFAA33">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lang w:val="en-US"/>
              </w:rPr>
              <w:t>1</w:t>
            </w:r>
          </w:p>
        </w:tc>
        <w:tc>
          <w:tcPr>
            <w:tcW w:w="714" w:type="dxa"/>
            <w:vAlign w:val="center"/>
          </w:tcPr>
          <w:p w14:paraId="46F4928D">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bCs/>
                <w:i/>
                <w:iCs/>
                <w:snapToGrid w:val="0"/>
                <w:color w:val="auto"/>
                <w:sz w:val="24"/>
                <w:szCs w:val="24"/>
              </w:rPr>
              <w:t>80</w:t>
            </w:r>
          </w:p>
        </w:tc>
        <w:tc>
          <w:tcPr>
            <w:tcW w:w="387" w:type="dxa"/>
            <w:vMerge w:val="continue"/>
            <w:vAlign w:val="center"/>
          </w:tcPr>
          <w:p w14:paraId="77ECD1D0">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95" w:type="dxa"/>
            <w:vAlign w:val="center"/>
          </w:tcPr>
          <w:p w14:paraId="35619962">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2</w:t>
            </w:r>
          </w:p>
        </w:tc>
        <w:tc>
          <w:tcPr>
            <w:tcW w:w="504" w:type="dxa"/>
            <w:vAlign w:val="center"/>
          </w:tcPr>
          <w:p w14:paraId="7C7975B5">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13</w:t>
            </w:r>
          </w:p>
        </w:tc>
        <w:tc>
          <w:tcPr>
            <w:tcW w:w="547" w:type="dxa"/>
            <w:vAlign w:val="center"/>
          </w:tcPr>
          <w:p w14:paraId="39CDF3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8</w:t>
            </w:r>
          </w:p>
        </w:tc>
        <w:tc>
          <w:tcPr>
            <w:tcW w:w="505" w:type="dxa"/>
            <w:vAlign w:val="bottom"/>
          </w:tcPr>
          <w:p w14:paraId="3675DF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38.8 </w:t>
            </w:r>
          </w:p>
        </w:tc>
        <w:tc>
          <w:tcPr>
            <w:tcW w:w="487" w:type="dxa"/>
            <w:vAlign w:val="bottom"/>
          </w:tcPr>
          <w:p w14:paraId="0ED41E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28.2 </w:t>
            </w:r>
          </w:p>
        </w:tc>
        <w:tc>
          <w:tcPr>
            <w:tcW w:w="463" w:type="dxa"/>
            <w:vAlign w:val="bottom"/>
          </w:tcPr>
          <w:p w14:paraId="587F59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42.8 </w:t>
            </w:r>
          </w:p>
        </w:tc>
        <w:tc>
          <w:tcPr>
            <w:tcW w:w="487" w:type="dxa"/>
            <w:vAlign w:val="bottom"/>
          </w:tcPr>
          <w:p w14:paraId="28C64F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8.5 </w:t>
            </w:r>
          </w:p>
        </w:tc>
        <w:tc>
          <w:tcPr>
            <w:tcW w:w="500" w:type="dxa"/>
            <w:vAlign w:val="center"/>
          </w:tcPr>
          <w:p w14:paraId="6CE50BED">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48 </w:t>
            </w:r>
          </w:p>
        </w:tc>
        <w:tc>
          <w:tcPr>
            <w:tcW w:w="488" w:type="dxa"/>
            <w:vAlign w:val="center"/>
          </w:tcPr>
          <w:p w14:paraId="39D8B941">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51 </w:t>
            </w:r>
          </w:p>
        </w:tc>
        <w:tc>
          <w:tcPr>
            <w:tcW w:w="500" w:type="dxa"/>
            <w:vAlign w:val="center"/>
          </w:tcPr>
          <w:p w14:paraId="785FFA0A">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47 </w:t>
            </w:r>
          </w:p>
        </w:tc>
        <w:tc>
          <w:tcPr>
            <w:tcW w:w="540" w:type="dxa"/>
            <w:vAlign w:val="center"/>
          </w:tcPr>
          <w:p w14:paraId="54BD89AF">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61 </w:t>
            </w:r>
          </w:p>
        </w:tc>
        <w:tc>
          <w:tcPr>
            <w:tcW w:w="700" w:type="dxa"/>
            <w:vMerge w:val="continue"/>
            <w:vAlign w:val="center"/>
          </w:tcPr>
          <w:p w14:paraId="7AF92B6E">
            <w:pPr>
              <w:spacing w:line="240" w:lineRule="auto"/>
              <w:ind w:firstLine="0" w:firstLineChars="0"/>
              <w:jc w:val="left"/>
              <w:outlineLvl w:val="0"/>
              <w:rPr>
                <w:rFonts w:hint="default" w:ascii="Times New Roman" w:hAnsi="Times New Roman" w:cs="Times New Roman"/>
                <w:bCs/>
                <w:i/>
                <w:iCs/>
                <w:snapToGrid w:val="0"/>
                <w:color w:val="auto"/>
                <w:sz w:val="24"/>
                <w:szCs w:val="24"/>
              </w:rPr>
            </w:pPr>
          </w:p>
        </w:tc>
        <w:tc>
          <w:tcPr>
            <w:tcW w:w="701" w:type="dxa"/>
            <w:vMerge w:val="continue"/>
            <w:vAlign w:val="center"/>
          </w:tcPr>
          <w:p w14:paraId="241107B8">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57BD6E55">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600565C9">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5874ECD1">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6938BC20">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152EAE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27 </w:t>
            </w:r>
          </w:p>
        </w:tc>
        <w:tc>
          <w:tcPr>
            <w:tcW w:w="632" w:type="dxa"/>
            <w:vAlign w:val="center"/>
          </w:tcPr>
          <w:p w14:paraId="77B5C6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30 </w:t>
            </w:r>
          </w:p>
        </w:tc>
        <w:tc>
          <w:tcPr>
            <w:tcW w:w="643" w:type="dxa"/>
            <w:vAlign w:val="center"/>
          </w:tcPr>
          <w:p w14:paraId="1595E8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26 </w:t>
            </w:r>
          </w:p>
        </w:tc>
        <w:tc>
          <w:tcPr>
            <w:tcW w:w="682" w:type="dxa"/>
            <w:vAlign w:val="center"/>
          </w:tcPr>
          <w:p w14:paraId="6E883B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40 </w:t>
            </w:r>
          </w:p>
        </w:tc>
      </w:tr>
      <w:tr w14:paraId="2336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05EB9C6E">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rPr>
            </w:pPr>
          </w:p>
        </w:tc>
        <w:tc>
          <w:tcPr>
            <w:tcW w:w="711" w:type="dxa"/>
            <w:vAlign w:val="center"/>
          </w:tcPr>
          <w:p w14:paraId="2BF26378">
            <w:pPr>
              <w:widowControl/>
              <w:spacing w:line="240" w:lineRule="auto"/>
              <w:ind w:firstLine="0" w:firstLineChars="0"/>
              <w:jc w:val="left"/>
              <w:textAlignment w:val="center"/>
              <w:rPr>
                <w:rFonts w:hint="default" w:ascii="Times New Roman" w:hAnsi="Times New Roman" w:cs="Times New Roman"/>
                <w:i/>
                <w:iCs/>
                <w:color w:val="auto"/>
                <w:kern w:val="0"/>
                <w:sz w:val="24"/>
                <w:szCs w:val="24"/>
                <w:lang w:bidi="ar"/>
              </w:rPr>
            </w:pPr>
            <w:r>
              <w:rPr>
                <w:rFonts w:hint="default" w:ascii="Times New Roman" w:hAnsi="Times New Roman" w:cs="Times New Roman"/>
                <w:bCs/>
                <w:i/>
                <w:iCs/>
                <w:snapToGrid w:val="0"/>
                <w:color w:val="auto"/>
                <w:sz w:val="24"/>
                <w:szCs w:val="24"/>
                <w:lang w:eastAsia="zh-CN"/>
              </w:rPr>
              <w:t>小机裁</w:t>
            </w:r>
          </w:p>
        </w:tc>
        <w:tc>
          <w:tcPr>
            <w:tcW w:w="550" w:type="dxa"/>
            <w:vAlign w:val="center"/>
          </w:tcPr>
          <w:p w14:paraId="6493E5F7">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lang w:val="en-US"/>
              </w:rPr>
            </w:pPr>
            <w:r>
              <w:rPr>
                <w:rFonts w:hint="default" w:ascii="Times New Roman" w:hAnsi="Times New Roman" w:cs="Times New Roman"/>
                <w:bCs/>
                <w:i/>
                <w:iCs/>
                <w:snapToGrid w:val="0"/>
                <w:color w:val="auto"/>
                <w:sz w:val="24"/>
                <w:szCs w:val="24"/>
                <w:lang w:val="en-US"/>
              </w:rPr>
              <w:t>1</w:t>
            </w:r>
          </w:p>
        </w:tc>
        <w:tc>
          <w:tcPr>
            <w:tcW w:w="714" w:type="dxa"/>
            <w:vAlign w:val="center"/>
          </w:tcPr>
          <w:p w14:paraId="3AE23145">
            <w:pPr>
              <w:spacing w:line="240" w:lineRule="auto"/>
              <w:ind w:firstLine="0" w:firstLineChars="0"/>
              <w:jc w:val="left"/>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80</w:t>
            </w:r>
          </w:p>
        </w:tc>
        <w:tc>
          <w:tcPr>
            <w:tcW w:w="387" w:type="dxa"/>
            <w:vMerge w:val="continue"/>
            <w:vAlign w:val="center"/>
          </w:tcPr>
          <w:p w14:paraId="457765AE">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95" w:type="dxa"/>
            <w:vAlign w:val="center"/>
          </w:tcPr>
          <w:p w14:paraId="057D678E">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6</w:t>
            </w:r>
          </w:p>
        </w:tc>
        <w:tc>
          <w:tcPr>
            <w:tcW w:w="504" w:type="dxa"/>
            <w:vAlign w:val="center"/>
          </w:tcPr>
          <w:p w14:paraId="1C843FEB">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13</w:t>
            </w:r>
          </w:p>
        </w:tc>
        <w:tc>
          <w:tcPr>
            <w:tcW w:w="547" w:type="dxa"/>
            <w:vAlign w:val="center"/>
          </w:tcPr>
          <w:p w14:paraId="3C5C0C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8</w:t>
            </w:r>
          </w:p>
        </w:tc>
        <w:tc>
          <w:tcPr>
            <w:tcW w:w="505" w:type="dxa"/>
            <w:vAlign w:val="bottom"/>
          </w:tcPr>
          <w:p w14:paraId="683D25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34.9 </w:t>
            </w:r>
          </w:p>
        </w:tc>
        <w:tc>
          <w:tcPr>
            <w:tcW w:w="487" w:type="dxa"/>
            <w:vAlign w:val="bottom"/>
          </w:tcPr>
          <w:p w14:paraId="3F2E24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28.2 </w:t>
            </w:r>
          </w:p>
        </w:tc>
        <w:tc>
          <w:tcPr>
            <w:tcW w:w="463" w:type="dxa"/>
            <w:vAlign w:val="bottom"/>
          </w:tcPr>
          <w:p w14:paraId="1FE89E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46.7 </w:t>
            </w:r>
          </w:p>
        </w:tc>
        <w:tc>
          <w:tcPr>
            <w:tcW w:w="487" w:type="dxa"/>
            <w:vAlign w:val="bottom"/>
          </w:tcPr>
          <w:p w14:paraId="249B83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8.5 </w:t>
            </w:r>
          </w:p>
        </w:tc>
        <w:tc>
          <w:tcPr>
            <w:tcW w:w="500" w:type="dxa"/>
            <w:vAlign w:val="center"/>
          </w:tcPr>
          <w:p w14:paraId="004990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49 </w:t>
            </w:r>
          </w:p>
        </w:tc>
        <w:tc>
          <w:tcPr>
            <w:tcW w:w="488" w:type="dxa"/>
            <w:vAlign w:val="center"/>
          </w:tcPr>
          <w:p w14:paraId="06C6A6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51 </w:t>
            </w:r>
          </w:p>
        </w:tc>
        <w:tc>
          <w:tcPr>
            <w:tcW w:w="500" w:type="dxa"/>
            <w:vAlign w:val="center"/>
          </w:tcPr>
          <w:p w14:paraId="5DCE18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47 </w:t>
            </w:r>
          </w:p>
        </w:tc>
        <w:tc>
          <w:tcPr>
            <w:tcW w:w="540" w:type="dxa"/>
            <w:vAlign w:val="center"/>
          </w:tcPr>
          <w:p w14:paraId="3FDF69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61 </w:t>
            </w:r>
          </w:p>
        </w:tc>
        <w:tc>
          <w:tcPr>
            <w:tcW w:w="700" w:type="dxa"/>
            <w:vMerge w:val="continue"/>
            <w:vAlign w:val="center"/>
          </w:tcPr>
          <w:p w14:paraId="357D96A6">
            <w:pPr>
              <w:spacing w:line="240" w:lineRule="auto"/>
              <w:ind w:firstLine="0" w:firstLineChars="0"/>
              <w:jc w:val="left"/>
              <w:outlineLvl w:val="0"/>
              <w:rPr>
                <w:rFonts w:hint="default" w:ascii="Times New Roman" w:hAnsi="Times New Roman" w:cs="Times New Roman"/>
                <w:bCs/>
                <w:i/>
                <w:iCs/>
                <w:snapToGrid w:val="0"/>
                <w:color w:val="auto"/>
                <w:sz w:val="24"/>
                <w:szCs w:val="24"/>
              </w:rPr>
            </w:pPr>
          </w:p>
        </w:tc>
        <w:tc>
          <w:tcPr>
            <w:tcW w:w="701" w:type="dxa"/>
            <w:vMerge w:val="continue"/>
            <w:vAlign w:val="center"/>
          </w:tcPr>
          <w:p w14:paraId="113D68AB">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22537485">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16F63402">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15651977">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3D570A8E">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5E00D7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28 </w:t>
            </w:r>
          </w:p>
        </w:tc>
        <w:tc>
          <w:tcPr>
            <w:tcW w:w="632" w:type="dxa"/>
            <w:vAlign w:val="center"/>
          </w:tcPr>
          <w:p w14:paraId="1E0270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30 </w:t>
            </w:r>
          </w:p>
        </w:tc>
        <w:tc>
          <w:tcPr>
            <w:tcW w:w="643" w:type="dxa"/>
            <w:vAlign w:val="center"/>
          </w:tcPr>
          <w:p w14:paraId="3E50E1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26 </w:t>
            </w:r>
          </w:p>
        </w:tc>
        <w:tc>
          <w:tcPr>
            <w:tcW w:w="682" w:type="dxa"/>
            <w:vAlign w:val="center"/>
          </w:tcPr>
          <w:p w14:paraId="6367C8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40 </w:t>
            </w:r>
          </w:p>
        </w:tc>
      </w:tr>
      <w:tr w14:paraId="477D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66C542A1">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rPr>
            </w:pPr>
          </w:p>
        </w:tc>
        <w:tc>
          <w:tcPr>
            <w:tcW w:w="711" w:type="dxa"/>
            <w:vAlign w:val="center"/>
          </w:tcPr>
          <w:p w14:paraId="6EEB4BCB">
            <w:pPr>
              <w:widowControl/>
              <w:spacing w:line="240" w:lineRule="auto"/>
              <w:ind w:firstLine="0" w:firstLineChars="0"/>
              <w:jc w:val="left"/>
              <w:textAlignment w:val="center"/>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cs="Times New Roman"/>
                <w:i/>
                <w:iCs/>
                <w:color w:val="auto"/>
                <w:kern w:val="0"/>
                <w:sz w:val="24"/>
                <w:szCs w:val="24"/>
                <w:lang w:eastAsia="zh-CN" w:bidi="ar"/>
              </w:rPr>
              <w:t>冲床</w:t>
            </w:r>
            <w:r>
              <w:rPr>
                <w:rFonts w:hint="default" w:ascii="Times New Roman" w:hAnsi="Times New Roman" w:cs="Times New Roman"/>
                <w:i/>
                <w:iCs/>
                <w:color w:val="auto"/>
                <w:kern w:val="0"/>
                <w:sz w:val="24"/>
                <w:szCs w:val="24"/>
                <w:lang w:val="en-US" w:eastAsia="zh-CN" w:bidi="ar"/>
              </w:rPr>
              <w:t>1</w:t>
            </w:r>
          </w:p>
        </w:tc>
        <w:tc>
          <w:tcPr>
            <w:tcW w:w="550" w:type="dxa"/>
            <w:vAlign w:val="center"/>
          </w:tcPr>
          <w:p w14:paraId="72CBE7E9">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lang w:val="en-US"/>
              </w:rPr>
            </w:pPr>
            <w:r>
              <w:rPr>
                <w:rFonts w:hint="default" w:ascii="Times New Roman" w:hAnsi="Times New Roman" w:cs="Times New Roman"/>
                <w:bCs/>
                <w:i/>
                <w:iCs/>
                <w:snapToGrid w:val="0"/>
                <w:color w:val="auto"/>
                <w:sz w:val="24"/>
                <w:szCs w:val="24"/>
                <w:lang w:val="en-US"/>
              </w:rPr>
              <w:t>1</w:t>
            </w:r>
          </w:p>
        </w:tc>
        <w:tc>
          <w:tcPr>
            <w:tcW w:w="714" w:type="dxa"/>
            <w:vAlign w:val="center"/>
          </w:tcPr>
          <w:p w14:paraId="640A7035">
            <w:pPr>
              <w:spacing w:line="240" w:lineRule="auto"/>
              <w:ind w:firstLine="0" w:firstLineChars="0"/>
              <w:jc w:val="left"/>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85</w:t>
            </w:r>
          </w:p>
        </w:tc>
        <w:tc>
          <w:tcPr>
            <w:tcW w:w="387" w:type="dxa"/>
            <w:vMerge w:val="continue"/>
            <w:vAlign w:val="center"/>
          </w:tcPr>
          <w:p w14:paraId="47ECC98C">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95" w:type="dxa"/>
            <w:vAlign w:val="center"/>
          </w:tcPr>
          <w:p w14:paraId="485F3019">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16</w:t>
            </w:r>
          </w:p>
        </w:tc>
        <w:tc>
          <w:tcPr>
            <w:tcW w:w="504" w:type="dxa"/>
            <w:vAlign w:val="center"/>
          </w:tcPr>
          <w:p w14:paraId="2346DAC2">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13</w:t>
            </w:r>
          </w:p>
        </w:tc>
        <w:tc>
          <w:tcPr>
            <w:tcW w:w="547" w:type="dxa"/>
            <w:vAlign w:val="center"/>
          </w:tcPr>
          <w:p w14:paraId="2DC609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9</w:t>
            </w:r>
          </w:p>
        </w:tc>
        <w:tc>
          <w:tcPr>
            <w:tcW w:w="505" w:type="dxa"/>
            <w:vAlign w:val="bottom"/>
          </w:tcPr>
          <w:p w14:paraId="201B3A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26.6 </w:t>
            </w:r>
          </w:p>
        </w:tc>
        <w:tc>
          <w:tcPr>
            <w:tcW w:w="487" w:type="dxa"/>
            <w:vAlign w:val="bottom"/>
          </w:tcPr>
          <w:p w14:paraId="2D8B67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28.5 </w:t>
            </w:r>
          </w:p>
        </w:tc>
        <w:tc>
          <w:tcPr>
            <w:tcW w:w="463" w:type="dxa"/>
            <w:vAlign w:val="bottom"/>
          </w:tcPr>
          <w:p w14:paraId="27CB27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55.7 </w:t>
            </w:r>
          </w:p>
        </w:tc>
        <w:tc>
          <w:tcPr>
            <w:tcW w:w="487" w:type="dxa"/>
            <w:vAlign w:val="bottom"/>
          </w:tcPr>
          <w:p w14:paraId="7A725B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9.5 </w:t>
            </w:r>
          </w:p>
        </w:tc>
        <w:tc>
          <w:tcPr>
            <w:tcW w:w="500" w:type="dxa"/>
            <w:vAlign w:val="center"/>
          </w:tcPr>
          <w:p w14:paraId="7B56445F">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57 </w:t>
            </w:r>
          </w:p>
        </w:tc>
        <w:tc>
          <w:tcPr>
            <w:tcW w:w="488" w:type="dxa"/>
            <w:vAlign w:val="center"/>
          </w:tcPr>
          <w:p w14:paraId="0FF16832">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56 </w:t>
            </w:r>
          </w:p>
        </w:tc>
        <w:tc>
          <w:tcPr>
            <w:tcW w:w="500" w:type="dxa"/>
            <w:vAlign w:val="center"/>
          </w:tcPr>
          <w:p w14:paraId="0423AF95">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50 </w:t>
            </w:r>
          </w:p>
        </w:tc>
        <w:tc>
          <w:tcPr>
            <w:tcW w:w="540" w:type="dxa"/>
            <w:vAlign w:val="center"/>
          </w:tcPr>
          <w:p w14:paraId="112E6839">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65 </w:t>
            </w:r>
          </w:p>
        </w:tc>
        <w:tc>
          <w:tcPr>
            <w:tcW w:w="700" w:type="dxa"/>
            <w:vMerge w:val="continue"/>
            <w:vAlign w:val="center"/>
          </w:tcPr>
          <w:p w14:paraId="6E2B6332">
            <w:pPr>
              <w:spacing w:line="240" w:lineRule="auto"/>
              <w:ind w:firstLine="0" w:firstLineChars="0"/>
              <w:jc w:val="left"/>
              <w:outlineLvl w:val="0"/>
              <w:rPr>
                <w:rFonts w:hint="default" w:ascii="Times New Roman" w:hAnsi="Times New Roman" w:cs="Times New Roman"/>
                <w:bCs/>
                <w:i/>
                <w:iCs/>
                <w:snapToGrid w:val="0"/>
                <w:color w:val="auto"/>
                <w:sz w:val="24"/>
                <w:szCs w:val="24"/>
              </w:rPr>
            </w:pPr>
          </w:p>
        </w:tc>
        <w:tc>
          <w:tcPr>
            <w:tcW w:w="701" w:type="dxa"/>
            <w:vMerge w:val="continue"/>
            <w:vAlign w:val="center"/>
          </w:tcPr>
          <w:p w14:paraId="0B149832">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574769B8">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7FF3002E">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43A1DB94">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4AE6DC85">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22C692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36 </w:t>
            </w:r>
          </w:p>
        </w:tc>
        <w:tc>
          <w:tcPr>
            <w:tcW w:w="632" w:type="dxa"/>
            <w:vAlign w:val="center"/>
          </w:tcPr>
          <w:p w14:paraId="147D0F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35 </w:t>
            </w:r>
          </w:p>
        </w:tc>
        <w:tc>
          <w:tcPr>
            <w:tcW w:w="643" w:type="dxa"/>
            <w:vAlign w:val="center"/>
          </w:tcPr>
          <w:p w14:paraId="0A2754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29 </w:t>
            </w:r>
          </w:p>
        </w:tc>
        <w:tc>
          <w:tcPr>
            <w:tcW w:w="682" w:type="dxa"/>
            <w:vAlign w:val="center"/>
          </w:tcPr>
          <w:p w14:paraId="7FB5C4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44 </w:t>
            </w:r>
          </w:p>
        </w:tc>
      </w:tr>
      <w:tr w14:paraId="70A4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6922D0D2">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rPr>
            </w:pPr>
          </w:p>
        </w:tc>
        <w:tc>
          <w:tcPr>
            <w:tcW w:w="711" w:type="dxa"/>
            <w:vAlign w:val="center"/>
          </w:tcPr>
          <w:p w14:paraId="136CEC96">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i/>
                <w:iCs/>
                <w:color w:val="auto"/>
                <w:kern w:val="0"/>
                <w:sz w:val="24"/>
                <w:szCs w:val="24"/>
                <w:lang w:eastAsia="zh-CN" w:bidi="ar"/>
              </w:rPr>
              <w:t>冲床</w:t>
            </w:r>
            <w:r>
              <w:rPr>
                <w:rFonts w:hint="default" w:ascii="Times New Roman" w:hAnsi="Times New Roman" w:cs="Times New Roman"/>
                <w:i/>
                <w:iCs/>
                <w:color w:val="auto"/>
                <w:kern w:val="0"/>
                <w:sz w:val="24"/>
                <w:szCs w:val="24"/>
                <w:lang w:val="en-US" w:eastAsia="zh-CN" w:bidi="ar"/>
              </w:rPr>
              <w:t>2</w:t>
            </w:r>
          </w:p>
        </w:tc>
        <w:tc>
          <w:tcPr>
            <w:tcW w:w="550" w:type="dxa"/>
            <w:vAlign w:val="center"/>
          </w:tcPr>
          <w:p w14:paraId="32A2E8C2">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lang w:val="en-US"/>
              </w:rPr>
              <w:t>1</w:t>
            </w:r>
          </w:p>
        </w:tc>
        <w:tc>
          <w:tcPr>
            <w:tcW w:w="714" w:type="dxa"/>
            <w:vAlign w:val="center"/>
          </w:tcPr>
          <w:p w14:paraId="452902F0">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bCs/>
                <w:i/>
                <w:iCs/>
                <w:snapToGrid w:val="0"/>
                <w:color w:val="auto"/>
                <w:sz w:val="24"/>
                <w:szCs w:val="24"/>
              </w:rPr>
              <w:t>80</w:t>
            </w:r>
          </w:p>
        </w:tc>
        <w:tc>
          <w:tcPr>
            <w:tcW w:w="387" w:type="dxa"/>
            <w:vMerge w:val="continue"/>
            <w:vAlign w:val="center"/>
          </w:tcPr>
          <w:p w14:paraId="310EDB24">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95" w:type="dxa"/>
            <w:vAlign w:val="center"/>
          </w:tcPr>
          <w:p w14:paraId="55F79776">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18</w:t>
            </w:r>
          </w:p>
        </w:tc>
        <w:tc>
          <w:tcPr>
            <w:tcW w:w="504" w:type="dxa"/>
            <w:vAlign w:val="center"/>
          </w:tcPr>
          <w:p w14:paraId="0F25C8FA">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13</w:t>
            </w:r>
          </w:p>
        </w:tc>
        <w:tc>
          <w:tcPr>
            <w:tcW w:w="547" w:type="dxa"/>
            <w:vAlign w:val="center"/>
          </w:tcPr>
          <w:p w14:paraId="736077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9</w:t>
            </w:r>
          </w:p>
        </w:tc>
        <w:tc>
          <w:tcPr>
            <w:tcW w:w="505" w:type="dxa"/>
            <w:vAlign w:val="bottom"/>
          </w:tcPr>
          <w:p w14:paraId="37E181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24.7 </w:t>
            </w:r>
          </w:p>
        </w:tc>
        <w:tc>
          <w:tcPr>
            <w:tcW w:w="487" w:type="dxa"/>
            <w:vAlign w:val="bottom"/>
          </w:tcPr>
          <w:p w14:paraId="4130E1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28.5 </w:t>
            </w:r>
          </w:p>
        </w:tc>
        <w:tc>
          <w:tcPr>
            <w:tcW w:w="463" w:type="dxa"/>
            <w:vAlign w:val="bottom"/>
          </w:tcPr>
          <w:p w14:paraId="267996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57.7 </w:t>
            </w:r>
          </w:p>
        </w:tc>
        <w:tc>
          <w:tcPr>
            <w:tcW w:w="487" w:type="dxa"/>
            <w:vAlign w:val="bottom"/>
          </w:tcPr>
          <w:p w14:paraId="101E59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9.5 </w:t>
            </w:r>
          </w:p>
        </w:tc>
        <w:tc>
          <w:tcPr>
            <w:tcW w:w="500" w:type="dxa"/>
            <w:vAlign w:val="center"/>
          </w:tcPr>
          <w:p w14:paraId="6E79A7F9">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57 </w:t>
            </w:r>
          </w:p>
        </w:tc>
        <w:tc>
          <w:tcPr>
            <w:tcW w:w="488" w:type="dxa"/>
            <w:vAlign w:val="center"/>
          </w:tcPr>
          <w:p w14:paraId="0BAD3381">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56 </w:t>
            </w:r>
          </w:p>
        </w:tc>
        <w:tc>
          <w:tcPr>
            <w:tcW w:w="500" w:type="dxa"/>
            <w:vAlign w:val="center"/>
          </w:tcPr>
          <w:p w14:paraId="0F8050FD">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50 </w:t>
            </w:r>
          </w:p>
        </w:tc>
        <w:tc>
          <w:tcPr>
            <w:tcW w:w="540" w:type="dxa"/>
            <w:vAlign w:val="center"/>
          </w:tcPr>
          <w:p w14:paraId="6AEFD3F3">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65 </w:t>
            </w:r>
          </w:p>
        </w:tc>
        <w:tc>
          <w:tcPr>
            <w:tcW w:w="700" w:type="dxa"/>
            <w:vMerge w:val="continue"/>
            <w:vAlign w:val="center"/>
          </w:tcPr>
          <w:p w14:paraId="5FFC6619">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55D7576A">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35E6127A">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095AB85F">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788614FE">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58F4EE6C">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473B2C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36 </w:t>
            </w:r>
          </w:p>
        </w:tc>
        <w:tc>
          <w:tcPr>
            <w:tcW w:w="632" w:type="dxa"/>
            <w:vAlign w:val="center"/>
          </w:tcPr>
          <w:p w14:paraId="793627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35 </w:t>
            </w:r>
          </w:p>
        </w:tc>
        <w:tc>
          <w:tcPr>
            <w:tcW w:w="643" w:type="dxa"/>
            <w:vAlign w:val="center"/>
          </w:tcPr>
          <w:p w14:paraId="695116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29 </w:t>
            </w:r>
          </w:p>
        </w:tc>
        <w:tc>
          <w:tcPr>
            <w:tcW w:w="682" w:type="dxa"/>
            <w:vAlign w:val="center"/>
          </w:tcPr>
          <w:p w14:paraId="06F5E8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44 </w:t>
            </w:r>
          </w:p>
        </w:tc>
      </w:tr>
      <w:tr w14:paraId="3B961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11CE7359">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rPr>
            </w:pPr>
          </w:p>
        </w:tc>
        <w:tc>
          <w:tcPr>
            <w:tcW w:w="711" w:type="dxa"/>
            <w:vAlign w:val="center"/>
          </w:tcPr>
          <w:p w14:paraId="26A85971">
            <w:pPr>
              <w:widowControl/>
              <w:spacing w:line="240" w:lineRule="auto"/>
              <w:ind w:firstLine="0" w:firstLineChars="0"/>
              <w:jc w:val="left"/>
              <w:textAlignment w:val="center"/>
              <w:rPr>
                <w:rFonts w:hint="default" w:ascii="Times New Roman" w:hAnsi="Times New Roman" w:cs="Times New Roman"/>
                <w:i/>
                <w:iCs/>
                <w:color w:val="auto"/>
                <w:kern w:val="0"/>
                <w:sz w:val="24"/>
                <w:szCs w:val="24"/>
                <w:lang w:bidi="ar"/>
              </w:rPr>
            </w:pPr>
            <w:r>
              <w:rPr>
                <w:rFonts w:hint="default" w:ascii="Times New Roman" w:hAnsi="Times New Roman" w:cs="Times New Roman"/>
                <w:i/>
                <w:iCs/>
                <w:color w:val="auto"/>
                <w:kern w:val="0"/>
                <w:sz w:val="24"/>
                <w:szCs w:val="24"/>
                <w:lang w:eastAsia="zh-CN" w:bidi="ar"/>
              </w:rPr>
              <w:t>冲床</w:t>
            </w:r>
            <w:r>
              <w:rPr>
                <w:rFonts w:hint="default" w:ascii="Times New Roman" w:hAnsi="Times New Roman" w:cs="Times New Roman"/>
                <w:i/>
                <w:iCs/>
                <w:color w:val="auto"/>
                <w:kern w:val="0"/>
                <w:sz w:val="24"/>
                <w:szCs w:val="24"/>
                <w:lang w:val="en-US" w:eastAsia="zh-CN" w:bidi="ar"/>
              </w:rPr>
              <w:t>3</w:t>
            </w:r>
          </w:p>
        </w:tc>
        <w:tc>
          <w:tcPr>
            <w:tcW w:w="550" w:type="dxa"/>
            <w:vAlign w:val="center"/>
          </w:tcPr>
          <w:p w14:paraId="6F2D87A5">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lang w:val="en-US"/>
              </w:rPr>
            </w:pPr>
            <w:r>
              <w:rPr>
                <w:rFonts w:hint="default" w:ascii="Times New Roman" w:hAnsi="Times New Roman" w:cs="Times New Roman"/>
                <w:bCs/>
                <w:i/>
                <w:iCs/>
                <w:snapToGrid w:val="0"/>
                <w:color w:val="auto"/>
                <w:sz w:val="24"/>
                <w:szCs w:val="24"/>
                <w:lang w:val="en-US"/>
              </w:rPr>
              <w:t>1</w:t>
            </w:r>
          </w:p>
        </w:tc>
        <w:tc>
          <w:tcPr>
            <w:tcW w:w="714" w:type="dxa"/>
            <w:vAlign w:val="center"/>
          </w:tcPr>
          <w:p w14:paraId="151ACDAA">
            <w:pPr>
              <w:spacing w:line="240" w:lineRule="auto"/>
              <w:ind w:firstLine="0" w:firstLineChars="0"/>
              <w:jc w:val="left"/>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80</w:t>
            </w:r>
          </w:p>
        </w:tc>
        <w:tc>
          <w:tcPr>
            <w:tcW w:w="387" w:type="dxa"/>
            <w:vMerge w:val="continue"/>
            <w:vAlign w:val="center"/>
          </w:tcPr>
          <w:p w14:paraId="17402CA1">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95" w:type="dxa"/>
            <w:vAlign w:val="center"/>
          </w:tcPr>
          <w:p w14:paraId="07EE3DE5">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20</w:t>
            </w:r>
          </w:p>
        </w:tc>
        <w:tc>
          <w:tcPr>
            <w:tcW w:w="504" w:type="dxa"/>
            <w:vAlign w:val="center"/>
          </w:tcPr>
          <w:p w14:paraId="0C7B8C0F">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13</w:t>
            </w:r>
          </w:p>
        </w:tc>
        <w:tc>
          <w:tcPr>
            <w:tcW w:w="547" w:type="dxa"/>
            <w:vAlign w:val="center"/>
          </w:tcPr>
          <w:p w14:paraId="7DF877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9</w:t>
            </w:r>
          </w:p>
        </w:tc>
        <w:tc>
          <w:tcPr>
            <w:tcW w:w="505" w:type="dxa"/>
            <w:vAlign w:val="bottom"/>
          </w:tcPr>
          <w:p w14:paraId="5C029E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22.8 </w:t>
            </w:r>
          </w:p>
        </w:tc>
        <w:tc>
          <w:tcPr>
            <w:tcW w:w="487" w:type="dxa"/>
            <w:vAlign w:val="bottom"/>
          </w:tcPr>
          <w:p w14:paraId="7D0B68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28.5 </w:t>
            </w:r>
          </w:p>
        </w:tc>
        <w:tc>
          <w:tcPr>
            <w:tcW w:w="463" w:type="dxa"/>
            <w:vAlign w:val="bottom"/>
          </w:tcPr>
          <w:p w14:paraId="0D4750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59.7 </w:t>
            </w:r>
          </w:p>
        </w:tc>
        <w:tc>
          <w:tcPr>
            <w:tcW w:w="487" w:type="dxa"/>
            <w:vAlign w:val="bottom"/>
          </w:tcPr>
          <w:p w14:paraId="374523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9.5 </w:t>
            </w:r>
          </w:p>
        </w:tc>
        <w:tc>
          <w:tcPr>
            <w:tcW w:w="500" w:type="dxa"/>
            <w:vAlign w:val="center"/>
          </w:tcPr>
          <w:p w14:paraId="3485D2E6">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58 </w:t>
            </w:r>
          </w:p>
        </w:tc>
        <w:tc>
          <w:tcPr>
            <w:tcW w:w="488" w:type="dxa"/>
            <w:vAlign w:val="center"/>
          </w:tcPr>
          <w:p w14:paraId="0853ADDE">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56 </w:t>
            </w:r>
          </w:p>
        </w:tc>
        <w:tc>
          <w:tcPr>
            <w:tcW w:w="500" w:type="dxa"/>
            <w:vAlign w:val="center"/>
          </w:tcPr>
          <w:p w14:paraId="6A0BC478">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49 </w:t>
            </w:r>
          </w:p>
        </w:tc>
        <w:tc>
          <w:tcPr>
            <w:tcW w:w="540" w:type="dxa"/>
            <w:vAlign w:val="center"/>
          </w:tcPr>
          <w:p w14:paraId="7E0312A2">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65 </w:t>
            </w:r>
          </w:p>
        </w:tc>
        <w:tc>
          <w:tcPr>
            <w:tcW w:w="700" w:type="dxa"/>
            <w:vMerge w:val="continue"/>
            <w:vAlign w:val="center"/>
          </w:tcPr>
          <w:p w14:paraId="1BFBDF93">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04C7D37B">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183A664C">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13DBCEC0">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30D4F1B4">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23E646A9">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68CDCF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37 </w:t>
            </w:r>
          </w:p>
        </w:tc>
        <w:tc>
          <w:tcPr>
            <w:tcW w:w="632" w:type="dxa"/>
            <w:vAlign w:val="center"/>
          </w:tcPr>
          <w:p w14:paraId="0AD040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35 </w:t>
            </w:r>
          </w:p>
        </w:tc>
        <w:tc>
          <w:tcPr>
            <w:tcW w:w="643" w:type="dxa"/>
            <w:vAlign w:val="center"/>
          </w:tcPr>
          <w:p w14:paraId="3EFC0C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28 </w:t>
            </w:r>
          </w:p>
        </w:tc>
        <w:tc>
          <w:tcPr>
            <w:tcW w:w="682" w:type="dxa"/>
            <w:vAlign w:val="center"/>
          </w:tcPr>
          <w:p w14:paraId="223862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44 </w:t>
            </w:r>
          </w:p>
        </w:tc>
      </w:tr>
      <w:tr w14:paraId="304A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72" w:type="dxa"/>
            <w:vAlign w:val="center"/>
          </w:tcPr>
          <w:p w14:paraId="72FEEE4E">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rPr>
            </w:pPr>
          </w:p>
        </w:tc>
        <w:tc>
          <w:tcPr>
            <w:tcW w:w="711" w:type="dxa"/>
            <w:vAlign w:val="center"/>
          </w:tcPr>
          <w:p w14:paraId="2FBFAF76">
            <w:pPr>
              <w:widowControl/>
              <w:spacing w:line="240" w:lineRule="auto"/>
              <w:ind w:firstLine="0" w:firstLineChars="0"/>
              <w:jc w:val="left"/>
              <w:textAlignment w:val="center"/>
              <w:rPr>
                <w:rFonts w:hint="default" w:ascii="Times New Roman" w:hAnsi="Times New Roman" w:cs="Times New Roman"/>
                <w:i/>
                <w:iCs/>
                <w:snapToGrid w:val="0"/>
                <w:color w:val="auto"/>
                <w:sz w:val="24"/>
                <w:szCs w:val="24"/>
              </w:rPr>
            </w:pPr>
            <w:r>
              <w:rPr>
                <w:rFonts w:hint="default" w:ascii="Times New Roman" w:hAnsi="Times New Roman" w:cs="Times New Roman"/>
                <w:i/>
                <w:iCs/>
                <w:color w:val="auto"/>
                <w:kern w:val="0"/>
                <w:sz w:val="24"/>
                <w:szCs w:val="24"/>
                <w:lang w:eastAsia="zh-CN" w:bidi="ar"/>
              </w:rPr>
              <w:t>冲床</w:t>
            </w:r>
            <w:r>
              <w:rPr>
                <w:rFonts w:hint="default" w:ascii="Times New Roman" w:hAnsi="Times New Roman" w:cs="Times New Roman"/>
                <w:i/>
                <w:iCs/>
                <w:color w:val="auto"/>
                <w:kern w:val="0"/>
                <w:sz w:val="24"/>
                <w:szCs w:val="24"/>
                <w:lang w:val="en-US" w:eastAsia="zh-CN" w:bidi="ar"/>
              </w:rPr>
              <w:t>4</w:t>
            </w:r>
          </w:p>
        </w:tc>
        <w:tc>
          <w:tcPr>
            <w:tcW w:w="550" w:type="dxa"/>
            <w:vAlign w:val="center"/>
          </w:tcPr>
          <w:p w14:paraId="1F17458A">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lang w:val="en-US"/>
              </w:rPr>
              <w:t>1</w:t>
            </w:r>
          </w:p>
        </w:tc>
        <w:tc>
          <w:tcPr>
            <w:tcW w:w="714" w:type="dxa"/>
            <w:vAlign w:val="center"/>
          </w:tcPr>
          <w:p w14:paraId="6F6792C3">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bCs/>
                <w:i/>
                <w:iCs/>
                <w:snapToGrid w:val="0"/>
                <w:color w:val="auto"/>
                <w:sz w:val="24"/>
                <w:szCs w:val="24"/>
              </w:rPr>
              <w:t>80</w:t>
            </w:r>
          </w:p>
        </w:tc>
        <w:tc>
          <w:tcPr>
            <w:tcW w:w="387" w:type="dxa"/>
            <w:vMerge w:val="continue"/>
            <w:vAlign w:val="center"/>
          </w:tcPr>
          <w:p w14:paraId="15E11228">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95" w:type="dxa"/>
            <w:vAlign w:val="center"/>
          </w:tcPr>
          <w:p w14:paraId="7F3C392E">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22</w:t>
            </w:r>
          </w:p>
        </w:tc>
        <w:tc>
          <w:tcPr>
            <w:tcW w:w="504" w:type="dxa"/>
            <w:vAlign w:val="center"/>
          </w:tcPr>
          <w:p w14:paraId="6A4B8F1A">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13</w:t>
            </w:r>
          </w:p>
        </w:tc>
        <w:tc>
          <w:tcPr>
            <w:tcW w:w="547" w:type="dxa"/>
            <w:vAlign w:val="center"/>
          </w:tcPr>
          <w:p w14:paraId="6CF580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9</w:t>
            </w:r>
          </w:p>
        </w:tc>
        <w:tc>
          <w:tcPr>
            <w:tcW w:w="505" w:type="dxa"/>
            <w:vAlign w:val="bottom"/>
          </w:tcPr>
          <w:p w14:paraId="1AE386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21.0 </w:t>
            </w:r>
          </w:p>
        </w:tc>
        <w:tc>
          <w:tcPr>
            <w:tcW w:w="487" w:type="dxa"/>
            <w:vAlign w:val="bottom"/>
          </w:tcPr>
          <w:p w14:paraId="4ED023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28.5 </w:t>
            </w:r>
          </w:p>
        </w:tc>
        <w:tc>
          <w:tcPr>
            <w:tcW w:w="463" w:type="dxa"/>
            <w:vAlign w:val="bottom"/>
          </w:tcPr>
          <w:p w14:paraId="50A11E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61.7 </w:t>
            </w:r>
          </w:p>
        </w:tc>
        <w:tc>
          <w:tcPr>
            <w:tcW w:w="487" w:type="dxa"/>
            <w:vAlign w:val="bottom"/>
          </w:tcPr>
          <w:p w14:paraId="246D93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9.5 </w:t>
            </w:r>
          </w:p>
        </w:tc>
        <w:tc>
          <w:tcPr>
            <w:tcW w:w="500" w:type="dxa"/>
            <w:vAlign w:val="center"/>
          </w:tcPr>
          <w:p w14:paraId="0CC36A4D">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59 </w:t>
            </w:r>
          </w:p>
        </w:tc>
        <w:tc>
          <w:tcPr>
            <w:tcW w:w="488" w:type="dxa"/>
            <w:vAlign w:val="center"/>
          </w:tcPr>
          <w:p w14:paraId="6F5A9FF9">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56 </w:t>
            </w:r>
          </w:p>
        </w:tc>
        <w:tc>
          <w:tcPr>
            <w:tcW w:w="500" w:type="dxa"/>
            <w:vAlign w:val="center"/>
          </w:tcPr>
          <w:p w14:paraId="0B0921C3">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49 </w:t>
            </w:r>
          </w:p>
        </w:tc>
        <w:tc>
          <w:tcPr>
            <w:tcW w:w="540" w:type="dxa"/>
            <w:vAlign w:val="center"/>
          </w:tcPr>
          <w:p w14:paraId="15D9098D">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65 </w:t>
            </w:r>
          </w:p>
        </w:tc>
        <w:tc>
          <w:tcPr>
            <w:tcW w:w="700" w:type="dxa"/>
            <w:vMerge w:val="continue"/>
            <w:vAlign w:val="center"/>
          </w:tcPr>
          <w:p w14:paraId="177F974D">
            <w:pPr>
              <w:spacing w:line="240" w:lineRule="auto"/>
              <w:ind w:firstLine="0" w:firstLineChars="0"/>
              <w:jc w:val="left"/>
              <w:outlineLvl w:val="0"/>
              <w:rPr>
                <w:rFonts w:hint="default" w:ascii="Times New Roman" w:hAnsi="Times New Roman" w:cs="Times New Roman"/>
                <w:bCs/>
                <w:i/>
                <w:iCs/>
                <w:snapToGrid w:val="0"/>
                <w:color w:val="auto"/>
                <w:sz w:val="24"/>
                <w:szCs w:val="24"/>
              </w:rPr>
            </w:pPr>
          </w:p>
        </w:tc>
        <w:tc>
          <w:tcPr>
            <w:tcW w:w="701" w:type="dxa"/>
            <w:vMerge w:val="continue"/>
            <w:vAlign w:val="center"/>
          </w:tcPr>
          <w:p w14:paraId="1A52D520">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658C8751">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628935EB">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54DADF52">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23C20AD0">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41B234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38 </w:t>
            </w:r>
          </w:p>
        </w:tc>
        <w:tc>
          <w:tcPr>
            <w:tcW w:w="632" w:type="dxa"/>
            <w:vAlign w:val="center"/>
          </w:tcPr>
          <w:p w14:paraId="2E899A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35 </w:t>
            </w:r>
          </w:p>
        </w:tc>
        <w:tc>
          <w:tcPr>
            <w:tcW w:w="643" w:type="dxa"/>
            <w:vAlign w:val="center"/>
          </w:tcPr>
          <w:p w14:paraId="2DFD32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28 </w:t>
            </w:r>
          </w:p>
        </w:tc>
        <w:tc>
          <w:tcPr>
            <w:tcW w:w="682" w:type="dxa"/>
            <w:vAlign w:val="center"/>
          </w:tcPr>
          <w:p w14:paraId="564E84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44 </w:t>
            </w:r>
          </w:p>
        </w:tc>
      </w:tr>
      <w:tr w14:paraId="0377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55CD1E86">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rPr>
            </w:pPr>
          </w:p>
        </w:tc>
        <w:tc>
          <w:tcPr>
            <w:tcW w:w="711" w:type="dxa"/>
            <w:vAlign w:val="center"/>
          </w:tcPr>
          <w:p w14:paraId="6A5AE0B7">
            <w:pPr>
              <w:spacing w:line="240" w:lineRule="auto"/>
              <w:ind w:firstLine="0" w:firstLineChars="0"/>
              <w:jc w:val="left"/>
              <w:rPr>
                <w:rFonts w:hint="default" w:ascii="Times New Roman" w:hAnsi="Times New Roman" w:eastAsia="仿宋" w:cs="Times New Roman"/>
                <w:i/>
                <w:iCs/>
                <w:snapToGrid w:val="0"/>
                <w:color w:val="auto"/>
                <w:sz w:val="24"/>
                <w:szCs w:val="24"/>
                <w:lang w:eastAsia="zh-CN"/>
              </w:rPr>
            </w:pPr>
            <w:r>
              <w:rPr>
                <w:rFonts w:hint="default" w:ascii="Times New Roman" w:hAnsi="Times New Roman" w:cs="Times New Roman"/>
                <w:i/>
                <w:iCs/>
                <w:snapToGrid w:val="0"/>
                <w:color w:val="auto"/>
                <w:sz w:val="24"/>
                <w:szCs w:val="24"/>
                <w:lang w:eastAsia="zh-CN"/>
              </w:rPr>
              <w:t>压痕机</w:t>
            </w:r>
          </w:p>
        </w:tc>
        <w:tc>
          <w:tcPr>
            <w:tcW w:w="550" w:type="dxa"/>
            <w:vAlign w:val="center"/>
          </w:tcPr>
          <w:p w14:paraId="1528B8A2">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lang w:val="en-US"/>
              </w:rPr>
              <w:t>1</w:t>
            </w:r>
          </w:p>
        </w:tc>
        <w:tc>
          <w:tcPr>
            <w:tcW w:w="714" w:type="dxa"/>
            <w:vAlign w:val="center"/>
          </w:tcPr>
          <w:p w14:paraId="79019A43">
            <w:pPr>
              <w:spacing w:line="240" w:lineRule="auto"/>
              <w:ind w:firstLine="0" w:firstLineChars="0"/>
              <w:jc w:val="left"/>
              <w:rPr>
                <w:rFonts w:hint="default" w:ascii="Times New Roman" w:hAnsi="Times New Roman" w:eastAsia="仿宋" w:cs="Times New Roman"/>
                <w:i/>
                <w:iCs/>
                <w:color w:val="auto"/>
                <w:sz w:val="24"/>
                <w:szCs w:val="24"/>
                <w:lang w:eastAsia="zh-CN"/>
              </w:rPr>
            </w:pPr>
            <w:r>
              <w:rPr>
                <w:rFonts w:hint="default" w:ascii="Times New Roman" w:hAnsi="Times New Roman" w:cs="Times New Roman"/>
                <w:i/>
                <w:iCs/>
                <w:color w:val="auto"/>
                <w:sz w:val="24"/>
                <w:szCs w:val="24"/>
                <w:lang w:val="en-US" w:eastAsia="zh-CN"/>
              </w:rPr>
              <w:t>75</w:t>
            </w:r>
          </w:p>
        </w:tc>
        <w:tc>
          <w:tcPr>
            <w:tcW w:w="387" w:type="dxa"/>
            <w:vMerge w:val="continue"/>
            <w:vAlign w:val="center"/>
          </w:tcPr>
          <w:p w14:paraId="36AB064F">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95" w:type="dxa"/>
            <w:vAlign w:val="center"/>
          </w:tcPr>
          <w:p w14:paraId="44FEE144">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36</w:t>
            </w:r>
          </w:p>
        </w:tc>
        <w:tc>
          <w:tcPr>
            <w:tcW w:w="504" w:type="dxa"/>
            <w:vAlign w:val="center"/>
          </w:tcPr>
          <w:p w14:paraId="1933E650">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13</w:t>
            </w:r>
          </w:p>
        </w:tc>
        <w:tc>
          <w:tcPr>
            <w:tcW w:w="547" w:type="dxa"/>
            <w:vAlign w:val="center"/>
          </w:tcPr>
          <w:p w14:paraId="4EEE78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8</w:t>
            </w:r>
          </w:p>
        </w:tc>
        <w:tc>
          <w:tcPr>
            <w:tcW w:w="505" w:type="dxa"/>
            <w:vAlign w:val="bottom"/>
          </w:tcPr>
          <w:p w14:paraId="021FD4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8.9 </w:t>
            </w:r>
          </w:p>
        </w:tc>
        <w:tc>
          <w:tcPr>
            <w:tcW w:w="487" w:type="dxa"/>
            <w:vAlign w:val="bottom"/>
          </w:tcPr>
          <w:p w14:paraId="0087AA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28.2 </w:t>
            </w:r>
          </w:p>
        </w:tc>
        <w:tc>
          <w:tcPr>
            <w:tcW w:w="463" w:type="dxa"/>
            <w:vAlign w:val="bottom"/>
          </w:tcPr>
          <w:p w14:paraId="25DA31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76.4 </w:t>
            </w:r>
          </w:p>
        </w:tc>
        <w:tc>
          <w:tcPr>
            <w:tcW w:w="487" w:type="dxa"/>
            <w:vAlign w:val="bottom"/>
          </w:tcPr>
          <w:p w14:paraId="038E78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8.5 </w:t>
            </w:r>
          </w:p>
        </w:tc>
        <w:tc>
          <w:tcPr>
            <w:tcW w:w="500" w:type="dxa"/>
            <w:vAlign w:val="center"/>
          </w:tcPr>
          <w:p w14:paraId="1A152FED">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56 </w:t>
            </w:r>
          </w:p>
        </w:tc>
        <w:tc>
          <w:tcPr>
            <w:tcW w:w="488" w:type="dxa"/>
            <w:vAlign w:val="center"/>
          </w:tcPr>
          <w:p w14:paraId="11B4D280">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46 </w:t>
            </w:r>
          </w:p>
        </w:tc>
        <w:tc>
          <w:tcPr>
            <w:tcW w:w="500" w:type="dxa"/>
            <w:vAlign w:val="center"/>
          </w:tcPr>
          <w:p w14:paraId="0AFF5AD9">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37 </w:t>
            </w:r>
          </w:p>
        </w:tc>
        <w:tc>
          <w:tcPr>
            <w:tcW w:w="540" w:type="dxa"/>
            <w:vAlign w:val="center"/>
          </w:tcPr>
          <w:p w14:paraId="315C38B5">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56 </w:t>
            </w:r>
          </w:p>
        </w:tc>
        <w:tc>
          <w:tcPr>
            <w:tcW w:w="700" w:type="dxa"/>
            <w:vMerge w:val="continue"/>
            <w:vAlign w:val="center"/>
          </w:tcPr>
          <w:p w14:paraId="2F7107E0">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726F8FD9">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73235212">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1D5B8475">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0D659DAC">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58D2F9DA">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7360FC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35 </w:t>
            </w:r>
          </w:p>
        </w:tc>
        <w:tc>
          <w:tcPr>
            <w:tcW w:w="632" w:type="dxa"/>
            <w:vAlign w:val="center"/>
          </w:tcPr>
          <w:p w14:paraId="3B8F79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25 </w:t>
            </w:r>
          </w:p>
        </w:tc>
        <w:tc>
          <w:tcPr>
            <w:tcW w:w="643" w:type="dxa"/>
            <w:vAlign w:val="center"/>
          </w:tcPr>
          <w:p w14:paraId="48E22F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16 </w:t>
            </w:r>
          </w:p>
        </w:tc>
        <w:tc>
          <w:tcPr>
            <w:tcW w:w="682" w:type="dxa"/>
            <w:vAlign w:val="center"/>
          </w:tcPr>
          <w:p w14:paraId="7DF10D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35 </w:t>
            </w:r>
          </w:p>
        </w:tc>
      </w:tr>
      <w:tr w14:paraId="4CEE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013546A8">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rPr>
            </w:pPr>
          </w:p>
        </w:tc>
        <w:tc>
          <w:tcPr>
            <w:tcW w:w="711" w:type="dxa"/>
            <w:vAlign w:val="center"/>
          </w:tcPr>
          <w:p w14:paraId="2D5FFB98">
            <w:pPr>
              <w:spacing w:line="240" w:lineRule="auto"/>
              <w:ind w:firstLine="0" w:firstLineChars="0"/>
              <w:jc w:val="left"/>
              <w:rPr>
                <w:rFonts w:hint="default" w:ascii="Times New Roman" w:hAnsi="Times New Roman" w:eastAsia="仿宋" w:cs="Times New Roman"/>
                <w:i/>
                <w:iCs/>
                <w:snapToGrid w:val="0"/>
                <w:color w:val="auto"/>
                <w:sz w:val="24"/>
                <w:szCs w:val="24"/>
                <w:lang w:val="en-US" w:eastAsia="zh-CN"/>
              </w:rPr>
            </w:pPr>
            <w:r>
              <w:rPr>
                <w:rFonts w:hint="default" w:ascii="Times New Roman" w:hAnsi="Times New Roman" w:cs="Times New Roman"/>
                <w:i/>
                <w:iCs/>
                <w:snapToGrid w:val="0"/>
                <w:color w:val="auto"/>
                <w:sz w:val="24"/>
                <w:szCs w:val="24"/>
                <w:lang w:eastAsia="zh-CN"/>
              </w:rPr>
              <w:t>分条机</w:t>
            </w:r>
            <w:r>
              <w:rPr>
                <w:rFonts w:hint="default" w:ascii="Times New Roman" w:hAnsi="Times New Roman" w:cs="Times New Roman"/>
                <w:i/>
                <w:iCs/>
                <w:snapToGrid w:val="0"/>
                <w:color w:val="auto"/>
                <w:sz w:val="24"/>
                <w:szCs w:val="24"/>
                <w:lang w:val="en-US" w:eastAsia="zh-CN"/>
              </w:rPr>
              <w:t>1</w:t>
            </w:r>
          </w:p>
        </w:tc>
        <w:tc>
          <w:tcPr>
            <w:tcW w:w="550" w:type="dxa"/>
            <w:vAlign w:val="center"/>
          </w:tcPr>
          <w:p w14:paraId="6B7249B1">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lang w:val="en-US"/>
              </w:rPr>
              <w:t>1</w:t>
            </w:r>
          </w:p>
        </w:tc>
        <w:tc>
          <w:tcPr>
            <w:tcW w:w="714" w:type="dxa"/>
            <w:vAlign w:val="center"/>
          </w:tcPr>
          <w:p w14:paraId="4EFBBE4B">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75</w:t>
            </w:r>
          </w:p>
        </w:tc>
        <w:tc>
          <w:tcPr>
            <w:tcW w:w="387" w:type="dxa"/>
            <w:vMerge w:val="continue"/>
            <w:vAlign w:val="center"/>
          </w:tcPr>
          <w:p w14:paraId="103E680B">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95" w:type="dxa"/>
            <w:vAlign w:val="center"/>
          </w:tcPr>
          <w:p w14:paraId="2B1A5324">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-15</w:t>
            </w:r>
          </w:p>
        </w:tc>
        <w:tc>
          <w:tcPr>
            <w:tcW w:w="504" w:type="dxa"/>
            <w:vAlign w:val="center"/>
          </w:tcPr>
          <w:p w14:paraId="676C099E">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13</w:t>
            </w:r>
          </w:p>
        </w:tc>
        <w:tc>
          <w:tcPr>
            <w:tcW w:w="547" w:type="dxa"/>
            <w:vAlign w:val="center"/>
          </w:tcPr>
          <w:p w14:paraId="538F41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8</w:t>
            </w:r>
          </w:p>
        </w:tc>
        <w:tc>
          <w:tcPr>
            <w:tcW w:w="505" w:type="dxa"/>
            <w:vAlign w:val="bottom"/>
          </w:tcPr>
          <w:p w14:paraId="75EA44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55.6 </w:t>
            </w:r>
          </w:p>
        </w:tc>
        <w:tc>
          <w:tcPr>
            <w:tcW w:w="487" w:type="dxa"/>
            <w:vAlign w:val="bottom"/>
          </w:tcPr>
          <w:p w14:paraId="081DA1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28.2 </w:t>
            </w:r>
          </w:p>
        </w:tc>
        <w:tc>
          <w:tcPr>
            <w:tcW w:w="463" w:type="dxa"/>
            <w:vAlign w:val="bottom"/>
          </w:tcPr>
          <w:p w14:paraId="489224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26.2 </w:t>
            </w:r>
          </w:p>
        </w:tc>
        <w:tc>
          <w:tcPr>
            <w:tcW w:w="487" w:type="dxa"/>
            <w:vAlign w:val="bottom"/>
          </w:tcPr>
          <w:p w14:paraId="21BA31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8.5 </w:t>
            </w:r>
          </w:p>
        </w:tc>
        <w:tc>
          <w:tcPr>
            <w:tcW w:w="500" w:type="dxa"/>
            <w:vAlign w:val="center"/>
          </w:tcPr>
          <w:p w14:paraId="656B48BF">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40 </w:t>
            </w:r>
          </w:p>
        </w:tc>
        <w:tc>
          <w:tcPr>
            <w:tcW w:w="488" w:type="dxa"/>
            <w:vAlign w:val="center"/>
          </w:tcPr>
          <w:p w14:paraId="68A5DD7C">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46 </w:t>
            </w:r>
          </w:p>
        </w:tc>
        <w:tc>
          <w:tcPr>
            <w:tcW w:w="500" w:type="dxa"/>
            <w:vAlign w:val="center"/>
          </w:tcPr>
          <w:p w14:paraId="5779E5AE">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47 </w:t>
            </w:r>
          </w:p>
        </w:tc>
        <w:tc>
          <w:tcPr>
            <w:tcW w:w="540" w:type="dxa"/>
            <w:vAlign w:val="center"/>
          </w:tcPr>
          <w:p w14:paraId="69950BB5">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56 </w:t>
            </w:r>
          </w:p>
        </w:tc>
        <w:tc>
          <w:tcPr>
            <w:tcW w:w="700" w:type="dxa"/>
            <w:vMerge w:val="continue"/>
            <w:vAlign w:val="center"/>
          </w:tcPr>
          <w:p w14:paraId="64EA533A">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6896FB13">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4A8851D1">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5EBE68BF">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23867FA0">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323A1E12">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1DA4AB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19 </w:t>
            </w:r>
          </w:p>
        </w:tc>
        <w:tc>
          <w:tcPr>
            <w:tcW w:w="632" w:type="dxa"/>
            <w:vAlign w:val="center"/>
          </w:tcPr>
          <w:p w14:paraId="0827A3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25 </w:t>
            </w:r>
          </w:p>
        </w:tc>
        <w:tc>
          <w:tcPr>
            <w:tcW w:w="643" w:type="dxa"/>
            <w:vAlign w:val="center"/>
          </w:tcPr>
          <w:p w14:paraId="4434A7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26 </w:t>
            </w:r>
          </w:p>
        </w:tc>
        <w:tc>
          <w:tcPr>
            <w:tcW w:w="682" w:type="dxa"/>
            <w:vAlign w:val="center"/>
          </w:tcPr>
          <w:p w14:paraId="2C9985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35 </w:t>
            </w:r>
          </w:p>
        </w:tc>
      </w:tr>
      <w:tr w14:paraId="366E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546BC16D">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rPr>
            </w:pPr>
          </w:p>
        </w:tc>
        <w:tc>
          <w:tcPr>
            <w:tcW w:w="711" w:type="dxa"/>
            <w:shd w:val="clear" w:color="auto" w:fill="auto"/>
            <w:vAlign w:val="center"/>
          </w:tcPr>
          <w:p w14:paraId="5617EBFB">
            <w:pPr>
              <w:spacing w:line="240" w:lineRule="auto"/>
              <w:ind w:firstLine="0" w:firstLineChars="0"/>
              <w:jc w:val="left"/>
              <w:rPr>
                <w:rFonts w:hint="default" w:ascii="Times New Roman" w:hAnsi="Times New Roman" w:eastAsia="仿宋" w:cs="Times New Roman"/>
                <w:i/>
                <w:iCs/>
                <w:snapToGrid w:val="0"/>
                <w:color w:val="auto"/>
                <w:kern w:val="2"/>
                <w:sz w:val="24"/>
                <w:szCs w:val="24"/>
                <w:lang w:val="en-US" w:eastAsia="zh-CN" w:bidi="ar-SA"/>
              </w:rPr>
            </w:pPr>
            <w:r>
              <w:rPr>
                <w:rFonts w:hint="default" w:ascii="Times New Roman" w:hAnsi="Times New Roman" w:cs="Times New Roman"/>
                <w:i/>
                <w:iCs/>
                <w:snapToGrid w:val="0"/>
                <w:color w:val="auto"/>
                <w:sz w:val="24"/>
                <w:szCs w:val="24"/>
                <w:lang w:eastAsia="zh-CN"/>
              </w:rPr>
              <w:t>分条机</w:t>
            </w:r>
            <w:r>
              <w:rPr>
                <w:rFonts w:hint="default" w:ascii="Times New Roman" w:hAnsi="Times New Roman" w:cs="Times New Roman"/>
                <w:i/>
                <w:iCs/>
                <w:snapToGrid w:val="0"/>
                <w:color w:val="auto"/>
                <w:sz w:val="24"/>
                <w:szCs w:val="24"/>
                <w:lang w:val="en-US" w:eastAsia="zh-CN"/>
              </w:rPr>
              <w:t>2</w:t>
            </w:r>
          </w:p>
        </w:tc>
        <w:tc>
          <w:tcPr>
            <w:tcW w:w="550" w:type="dxa"/>
            <w:shd w:val="clear" w:color="auto" w:fill="auto"/>
            <w:vAlign w:val="center"/>
          </w:tcPr>
          <w:p w14:paraId="4CFB5D2B">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kern w:val="0"/>
                <w:sz w:val="24"/>
                <w:szCs w:val="24"/>
                <w:lang w:val="en-US" w:eastAsia="zh-CN" w:bidi="ar-SA"/>
              </w:rPr>
            </w:pPr>
            <w:r>
              <w:rPr>
                <w:rFonts w:hint="default" w:ascii="Times New Roman" w:hAnsi="Times New Roman" w:cs="Times New Roman"/>
                <w:bCs/>
                <w:i/>
                <w:iCs/>
                <w:snapToGrid w:val="0"/>
                <w:color w:val="auto"/>
                <w:sz w:val="24"/>
                <w:szCs w:val="24"/>
                <w:lang w:val="en-US"/>
              </w:rPr>
              <w:t>1</w:t>
            </w:r>
          </w:p>
        </w:tc>
        <w:tc>
          <w:tcPr>
            <w:tcW w:w="714" w:type="dxa"/>
            <w:shd w:val="clear" w:color="auto" w:fill="auto"/>
            <w:vAlign w:val="center"/>
          </w:tcPr>
          <w:p w14:paraId="6A26FCB9">
            <w:pPr>
              <w:spacing w:line="240" w:lineRule="auto"/>
              <w:ind w:firstLine="0" w:firstLineChars="0"/>
              <w:jc w:val="left"/>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szCs w:val="24"/>
              </w:rPr>
              <w:t>80</w:t>
            </w:r>
          </w:p>
        </w:tc>
        <w:tc>
          <w:tcPr>
            <w:tcW w:w="387" w:type="dxa"/>
            <w:vMerge w:val="continue"/>
            <w:vAlign w:val="center"/>
          </w:tcPr>
          <w:p w14:paraId="10D154BF">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95" w:type="dxa"/>
            <w:vAlign w:val="bottom"/>
          </w:tcPr>
          <w:p w14:paraId="262300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-12</w:t>
            </w:r>
          </w:p>
        </w:tc>
        <w:tc>
          <w:tcPr>
            <w:tcW w:w="504" w:type="dxa"/>
            <w:vAlign w:val="center"/>
          </w:tcPr>
          <w:p w14:paraId="6C10EE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13</w:t>
            </w:r>
          </w:p>
        </w:tc>
        <w:tc>
          <w:tcPr>
            <w:tcW w:w="547" w:type="dxa"/>
            <w:vAlign w:val="center"/>
          </w:tcPr>
          <w:p w14:paraId="2BC4C0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8</w:t>
            </w:r>
          </w:p>
        </w:tc>
        <w:tc>
          <w:tcPr>
            <w:tcW w:w="505" w:type="dxa"/>
            <w:vAlign w:val="bottom"/>
          </w:tcPr>
          <w:p w14:paraId="2A40CD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52.6 </w:t>
            </w:r>
          </w:p>
        </w:tc>
        <w:tc>
          <w:tcPr>
            <w:tcW w:w="487" w:type="dxa"/>
            <w:vAlign w:val="bottom"/>
          </w:tcPr>
          <w:p w14:paraId="45BB7C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28.2 </w:t>
            </w:r>
          </w:p>
        </w:tc>
        <w:tc>
          <w:tcPr>
            <w:tcW w:w="463" w:type="dxa"/>
            <w:vAlign w:val="bottom"/>
          </w:tcPr>
          <w:p w14:paraId="34E86E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29.1 </w:t>
            </w:r>
          </w:p>
        </w:tc>
        <w:tc>
          <w:tcPr>
            <w:tcW w:w="487" w:type="dxa"/>
            <w:vAlign w:val="bottom"/>
          </w:tcPr>
          <w:p w14:paraId="5220F4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8.5 </w:t>
            </w:r>
          </w:p>
        </w:tc>
        <w:tc>
          <w:tcPr>
            <w:tcW w:w="500" w:type="dxa"/>
            <w:vAlign w:val="center"/>
          </w:tcPr>
          <w:p w14:paraId="04CB5D7E">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46 </w:t>
            </w:r>
          </w:p>
        </w:tc>
        <w:tc>
          <w:tcPr>
            <w:tcW w:w="488" w:type="dxa"/>
            <w:vAlign w:val="center"/>
          </w:tcPr>
          <w:p w14:paraId="3BEA311A">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51 </w:t>
            </w:r>
          </w:p>
        </w:tc>
        <w:tc>
          <w:tcPr>
            <w:tcW w:w="500" w:type="dxa"/>
            <w:vAlign w:val="center"/>
          </w:tcPr>
          <w:p w14:paraId="2DF3A57B">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51 </w:t>
            </w:r>
          </w:p>
        </w:tc>
        <w:tc>
          <w:tcPr>
            <w:tcW w:w="540" w:type="dxa"/>
            <w:vAlign w:val="center"/>
          </w:tcPr>
          <w:p w14:paraId="172FA115">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61 </w:t>
            </w:r>
          </w:p>
        </w:tc>
        <w:tc>
          <w:tcPr>
            <w:tcW w:w="700" w:type="dxa"/>
            <w:vMerge w:val="continue"/>
            <w:vAlign w:val="center"/>
          </w:tcPr>
          <w:p w14:paraId="1C418F76">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3BAC9435">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shd w:val="clear" w:color="auto" w:fill="auto"/>
            <w:vAlign w:val="center"/>
          </w:tcPr>
          <w:p w14:paraId="2136EB21">
            <w:pPr>
              <w:widowControl/>
              <w:spacing w:line="240" w:lineRule="auto"/>
              <w:ind w:firstLine="0" w:firstLineChars="0"/>
              <w:jc w:val="left"/>
              <w:textAlignment w:val="center"/>
              <w:rPr>
                <w:rFonts w:hint="default" w:ascii="Times New Roman" w:hAnsi="Times New Roman" w:eastAsia="仿宋" w:cs="Times New Roman"/>
                <w:bCs/>
                <w:i/>
                <w:iCs/>
                <w:snapToGrid w:val="0"/>
                <w:color w:val="auto"/>
                <w:kern w:val="2"/>
                <w:sz w:val="24"/>
                <w:szCs w:val="24"/>
                <w:lang w:val="en-US" w:eastAsia="zh-CN" w:bidi="ar-SA"/>
              </w:rPr>
            </w:pPr>
            <w:r>
              <w:rPr>
                <w:rFonts w:hint="default" w:ascii="Times New Roman" w:hAnsi="Times New Roman" w:cs="Times New Roman"/>
                <w:bCs/>
                <w:i/>
                <w:iCs/>
                <w:snapToGrid w:val="0"/>
                <w:color w:val="auto"/>
                <w:sz w:val="24"/>
                <w:szCs w:val="24"/>
              </w:rPr>
              <w:t>1</w:t>
            </w:r>
          </w:p>
        </w:tc>
        <w:tc>
          <w:tcPr>
            <w:tcW w:w="418" w:type="dxa"/>
            <w:shd w:val="clear" w:color="auto" w:fill="auto"/>
            <w:vAlign w:val="center"/>
          </w:tcPr>
          <w:p w14:paraId="2EDDF9BD">
            <w:pPr>
              <w:widowControl/>
              <w:spacing w:line="240" w:lineRule="auto"/>
              <w:ind w:firstLine="0" w:firstLineChars="0"/>
              <w:jc w:val="left"/>
              <w:textAlignment w:val="center"/>
              <w:rPr>
                <w:rFonts w:hint="default" w:ascii="Times New Roman" w:hAnsi="Times New Roman" w:eastAsia="仿宋" w:cs="Times New Roman"/>
                <w:bCs/>
                <w:i/>
                <w:iCs/>
                <w:snapToGrid w:val="0"/>
                <w:color w:val="auto"/>
                <w:kern w:val="2"/>
                <w:sz w:val="24"/>
                <w:szCs w:val="24"/>
                <w:lang w:val="en-US" w:eastAsia="zh-CN" w:bidi="ar-SA"/>
              </w:rPr>
            </w:pPr>
            <w:r>
              <w:rPr>
                <w:rFonts w:hint="default" w:ascii="Times New Roman" w:hAnsi="Times New Roman" w:cs="Times New Roman"/>
                <w:bCs/>
                <w:i/>
                <w:iCs/>
                <w:snapToGrid w:val="0"/>
                <w:color w:val="auto"/>
                <w:sz w:val="24"/>
                <w:szCs w:val="24"/>
              </w:rPr>
              <w:t>1</w:t>
            </w:r>
          </w:p>
        </w:tc>
        <w:tc>
          <w:tcPr>
            <w:tcW w:w="450" w:type="dxa"/>
            <w:shd w:val="clear" w:color="auto" w:fill="auto"/>
            <w:vAlign w:val="center"/>
          </w:tcPr>
          <w:p w14:paraId="4B55B530">
            <w:pPr>
              <w:widowControl/>
              <w:spacing w:line="240" w:lineRule="auto"/>
              <w:ind w:firstLine="0" w:firstLineChars="0"/>
              <w:jc w:val="left"/>
              <w:textAlignment w:val="center"/>
              <w:rPr>
                <w:rFonts w:hint="default" w:ascii="Times New Roman" w:hAnsi="Times New Roman" w:eastAsia="仿宋" w:cs="Times New Roman"/>
                <w:bCs/>
                <w:i/>
                <w:iCs/>
                <w:snapToGrid w:val="0"/>
                <w:color w:val="auto"/>
                <w:kern w:val="2"/>
                <w:sz w:val="24"/>
                <w:szCs w:val="24"/>
                <w:lang w:val="en-US" w:eastAsia="zh-CN" w:bidi="ar-SA"/>
              </w:rPr>
            </w:pPr>
            <w:r>
              <w:rPr>
                <w:rFonts w:hint="default" w:ascii="Times New Roman" w:hAnsi="Times New Roman" w:cs="Times New Roman"/>
                <w:bCs/>
                <w:i/>
                <w:iCs/>
                <w:snapToGrid w:val="0"/>
                <w:color w:val="auto"/>
                <w:sz w:val="24"/>
                <w:szCs w:val="24"/>
              </w:rPr>
              <w:t>1</w:t>
            </w:r>
          </w:p>
        </w:tc>
        <w:tc>
          <w:tcPr>
            <w:tcW w:w="461" w:type="dxa"/>
            <w:shd w:val="clear" w:color="auto" w:fill="auto"/>
            <w:vAlign w:val="center"/>
          </w:tcPr>
          <w:p w14:paraId="6A917CEE">
            <w:pPr>
              <w:widowControl/>
              <w:spacing w:line="240" w:lineRule="auto"/>
              <w:ind w:firstLine="0" w:firstLineChars="0"/>
              <w:jc w:val="left"/>
              <w:textAlignment w:val="center"/>
              <w:rPr>
                <w:rFonts w:hint="default" w:ascii="Times New Roman" w:hAnsi="Times New Roman" w:eastAsia="仿宋" w:cs="Times New Roman"/>
                <w:bCs/>
                <w:i/>
                <w:iCs/>
                <w:snapToGrid w:val="0"/>
                <w:color w:val="auto"/>
                <w:kern w:val="2"/>
                <w:sz w:val="24"/>
                <w:szCs w:val="24"/>
                <w:lang w:val="en-US" w:eastAsia="zh-CN" w:bidi="ar-SA"/>
              </w:rPr>
            </w:pPr>
            <w:r>
              <w:rPr>
                <w:rFonts w:hint="default" w:ascii="Times New Roman" w:hAnsi="Times New Roman" w:cs="Times New Roman"/>
                <w:bCs/>
                <w:i/>
                <w:iCs/>
                <w:snapToGrid w:val="0"/>
                <w:color w:val="auto"/>
                <w:sz w:val="24"/>
                <w:szCs w:val="24"/>
              </w:rPr>
              <w:t>1</w:t>
            </w:r>
          </w:p>
        </w:tc>
        <w:tc>
          <w:tcPr>
            <w:tcW w:w="621" w:type="dxa"/>
            <w:vAlign w:val="center"/>
          </w:tcPr>
          <w:p w14:paraId="1145A0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25 </w:t>
            </w:r>
          </w:p>
        </w:tc>
        <w:tc>
          <w:tcPr>
            <w:tcW w:w="632" w:type="dxa"/>
            <w:vAlign w:val="center"/>
          </w:tcPr>
          <w:p w14:paraId="042664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30 </w:t>
            </w:r>
          </w:p>
        </w:tc>
        <w:tc>
          <w:tcPr>
            <w:tcW w:w="643" w:type="dxa"/>
            <w:vAlign w:val="center"/>
          </w:tcPr>
          <w:p w14:paraId="72C392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30 </w:t>
            </w:r>
          </w:p>
        </w:tc>
        <w:tc>
          <w:tcPr>
            <w:tcW w:w="682" w:type="dxa"/>
            <w:vAlign w:val="center"/>
          </w:tcPr>
          <w:p w14:paraId="6C8100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40 </w:t>
            </w:r>
          </w:p>
        </w:tc>
      </w:tr>
      <w:tr w14:paraId="4950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269D3E22">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rPr>
            </w:pPr>
          </w:p>
        </w:tc>
        <w:tc>
          <w:tcPr>
            <w:tcW w:w="711" w:type="dxa"/>
            <w:shd w:val="clear" w:color="auto" w:fill="auto"/>
            <w:vAlign w:val="center"/>
          </w:tcPr>
          <w:p w14:paraId="661DE3D5">
            <w:pPr>
              <w:spacing w:line="240" w:lineRule="auto"/>
              <w:ind w:firstLine="0" w:firstLineChars="0"/>
              <w:jc w:val="left"/>
              <w:rPr>
                <w:rFonts w:hint="default" w:ascii="Times New Roman" w:hAnsi="Times New Roman" w:eastAsia="仿宋" w:cs="Times New Roman"/>
                <w:i/>
                <w:iCs/>
                <w:snapToGrid w:val="0"/>
                <w:color w:val="auto"/>
                <w:kern w:val="2"/>
                <w:sz w:val="24"/>
                <w:szCs w:val="24"/>
                <w:lang w:val="en-US" w:eastAsia="zh-CN" w:bidi="ar-SA"/>
              </w:rPr>
            </w:pPr>
            <w:r>
              <w:rPr>
                <w:rFonts w:hint="default" w:ascii="Times New Roman" w:hAnsi="Times New Roman" w:cs="Times New Roman"/>
                <w:i/>
                <w:iCs/>
                <w:snapToGrid w:val="0"/>
                <w:color w:val="auto"/>
                <w:kern w:val="2"/>
                <w:sz w:val="24"/>
                <w:szCs w:val="24"/>
                <w:lang w:val="en-US" w:eastAsia="zh-CN" w:bidi="ar-SA"/>
              </w:rPr>
              <w:t>模切机</w:t>
            </w:r>
          </w:p>
        </w:tc>
        <w:tc>
          <w:tcPr>
            <w:tcW w:w="550" w:type="dxa"/>
            <w:shd w:val="clear" w:color="auto" w:fill="auto"/>
            <w:vAlign w:val="center"/>
          </w:tcPr>
          <w:p w14:paraId="3050EC38">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kern w:val="0"/>
                <w:sz w:val="24"/>
                <w:szCs w:val="24"/>
                <w:lang w:val="en-US" w:eastAsia="zh-CN" w:bidi="ar-SA"/>
              </w:rPr>
            </w:pPr>
            <w:r>
              <w:rPr>
                <w:rFonts w:hint="default" w:ascii="Times New Roman" w:hAnsi="Times New Roman" w:cs="Times New Roman"/>
                <w:bCs/>
                <w:i/>
                <w:iCs/>
                <w:snapToGrid w:val="0"/>
                <w:color w:val="auto"/>
                <w:sz w:val="24"/>
                <w:szCs w:val="24"/>
                <w:lang w:val="en-US"/>
              </w:rPr>
              <w:t>1</w:t>
            </w:r>
          </w:p>
        </w:tc>
        <w:tc>
          <w:tcPr>
            <w:tcW w:w="714" w:type="dxa"/>
            <w:shd w:val="clear" w:color="auto" w:fill="auto"/>
            <w:vAlign w:val="center"/>
          </w:tcPr>
          <w:p w14:paraId="74CA728A">
            <w:pPr>
              <w:spacing w:line="240" w:lineRule="auto"/>
              <w:ind w:firstLine="0" w:firstLineChars="0"/>
              <w:jc w:val="left"/>
              <w:rPr>
                <w:rFonts w:hint="default" w:ascii="Times New Roman" w:hAnsi="Times New Roman" w:eastAsia="仿宋" w:cs="Times New Roman"/>
                <w:i/>
                <w:iCs/>
                <w:color w:val="auto"/>
                <w:kern w:val="2"/>
                <w:sz w:val="24"/>
                <w:szCs w:val="24"/>
                <w:lang w:val="en-US" w:eastAsia="zh-CN" w:bidi="ar-SA"/>
              </w:rPr>
            </w:pPr>
            <w:r>
              <w:rPr>
                <w:rFonts w:hint="default" w:ascii="Times New Roman" w:hAnsi="Times New Roman" w:cs="Times New Roman"/>
                <w:i/>
                <w:iCs/>
                <w:color w:val="auto"/>
                <w:sz w:val="24"/>
                <w:szCs w:val="24"/>
              </w:rPr>
              <w:t>80</w:t>
            </w:r>
          </w:p>
        </w:tc>
        <w:tc>
          <w:tcPr>
            <w:tcW w:w="387" w:type="dxa"/>
            <w:vMerge w:val="continue"/>
            <w:vAlign w:val="center"/>
          </w:tcPr>
          <w:p w14:paraId="7F1EB4E7">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95" w:type="dxa"/>
            <w:vAlign w:val="bottom"/>
          </w:tcPr>
          <w:p w14:paraId="279F06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-20</w:t>
            </w:r>
          </w:p>
        </w:tc>
        <w:tc>
          <w:tcPr>
            <w:tcW w:w="504" w:type="dxa"/>
            <w:vAlign w:val="center"/>
          </w:tcPr>
          <w:p w14:paraId="1FA06A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3</w:t>
            </w:r>
          </w:p>
        </w:tc>
        <w:tc>
          <w:tcPr>
            <w:tcW w:w="547" w:type="dxa"/>
            <w:vAlign w:val="center"/>
          </w:tcPr>
          <w:p w14:paraId="32F9C5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8</w:t>
            </w:r>
          </w:p>
        </w:tc>
        <w:tc>
          <w:tcPr>
            <w:tcW w:w="505" w:type="dxa"/>
            <w:vAlign w:val="bottom"/>
          </w:tcPr>
          <w:p w14:paraId="0147F3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60.5 </w:t>
            </w:r>
          </w:p>
        </w:tc>
        <w:tc>
          <w:tcPr>
            <w:tcW w:w="487" w:type="dxa"/>
            <w:vAlign w:val="bottom"/>
          </w:tcPr>
          <w:p w14:paraId="5FD6D4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18.8 </w:t>
            </w:r>
          </w:p>
        </w:tc>
        <w:tc>
          <w:tcPr>
            <w:tcW w:w="463" w:type="dxa"/>
            <w:vAlign w:val="bottom"/>
          </w:tcPr>
          <w:p w14:paraId="7FDFBC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21.5 </w:t>
            </w:r>
          </w:p>
        </w:tc>
        <w:tc>
          <w:tcPr>
            <w:tcW w:w="487" w:type="dxa"/>
            <w:vAlign w:val="bottom"/>
          </w:tcPr>
          <w:p w14:paraId="44A4C6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15.3 </w:t>
            </w:r>
          </w:p>
        </w:tc>
        <w:tc>
          <w:tcPr>
            <w:tcW w:w="500" w:type="dxa"/>
            <w:vAlign w:val="center"/>
          </w:tcPr>
          <w:p w14:paraId="4794B86F">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44 </w:t>
            </w:r>
          </w:p>
        </w:tc>
        <w:tc>
          <w:tcPr>
            <w:tcW w:w="488" w:type="dxa"/>
            <w:vAlign w:val="center"/>
          </w:tcPr>
          <w:p w14:paraId="086D6838">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55 </w:t>
            </w:r>
          </w:p>
        </w:tc>
        <w:tc>
          <w:tcPr>
            <w:tcW w:w="500" w:type="dxa"/>
            <w:vAlign w:val="center"/>
          </w:tcPr>
          <w:p w14:paraId="1635A2FE">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53 </w:t>
            </w:r>
          </w:p>
        </w:tc>
        <w:tc>
          <w:tcPr>
            <w:tcW w:w="540" w:type="dxa"/>
            <w:vAlign w:val="center"/>
          </w:tcPr>
          <w:p w14:paraId="05011585">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56 </w:t>
            </w:r>
          </w:p>
        </w:tc>
        <w:tc>
          <w:tcPr>
            <w:tcW w:w="700" w:type="dxa"/>
            <w:vMerge w:val="continue"/>
            <w:vAlign w:val="center"/>
          </w:tcPr>
          <w:p w14:paraId="615103C3">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29D960E5">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shd w:val="clear" w:color="auto" w:fill="auto"/>
            <w:vAlign w:val="center"/>
          </w:tcPr>
          <w:p w14:paraId="26B472FB">
            <w:pPr>
              <w:widowControl/>
              <w:spacing w:line="240" w:lineRule="auto"/>
              <w:ind w:firstLine="0" w:firstLineChars="0"/>
              <w:jc w:val="left"/>
              <w:textAlignment w:val="center"/>
              <w:rPr>
                <w:rFonts w:hint="default" w:ascii="Times New Roman" w:hAnsi="Times New Roman" w:eastAsia="仿宋" w:cs="Times New Roman"/>
                <w:bCs/>
                <w:i/>
                <w:iCs/>
                <w:snapToGrid w:val="0"/>
                <w:color w:val="auto"/>
                <w:kern w:val="2"/>
                <w:sz w:val="24"/>
                <w:szCs w:val="24"/>
                <w:lang w:val="en-US" w:eastAsia="zh-CN" w:bidi="ar-SA"/>
              </w:rPr>
            </w:pPr>
            <w:r>
              <w:rPr>
                <w:rFonts w:hint="default" w:ascii="Times New Roman" w:hAnsi="Times New Roman" w:cs="Times New Roman"/>
                <w:bCs/>
                <w:i/>
                <w:iCs/>
                <w:snapToGrid w:val="0"/>
                <w:color w:val="auto"/>
                <w:sz w:val="24"/>
                <w:szCs w:val="24"/>
              </w:rPr>
              <w:t>1</w:t>
            </w:r>
          </w:p>
        </w:tc>
        <w:tc>
          <w:tcPr>
            <w:tcW w:w="418" w:type="dxa"/>
            <w:shd w:val="clear" w:color="auto" w:fill="auto"/>
            <w:vAlign w:val="center"/>
          </w:tcPr>
          <w:p w14:paraId="0114A1B7">
            <w:pPr>
              <w:widowControl/>
              <w:spacing w:line="240" w:lineRule="auto"/>
              <w:ind w:firstLine="0" w:firstLineChars="0"/>
              <w:jc w:val="left"/>
              <w:textAlignment w:val="center"/>
              <w:rPr>
                <w:rFonts w:hint="default" w:ascii="Times New Roman" w:hAnsi="Times New Roman" w:eastAsia="仿宋" w:cs="Times New Roman"/>
                <w:bCs/>
                <w:i/>
                <w:iCs/>
                <w:snapToGrid w:val="0"/>
                <w:color w:val="auto"/>
                <w:kern w:val="2"/>
                <w:sz w:val="24"/>
                <w:szCs w:val="24"/>
                <w:lang w:val="en-US" w:eastAsia="zh-CN" w:bidi="ar-SA"/>
              </w:rPr>
            </w:pPr>
            <w:r>
              <w:rPr>
                <w:rFonts w:hint="default" w:ascii="Times New Roman" w:hAnsi="Times New Roman" w:cs="Times New Roman"/>
                <w:bCs/>
                <w:i/>
                <w:iCs/>
                <w:snapToGrid w:val="0"/>
                <w:color w:val="auto"/>
                <w:sz w:val="24"/>
                <w:szCs w:val="24"/>
              </w:rPr>
              <w:t>1</w:t>
            </w:r>
          </w:p>
        </w:tc>
        <w:tc>
          <w:tcPr>
            <w:tcW w:w="450" w:type="dxa"/>
            <w:shd w:val="clear" w:color="auto" w:fill="auto"/>
            <w:vAlign w:val="center"/>
          </w:tcPr>
          <w:p w14:paraId="008AF252">
            <w:pPr>
              <w:widowControl/>
              <w:spacing w:line="240" w:lineRule="auto"/>
              <w:ind w:firstLine="0" w:firstLineChars="0"/>
              <w:jc w:val="left"/>
              <w:textAlignment w:val="center"/>
              <w:rPr>
                <w:rFonts w:hint="default" w:ascii="Times New Roman" w:hAnsi="Times New Roman" w:eastAsia="仿宋" w:cs="Times New Roman"/>
                <w:bCs/>
                <w:i/>
                <w:iCs/>
                <w:snapToGrid w:val="0"/>
                <w:color w:val="auto"/>
                <w:kern w:val="2"/>
                <w:sz w:val="24"/>
                <w:szCs w:val="24"/>
                <w:lang w:val="en-US" w:eastAsia="zh-CN" w:bidi="ar-SA"/>
              </w:rPr>
            </w:pPr>
            <w:r>
              <w:rPr>
                <w:rFonts w:hint="default" w:ascii="Times New Roman" w:hAnsi="Times New Roman" w:cs="Times New Roman"/>
                <w:bCs/>
                <w:i/>
                <w:iCs/>
                <w:snapToGrid w:val="0"/>
                <w:color w:val="auto"/>
                <w:sz w:val="24"/>
                <w:szCs w:val="24"/>
              </w:rPr>
              <w:t>1</w:t>
            </w:r>
          </w:p>
        </w:tc>
        <w:tc>
          <w:tcPr>
            <w:tcW w:w="461" w:type="dxa"/>
            <w:shd w:val="clear" w:color="auto" w:fill="auto"/>
            <w:vAlign w:val="center"/>
          </w:tcPr>
          <w:p w14:paraId="6F57137B">
            <w:pPr>
              <w:widowControl/>
              <w:spacing w:line="240" w:lineRule="auto"/>
              <w:ind w:firstLine="0" w:firstLineChars="0"/>
              <w:jc w:val="left"/>
              <w:textAlignment w:val="center"/>
              <w:rPr>
                <w:rFonts w:hint="default" w:ascii="Times New Roman" w:hAnsi="Times New Roman" w:eastAsia="仿宋" w:cs="Times New Roman"/>
                <w:bCs/>
                <w:i/>
                <w:iCs/>
                <w:snapToGrid w:val="0"/>
                <w:color w:val="auto"/>
                <w:kern w:val="2"/>
                <w:sz w:val="24"/>
                <w:szCs w:val="24"/>
                <w:lang w:val="en-US" w:eastAsia="zh-CN" w:bidi="ar-SA"/>
              </w:rPr>
            </w:pPr>
            <w:r>
              <w:rPr>
                <w:rFonts w:hint="default" w:ascii="Times New Roman" w:hAnsi="Times New Roman" w:cs="Times New Roman"/>
                <w:bCs/>
                <w:i/>
                <w:iCs/>
                <w:snapToGrid w:val="0"/>
                <w:color w:val="auto"/>
                <w:sz w:val="24"/>
                <w:szCs w:val="24"/>
              </w:rPr>
              <w:t>1</w:t>
            </w:r>
          </w:p>
        </w:tc>
        <w:tc>
          <w:tcPr>
            <w:tcW w:w="621" w:type="dxa"/>
            <w:vAlign w:val="center"/>
          </w:tcPr>
          <w:p w14:paraId="56AF42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23 </w:t>
            </w:r>
          </w:p>
        </w:tc>
        <w:tc>
          <w:tcPr>
            <w:tcW w:w="632" w:type="dxa"/>
            <w:vAlign w:val="center"/>
          </w:tcPr>
          <w:p w14:paraId="44D999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34 </w:t>
            </w:r>
          </w:p>
        </w:tc>
        <w:tc>
          <w:tcPr>
            <w:tcW w:w="643" w:type="dxa"/>
            <w:vAlign w:val="center"/>
          </w:tcPr>
          <w:p w14:paraId="4E63A9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32 </w:t>
            </w:r>
          </w:p>
        </w:tc>
        <w:tc>
          <w:tcPr>
            <w:tcW w:w="682" w:type="dxa"/>
            <w:vAlign w:val="center"/>
          </w:tcPr>
          <w:p w14:paraId="10130E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bidi="ar"/>
              </w:rPr>
            </w:pPr>
            <w:r>
              <w:rPr>
                <w:rFonts w:hint="default" w:ascii="Times New Roman" w:hAnsi="Times New Roman" w:eastAsia="等线" w:cs="Times New Roman"/>
                <w:i/>
                <w:iCs/>
                <w:color w:val="auto"/>
                <w:kern w:val="0"/>
                <w:sz w:val="24"/>
                <w:szCs w:val="24"/>
                <w:u w:val="none"/>
                <w:lang w:val="en-US" w:eastAsia="zh-CN" w:bidi="ar"/>
              </w:rPr>
              <w:t xml:space="preserve">35 </w:t>
            </w:r>
          </w:p>
        </w:tc>
      </w:tr>
      <w:tr w14:paraId="7BDF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67B40505">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lang w:val="en-US"/>
              </w:rPr>
            </w:pPr>
          </w:p>
        </w:tc>
        <w:tc>
          <w:tcPr>
            <w:tcW w:w="711" w:type="dxa"/>
            <w:vAlign w:val="center"/>
          </w:tcPr>
          <w:p w14:paraId="01F29CE6">
            <w:pPr>
              <w:spacing w:line="240" w:lineRule="auto"/>
              <w:ind w:firstLine="0" w:firstLineChars="0"/>
              <w:jc w:val="left"/>
              <w:rPr>
                <w:rFonts w:hint="default" w:ascii="Times New Roman" w:hAnsi="Times New Roman" w:eastAsia="仿宋" w:cs="Times New Roman"/>
                <w:i/>
                <w:iCs/>
                <w:snapToGrid w:val="0"/>
                <w:color w:val="auto"/>
                <w:sz w:val="24"/>
                <w:szCs w:val="24"/>
                <w:lang w:eastAsia="zh-CN"/>
              </w:rPr>
            </w:pPr>
            <w:r>
              <w:rPr>
                <w:rFonts w:hint="default" w:ascii="Times New Roman" w:hAnsi="Times New Roman" w:cs="Times New Roman"/>
                <w:i/>
                <w:iCs/>
                <w:snapToGrid w:val="0"/>
                <w:color w:val="auto"/>
                <w:sz w:val="24"/>
                <w:szCs w:val="24"/>
                <w:lang w:eastAsia="zh-CN"/>
              </w:rPr>
              <w:t>分卷机</w:t>
            </w:r>
          </w:p>
        </w:tc>
        <w:tc>
          <w:tcPr>
            <w:tcW w:w="550" w:type="dxa"/>
            <w:vAlign w:val="center"/>
          </w:tcPr>
          <w:p w14:paraId="3DA509D4">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lang w:val="en-US"/>
              </w:rPr>
              <w:t>1</w:t>
            </w:r>
          </w:p>
        </w:tc>
        <w:tc>
          <w:tcPr>
            <w:tcW w:w="714" w:type="dxa"/>
            <w:vAlign w:val="center"/>
          </w:tcPr>
          <w:p w14:paraId="57F84432">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85</w:t>
            </w:r>
          </w:p>
        </w:tc>
        <w:tc>
          <w:tcPr>
            <w:tcW w:w="387" w:type="dxa"/>
            <w:vMerge w:val="continue"/>
            <w:vAlign w:val="center"/>
          </w:tcPr>
          <w:p w14:paraId="2F4BF6FD">
            <w:pPr>
              <w:pStyle w:val="27"/>
              <w:spacing w:before="0" w:beforeAutospacing="0" w:after="0" w:afterAutospacing="0" w:line="240" w:lineRule="auto"/>
              <w:ind w:firstLine="0" w:firstLineChars="0"/>
              <w:outlineLvl w:val="0"/>
              <w:rPr>
                <w:rFonts w:hint="default" w:ascii="Times New Roman" w:hAnsi="Times New Roman" w:cs="Times New Roman"/>
                <w:b/>
                <w:i/>
                <w:iCs/>
                <w:snapToGrid w:val="0"/>
                <w:color w:val="auto"/>
                <w:sz w:val="24"/>
                <w:szCs w:val="24"/>
              </w:rPr>
            </w:pPr>
          </w:p>
        </w:tc>
        <w:tc>
          <w:tcPr>
            <w:tcW w:w="595" w:type="dxa"/>
            <w:vAlign w:val="center"/>
          </w:tcPr>
          <w:p w14:paraId="4110CE36">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-16</w:t>
            </w:r>
          </w:p>
        </w:tc>
        <w:tc>
          <w:tcPr>
            <w:tcW w:w="504" w:type="dxa"/>
            <w:vAlign w:val="center"/>
          </w:tcPr>
          <w:p w14:paraId="77F9BC07">
            <w:pPr>
              <w:pStyle w:val="27"/>
              <w:spacing w:before="0" w:beforeAutospacing="0" w:after="0" w:afterAutospacing="0" w:line="240" w:lineRule="auto"/>
              <w:ind w:firstLine="0" w:firstLineChars="0"/>
              <w:outlineLvl w:val="0"/>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cs="Times New Roman"/>
                <w:bCs/>
                <w:i/>
                <w:iCs/>
                <w:snapToGrid w:val="0"/>
                <w:color w:val="auto"/>
                <w:sz w:val="24"/>
                <w:szCs w:val="24"/>
                <w:lang w:val="en-US" w:eastAsia="zh-CN"/>
              </w:rPr>
              <w:t>2</w:t>
            </w:r>
          </w:p>
        </w:tc>
        <w:tc>
          <w:tcPr>
            <w:tcW w:w="547" w:type="dxa"/>
            <w:vAlign w:val="center"/>
          </w:tcPr>
          <w:p w14:paraId="2A3793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7.6</w:t>
            </w:r>
          </w:p>
        </w:tc>
        <w:tc>
          <w:tcPr>
            <w:tcW w:w="505" w:type="dxa"/>
            <w:vAlign w:val="bottom"/>
          </w:tcPr>
          <w:p w14:paraId="5B0995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56.5 </w:t>
            </w:r>
          </w:p>
        </w:tc>
        <w:tc>
          <w:tcPr>
            <w:tcW w:w="487" w:type="dxa"/>
            <w:vAlign w:val="bottom"/>
          </w:tcPr>
          <w:p w14:paraId="2A3CD1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17.7 </w:t>
            </w:r>
          </w:p>
        </w:tc>
        <w:tc>
          <w:tcPr>
            <w:tcW w:w="463" w:type="dxa"/>
            <w:vAlign w:val="bottom"/>
          </w:tcPr>
          <w:p w14:paraId="79F7E8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25.2 </w:t>
            </w:r>
          </w:p>
        </w:tc>
        <w:tc>
          <w:tcPr>
            <w:tcW w:w="487" w:type="dxa"/>
            <w:vAlign w:val="bottom"/>
          </w:tcPr>
          <w:p w14:paraId="126F0D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kern w:val="0"/>
                <w:sz w:val="24"/>
                <w:szCs w:val="24"/>
                <w:lang w:val="en-US" w:eastAsia="zh-CN" w:bidi="ar"/>
              </w:rPr>
            </w:pPr>
            <w:r>
              <w:rPr>
                <w:rFonts w:hint="default" w:ascii="Times New Roman" w:hAnsi="Times New Roman" w:eastAsia="等线" w:cs="Times New Roman"/>
                <w:i/>
                <w:iCs/>
                <w:color w:val="auto"/>
                <w:kern w:val="0"/>
                <w:sz w:val="22"/>
                <w:szCs w:val="22"/>
                <w:u w:val="none"/>
                <w:lang w:val="en-US" w:eastAsia="zh-CN" w:bidi="ar"/>
              </w:rPr>
              <w:t xml:space="preserve">15.9 </w:t>
            </w:r>
          </w:p>
        </w:tc>
        <w:tc>
          <w:tcPr>
            <w:tcW w:w="500" w:type="dxa"/>
            <w:vAlign w:val="center"/>
          </w:tcPr>
          <w:p w14:paraId="3086FEFC">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40 </w:t>
            </w:r>
          </w:p>
        </w:tc>
        <w:tc>
          <w:tcPr>
            <w:tcW w:w="488" w:type="dxa"/>
            <w:vAlign w:val="center"/>
          </w:tcPr>
          <w:p w14:paraId="2B5CB8C9">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50 </w:t>
            </w:r>
          </w:p>
        </w:tc>
        <w:tc>
          <w:tcPr>
            <w:tcW w:w="500" w:type="dxa"/>
            <w:vAlign w:val="center"/>
          </w:tcPr>
          <w:p w14:paraId="28836C17">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47 </w:t>
            </w:r>
          </w:p>
        </w:tc>
        <w:tc>
          <w:tcPr>
            <w:tcW w:w="540" w:type="dxa"/>
            <w:vAlign w:val="center"/>
          </w:tcPr>
          <w:p w14:paraId="303DB74E">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kern w:val="0"/>
                <w:sz w:val="24"/>
                <w:szCs w:val="24"/>
                <w:lang w:eastAsia="zh-CN" w:bidi="ar"/>
              </w:rPr>
            </w:pPr>
            <w:r>
              <w:rPr>
                <w:rFonts w:hint="default" w:ascii="Times New Roman" w:hAnsi="Times New Roman" w:eastAsia="等线" w:cs="Times New Roman"/>
                <w:i/>
                <w:iCs/>
                <w:color w:val="auto"/>
                <w:kern w:val="0"/>
                <w:sz w:val="24"/>
                <w:szCs w:val="24"/>
                <w:u w:val="none"/>
                <w:lang w:val="en-US" w:eastAsia="zh-CN" w:bidi="ar"/>
              </w:rPr>
              <w:t xml:space="preserve">51 </w:t>
            </w:r>
          </w:p>
        </w:tc>
        <w:tc>
          <w:tcPr>
            <w:tcW w:w="700" w:type="dxa"/>
            <w:vMerge w:val="continue"/>
            <w:vAlign w:val="center"/>
          </w:tcPr>
          <w:p w14:paraId="5043B33D">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1986BFE2">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lang w:val="en-US"/>
              </w:rPr>
            </w:pPr>
          </w:p>
        </w:tc>
        <w:tc>
          <w:tcPr>
            <w:tcW w:w="371" w:type="dxa"/>
            <w:vAlign w:val="center"/>
          </w:tcPr>
          <w:p w14:paraId="43241708">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4C2A7576">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1B272491">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79415307">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6987FD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 xml:space="preserve">19 </w:t>
            </w:r>
          </w:p>
        </w:tc>
        <w:tc>
          <w:tcPr>
            <w:tcW w:w="632" w:type="dxa"/>
            <w:vAlign w:val="center"/>
          </w:tcPr>
          <w:p w14:paraId="735234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 xml:space="preserve">29 </w:t>
            </w:r>
          </w:p>
        </w:tc>
        <w:tc>
          <w:tcPr>
            <w:tcW w:w="643" w:type="dxa"/>
            <w:vAlign w:val="center"/>
          </w:tcPr>
          <w:p w14:paraId="79F20C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 xml:space="preserve">26 </w:t>
            </w:r>
          </w:p>
        </w:tc>
        <w:tc>
          <w:tcPr>
            <w:tcW w:w="682" w:type="dxa"/>
            <w:vAlign w:val="center"/>
          </w:tcPr>
          <w:p w14:paraId="03FDEE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 xml:space="preserve">30 </w:t>
            </w:r>
          </w:p>
        </w:tc>
      </w:tr>
      <w:tr w14:paraId="4A5A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0A3E0F79">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lang w:val="en-US"/>
              </w:rPr>
            </w:pPr>
          </w:p>
        </w:tc>
        <w:tc>
          <w:tcPr>
            <w:tcW w:w="711" w:type="dxa"/>
            <w:vAlign w:val="center"/>
          </w:tcPr>
          <w:p w14:paraId="588D50DF">
            <w:pPr>
              <w:spacing w:line="240" w:lineRule="auto"/>
              <w:ind w:firstLine="0" w:firstLineChars="0"/>
              <w:jc w:val="left"/>
              <w:rPr>
                <w:rFonts w:hint="default" w:ascii="Times New Roman" w:hAnsi="Times New Roman" w:eastAsia="仿宋" w:cs="Times New Roman"/>
                <w:i/>
                <w:iCs/>
                <w:color w:val="auto"/>
                <w:sz w:val="24"/>
                <w:szCs w:val="24"/>
                <w:lang w:eastAsia="zh-CN"/>
              </w:rPr>
            </w:pPr>
            <w:r>
              <w:rPr>
                <w:rFonts w:hint="default" w:ascii="Times New Roman" w:hAnsi="Times New Roman" w:cs="Times New Roman"/>
                <w:i/>
                <w:iCs/>
                <w:color w:val="auto"/>
                <w:sz w:val="24"/>
                <w:szCs w:val="24"/>
                <w:lang w:eastAsia="zh-CN"/>
              </w:rPr>
              <w:t>下料机</w:t>
            </w:r>
          </w:p>
        </w:tc>
        <w:tc>
          <w:tcPr>
            <w:tcW w:w="550" w:type="dxa"/>
            <w:vAlign w:val="center"/>
          </w:tcPr>
          <w:p w14:paraId="3B22400D">
            <w:pPr>
              <w:pStyle w:val="27"/>
              <w:spacing w:before="0" w:beforeAutospacing="0" w:after="0" w:afterAutospacing="0" w:line="240" w:lineRule="auto"/>
              <w:ind w:firstLine="0" w:firstLineChars="0"/>
              <w:outlineLvl w:val="0"/>
              <w:rPr>
                <w:rFonts w:hint="default" w:ascii="Times New Roman" w:hAnsi="Times New Roman" w:cs="Times New Roman"/>
                <w:i/>
                <w:iCs/>
                <w:color w:val="auto"/>
                <w:kern w:val="2"/>
                <w:sz w:val="24"/>
                <w:szCs w:val="24"/>
                <w:lang w:val="en-US"/>
              </w:rPr>
            </w:pPr>
            <w:r>
              <w:rPr>
                <w:rFonts w:hint="default" w:ascii="Times New Roman" w:hAnsi="Times New Roman" w:cs="Times New Roman"/>
                <w:i/>
                <w:iCs/>
                <w:color w:val="auto"/>
                <w:kern w:val="2"/>
                <w:sz w:val="24"/>
                <w:szCs w:val="24"/>
                <w:lang w:val="en-US"/>
              </w:rPr>
              <w:t>1</w:t>
            </w:r>
          </w:p>
        </w:tc>
        <w:tc>
          <w:tcPr>
            <w:tcW w:w="714" w:type="dxa"/>
            <w:vAlign w:val="center"/>
          </w:tcPr>
          <w:p w14:paraId="5D290C12">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80</w:t>
            </w:r>
          </w:p>
        </w:tc>
        <w:tc>
          <w:tcPr>
            <w:tcW w:w="387" w:type="dxa"/>
            <w:vMerge w:val="continue"/>
            <w:vAlign w:val="center"/>
          </w:tcPr>
          <w:p w14:paraId="0B233904">
            <w:pPr>
              <w:pStyle w:val="27"/>
              <w:spacing w:before="0" w:beforeAutospacing="0" w:after="0" w:afterAutospacing="0" w:line="240" w:lineRule="auto"/>
              <w:ind w:firstLine="0" w:firstLineChars="0"/>
              <w:outlineLvl w:val="0"/>
              <w:rPr>
                <w:rFonts w:hint="default" w:ascii="Times New Roman" w:hAnsi="Times New Roman" w:cs="Times New Roman"/>
                <w:i/>
                <w:iCs/>
                <w:color w:val="auto"/>
                <w:kern w:val="2"/>
                <w:sz w:val="24"/>
                <w:szCs w:val="24"/>
                <w:lang w:val="en-US"/>
              </w:rPr>
            </w:pPr>
          </w:p>
        </w:tc>
        <w:tc>
          <w:tcPr>
            <w:tcW w:w="595" w:type="dxa"/>
            <w:vAlign w:val="center"/>
          </w:tcPr>
          <w:p w14:paraId="16DA6F4A">
            <w:pPr>
              <w:pStyle w:val="27"/>
              <w:spacing w:before="0" w:beforeAutospacing="0" w:after="0" w:afterAutospacing="0" w:line="240" w:lineRule="auto"/>
              <w:ind w:firstLine="0" w:firstLineChars="0"/>
              <w:outlineLvl w:val="0"/>
              <w:rPr>
                <w:rFonts w:hint="default" w:ascii="Times New Roman" w:hAnsi="Times New Roman" w:eastAsia="仿宋" w:cs="Times New Roman"/>
                <w:i/>
                <w:iCs/>
                <w:color w:val="auto"/>
                <w:kern w:val="2"/>
                <w:sz w:val="24"/>
                <w:szCs w:val="24"/>
                <w:lang w:val="en-US" w:eastAsia="zh-CN"/>
              </w:rPr>
            </w:pPr>
            <w:r>
              <w:rPr>
                <w:rFonts w:hint="default" w:ascii="Times New Roman" w:hAnsi="Times New Roman" w:cs="Times New Roman"/>
                <w:i/>
                <w:iCs/>
                <w:color w:val="auto"/>
                <w:kern w:val="2"/>
                <w:sz w:val="24"/>
                <w:szCs w:val="24"/>
                <w:lang w:val="en-US" w:eastAsia="zh-CN"/>
              </w:rPr>
              <w:t>-10</w:t>
            </w:r>
          </w:p>
        </w:tc>
        <w:tc>
          <w:tcPr>
            <w:tcW w:w="504" w:type="dxa"/>
            <w:vAlign w:val="center"/>
          </w:tcPr>
          <w:p w14:paraId="0758047F">
            <w:pPr>
              <w:pStyle w:val="27"/>
              <w:spacing w:before="0" w:beforeAutospacing="0" w:after="0" w:afterAutospacing="0" w:line="240" w:lineRule="auto"/>
              <w:ind w:firstLine="0" w:firstLineChars="0"/>
              <w:outlineLvl w:val="0"/>
              <w:rPr>
                <w:rFonts w:hint="default" w:ascii="Times New Roman" w:hAnsi="Times New Roman" w:eastAsia="仿宋" w:cs="Times New Roman"/>
                <w:i/>
                <w:iCs/>
                <w:color w:val="auto"/>
                <w:kern w:val="2"/>
                <w:sz w:val="24"/>
                <w:szCs w:val="24"/>
                <w:lang w:val="en-US" w:eastAsia="zh-CN"/>
              </w:rPr>
            </w:pPr>
            <w:r>
              <w:rPr>
                <w:rFonts w:hint="default" w:ascii="Times New Roman" w:hAnsi="Times New Roman" w:cs="Times New Roman"/>
                <w:i/>
                <w:iCs/>
                <w:color w:val="auto"/>
                <w:kern w:val="2"/>
                <w:sz w:val="24"/>
                <w:szCs w:val="24"/>
                <w:lang w:val="en-US" w:eastAsia="zh-CN"/>
              </w:rPr>
              <w:t>2</w:t>
            </w:r>
          </w:p>
        </w:tc>
        <w:tc>
          <w:tcPr>
            <w:tcW w:w="547" w:type="dxa"/>
            <w:vAlign w:val="center"/>
          </w:tcPr>
          <w:p w14:paraId="1F2637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7.6</w:t>
            </w:r>
          </w:p>
        </w:tc>
        <w:tc>
          <w:tcPr>
            <w:tcW w:w="505" w:type="dxa"/>
            <w:vAlign w:val="bottom"/>
          </w:tcPr>
          <w:p w14:paraId="47E2CC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50.6 </w:t>
            </w:r>
          </w:p>
        </w:tc>
        <w:tc>
          <w:tcPr>
            <w:tcW w:w="487" w:type="dxa"/>
            <w:vAlign w:val="bottom"/>
          </w:tcPr>
          <w:p w14:paraId="1204AA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18.6 </w:t>
            </w:r>
          </w:p>
        </w:tc>
        <w:tc>
          <w:tcPr>
            <w:tcW w:w="463" w:type="dxa"/>
            <w:vAlign w:val="bottom"/>
          </w:tcPr>
          <w:p w14:paraId="4EA6D4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30.9 </w:t>
            </w:r>
          </w:p>
        </w:tc>
        <w:tc>
          <w:tcPr>
            <w:tcW w:w="487" w:type="dxa"/>
            <w:vAlign w:val="bottom"/>
          </w:tcPr>
          <w:p w14:paraId="50FD44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15.1 </w:t>
            </w:r>
          </w:p>
        </w:tc>
        <w:tc>
          <w:tcPr>
            <w:tcW w:w="500" w:type="dxa"/>
            <w:vAlign w:val="center"/>
          </w:tcPr>
          <w:p w14:paraId="3056CB63">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46 </w:t>
            </w:r>
          </w:p>
        </w:tc>
        <w:tc>
          <w:tcPr>
            <w:tcW w:w="488" w:type="dxa"/>
            <w:vAlign w:val="center"/>
          </w:tcPr>
          <w:p w14:paraId="3DB44652">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55 </w:t>
            </w:r>
          </w:p>
        </w:tc>
        <w:tc>
          <w:tcPr>
            <w:tcW w:w="500" w:type="dxa"/>
            <w:vAlign w:val="center"/>
          </w:tcPr>
          <w:p w14:paraId="151BD37F">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50 </w:t>
            </w:r>
          </w:p>
        </w:tc>
        <w:tc>
          <w:tcPr>
            <w:tcW w:w="540" w:type="dxa"/>
            <w:vAlign w:val="center"/>
          </w:tcPr>
          <w:p w14:paraId="1E1ECCA1">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56 </w:t>
            </w:r>
          </w:p>
        </w:tc>
        <w:tc>
          <w:tcPr>
            <w:tcW w:w="700" w:type="dxa"/>
            <w:vMerge w:val="continue"/>
            <w:vAlign w:val="center"/>
          </w:tcPr>
          <w:p w14:paraId="21AAE324">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restart"/>
            <w:vAlign w:val="center"/>
          </w:tcPr>
          <w:p w14:paraId="64588B26">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lang w:val="en-US"/>
              </w:rPr>
            </w:pPr>
            <w:r>
              <w:rPr>
                <w:rFonts w:hint="default" w:ascii="Times New Roman" w:hAnsi="Times New Roman" w:cs="Times New Roman"/>
                <w:bCs/>
                <w:i/>
                <w:iCs/>
                <w:snapToGrid w:val="0"/>
                <w:color w:val="auto"/>
                <w:sz w:val="24"/>
                <w:szCs w:val="24"/>
                <w:lang w:val="en-US"/>
              </w:rPr>
              <w:t>15</w:t>
            </w:r>
          </w:p>
        </w:tc>
        <w:tc>
          <w:tcPr>
            <w:tcW w:w="371" w:type="dxa"/>
            <w:vAlign w:val="center"/>
          </w:tcPr>
          <w:p w14:paraId="2BB5E893">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7A76B763">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70AA725B">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36575EFC">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76790F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25 </w:t>
            </w:r>
          </w:p>
        </w:tc>
        <w:tc>
          <w:tcPr>
            <w:tcW w:w="632" w:type="dxa"/>
            <w:vAlign w:val="center"/>
          </w:tcPr>
          <w:p w14:paraId="7809C0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34 </w:t>
            </w:r>
          </w:p>
        </w:tc>
        <w:tc>
          <w:tcPr>
            <w:tcW w:w="643" w:type="dxa"/>
            <w:vAlign w:val="center"/>
          </w:tcPr>
          <w:p w14:paraId="4A0C14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29 </w:t>
            </w:r>
          </w:p>
        </w:tc>
        <w:tc>
          <w:tcPr>
            <w:tcW w:w="682" w:type="dxa"/>
            <w:vAlign w:val="center"/>
          </w:tcPr>
          <w:p w14:paraId="28B696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35 </w:t>
            </w:r>
          </w:p>
        </w:tc>
      </w:tr>
      <w:tr w14:paraId="66A8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4C4E760A">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lang w:val="en-US"/>
              </w:rPr>
            </w:pPr>
          </w:p>
        </w:tc>
        <w:tc>
          <w:tcPr>
            <w:tcW w:w="711" w:type="dxa"/>
            <w:vAlign w:val="center"/>
          </w:tcPr>
          <w:p w14:paraId="49125126">
            <w:pPr>
              <w:spacing w:line="240" w:lineRule="auto"/>
              <w:ind w:firstLine="0" w:firstLineChars="0"/>
              <w:jc w:val="left"/>
              <w:rPr>
                <w:rFonts w:hint="default" w:ascii="Times New Roman" w:hAnsi="Times New Roman" w:eastAsia="仿宋" w:cs="Times New Roman"/>
                <w:i/>
                <w:iCs/>
                <w:color w:val="auto"/>
                <w:sz w:val="24"/>
                <w:szCs w:val="24"/>
                <w:lang w:eastAsia="zh-CN"/>
              </w:rPr>
            </w:pPr>
            <w:r>
              <w:rPr>
                <w:rFonts w:hint="default" w:ascii="Times New Roman" w:hAnsi="Times New Roman" w:cs="Times New Roman"/>
                <w:i/>
                <w:iCs/>
                <w:color w:val="auto"/>
                <w:sz w:val="24"/>
                <w:szCs w:val="24"/>
                <w:lang w:eastAsia="zh-CN"/>
              </w:rPr>
              <w:t>打包机</w:t>
            </w:r>
          </w:p>
        </w:tc>
        <w:tc>
          <w:tcPr>
            <w:tcW w:w="550" w:type="dxa"/>
            <w:vAlign w:val="center"/>
          </w:tcPr>
          <w:p w14:paraId="452938EC">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1</w:t>
            </w:r>
          </w:p>
        </w:tc>
        <w:tc>
          <w:tcPr>
            <w:tcW w:w="714" w:type="dxa"/>
            <w:vAlign w:val="center"/>
          </w:tcPr>
          <w:p w14:paraId="72FB5398">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80</w:t>
            </w:r>
          </w:p>
        </w:tc>
        <w:tc>
          <w:tcPr>
            <w:tcW w:w="387" w:type="dxa"/>
            <w:vMerge w:val="continue"/>
            <w:vAlign w:val="center"/>
          </w:tcPr>
          <w:p w14:paraId="158846E4">
            <w:pPr>
              <w:spacing w:line="240" w:lineRule="auto"/>
              <w:ind w:firstLine="0" w:firstLineChars="0"/>
              <w:jc w:val="left"/>
              <w:rPr>
                <w:rFonts w:hint="default" w:ascii="Times New Roman" w:hAnsi="Times New Roman" w:cs="Times New Roman"/>
                <w:i/>
                <w:iCs/>
                <w:color w:val="auto"/>
                <w:sz w:val="24"/>
                <w:szCs w:val="24"/>
                <w:lang w:val="zh-CN"/>
              </w:rPr>
            </w:pPr>
          </w:p>
        </w:tc>
        <w:tc>
          <w:tcPr>
            <w:tcW w:w="595" w:type="dxa"/>
            <w:vAlign w:val="center"/>
          </w:tcPr>
          <w:p w14:paraId="7C65348B">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-36</w:t>
            </w:r>
          </w:p>
        </w:tc>
        <w:tc>
          <w:tcPr>
            <w:tcW w:w="504" w:type="dxa"/>
            <w:vAlign w:val="center"/>
          </w:tcPr>
          <w:p w14:paraId="3474CF20">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13</w:t>
            </w:r>
          </w:p>
        </w:tc>
        <w:tc>
          <w:tcPr>
            <w:tcW w:w="547" w:type="dxa"/>
            <w:vAlign w:val="center"/>
          </w:tcPr>
          <w:p w14:paraId="6B9260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8</w:t>
            </w:r>
          </w:p>
        </w:tc>
        <w:tc>
          <w:tcPr>
            <w:tcW w:w="505" w:type="dxa"/>
            <w:vAlign w:val="bottom"/>
          </w:tcPr>
          <w:p w14:paraId="7968A0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76.4 </w:t>
            </w:r>
          </w:p>
        </w:tc>
        <w:tc>
          <w:tcPr>
            <w:tcW w:w="487" w:type="dxa"/>
            <w:vAlign w:val="bottom"/>
          </w:tcPr>
          <w:p w14:paraId="066A5D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8.5 </w:t>
            </w:r>
          </w:p>
        </w:tc>
        <w:tc>
          <w:tcPr>
            <w:tcW w:w="463" w:type="dxa"/>
            <w:vAlign w:val="bottom"/>
          </w:tcPr>
          <w:p w14:paraId="4DF6FC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8.9 </w:t>
            </w:r>
          </w:p>
        </w:tc>
        <w:tc>
          <w:tcPr>
            <w:tcW w:w="487" w:type="dxa"/>
            <w:vAlign w:val="bottom"/>
          </w:tcPr>
          <w:p w14:paraId="028CFD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28.2 </w:t>
            </w:r>
          </w:p>
        </w:tc>
        <w:tc>
          <w:tcPr>
            <w:tcW w:w="500" w:type="dxa"/>
            <w:vAlign w:val="center"/>
          </w:tcPr>
          <w:p w14:paraId="31A580EE">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37 </w:t>
            </w:r>
          </w:p>
        </w:tc>
        <w:tc>
          <w:tcPr>
            <w:tcW w:w="488" w:type="dxa"/>
            <w:vAlign w:val="center"/>
          </w:tcPr>
          <w:p w14:paraId="7D8E521C">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56 </w:t>
            </w:r>
          </w:p>
        </w:tc>
        <w:tc>
          <w:tcPr>
            <w:tcW w:w="500" w:type="dxa"/>
            <w:vAlign w:val="center"/>
          </w:tcPr>
          <w:p w14:paraId="7050BD5B">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56 </w:t>
            </w:r>
          </w:p>
        </w:tc>
        <w:tc>
          <w:tcPr>
            <w:tcW w:w="540" w:type="dxa"/>
            <w:vAlign w:val="center"/>
          </w:tcPr>
          <w:p w14:paraId="49D085B5">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46 </w:t>
            </w:r>
          </w:p>
        </w:tc>
        <w:tc>
          <w:tcPr>
            <w:tcW w:w="700" w:type="dxa"/>
            <w:vMerge w:val="continue"/>
            <w:vAlign w:val="center"/>
          </w:tcPr>
          <w:p w14:paraId="03179527">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34E3A137">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27AB14AE">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24CAC416">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4A6BDD50">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3B70C5EB">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33A485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16 </w:t>
            </w:r>
          </w:p>
        </w:tc>
        <w:tc>
          <w:tcPr>
            <w:tcW w:w="632" w:type="dxa"/>
            <w:vAlign w:val="center"/>
          </w:tcPr>
          <w:p w14:paraId="7F2676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35 </w:t>
            </w:r>
          </w:p>
        </w:tc>
        <w:tc>
          <w:tcPr>
            <w:tcW w:w="643" w:type="dxa"/>
            <w:vAlign w:val="center"/>
          </w:tcPr>
          <w:p w14:paraId="5E588B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35 </w:t>
            </w:r>
          </w:p>
        </w:tc>
        <w:tc>
          <w:tcPr>
            <w:tcW w:w="682" w:type="dxa"/>
            <w:vAlign w:val="center"/>
          </w:tcPr>
          <w:p w14:paraId="6C960A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25 </w:t>
            </w:r>
          </w:p>
        </w:tc>
      </w:tr>
      <w:tr w14:paraId="14D7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3A7A6660">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lang w:val="en-US"/>
              </w:rPr>
            </w:pPr>
          </w:p>
        </w:tc>
        <w:tc>
          <w:tcPr>
            <w:tcW w:w="711" w:type="dxa"/>
            <w:vAlign w:val="center"/>
          </w:tcPr>
          <w:p w14:paraId="4CE20F77">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eastAsia="zh-CN"/>
              </w:rPr>
              <w:t>涂布机</w:t>
            </w:r>
            <w:r>
              <w:rPr>
                <w:rFonts w:hint="default" w:ascii="Times New Roman" w:hAnsi="Times New Roman" w:cs="Times New Roman"/>
                <w:i/>
                <w:iCs/>
                <w:color w:val="auto"/>
                <w:sz w:val="24"/>
                <w:szCs w:val="24"/>
                <w:lang w:val="en-US" w:eastAsia="zh-CN"/>
              </w:rPr>
              <w:t>1</w:t>
            </w:r>
          </w:p>
        </w:tc>
        <w:tc>
          <w:tcPr>
            <w:tcW w:w="550" w:type="dxa"/>
            <w:vAlign w:val="center"/>
          </w:tcPr>
          <w:p w14:paraId="25037000">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1</w:t>
            </w:r>
          </w:p>
        </w:tc>
        <w:tc>
          <w:tcPr>
            <w:tcW w:w="714" w:type="dxa"/>
            <w:vAlign w:val="center"/>
          </w:tcPr>
          <w:p w14:paraId="00903DC4">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80</w:t>
            </w:r>
          </w:p>
        </w:tc>
        <w:tc>
          <w:tcPr>
            <w:tcW w:w="387" w:type="dxa"/>
            <w:vMerge w:val="continue"/>
            <w:vAlign w:val="center"/>
          </w:tcPr>
          <w:p w14:paraId="3499AB13">
            <w:pPr>
              <w:spacing w:line="240" w:lineRule="auto"/>
              <w:ind w:firstLine="0" w:firstLineChars="0"/>
              <w:jc w:val="left"/>
              <w:rPr>
                <w:rFonts w:hint="default" w:ascii="Times New Roman" w:hAnsi="Times New Roman" w:cs="Times New Roman"/>
                <w:i/>
                <w:iCs/>
                <w:color w:val="auto"/>
                <w:sz w:val="24"/>
                <w:szCs w:val="24"/>
                <w:lang w:val="zh-CN"/>
              </w:rPr>
            </w:pPr>
          </w:p>
        </w:tc>
        <w:tc>
          <w:tcPr>
            <w:tcW w:w="595" w:type="dxa"/>
            <w:vAlign w:val="center"/>
          </w:tcPr>
          <w:p w14:paraId="585F6D61">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11</w:t>
            </w:r>
          </w:p>
        </w:tc>
        <w:tc>
          <w:tcPr>
            <w:tcW w:w="504" w:type="dxa"/>
            <w:vAlign w:val="center"/>
          </w:tcPr>
          <w:p w14:paraId="20C0E257">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14</w:t>
            </w:r>
          </w:p>
        </w:tc>
        <w:tc>
          <w:tcPr>
            <w:tcW w:w="547" w:type="dxa"/>
            <w:vAlign w:val="bottom"/>
          </w:tcPr>
          <w:p w14:paraId="0CDED6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18.5</w:t>
            </w:r>
          </w:p>
        </w:tc>
        <w:tc>
          <w:tcPr>
            <w:tcW w:w="505" w:type="dxa"/>
            <w:vAlign w:val="bottom"/>
          </w:tcPr>
          <w:p w14:paraId="107FAA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75.4 </w:t>
            </w:r>
          </w:p>
        </w:tc>
        <w:tc>
          <w:tcPr>
            <w:tcW w:w="487" w:type="dxa"/>
            <w:vAlign w:val="bottom"/>
          </w:tcPr>
          <w:p w14:paraId="4944CD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23.4 </w:t>
            </w:r>
          </w:p>
        </w:tc>
        <w:tc>
          <w:tcPr>
            <w:tcW w:w="463" w:type="dxa"/>
            <w:vAlign w:val="bottom"/>
          </w:tcPr>
          <w:p w14:paraId="10E757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9.4 </w:t>
            </w:r>
          </w:p>
        </w:tc>
        <w:tc>
          <w:tcPr>
            <w:tcW w:w="487" w:type="dxa"/>
            <w:vAlign w:val="bottom"/>
          </w:tcPr>
          <w:p w14:paraId="68688C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11.3 </w:t>
            </w:r>
          </w:p>
        </w:tc>
        <w:tc>
          <w:tcPr>
            <w:tcW w:w="500" w:type="dxa"/>
            <w:vAlign w:val="center"/>
          </w:tcPr>
          <w:p w14:paraId="33AF7494">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44 </w:t>
            </w:r>
          </w:p>
        </w:tc>
        <w:tc>
          <w:tcPr>
            <w:tcW w:w="488" w:type="dxa"/>
            <w:vAlign w:val="center"/>
          </w:tcPr>
          <w:p w14:paraId="3D505981">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44 </w:t>
            </w:r>
          </w:p>
        </w:tc>
        <w:tc>
          <w:tcPr>
            <w:tcW w:w="500" w:type="dxa"/>
            <w:vAlign w:val="center"/>
          </w:tcPr>
          <w:p w14:paraId="3F978A8E">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40 </w:t>
            </w:r>
          </w:p>
        </w:tc>
        <w:tc>
          <w:tcPr>
            <w:tcW w:w="540" w:type="dxa"/>
            <w:vAlign w:val="center"/>
          </w:tcPr>
          <w:p w14:paraId="0E2994E5">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50 </w:t>
            </w:r>
          </w:p>
        </w:tc>
        <w:tc>
          <w:tcPr>
            <w:tcW w:w="700" w:type="dxa"/>
            <w:vMerge w:val="continue"/>
            <w:vAlign w:val="center"/>
          </w:tcPr>
          <w:p w14:paraId="5FCF6024">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6DCBCCFF">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7CF488B4">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25609018">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782F0646">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09750DEE">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29D82D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23 </w:t>
            </w:r>
          </w:p>
        </w:tc>
        <w:tc>
          <w:tcPr>
            <w:tcW w:w="632" w:type="dxa"/>
            <w:vAlign w:val="center"/>
          </w:tcPr>
          <w:p w14:paraId="29B669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23 </w:t>
            </w:r>
          </w:p>
        </w:tc>
        <w:tc>
          <w:tcPr>
            <w:tcW w:w="643" w:type="dxa"/>
            <w:vAlign w:val="center"/>
          </w:tcPr>
          <w:p w14:paraId="1EBE3E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19 </w:t>
            </w:r>
          </w:p>
        </w:tc>
        <w:tc>
          <w:tcPr>
            <w:tcW w:w="682" w:type="dxa"/>
            <w:vAlign w:val="center"/>
          </w:tcPr>
          <w:p w14:paraId="211263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29 </w:t>
            </w:r>
          </w:p>
        </w:tc>
      </w:tr>
      <w:tr w14:paraId="31E6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30EF2797">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lang w:val="en-US"/>
              </w:rPr>
            </w:pPr>
          </w:p>
        </w:tc>
        <w:tc>
          <w:tcPr>
            <w:tcW w:w="711" w:type="dxa"/>
            <w:vAlign w:val="center"/>
          </w:tcPr>
          <w:p w14:paraId="20C84259">
            <w:pPr>
              <w:spacing w:line="240" w:lineRule="auto"/>
              <w:ind w:firstLine="0" w:firstLineChars="0"/>
              <w:jc w:val="left"/>
              <w:rPr>
                <w:rFonts w:hint="default" w:ascii="Times New Roman" w:hAnsi="Times New Roman" w:cs="Times New Roman"/>
                <w:i/>
                <w:iCs/>
                <w:color w:val="auto"/>
                <w:sz w:val="24"/>
                <w:szCs w:val="24"/>
                <w:lang w:val="en-US"/>
              </w:rPr>
            </w:pPr>
            <w:r>
              <w:rPr>
                <w:rFonts w:hint="default" w:ascii="Times New Roman" w:hAnsi="Times New Roman" w:cs="Times New Roman"/>
                <w:i/>
                <w:iCs/>
                <w:color w:val="auto"/>
                <w:sz w:val="24"/>
                <w:szCs w:val="24"/>
                <w:lang w:eastAsia="zh-CN"/>
              </w:rPr>
              <w:t>涂布机</w:t>
            </w:r>
            <w:r>
              <w:rPr>
                <w:rFonts w:hint="default" w:ascii="Times New Roman" w:hAnsi="Times New Roman" w:cs="Times New Roman"/>
                <w:i/>
                <w:iCs/>
                <w:color w:val="auto"/>
                <w:sz w:val="24"/>
                <w:szCs w:val="24"/>
                <w:lang w:val="en-US" w:eastAsia="zh-CN"/>
              </w:rPr>
              <w:t>2</w:t>
            </w:r>
          </w:p>
        </w:tc>
        <w:tc>
          <w:tcPr>
            <w:tcW w:w="550" w:type="dxa"/>
            <w:vAlign w:val="center"/>
          </w:tcPr>
          <w:p w14:paraId="3A4D1828">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1</w:t>
            </w:r>
          </w:p>
        </w:tc>
        <w:tc>
          <w:tcPr>
            <w:tcW w:w="714" w:type="dxa"/>
            <w:vAlign w:val="center"/>
          </w:tcPr>
          <w:p w14:paraId="0E9D0A68">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80</w:t>
            </w:r>
          </w:p>
        </w:tc>
        <w:tc>
          <w:tcPr>
            <w:tcW w:w="387" w:type="dxa"/>
            <w:vMerge w:val="continue"/>
            <w:vAlign w:val="center"/>
          </w:tcPr>
          <w:p w14:paraId="49EE7755">
            <w:pPr>
              <w:spacing w:line="240" w:lineRule="auto"/>
              <w:ind w:firstLine="0" w:firstLineChars="0"/>
              <w:jc w:val="left"/>
              <w:rPr>
                <w:rFonts w:hint="default" w:ascii="Times New Roman" w:hAnsi="Times New Roman" w:cs="Times New Roman"/>
                <w:i/>
                <w:iCs/>
                <w:color w:val="auto"/>
                <w:sz w:val="24"/>
                <w:szCs w:val="24"/>
                <w:lang w:val="zh-CN"/>
              </w:rPr>
            </w:pPr>
          </w:p>
        </w:tc>
        <w:tc>
          <w:tcPr>
            <w:tcW w:w="595" w:type="dxa"/>
            <w:vAlign w:val="center"/>
          </w:tcPr>
          <w:p w14:paraId="00D8B4B2">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15</w:t>
            </w:r>
          </w:p>
        </w:tc>
        <w:tc>
          <w:tcPr>
            <w:tcW w:w="504" w:type="dxa"/>
            <w:vAlign w:val="center"/>
          </w:tcPr>
          <w:p w14:paraId="04D103FD">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8</w:t>
            </w:r>
          </w:p>
        </w:tc>
        <w:tc>
          <w:tcPr>
            <w:tcW w:w="547" w:type="dxa"/>
            <w:vAlign w:val="bottom"/>
          </w:tcPr>
          <w:p w14:paraId="2A3D5E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18.5</w:t>
            </w:r>
          </w:p>
        </w:tc>
        <w:tc>
          <w:tcPr>
            <w:tcW w:w="505" w:type="dxa"/>
            <w:vAlign w:val="bottom"/>
          </w:tcPr>
          <w:p w14:paraId="7CD30E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34.4 </w:t>
            </w:r>
          </w:p>
        </w:tc>
        <w:tc>
          <w:tcPr>
            <w:tcW w:w="487" w:type="dxa"/>
            <w:vAlign w:val="bottom"/>
          </w:tcPr>
          <w:p w14:paraId="79F957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33.6 </w:t>
            </w:r>
          </w:p>
        </w:tc>
        <w:tc>
          <w:tcPr>
            <w:tcW w:w="463" w:type="dxa"/>
            <w:vAlign w:val="bottom"/>
          </w:tcPr>
          <w:p w14:paraId="232603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54.3 </w:t>
            </w:r>
          </w:p>
        </w:tc>
        <w:tc>
          <w:tcPr>
            <w:tcW w:w="487" w:type="dxa"/>
            <w:vAlign w:val="bottom"/>
          </w:tcPr>
          <w:p w14:paraId="6E8C1E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18.6 </w:t>
            </w:r>
          </w:p>
        </w:tc>
        <w:tc>
          <w:tcPr>
            <w:tcW w:w="500" w:type="dxa"/>
            <w:vAlign w:val="center"/>
          </w:tcPr>
          <w:p w14:paraId="4D264FFA">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45 </w:t>
            </w:r>
          </w:p>
        </w:tc>
        <w:tc>
          <w:tcPr>
            <w:tcW w:w="488" w:type="dxa"/>
            <w:vAlign w:val="center"/>
          </w:tcPr>
          <w:p w14:paraId="6B4F228A">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46 </w:t>
            </w:r>
          </w:p>
        </w:tc>
        <w:tc>
          <w:tcPr>
            <w:tcW w:w="500" w:type="dxa"/>
            <w:vAlign w:val="center"/>
          </w:tcPr>
          <w:p w14:paraId="6158E097">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40 </w:t>
            </w:r>
          </w:p>
        </w:tc>
        <w:tc>
          <w:tcPr>
            <w:tcW w:w="540" w:type="dxa"/>
            <w:vAlign w:val="center"/>
          </w:tcPr>
          <w:p w14:paraId="34977099">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49 </w:t>
            </w:r>
          </w:p>
        </w:tc>
        <w:tc>
          <w:tcPr>
            <w:tcW w:w="700" w:type="dxa"/>
            <w:vMerge w:val="continue"/>
            <w:vAlign w:val="center"/>
          </w:tcPr>
          <w:p w14:paraId="792D250F">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369F7C04">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5B50A70D">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60D36F2E">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2C0F42AD">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33FEFB18">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1B2762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24 </w:t>
            </w:r>
          </w:p>
        </w:tc>
        <w:tc>
          <w:tcPr>
            <w:tcW w:w="632" w:type="dxa"/>
            <w:vAlign w:val="center"/>
          </w:tcPr>
          <w:p w14:paraId="3A8497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25 </w:t>
            </w:r>
          </w:p>
        </w:tc>
        <w:tc>
          <w:tcPr>
            <w:tcW w:w="643" w:type="dxa"/>
            <w:vAlign w:val="center"/>
          </w:tcPr>
          <w:p w14:paraId="1F4A1A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19 </w:t>
            </w:r>
          </w:p>
        </w:tc>
        <w:tc>
          <w:tcPr>
            <w:tcW w:w="682" w:type="dxa"/>
            <w:vAlign w:val="center"/>
          </w:tcPr>
          <w:p w14:paraId="6D26F3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28 </w:t>
            </w:r>
          </w:p>
        </w:tc>
      </w:tr>
      <w:tr w14:paraId="780E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2D170374">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lang w:val="en-US"/>
              </w:rPr>
            </w:pPr>
          </w:p>
        </w:tc>
        <w:tc>
          <w:tcPr>
            <w:tcW w:w="711" w:type="dxa"/>
            <w:vAlign w:val="center"/>
          </w:tcPr>
          <w:p w14:paraId="18E7F3B0">
            <w:pPr>
              <w:spacing w:line="240" w:lineRule="auto"/>
              <w:ind w:firstLine="0" w:firstLineChars="0"/>
              <w:jc w:val="left"/>
              <w:rPr>
                <w:rFonts w:hint="default" w:ascii="Times New Roman" w:hAnsi="Times New Roman" w:eastAsia="仿宋" w:cs="Times New Roman"/>
                <w:i/>
                <w:iCs/>
                <w:color w:val="auto"/>
                <w:sz w:val="24"/>
                <w:szCs w:val="24"/>
                <w:lang w:eastAsia="zh-CN"/>
              </w:rPr>
            </w:pPr>
            <w:r>
              <w:rPr>
                <w:rFonts w:hint="default" w:ascii="Times New Roman" w:hAnsi="Times New Roman" w:cs="Times New Roman"/>
                <w:i/>
                <w:iCs/>
                <w:color w:val="auto"/>
                <w:sz w:val="24"/>
                <w:szCs w:val="24"/>
                <w:lang w:eastAsia="zh-CN"/>
              </w:rPr>
              <w:t>贴合机</w:t>
            </w:r>
          </w:p>
        </w:tc>
        <w:tc>
          <w:tcPr>
            <w:tcW w:w="550" w:type="dxa"/>
            <w:vAlign w:val="center"/>
          </w:tcPr>
          <w:p w14:paraId="45E6E7B6">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1</w:t>
            </w:r>
          </w:p>
        </w:tc>
        <w:tc>
          <w:tcPr>
            <w:tcW w:w="714" w:type="dxa"/>
            <w:vAlign w:val="center"/>
          </w:tcPr>
          <w:p w14:paraId="5F92BD2D">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80</w:t>
            </w:r>
          </w:p>
        </w:tc>
        <w:tc>
          <w:tcPr>
            <w:tcW w:w="387" w:type="dxa"/>
            <w:vMerge w:val="continue"/>
            <w:vAlign w:val="center"/>
          </w:tcPr>
          <w:p w14:paraId="4344F786">
            <w:pPr>
              <w:spacing w:line="240" w:lineRule="auto"/>
              <w:ind w:firstLine="0" w:firstLineChars="0"/>
              <w:jc w:val="left"/>
              <w:rPr>
                <w:rFonts w:hint="default" w:ascii="Times New Roman" w:hAnsi="Times New Roman" w:cs="Times New Roman"/>
                <w:i/>
                <w:iCs/>
                <w:color w:val="auto"/>
                <w:sz w:val="24"/>
                <w:szCs w:val="24"/>
                <w:lang w:val="zh-CN"/>
              </w:rPr>
            </w:pPr>
          </w:p>
        </w:tc>
        <w:tc>
          <w:tcPr>
            <w:tcW w:w="595" w:type="dxa"/>
            <w:vAlign w:val="center"/>
          </w:tcPr>
          <w:p w14:paraId="0F8ADFC8">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14</w:t>
            </w:r>
          </w:p>
        </w:tc>
        <w:tc>
          <w:tcPr>
            <w:tcW w:w="504" w:type="dxa"/>
            <w:vAlign w:val="center"/>
          </w:tcPr>
          <w:p w14:paraId="261D20CA">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2</w:t>
            </w:r>
          </w:p>
        </w:tc>
        <w:tc>
          <w:tcPr>
            <w:tcW w:w="547" w:type="dxa"/>
            <w:vAlign w:val="center"/>
          </w:tcPr>
          <w:p w14:paraId="64E00C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16</w:t>
            </w:r>
          </w:p>
        </w:tc>
        <w:tc>
          <w:tcPr>
            <w:tcW w:w="505" w:type="dxa"/>
            <w:vAlign w:val="bottom"/>
          </w:tcPr>
          <w:p w14:paraId="6D2009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31.1 </w:t>
            </w:r>
          </w:p>
        </w:tc>
        <w:tc>
          <w:tcPr>
            <w:tcW w:w="487" w:type="dxa"/>
            <w:vAlign w:val="bottom"/>
          </w:tcPr>
          <w:p w14:paraId="08AF66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28.7 </w:t>
            </w:r>
          </w:p>
        </w:tc>
        <w:tc>
          <w:tcPr>
            <w:tcW w:w="463" w:type="dxa"/>
            <w:vAlign w:val="bottom"/>
          </w:tcPr>
          <w:p w14:paraId="0E55B1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58.0 </w:t>
            </w:r>
          </w:p>
        </w:tc>
        <w:tc>
          <w:tcPr>
            <w:tcW w:w="487" w:type="dxa"/>
            <w:vAlign w:val="bottom"/>
          </w:tcPr>
          <w:p w14:paraId="3C1258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20.2 </w:t>
            </w:r>
          </w:p>
        </w:tc>
        <w:tc>
          <w:tcPr>
            <w:tcW w:w="500" w:type="dxa"/>
            <w:vAlign w:val="center"/>
          </w:tcPr>
          <w:p w14:paraId="1E2F2737">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45 </w:t>
            </w:r>
          </w:p>
        </w:tc>
        <w:tc>
          <w:tcPr>
            <w:tcW w:w="488" w:type="dxa"/>
            <w:vAlign w:val="center"/>
          </w:tcPr>
          <w:p w14:paraId="7AFD9692">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48 </w:t>
            </w:r>
          </w:p>
        </w:tc>
        <w:tc>
          <w:tcPr>
            <w:tcW w:w="500" w:type="dxa"/>
            <w:vAlign w:val="center"/>
          </w:tcPr>
          <w:p w14:paraId="3B77AC1D">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40 </w:t>
            </w:r>
          </w:p>
        </w:tc>
        <w:tc>
          <w:tcPr>
            <w:tcW w:w="540" w:type="dxa"/>
            <w:vAlign w:val="center"/>
          </w:tcPr>
          <w:p w14:paraId="120C59EB">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49 </w:t>
            </w:r>
          </w:p>
        </w:tc>
        <w:tc>
          <w:tcPr>
            <w:tcW w:w="700" w:type="dxa"/>
            <w:vMerge w:val="continue"/>
            <w:vAlign w:val="center"/>
          </w:tcPr>
          <w:p w14:paraId="6ACC23EF">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28675D3A">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66587E26">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0810871C">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1B6244C7">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43107766">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032307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24 </w:t>
            </w:r>
          </w:p>
        </w:tc>
        <w:tc>
          <w:tcPr>
            <w:tcW w:w="632" w:type="dxa"/>
            <w:vAlign w:val="center"/>
          </w:tcPr>
          <w:p w14:paraId="33FFD9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27 </w:t>
            </w:r>
          </w:p>
        </w:tc>
        <w:tc>
          <w:tcPr>
            <w:tcW w:w="643" w:type="dxa"/>
            <w:vAlign w:val="center"/>
          </w:tcPr>
          <w:p w14:paraId="432B54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19 </w:t>
            </w:r>
          </w:p>
        </w:tc>
        <w:tc>
          <w:tcPr>
            <w:tcW w:w="682" w:type="dxa"/>
            <w:vAlign w:val="center"/>
          </w:tcPr>
          <w:p w14:paraId="01961E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28 </w:t>
            </w:r>
          </w:p>
        </w:tc>
      </w:tr>
      <w:tr w14:paraId="2D54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7E6A690B">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lang w:val="en-US"/>
              </w:rPr>
            </w:pPr>
          </w:p>
        </w:tc>
        <w:tc>
          <w:tcPr>
            <w:tcW w:w="711" w:type="dxa"/>
            <w:vAlign w:val="center"/>
          </w:tcPr>
          <w:p w14:paraId="52CACDF7">
            <w:pPr>
              <w:spacing w:line="240" w:lineRule="auto"/>
              <w:ind w:firstLine="0" w:firstLineChars="0"/>
              <w:jc w:val="left"/>
              <w:rPr>
                <w:rFonts w:hint="default" w:ascii="Times New Roman" w:hAnsi="Times New Roman" w:eastAsia="仿宋" w:cs="Times New Roman"/>
                <w:i/>
                <w:iCs/>
                <w:color w:val="auto"/>
                <w:sz w:val="24"/>
                <w:szCs w:val="24"/>
                <w:lang w:eastAsia="zh-CN"/>
              </w:rPr>
            </w:pPr>
            <w:r>
              <w:rPr>
                <w:rFonts w:hint="default" w:ascii="Times New Roman" w:hAnsi="Times New Roman" w:cs="Times New Roman"/>
                <w:i/>
                <w:iCs/>
                <w:color w:val="auto"/>
                <w:sz w:val="24"/>
                <w:szCs w:val="24"/>
                <w:lang w:eastAsia="zh-CN"/>
              </w:rPr>
              <w:t>剖片机</w:t>
            </w:r>
          </w:p>
        </w:tc>
        <w:tc>
          <w:tcPr>
            <w:tcW w:w="550" w:type="dxa"/>
            <w:shd w:val="clear" w:color="auto" w:fill="auto"/>
            <w:vAlign w:val="center"/>
          </w:tcPr>
          <w:p w14:paraId="29CB2E19">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1</w:t>
            </w:r>
          </w:p>
        </w:tc>
        <w:tc>
          <w:tcPr>
            <w:tcW w:w="714" w:type="dxa"/>
            <w:shd w:val="clear" w:color="auto" w:fill="auto"/>
            <w:vAlign w:val="center"/>
          </w:tcPr>
          <w:p w14:paraId="54BFF29E">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70</w:t>
            </w:r>
          </w:p>
        </w:tc>
        <w:tc>
          <w:tcPr>
            <w:tcW w:w="387" w:type="dxa"/>
            <w:vMerge w:val="restart"/>
            <w:vAlign w:val="center"/>
          </w:tcPr>
          <w:p w14:paraId="29E8E8DF">
            <w:pPr>
              <w:spacing w:line="240" w:lineRule="auto"/>
              <w:ind w:firstLine="0" w:firstLineChars="0"/>
              <w:jc w:val="left"/>
              <w:rPr>
                <w:rFonts w:hint="default" w:ascii="Times New Roman" w:hAnsi="Times New Roman" w:cs="Times New Roman"/>
                <w:i/>
                <w:iCs/>
                <w:color w:val="auto"/>
                <w:sz w:val="24"/>
                <w:szCs w:val="24"/>
                <w:lang w:val="zh-CN"/>
              </w:rPr>
            </w:pPr>
          </w:p>
        </w:tc>
        <w:tc>
          <w:tcPr>
            <w:tcW w:w="595" w:type="dxa"/>
            <w:vAlign w:val="center"/>
          </w:tcPr>
          <w:p w14:paraId="3895F094">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-37</w:t>
            </w:r>
          </w:p>
        </w:tc>
        <w:tc>
          <w:tcPr>
            <w:tcW w:w="504" w:type="dxa"/>
            <w:vAlign w:val="center"/>
          </w:tcPr>
          <w:p w14:paraId="6EBDD527">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5</w:t>
            </w:r>
          </w:p>
        </w:tc>
        <w:tc>
          <w:tcPr>
            <w:tcW w:w="547" w:type="dxa"/>
            <w:vAlign w:val="center"/>
          </w:tcPr>
          <w:p w14:paraId="52252B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15</w:t>
            </w:r>
          </w:p>
        </w:tc>
        <w:tc>
          <w:tcPr>
            <w:tcW w:w="505" w:type="dxa"/>
            <w:vAlign w:val="bottom"/>
          </w:tcPr>
          <w:p w14:paraId="1A2E35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31.4 </w:t>
            </w:r>
          </w:p>
        </w:tc>
        <w:tc>
          <w:tcPr>
            <w:tcW w:w="487" w:type="dxa"/>
            <w:vAlign w:val="bottom"/>
          </w:tcPr>
          <w:p w14:paraId="018776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23.3 </w:t>
            </w:r>
          </w:p>
        </w:tc>
        <w:tc>
          <w:tcPr>
            <w:tcW w:w="463" w:type="dxa"/>
            <w:vAlign w:val="bottom"/>
          </w:tcPr>
          <w:p w14:paraId="208468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55.4 </w:t>
            </w:r>
          </w:p>
        </w:tc>
        <w:tc>
          <w:tcPr>
            <w:tcW w:w="487" w:type="dxa"/>
            <w:vAlign w:val="bottom"/>
          </w:tcPr>
          <w:p w14:paraId="5C55CD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20.6 </w:t>
            </w:r>
          </w:p>
        </w:tc>
        <w:tc>
          <w:tcPr>
            <w:tcW w:w="500" w:type="dxa"/>
            <w:vAlign w:val="center"/>
          </w:tcPr>
          <w:p w14:paraId="6B8420E0">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37 </w:t>
            </w:r>
          </w:p>
        </w:tc>
        <w:tc>
          <w:tcPr>
            <w:tcW w:w="488" w:type="dxa"/>
            <w:vAlign w:val="center"/>
          </w:tcPr>
          <w:p w14:paraId="763A89BE">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50 </w:t>
            </w:r>
          </w:p>
        </w:tc>
        <w:tc>
          <w:tcPr>
            <w:tcW w:w="500" w:type="dxa"/>
            <w:vAlign w:val="center"/>
          </w:tcPr>
          <w:p w14:paraId="704812B2">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51 </w:t>
            </w:r>
          </w:p>
        </w:tc>
        <w:tc>
          <w:tcPr>
            <w:tcW w:w="540" w:type="dxa"/>
            <w:vAlign w:val="center"/>
          </w:tcPr>
          <w:p w14:paraId="73EC0A61">
            <w:pPr>
              <w:keepNext w:val="0"/>
              <w:keepLines w:val="0"/>
              <w:pageBreakBefore w:val="0"/>
              <w:widowControl/>
              <w:suppressLineNumbers w:val="0"/>
              <w:kinsoku/>
              <w:wordWrap/>
              <w:overflowPunct/>
              <w:topLinePunct w:val="0"/>
              <w:autoSpaceDE/>
              <w:autoSpaceDN/>
              <w:bidi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47 </w:t>
            </w:r>
          </w:p>
        </w:tc>
        <w:tc>
          <w:tcPr>
            <w:tcW w:w="700" w:type="dxa"/>
            <w:vMerge w:val="continue"/>
            <w:vAlign w:val="center"/>
          </w:tcPr>
          <w:p w14:paraId="4FD8E97C">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50C0DE0C">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rPr>
            </w:pPr>
          </w:p>
        </w:tc>
        <w:tc>
          <w:tcPr>
            <w:tcW w:w="371" w:type="dxa"/>
            <w:vAlign w:val="center"/>
          </w:tcPr>
          <w:p w14:paraId="18EC88FC">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21CF6146">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04E87033">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38180224">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268CD0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16 </w:t>
            </w:r>
          </w:p>
        </w:tc>
        <w:tc>
          <w:tcPr>
            <w:tcW w:w="632" w:type="dxa"/>
            <w:vAlign w:val="center"/>
          </w:tcPr>
          <w:p w14:paraId="5A8CE8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29 </w:t>
            </w:r>
          </w:p>
        </w:tc>
        <w:tc>
          <w:tcPr>
            <w:tcW w:w="643" w:type="dxa"/>
            <w:vAlign w:val="center"/>
          </w:tcPr>
          <w:p w14:paraId="4DE6DB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30 </w:t>
            </w:r>
          </w:p>
        </w:tc>
        <w:tc>
          <w:tcPr>
            <w:tcW w:w="682" w:type="dxa"/>
            <w:vAlign w:val="center"/>
          </w:tcPr>
          <w:p w14:paraId="7C3904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26 </w:t>
            </w:r>
          </w:p>
        </w:tc>
      </w:tr>
      <w:tr w14:paraId="50A9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dxa"/>
            <w:vAlign w:val="center"/>
          </w:tcPr>
          <w:p w14:paraId="00C3B56B">
            <w:pPr>
              <w:pStyle w:val="27"/>
              <w:keepNext w:val="0"/>
              <w:keepLines w:val="0"/>
              <w:pageBreakBefore w:val="0"/>
              <w:widowControl/>
              <w:numPr>
                <w:ilvl w:val="0"/>
                <w:numId w:val="18"/>
              </w:numPr>
              <w:kinsoku/>
              <w:wordWrap/>
              <w:overflowPunct/>
              <w:topLinePunct w:val="0"/>
              <w:autoSpaceDE/>
              <w:autoSpaceDN/>
              <w:bidi w:val="0"/>
              <w:adjustRightInd w:val="0"/>
              <w:snapToGrid w:val="0"/>
              <w:spacing w:before="0" w:beforeAutospacing="0" w:after="0" w:afterAutospacing="0" w:line="240" w:lineRule="auto"/>
              <w:ind w:left="0" w:firstLine="0" w:firstLineChars="0"/>
              <w:textAlignment w:val="auto"/>
              <w:outlineLvl w:val="0"/>
              <w:rPr>
                <w:rFonts w:hint="default" w:ascii="Times New Roman" w:hAnsi="Times New Roman" w:cs="Times New Roman"/>
                <w:bCs/>
                <w:i/>
                <w:iCs/>
                <w:snapToGrid w:val="0"/>
                <w:color w:val="auto"/>
                <w:sz w:val="24"/>
                <w:szCs w:val="24"/>
                <w:lang w:val="en-US"/>
              </w:rPr>
            </w:pPr>
          </w:p>
        </w:tc>
        <w:tc>
          <w:tcPr>
            <w:tcW w:w="711" w:type="dxa"/>
            <w:vAlign w:val="center"/>
          </w:tcPr>
          <w:p w14:paraId="6004EF3D">
            <w:pPr>
              <w:spacing w:line="240" w:lineRule="auto"/>
              <w:ind w:firstLine="0" w:firstLineChars="0"/>
              <w:jc w:val="left"/>
              <w:rPr>
                <w:rFonts w:hint="default" w:ascii="Times New Roman" w:hAnsi="Times New Roman" w:eastAsia="仿宋" w:cs="Times New Roman"/>
                <w:i/>
                <w:iCs/>
                <w:color w:val="auto"/>
                <w:sz w:val="24"/>
                <w:szCs w:val="24"/>
                <w:lang w:eastAsia="zh-CN"/>
              </w:rPr>
            </w:pPr>
            <w:r>
              <w:rPr>
                <w:rFonts w:hint="default" w:ascii="Times New Roman" w:hAnsi="Times New Roman" w:cs="Times New Roman"/>
                <w:i/>
                <w:iCs/>
                <w:color w:val="auto"/>
                <w:sz w:val="24"/>
                <w:szCs w:val="24"/>
                <w:lang w:eastAsia="zh-CN"/>
              </w:rPr>
              <w:t>空压机</w:t>
            </w:r>
          </w:p>
        </w:tc>
        <w:tc>
          <w:tcPr>
            <w:tcW w:w="550" w:type="dxa"/>
            <w:shd w:val="clear" w:color="auto" w:fill="auto"/>
            <w:vAlign w:val="center"/>
          </w:tcPr>
          <w:p w14:paraId="3E39DEB9">
            <w:pPr>
              <w:spacing w:line="240" w:lineRule="auto"/>
              <w:ind w:firstLine="0" w:firstLineChars="0"/>
              <w:jc w:val="left"/>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1</w:t>
            </w:r>
          </w:p>
        </w:tc>
        <w:tc>
          <w:tcPr>
            <w:tcW w:w="714" w:type="dxa"/>
            <w:shd w:val="clear" w:color="auto" w:fill="auto"/>
            <w:vAlign w:val="center"/>
          </w:tcPr>
          <w:p w14:paraId="134526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i/>
                <w:iCs/>
                <w:color w:val="auto"/>
                <w:sz w:val="24"/>
                <w:szCs w:val="24"/>
              </w:rPr>
            </w:pPr>
            <w:r>
              <w:rPr>
                <w:rFonts w:hint="default" w:ascii="Times New Roman" w:hAnsi="Times New Roman" w:cs="Times New Roman"/>
                <w:i/>
                <w:iCs/>
                <w:color w:val="auto"/>
                <w:sz w:val="24"/>
                <w:szCs w:val="24"/>
              </w:rPr>
              <w:t>70</w:t>
            </w:r>
          </w:p>
        </w:tc>
        <w:tc>
          <w:tcPr>
            <w:tcW w:w="387" w:type="dxa"/>
            <w:vMerge w:val="continue"/>
            <w:vAlign w:val="center"/>
          </w:tcPr>
          <w:p w14:paraId="4315E8E5">
            <w:pPr>
              <w:spacing w:line="240" w:lineRule="auto"/>
              <w:ind w:firstLine="0" w:firstLineChars="0"/>
              <w:jc w:val="left"/>
              <w:rPr>
                <w:rFonts w:hint="default" w:ascii="Times New Roman" w:hAnsi="Times New Roman" w:cs="Times New Roman"/>
                <w:i/>
                <w:iCs/>
                <w:color w:val="auto"/>
                <w:sz w:val="24"/>
                <w:szCs w:val="24"/>
                <w:lang w:val="zh-CN"/>
              </w:rPr>
            </w:pPr>
          </w:p>
        </w:tc>
        <w:tc>
          <w:tcPr>
            <w:tcW w:w="595" w:type="dxa"/>
            <w:vAlign w:val="center"/>
          </w:tcPr>
          <w:p w14:paraId="442DB7A3">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-33</w:t>
            </w:r>
          </w:p>
        </w:tc>
        <w:tc>
          <w:tcPr>
            <w:tcW w:w="504" w:type="dxa"/>
            <w:vAlign w:val="center"/>
          </w:tcPr>
          <w:p w14:paraId="481DAF2B">
            <w:pPr>
              <w:spacing w:line="240" w:lineRule="auto"/>
              <w:ind w:firstLine="0" w:firstLineChars="0"/>
              <w:jc w:val="left"/>
              <w:rPr>
                <w:rFonts w:hint="default" w:ascii="Times New Roman" w:hAnsi="Times New Roman" w:eastAsia="仿宋" w:cs="Times New Roman"/>
                <w:i/>
                <w:iCs/>
                <w:color w:val="auto"/>
                <w:sz w:val="24"/>
                <w:szCs w:val="24"/>
                <w:lang w:val="en-US" w:eastAsia="zh-CN"/>
              </w:rPr>
            </w:pPr>
            <w:r>
              <w:rPr>
                <w:rFonts w:hint="default" w:ascii="Times New Roman" w:hAnsi="Times New Roman" w:cs="Times New Roman"/>
                <w:i/>
                <w:iCs/>
                <w:color w:val="auto"/>
                <w:sz w:val="24"/>
                <w:szCs w:val="24"/>
                <w:lang w:val="en-US" w:eastAsia="zh-CN"/>
              </w:rPr>
              <w:t>11</w:t>
            </w:r>
          </w:p>
        </w:tc>
        <w:tc>
          <w:tcPr>
            <w:tcW w:w="547" w:type="dxa"/>
            <w:vAlign w:val="center"/>
          </w:tcPr>
          <w:p w14:paraId="385FA2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仿宋" w:cs="Times New Roman"/>
                <w:bCs/>
                <w:i/>
                <w:iCs/>
                <w:snapToGrid w:val="0"/>
                <w:color w:val="auto"/>
                <w:sz w:val="24"/>
                <w:szCs w:val="24"/>
                <w:lang w:val="en-US" w:eastAsia="zh-CN"/>
              </w:rPr>
            </w:pPr>
            <w:r>
              <w:rPr>
                <w:rFonts w:hint="default" w:ascii="Times New Roman" w:hAnsi="Times New Roman" w:eastAsia="等线" w:cs="Times New Roman"/>
                <w:i/>
                <w:iCs/>
                <w:color w:val="auto"/>
                <w:kern w:val="0"/>
                <w:sz w:val="24"/>
                <w:szCs w:val="24"/>
                <w:u w:val="none"/>
                <w:lang w:val="en-US" w:eastAsia="zh-CN" w:bidi="ar"/>
              </w:rPr>
              <w:t>16</w:t>
            </w:r>
          </w:p>
        </w:tc>
        <w:tc>
          <w:tcPr>
            <w:tcW w:w="505" w:type="dxa"/>
            <w:vAlign w:val="bottom"/>
          </w:tcPr>
          <w:p w14:paraId="272981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78.4 </w:t>
            </w:r>
          </w:p>
        </w:tc>
        <w:tc>
          <w:tcPr>
            <w:tcW w:w="487" w:type="dxa"/>
            <w:vAlign w:val="bottom"/>
          </w:tcPr>
          <w:p w14:paraId="35A3F0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18.0 </w:t>
            </w:r>
          </w:p>
        </w:tc>
        <w:tc>
          <w:tcPr>
            <w:tcW w:w="463" w:type="dxa"/>
            <w:vAlign w:val="bottom"/>
          </w:tcPr>
          <w:p w14:paraId="3F06D5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15.3 </w:t>
            </w:r>
          </w:p>
        </w:tc>
        <w:tc>
          <w:tcPr>
            <w:tcW w:w="487" w:type="dxa"/>
            <w:vAlign w:val="bottom"/>
          </w:tcPr>
          <w:p w14:paraId="062841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bottom"/>
              <w:rPr>
                <w:rFonts w:hint="default" w:ascii="Times New Roman" w:hAnsi="Times New Roman" w:eastAsia="仿宋" w:cs="Times New Roman"/>
                <w:i/>
                <w:iCs/>
                <w:color w:val="auto"/>
                <w:sz w:val="24"/>
                <w:szCs w:val="24"/>
                <w:lang w:val="en-US" w:eastAsia="zh-CN"/>
              </w:rPr>
            </w:pPr>
            <w:r>
              <w:rPr>
                <w:rFonts w:hint="default" w:ascii="Times New Roman" w:hAnsi="Times New Roman" w:eastAsia="等线" w:cs="Times New Roman"/>
                <w:i/>
                <w:iCs/>
                <w:color w:val="auto"/>
                <w:kern w:val="0"/>
                <w:sz w:val="22"/>
                <w:szCs w:val="22"/>
                <w:u w:val="none"/>
                <w:lang w:val="en-US" w:eastAsia="zh-CN" w:bidi="ar"/>
              </w:rPr>
              <w:t xml:space="preserve">25.0 </w:t>
            </w:r>
          </w:p>
        </w:tc>
        <w:tc>
          <w:tcPr>
            <w:tcW w:w="500" w:type="dxa"/>
            <w:vAlign w:val="center"/>
          </w:tcPr>
          <w:p w14:paraId="3B4D8E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43 </w:t>
            </w:r>
          </w:p>
        </w:tc>
        <w:tc>
          <w:tcPr>
            <w:tcW w:w="488" w:type="dxa"/>
            <w:vAlign w:val="center"/>
          </w:tcPr>
          <w:p w14:paraId="25716D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50 </w:t>
            </w:r>
          </w:p>
        </w:tc>
        <w:tc>
          <w:tcPr>
            <w:tcW w:w="500" w:type="dxa"/>
            <w:vAlign w:val="center"/>
          </w:tcPr>
          <w:p w14:paraId="43204C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55 </w:t>
            </w:r>
          </w:p>
        </w:tc>
        <w:tc>
          <w:tcPr>
            <w:tcW w:w="540" w:type="dxa"/>
            <w:vAlign w:val="center"/>
          </w:tcPr>
          <w:p w14:paraId="0443CC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56 </w:t>
            </w:r>
          </w:p>
        </w:tc>
        <w:tc>
          <w:tcPr>
            <w:tcW w:w="700" w:type="dxa"/>
            <w:vMerge w:val="continue"/>
            <w:vAlign w:val="center"/>
          </w:tcPr>
          <w:p w14:paraId="24067497">
            <w:pPr>
              <w:spacing w:line="240" w:lineRule="auto"/>
              <w:ind w:firstLine="0" w:firstLineChars="0"/>
              <w:jc w:val="left"/>
              <w:outlineLvl w:val="0"/>
              <w:rPr>
                <w:rFonts w:hint="default" w:ascii="Times New Roman" w:hAnsi="Times New Roman" w:cs="Times New Roman"/>
                <w:i/>
                <w:iCs/>
                <w:color w:val="auto"/>
                <w:kern w:val="0"/>
                <w:sz w:val="24"/>
                <w:szCs w:val="24"/>
                <w:highlight w:val="yellow"/>
                <w:lang w:bidi="ar"/>
              </w:rPr>
            </w:pPr>
          </w:p>
        </w:tc>
        <w:tc>
          <w:tcPr>
            <w:tcW w:w="701" w:type="dxa"/>
            <w:vMerge w:val="continue"/>
            <w:vAlign w:val="center"/>
          </w:tcPr>
          <w:p w14:paraId="37366E4F">
            <w:pPr>
              <w:pStyle w:val="27"/>
              <w:spacing w:before="0" w:beforeAutospacing="0" w:after="0" w:afterAutospacing="0" w:line="240" w:lineRule="auto"/>
              <w:ind w:firstLine="0" w:firstLineChars="0"/>
              <w:outlineLvl w:val="0"/>
              <w:rPr>
                <w:rFonts w:hint="default" w:ascii="Times New Roman" w:hAnsi="Times New Roman" w:cs="Times New Roman"/>
                <w:bCs/>
                <w:i/>
                <w:iCs/>
                <w:snapToGrid w:val="0"/>
                <w:color w:val="auto"/>
                <w:sz w:val="24"/>
                <w:szCs w:val="24"/>
                <w:lang w:val="en-US"/>
              </w:rPr>
            </w:pPr>
          </w:p>
        </w:tc>
        <w:tc>
          <w:tcPr>
            <w:tcW w:w="371" w:type="dxa"/>
            <w:vAlign w:val="center"/>
          </w:tcPr>
          <w:p w14:paraId="0584BCD8">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18" w:type="dxa"/>
            <w:vAlign w:val="center"/>
          </w:tcPr>
          <w:p w14:paraId="03767F06">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50" w:type="dxa"/>
            <w:vAlign w:val="center"/>
          </w:tcPr>
          <w:p w14:paraId="522258C1">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461" w:type="dxa"/>
            <w:vAlign w:val="center"/>
          </w:tcPr>
          <w:p w14:paraId="5A304701">
            <w:pPr>
              <w:widowControl/>
              <w:spacing w:line="240" w:lineRule="auto"/>
              <w:ind w:firstLine="0" w:firstLineChars="0"/>
              <w:jc w:val="left"/>
              <w:textAlignment w:val="center"/>
              <w:rPr>
                <w:rFonts w:hint="default" w:ascii="Times New Roman" w:hAnsi="Times New Roman" w:cs="Times New Roman"/>
                <w:bCs/>
                <w:i/>
                <w:iCs/>
                <w:snapToGrid w:val="0"/>
                <w:color w:val="auto"/>
                <w:sz w:val="24"/>
                <w:szCs w:val="24"/>
              </w:rPr>
            </w:pPr>
            <w:r>
              <w:rPr>
                <w:rFonts w:hint="default" w:ascii="Times New Roman" w:hAnsi="Times New Roman" w:cs="Times New Roman"/>
                <w:bCs/>
                <w:i/>
                <w:iCs/>
                <w:snapToGrid w:val="0"/>
                <w:color w:val="auto"/>
                <w:sz w:val="24"/>
                <w:szCs w:val="24"/>
              </w:rPr>
              <w:t>1</w:t>
            </w:r>
          </w:p>
        </w:tc>
        <w:tc>
          <w:tcPr>
            <w:tcW w:w="621" w:type="dxa"/>
            <w:vAlign w:val="center"/>
          </w:tcPr>
          <w:p w14:paraId="5413A6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22 </w:t>
            </w:r>
          </w:p>
        </w:tc>
        <w:tc>
          <w:tcPr>
            <w:tcW w:w="632" w:type="dxa"/>
            <w:vAlign w:val="center"/>
          </w:tcPr>
          <w:p w14:paraId="10B7E4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29 </w:t>
            </w:r>
          </w:p>
        </w:tc>
        <w:tc>
          <w:tcPr>
            <w:tcW w:w="643" w:type="dxa"/>
            <w:vAlign w:val="center"/>
          </w:tcPr>
          <w:p w14:paraId="4CA8FD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34 </w:t>
            </w:r>
          </w:p>
        </w:tc>
        <w:tc>
          <w:tcPr>
            <w:tcW w:w="682" w:type="dxa"/>
            <w:vAlign w:val="center"/>
          </w:tcPr>
          <w:p w14:paraId="2BD87A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right"/>
              <w:textAlignment w:val="center"/>
              <w:rPr>
                <w:rFonts w:hint="default" w:ascii="Times New Roman" w:hAnsi="Times New Roman" w:eastAsia="等线" w:cs="Times New Roman"/>
                <w:i/>
                <w:iCs/>
                <w:color w:val="auto"/>
                <w:sz w:val="24"/>
                <w:szCs w:val="24"/>
                <w:lang w:eastAsia="zh-CN"/>
              </w:rPr>
            </w:pPr>
            <w:r>
              <w:rPr>
                <w:rFonts w:hint="default" w:ascii="Times New Roman" w:hAnsi="Times New Roman" w:eastAsia="等线" w:cs="Times New Roman"/>
                <w:i/>
                <w:iCs/>
                <w:color w:val="auto"/>
                <w:kern w:val="0"/>
                <w:sz w:val="24"/>
                <w:szCs w:val="24"/>
                <w:u w:val="none"/>
                <w:lang w:val="en-US" w:eastAsia="zh-CN" w:bidi="ar"/>
              </w:rPr>
              <w:t xml:space="preserve">35 </w:t>
            </w:r>
          </w:p>
        </w:tc>
      </w:tr>
    </w:tbl>
    <w:p w14:paraId="2DA4E25B">
      <w:pPr>
        <w:bidi w:val="0"/>
        <w:rPr>
          <w:color w:val="auto"/>
        </w:rPr>
      </w:pPr>
    </w:p>
    <w:p w14:paraId="2B7C6CDB">
      <w:pPr>
        <w:pStyle w:val="46"/>
        <w:ind w:firstLine="482"/>
        <w:rPr>
          <w:rFonts w:ascii="仿宋" w:hAnsi="仿宋" w:eastAsia="仿宋" w:cs="仿宋"/>
          <w:b/>
          <w:bCs/>
          <w:color w:val="auto"/>
          <w:lang w:bidi="ar"/>
        </w:rPr>
        <w:sectPr>
          <w:pgSz w:w="16838" w:h="11906" w:orient="landscape"/>
          <w:pgMar w:top="1531" w:right="1701" w:bottom="1531" w:left="1701" w:header="851" w:footer="850" w:gutter="0"/>
          <w:cols w:space="0" w:num="1"/>
          <w:docGrid w:linePitch="312" w:charSpace="0"/>
        </w:sectPr>
      </w:pPr>
    </w:p>
    <w:tbl>
      <w:tblPr>
        <w:tblStyle w:val="3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492"/>
      </w:tblGrid>
      <w:tr w14:paraId="5C515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1" w:hRule="atLeast"/>
          <w:jc w:val="center"/>
        </w:trPr>
        <w:tc>
          <w:tcPr>
            <w:tcW w:w="416" w:type="dxa"/>
            <w:tcMar>
              <w:left w:w="28" w:type="dxa"/>
              <w:right w:w="28" w:type="dxa"/>
            </w:tcMar>
            <w:vAlign w:val="center"/>
          </w:tcPr>
          <w:p w14:paraId="250DCF23">
            <w:pPr>
              <w:pStyle w:val="49"/>
              <w:rPr>
                <w:color w:val="auto"/>
                <w:sz w:val="28"/>
              </w:rPr>
            </w:pPr>
            <w:r>
              <w:rPr>
                <w:rFonts w:hint="eastAsia"/>
                <w:color w:val="auto"/>
                <w:sz w:val="28"/>
              </w:rPr>
              <w:t>运营期环境影</w:t>
            </w:r>
          </w:p>
          <w:p w14:paraId="6381500E">
            <w:pPr>
              <w:pStyle w:val="49"/>
              <w:rPr>
                <w:color w:val="auto"/>
              </w:rPr>
            </w:pPr>
            <w:r>
              <w:rPr>
                <w:rFonts w:hint="eastAsia"/>
                <w:color w:val="auto"/>
                <w:sz w:val="28"/>
              </w:rPr>
              <w:t>响和保护措施</w:t>
            </w:r>
          </w:p>
        </w:tc>
        <w:tc>
          <w:tcPr>
            <w:tcW w:w="8492" w:type="dxa"/>
            <w:vAlign w:val="center"/>
          </w:tcPr>
          <w:p w14:paraId="7A519447">
            <w:pPr>
              <w:ind w:firstLine="560"/>
              <w:rPr>
                <w:color w:val="auto"/>
                <w:sz w:val="28"/>
              </w:rPr>
            </w:pPr>
            <w:r>
              <w:rPr>
                <w:rFonts w:hint="eastAsia"/>
                <w:color w:val="auto"/>
                <w:sz w:val="28"/>
              </w:rPr>
              <w:t>（3）预测结果</w:t>
            </w:r>
          </w:p>
          <w:p w14:paraId="207C6A8F">
            <w:pPr>
              <w:ind w:firstLine="560"/>
              <w:rPr>
                <w:color w:val="auto"/>
                <w:sz w:val="28"/>
              </w:rPr>
            </w:pPr>
            <w:r>
              <w:rPr>
                <w:rFonts w:hint="eastAsia"/>
                <w:color w:val="auto"/>
                <w:sz w:val="28"/>
              </w:rPr>
              <w:t>按预测模式计算出所有声源在四周厂界的厂界噪声贡献值，厂界噪声情况见表4-12。</w:t>
            </w:r>
          </w:p>
          <w:p w14:paraId="714FA3C7">
            <w:pPr>
              <w:pStyle w:val="75"/>
              <w:rPr>
                <w:color w:val="auto"/>
              </w:rPr>
            </w:pPr>
            <w:r>
              <w:rPr>
                <w:rFonts w:hint="eastAsia"/>
                <w:color w:val="auto"/>
                <w:sz w:val="24"/>
              </w:rPr>
              <w:t>表4-</w:t>
            </w:r>
            <w:r>
              <w:rPr>
                <w:rFonts w:hint="eastAsia"/>
                <w:color w:val="auto"/>
                <w:sz w:val="24"/>
                <w:lang w:val="en-US"/>
              </w:rPr>
              <w:t>12</w:t>
            </w:r>
            <w:r>
              <w:rPr>
                <w:rFonts w:hint="eastAsia"/>
                <w:color w:val="auto"/>
                <w:sz w:val="24"/>
              </w:rPr>
              <w:t>厂界噪声预测结果单位：dB（A）</w:t>
            </w:r>
          </w:p>
          <w:tbl>
            <w:tblPr>
              <w:tblStyle w:val="32"/>
              <w:tblW w:w="8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601"/>
              <w:gridCol w:w="1788"/>
              <w:gridCol w:w="1016"/>
              <w:gridCol w:w="2613"/>
            </w:tblGrid>
            <w:tr w14:paraId="4336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5" w:type="dxa"/>
                  <w:vMerge w:val="restart"/>
                  <w:vAlign w:val="center"/>
                </w:tcPr>
                <w:p w14:paraId="3B3FE05A">
                  <w:pPr>
                    <w:pStyle w:val="48"/>
                    <w:rPr>
                      <w:rFonts w:hint="default" w:ascii="Times New Roman" w:hAnsi="Times New Roman" w:cs="Times New Roman"/>
                      <w:color w:val="auto"/>
                      <w:szCs w:val="18"/>
                    </w:rPr>
                  </w:pPr>
                  <w:r>
                    <w:rPr>
                      <w:rFonts w:hint="default" w:ascii="Times New Roman" w:hAnsi="Times New Roman" w:cs="Times New Roman"/>
                      <w:color w:val="auto"/>
                      <w:sz w:val="24"/>
                      <w:szCs w:val="18"/>
                    </w:rPr>
                    <w:t>预测点位置</w:t>
                  </w:r>
                </w:p>
              </w:tc>
              <w:tc>
                <w:tcPr>
                  <w:tcW w:w="1601" w:type="dxa"/>
                  <w:vAlign w:val="center"/>
                </w:tcPr>
                <w:p w14:paraId="06208DF6">
                  <w:pPr>
                    <w:pStyle w:val="48"/>
                    <w:rPr>
                      <w:rFonts w:hint="default" w:ascii="Times New Roman" w:hAnsi="Times New Roman" w:cs="Times New Roman"/>
                      <w:color w:val="auto"/>
                      <w:sz w:val="24"/>
                      <w:szCs w:val="18"/>
                    </w:rPr>
                  </w:pPr>
                  <w:r>
                    <w:rPr>
                      <w:rFonts w:hint="default" w:ascii="Times New Roman" w:hAnsi="Times New Roman" w:cs="Times New Roman"/>
                      <w:color w:val="auto"/>
                      <w:sz w:val="24"/>
                      <w:szCs w:val="18"/>
                    </w:rPr>
                    <w:t>贡献值</w:t>
                  </w:r>
                </w:p>
              </w:tc>
              <w:tc>
                <w:tcPr>
                  <w:tcW w:w="1788" w:type="dxa"/>
                  <w:vAlign w:val="center"/>
                </w:tcPr>
                <w:p w14:paraId="518AB10A">
                  <w:pPr>
                    <w:pStyle w:val="48"/>
                    <w:rPr>
                      <w:rFonts w:hint="default" w:ascii="Times New Roman" w:hAnsi="Times New Roman" w:cs="Times New Roman"/>
                      <w:color w:val="auto"/>
                      <w:szCs w:val="18"/>
                    </w:rPr>
                  </w:pPr>
                  <w:r>
                    <w:rPr>
                      <w:rFonts w:hint="default" w:ascii="Times New Roman" w:hAnsi="Times New Roman" w:cs="Times New Roman"/>
                      <w:color w:val="auto"/>
                      <w:sz w:val="24"/>
                      <w:szCs w:val="18"/>
                    </w:rPr>
                    <w:t>标准值</w:t>
                  </w:r>
                </w:p>
              </w:tc>
              <w:tc>
                <w:tcPr>
                  <w:tcW w:w="1016" w:type="dxa"/>
                  <w:vMerge w:val="restart"/>
                  <w:vAlign w:val="center"/>
                </w:tcPr>
                <w:p w14:paraId="428894F7">
                  <w:pPr>
                    <w:pStyle w:val="48"/>
                    <w:rPr>
                      <w:rFonts w:hint="default" w:ascii="Times New Roman" w:hAnsi="Times New Roman" w:cs="Times New Roman"/>
                      <w:color w:val="auto"/>
                      <w:szCs w:val="18"/>
                    </w:rPr>
                  </w:pPr>
                  <w:r>
                    <w:rPr>
                      <w:rFonts w:hint="default" w:ascii="Times New Roman" w:hAnsi="Times New Roman" w:cs="Times New Roman"/>
                      <w:color w:val="auto"/>
                      <w:sz w:val="24"/>
                      <w:szCs w:val="18"/>
                    </w:rPr>
                    <w:t>达标情况</w:t>
                  </w:r>
                </w:p>
              </w:tc>
              <w:tc>
                <w:tcPr>
                  <w:tcW w:w="2613" w:type="dxa"/>
                  <w:vMerge w:val="restart"/>
                  <w:vAlign w:val="center"/>
                </w:tcPr>
                <w:p w14:paraId="27645803">
                  <w:pPr>
                    <w:pStyle w:val="48"/>
                    <w:rPr>
                      <w:rFonts w:hint="default" w:ascii="Times New Roman" w:hAnsi="Times New Roman" w:cs="Times New Roman"/>
                      <w:color w:val="auto"/>
                      <w:szCs w:val="18"/>
                    </w:rPr>
                  </w:pPr>
                  <w:r>
                    <w:rPr>
                      <w:rFonts w:hint="default" w:ascii="Times New Roman" w:hAnsi="Times New Roman" w:cs="Times New Roman"/>
                      <w:color w:val="auto"/>
                      <w:sz w:val="24"/>
                      <w:szCs w:val="18"/>
                    </w:rPr>
                    <w:t>执行标准</w:t>
                  </w:r>
                </w:p>
              </w:tc>
            </w:tr>
            <w:tr w14:paraId="4B85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5" w:type="dxa"/>
                  <w:vMerge w:val="continue"/>
                  <w:vAlign w:val="center"/>
                </w:tcPr>
                <w:p w14:paraId="7AD852CC">
                  <w:pPr>
                    <w:pStyle w:val="48"/>
                    <w:rPr>
                      <w:rFonts w:hint="default" w:ascii="Times New Roman" w:hAnsi="Times New Roman" w:cs="Times New Roman"/>
                      <w:color w:val="auto"/>
                      <w:szCs w:val="18"/>
                    </w:rPr>
                  </w:pPr>
                </w:p>
              </w:tc>
              <w:tc>
                <w:tcPr>
                  <w:tcW w:w="1601" w:type="dxa"/>
                  <w:vAlign w:val="center"/>
                </w:tcPr>
                <w:p w14:paraId="04515AC1">
                  <w:pPr>
                    <w:pStyle w:val="48"/>
                    <w:rPr>
                      <w:rFonts w:hint="default" w:ascii="Times New Roman" w:hAnsi="Times New Roman" w:cs="Times New Roman"/>
                      <w:color w:val="auto"/>
                      <w:szCs w:val="18"/>
                    </w:rPr>
                  </w:pPr>
                  <w:r>
                    <w:rPr>
                      <w:rFonts w:hint="default" w:ascii="Times New Roman" w:hAnsi="Times New Roman" w:cs="Times New Roman"/>
                      <w:color w:val="auto"/>
                      <w:sz w:val="24"/>
                      <w:szCs w:val="18"/>
                    </w:rPr>
                    <w:t>昼间</w:t>
                  </w:r>
                </w:p>
              </w:tc>
              <w:tc>
                <w:tcPr>
                  <w:tcW w:w="1788" w:type="dxa"/>
                  <w:vAlign w:val="center"/>
                </w:tcPr>
                <w:p w14:paraId="6FC470C9">
                  <w:pPr>
                    <w:pStyle w:val="48"/>
                    <w:rPr>
                      <w:rFonts w:hint="default" w:ascii="Times New Roman" w:hAnsi="Times New Roman" w:cs="Times New Roman"/>
                      <w:color w:val="auto"/>
                      <w:szCs w:val="18"/>
                    </w:rPr>
                  </w:pPr>
                  <w:r>
                    <w:rPr>
                      <w:rFonts w:hint="default" w:ascii="Times New Roman" w:hAnsi="Times New Roman" w:cs="Times New Roman"/>
                      <w:color w:val="auto"/>
                      <w:sz w:val="24"/>
                      <w:szCs w:val="18"/>
                    </w:rPr>
                    <w:t>昼间</w:t>
                  </w:r>
                </w:p>
              </w:tc>
              <w:tc>
                <w:tcPr>
                  <w:tcW w:w="1016" w:type="dxa"/>
                  <w:vMerge w:val="continue"/>
                  <w:vAlign w:val="center"/>
                </w:tcPr>
                <w:p w14:paraId="4E778C0F">
                  <w:pPr>
                    <w:pStyle w:val="48"/>
                    <w:rPr>
                      <w:rFonts w:hint="default" w:ascii="Times New Roman" w:hAnsi="Times New Roman" w:cs="Times New Roman"/>
                      <w:color w:val="auto"/>
                      <w:szCs w:val="18"/>
                    </w:rPr>
                  </w:pPr>
                </w:p>
              </w:tc>
              <w:tc>
                <w:tcPr>
                  <w:tcW w:w="2613" w:type="dxa"/>
                  <w:vMerge w:val="continue"/>
                  <w:vAlign w:val="center"/>
                </w:tcPr>
                <w:p w14:paraId="75CCDBD4">
                  <w:pPr>
                    <w:pStyle w:val="48"/>
                    <w:rPr>
                      <w:rFonts w:hint="default" w:ascii="Times New Roman" w:hAnsi="Times New Roman" w:cs="Times New Roman"/>
                      <w:color w:val="auto"/>
                      <w:szCs w:val="18"/>
                    </w:rPr>
                  </w:pPr>
                </w:p>
              </w:tc>
            </w:tr>
            <w:tr w14:paraId="48FE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5" w:type="dxa"/>
                  <w:vAlign w:val="center"/>
                </w:tcPr>
                <w:p w14:paraId="106441E1">
                  <w:pPr>
                    <w:pStyle w:val="48"/>
                    <w:rPr>
                      <w:rFonts w:hint="default" w:ascii="Times New Roman" w:hAnsi="Times New Roman" w:cs="Times New Roman"/>
                      <w:color w:val="auto"/>
                      <w:szCs w:val="18"/>
                    </w:rPr>
                  </w:pPr>
                  <w:r>
                    <w:rPr>
                      <w:rFonts w:hint="default" w:ascii="Times New Roman" w:hAnsi="Times New Roman" w:cs="Times New Roman"/>
                      <w:color w:val="auto"/>
                      <w:sz w:val="24"/>
                      <w:szCs w:val="18"/>
                    </w:rPr>
                    <w:t>东厂界</w:t>
                  </w:r>
                </w:p>
              </w:tc>
              <w:tc>
                <w:tcPr>
                  <w:tcW w:w="1601" w:type="dxa"/>
                  <w:vAlign w:val="center"/>
                </w:tcPr>
                <w:p w14:paraId="2339B0D1">
                  <w:pPr>
                    <w:pStyle w:val="48"/>
                    <w:rPr>
                      <w:rFonts w:hint="default" w:ascii="Times New Roman" w:hAnsi="Times New Roman" w:eastAsia="仿宋" w:cs="Times New Roman"/>
                      <w:i/>
                      <w:iCs/>
                      <w:color w:val="auto"/>
                      <w:sz w:val="24"/>
                      <w:lang w:val="en-US" w:eastAsia="zh-CN"/>
                    </w:rPr>
                  </w:pPr>
                  <w:r>
                    <w:rPr>
                      <w:rFonts w:hint="eastAsia" w:ascii="Times New Roman" w:hAnsi="Times New Roman" w:cs="Times New Roman"/>
                      <w:i/>
                      <w:iCs/>
                      <w:color w:val="auto"/>
                      <w:sz w:val="24"/>
                      <w:lang w:val="en-US" w:eastAsia="zh-CN"/>
                    </w:rPr>
                    <w:t>44</w:t>
                  </w:r>
                </w:p>
              </w:tc>
              <w:tc>
                <w:tcPr>
                  <w:tcW w:w="1788" w:type="dxa"/>
                  <w:vAlign w:val="center"/>
                </w:tcPr>
                <w:p w14:paraId="767B0D6C">
                  <w:pPr>
                    <w:pStyle w:val="48"/>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65</w:t>
                  </w:r>
                </w:p>
              </w:tc>
              <w:tc>
                <w:tcPr>
                  <w:tcW w:w="1016" w:type="dxa"/>
                  <w:vMerge w:val="restart"/>
                  <w:vAlign w:val="center"/>
                </w:tcPr>
                <w:p w14:paraId="1B3ADEBE">
                  <w:pPr>
                    <w:pStyle w:val="48"/>
                    <w:rPr>
                      <w:rFonts w:hint="default" w:ascii="Times New Roman" w:hAnsi="Times New Roman" w:cs="Times New Roman"/>
                      <w:color w:val="auto"/>
                      <w:szCs w:val="18"/>
                    </w:rPr>
                  </w:pPr>
                  <w:r>
                    <w:rPr>
                      <w:rFonts w:hint="default" w:ascii="Times New Roman" w:hAnsi="Times New Roman" w:cs="Times New Roman"/>
                      <w:color w:val="auto"/>
                      <w:sz w:val="24"/>
                      <w:szCs w:val="18"/>
                    </w:rPr>
                    <w:t>昼间均达标</w:t>
                  </w:r>
                </w:p>
              </w:tc>
              <w:tc>
                <w:tcPr>
                  <w:tcW w:w="2613" w:type="dxa"/>
                  <w:vMerge w:val="restart"/>
                  <w:vAlign w:val="center"/>
                </w:tcPr>
                <w:p w14:paraId="0C108A05">
                  <w:pPr>
                    <w:pStyle w:val="48"/>
                    <w:rPr>
                      <w:rFonts w:hint="default" w:ascii="Times New Roman" w:hAnsi="Times New Roman" w:cs="Times New Roman"/>
                      <w:color w:val="auto"/>
                      <w:szCs w:val="18"/>
                    </w:rPr>
                  </w:pPr>
                  <w:r>
                    <w:rPr>
                      <w:rFonts w:hint="default" w:ascii="Times New Roman" w:hAnsi="Times New Roman" w:cs="Times New Roman"/>
                      <w:color w:val="auto"/>
                      <w:sz w:val="24"/>
                      <w:szCs w:val="18"/>
                    </w:rPr>
                    <w:t>《工业企业厂界环境噪声排放标准》（GB12348-2008）3类标准</w:t>
                  </w:r>
                </w:p>
              </w:tc>
            </w:tr>
            <w:tr w14:paraId="5933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5" w:type="dxa"/>
                  <w:vAlign w:val="center"/>
                </w:tcPr>
                <w:p w14:paraId="575C0B2C">
                  <w:pPr>
                    <w:pStyle w:val="48"/>
                    <w:rPr>
                      <w:rFonts w:hint="default" w:ascii="Times New Roman" w:hAnsi="Times New Roman" w:cs="Times New Roman"/>
                      <w:color w:val="auto"/>
                      <w:szCs w:val="18"/>
                    </w:rPr>
                  </w:pPr>
                  <w:r>
                    <w:rPr>
                      <w:rFonts w:hint="default" w:ascii="Times New Roman" w:hAnsi="Times New Roman" w:cs="Times New Roman"/>
                      <w:color w:val="auto"/>
                      <w:sz w:val="24"/>
                      <w:szCs w:val="18"/>
                    </w:rPr>
                    <w:t>西厂界</w:t>
                  </w:r>
                </w:p>
              </w:tc>
              <w:tc>
                <w:tcPr>
                  <w:tcW w:w="1601" w:type="dxa"/>
                  <w:vAlign w:val="center"/>
                </w:tcPr>
                <w:p w14:paraId="7EB338B0">
                  <w:pPr>
                    <w:pStyle w:val="48"/>
                    <w:rPr>
                      <w:rFonts w:hint="default" w:ascii="Times New Roman" w:hAnsi="Times New Roman" w:eastAsia="仿宋" w:cs="Times New Roman"/>
                      <w:i/>
                      <w:iCs/>
                      <w:color w:val="auto"/>
                      <w:sz w:val="24"/>
                      <w:lang w:val="en-US" w:eastAsia="zh-CN"/>
                    </w:rPr>
                  </w:pPr>
                  <w:r>
                    <w:rPr>
                      <w:rFonts w:hint="eastAsia" w:ascii="Times New Roman" w:hAnsi="Times New Roman" w:cs="Times New Roman"/>
                      <w:i/>
                      <w:iCs/>
                      <w:color w:val="auto"/>
                      <w:sz w:val="24"/>
                      <w:lang w:val="en-US" w:eastAsia="zh-CN"/>
                    </w:rPr>
                    <w:t>42</w:t>
                  </w:r>
                </w:p>
              </w:tc>
              <w:tc>
                <w:tcPr>
                  <w:tcW w:w="1788" w:type="dxa"/>
                  <w:vAlign w:val="center"/>
                </w:tcPr>
                <w:p w14:paraId="314B09F1">
                  <w:pPr>
                    <w:pStyle w:val="48"/>
                    <w:rPr>
                      <w:rFonts w:hint="default" w:ascii="Times New Roman" w:hAnsi="Times New Roman" w:cs="Times New Roman"/>
                      <w:i/>
                      <w:iCs/>
                      <w:color w:val="auto"/>
                    </w:rPr>
                  </w:pPr>
                  <w:r>
                    <w:rPr>
                      <w:rFonts w:hint="default" w:ascii="Times New Roman" w:hAnsi="Times New Roman" w:cs="Times New Roman"/>
                      <w:i/>
                      <w:iCs/>
                      <w:color w:val="auto"/>
                      <w:sz w:val="24"/>
                      <w:szCs w:val="18"/>
                    </w:rPr>
                    <w:t>65</w:t>
                  </w:r>
                </w:p>
              </w:tc>
              <w:tc>
                <w:tcPr>
                  <w:tcW w:w="1016" w:type="dxa"/>
                  <w:vMerge w:val="continue"/>
                  <w:vAlign w:val="center"/>
                </w:tcPr>
                <w:p w14:paraId="19BC112F">
                  <w:pPr>
                    <w:pStyle w:val="48"/>
                    <w:rPr>
                      <w:rFonts w:hint="default" w:ascii="Times New Roman" w:hAnsi="Times New Roman" w:cs="Times New Roman"/>
                      <w:color w:val="auto"/>
                      <w:szCs w:val="18"/>
                    </w:rPr>
                  </w:pPr>
                </w:p>
              </w:tc>
              <w:tc>
                <w:tcPr>
                  <w:tcW w:w="2613" w:type="dxa"/>
                  <w:vMerge w:val="continue"/>
                  <w:vAlign w:val="center"/>
                </w:tcPr>
                <w:p w14:paraId="626AD12B">
                  <w:pPr>
                    <w:pStyle w:val="48"/>
                    <w:rPr>
                      <w:rFonts w:hint="default" w:ascii="Times New Roman" w:hAnsi="Times New Roman" w:cs="Times New Roman"/>
                      <w:color w:val="auto"/>
                      <w:szCs w:val="18"/>
                    </w:rPr>
                  </w:pPr>
                </w:p>
              </w:tc>
            </w:tr>
            <w:tr w14:paraId="5A58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5" w:type="dxa"/>
                  <w:vAlign w:val="center"/>
                </w:tcPr>
                <w:p w14:paraId="66E9C536">
                  <w:pPr>
                    <w:pStyle w:val="48"/>
                    <w:rPr>
                      <w:rFonts w:hint="default" w:ascii="Times New Roman" w:hAnsi="Times New Roman" w:cs="Times New Roman"/>
                      <w:color w:val="auto"/>
                      <w:szCs w:val="18"/>
                    </w:rPr>
                  </w:pPr>
                  <w:r>
                    <w:rPr>
                      <w:rFonts w:hint="default" w:ascii="Times New Roman" w:hAnsi="Times New Roman" w:cs="Times New Roman"/>
                      <w:color w:val="auto"/>
                      <w:sz w:val="24"/>
                      <w:szCs w:val="18"/>
                    </w:rPr>
                    <w:t>北厂界</w:t>
                  </w:r>
                </w:p>
              </w:tc>
              <w:tc>
                <w:tcPr>
                  <w:tcW w:w="1601" w:type="dxa"/>
                  <w:vAlign w:val="center"/>
                </w:tcPr>
                <w:p w14:paraId="360F5A5B">
                  <w:pPr>
                    <w:pStyle w:val="48"/>
                    <w:rPr>
                      <w:rFonts w:hint="default" w:ascii="Times New Roman" w:hAnsi="Times New Roman" w:eastAsia="仿宋" w:cs="Times New Roman"/>
                      <w:i/>
                      <w:iCs/>
                      <w:color w:val="auto"/>
                      <w:sz w:val="24"/>
                      <w:lang w:val="en-US" w:eastAsia="zh-CN"/>
                    </w:rPr>
                  </w:pPr>
                  <w:r>
                    <w:rPr>
                      <w:rFonts w:hint="eastAsia" w:ascii="Times New Roman" w:hAnsi="Times New Roman" w:cs="Times New Roman"/>
                      <w:i/>
                      <w:iCs/>
                      <w:color w:val="auto"/>
                      <w:sz w:val="24"/>
                      <w:lang w:val="en-US" w:eastAsia="zh-CN"/>
                    </w:rPr>
                    <w:t>56</w:t>
                  </w:r>
                </w:p>
              </w:tc>
              <w:tc>
                <w:tcPr>
                  <w:tcW w:w="1788" w:type="dxa"/>
                  <w:vAlign w:val="center"/>
                </w:tcPr>
                <w:p w14:paraId="3330082E">
                  <w:pPr>
                    <w:pStyle w:val="48"/>
                    <w:rPr>
                      <w:rFonts w:hint="default" w:ascii="Times New Roman" w:hAnsi="Times New Roman" w:cs="Times New Roman"/>
                      <w:i/>
                      <w:iCs/>
                      <w:color w:val="auto"/>
                    </w:rPr>
                  </w:pPr>
                  <w:r>
                    <w:rPr>
                      <w:rFonts w:hint="default" w:ascii="Times New Roman" w:hAnsi="Times New Roman" w:cs="Times New Roman"/>
                      <w:i/>
                      <w:iCs/>
                      <w:color w:val="auto"/>
                      <w:sz w:val="24"/>
                      <w:szCs w:val="18"/>
                    </w:rPr>
                    <w:t>65</w:t>
                  </w:r>
                </w:p>
              </w:tc>
              <w:tc>
                <w:tcPr>
                  <w:tcW w:w="1016" w:type="dxa"/>
                  <w:vMerge w:val="continue"/>
                  <w:vAlign w:val="center"/>
                </w:tcPr>
                <w:p w14:paraId="35D0641E">
                  <w:pPr>
                    <w:pStyle w:val="48"/>
                    <w:rPr>
                      <w:rFonts w:hint="default" w:ascii="Times New Roman" w:hAnsi="Times New Roman" w:cs="Times New Roman"/>
                      <w:color w:val="auto"/>
                      <w:szCs w:val="18"/>
                    </w:rPr>
                  </w:pPr>
                </w:p>
              </w:tc>
              <w:tc>
                <w:tcPr>
                  <w:tcW w:w="2613" w:type="dxa"/>
                  <w:vMerge w:val="continue"/>
                  <w:vAlign w:val="center"/>
                </w:tcPr>
                <w:p w14:paraId="6CCFFBA1">
                  <w:pPr>
                    <w:pStyle w:val="48"/>
                    <w:rPr>
                      <w:rFonts w:hint="default" w:ascii="Times New Roman" w:hAnsi="Times New Roman" w:cs="Times New Roman"/>
                      <w:color w:val="auto"/>
                      <w:szCs w:val="18"/>
                    </w:rPr>
                  </w:pPr>
                </w:p>
              </w:tc>
            </w:tr>
            <w:tr w14:paraId="223B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5" w:type="dxa"/>
                  <w:vAlign w:val="center"/>
                </w:tcPr>
                <w:p w14:paraId="45D33524">
                  <w:pPr>
                    <w:pStyle w:val="48"/>
                    <w:rPr>
                      <w:rFonts w:hint="default" w:ascii="Times New Roman" w:hAnsi="Times New Roman" w:cs="Times New Roman"/>
                      <w:color w:val="auto"/>
                      <w:szCs w:val="18"/>
                    </w:rPr>
                  </w:pPr>
                  <w:r>
                    <w:rPr>
                      <w:rFonts w:hint="default" w:ascii="Times New Roman" w:hAnsi="Times New Roman" w:cs="Times New Roman"/>
                      <w:color w:val="auto"/>
                      <w:sz w:val="24"/>
                      <w:szCs w:val="18"/>
                    </w:rPr>
                    <w:t>南厂界</w:t>
                  </w:r>
                </w:p>
              </w:tc>
              <w:tc>
                <w:tcPr>
                  <w:tcW w:w="1601" w:type="dxa"/>
                  <w:vAlign w:val="center"/>
                </w:tcPr>
                <w:p w14:paraId="0F082902">
                  <w:pPr>
                    <w:pStyle w:val="48"/>
                    <w:rPr>
                      <w:rFonts w:hint="default" w:ascii="Times New Roman" w:hAnsi="Times New Roman" w:eastAsia="仿宋" w:cs="Times New Roman"/>
                      <w:i/>
                      <w:iCs/>
                      <w:color w:val="auto"/>
                      <w:sz w:val="24"/>
                      <w:lang w:val="en-US" w:eastAsia="zh-CN"/>
                    </w:rPr>
                  </w:pPr>
                  <w:r>
                    <w:rPr>
                      <w:rFonts w:hint="eastAsia" w:ascii="Times New Roman" w:hAnsi="Times New Roman" w:cs="Times New Roman"/>
                      <w:i/>
                      <w:iCs/>
                      <w:color w:val="auto"/>
                      <w:sz w:val="24"/>
                      <w:lang w:val="en-US" w:eastAsia="zh-CN"/>
                    </w:rPr>
                    <w:t>45</w:t>
                  </w:r>
                </w:p>
              </w:tc>
              <w:tc>
                <w:tcPr>
                  <w:tcW w:w="1788" w:type="dxa"/>
                  <w:vAlign w:val="center"/>
                </w:tcPr>
                <w:p w14:paraId="54BADC07">
                  <w:pPr>
                    <w:pStyle w:val="48"/>
                    <w:rPr>
                      <w:rFonts w:hint="default" w:ascii="Times New Roman" w:hAnsi="Times New Roman" w:cs="Times New Roman"/>
                      <w:i/>
                      <w:iCs/>
                      <w:color w:val="auto"/>
                    </w:rPr>
                  </w:pPr>
                  <w:r>
                    <w:rPr>
                      <w:rFonts w:hint="default" w:ascii="Times New Roman" w:hAnsi="Times New Roman" w:cs="Times New Roman"/>
                      <w:i/>
                      <w:iCs/>
                      <w:color w:val="auto"/>
                      <w:sz w:val="24"/>
                      <w:szCs w:val="18"/>
                    </w:rPr>
                    <w:t>65</w:t>
                  </w:r>
                </w:p>
              </w:tc>
              <w:tc>
                <w:tcPr>
                  <w:tcW w:w="1016" w:type="dxa"/>
                  <w:vMerge w:val="continue"/>
                  <w:vAlign w:val="center"/>
                </w:tcPr>
                <w:p w14:paraId="19123D54">
                  <w:pPr>
                    <w:pStyle w:val="48"/>
                    <w:rPr>
                      <w:rFonts w:hint="default" w:ascii="Times New Roman" w:hAnsi="Times New Roman" w:cs="Times New Roman"/>
                      <w:color w:val="auto"/>
                      <w:szCs w:val="18"/>
                    </w:rPr>
                  </w:pPr>
                </w:p>
              </w:tc>
              <w:tc>
                <w:tcPr>
                  <w:tcW w:w="2613" w:type="dxa"/>
                  <w:vMerge w:val="continue"/>
                  <w:vAlign w:val="center"/>
                </w:tcPr>
                <w:p w14:paraId="1DE15347">
                  <w:pPr>
                    <w:pStyle w:val="48"/>
                    <w:rPr>
                      <w:rFonts w:hint="default" w:ascii="Times New Roman" w:hAnsi="Times New Roman" w:cs="Times New Roman"/>
                      <w:color w:val="auto"/>
                      <w:szCs w:val="18"/>
                    </w:rPr>
                  </w:pPr>
                </w:p>
              </w:tc>
            </w:tr>
          </w:tbl>
          <w:p w14:paraId="58253362">
            <w:pPr>
              <w:spacing w:before="120" w:beforeLines="50"/>
              <w:ind w:firstLine="560"/>
              <w:rPr>
                <w:color w:val="auto"/>
                <w:sz w:val="28"/>
                <w:lang w:val="zh-CN"/>
              </w:rPr>
            </w:pPr>
            <w:r>
              <w:rPr>
                <w:rFonts w:hint="eastAsia"/>
                <w:color w:val="auto"/>
                <w:sz w:val="28"/>
                <w:lang w:val="zh-CN"/>
              </w:rPr>
              <w:t>由表4-</w:t>
            </w:r>
            <w:r>
              <w:rPr>
                <w:rFonts w:hint="eastAsia"/>
                <w:color w:val="auto"/>
                <w:sz w:val="28"/>
              </w:rPr>
              <w:t>12</w:t>
            </w:r>
            <w:r>
              <w:rPr>
                <w:rFonts w:hint="eastAsia"/>
                <w:color w:val="auto"/>
                <w:sz w:val="28"/>
                <w:lang w:val="zh-CN"/>
              </w:rPr>
              <w:t>可见，本项目通过采取有效的减振、隔声措施后，本项目四周厂界处的昼间噪声均能满足《工业企业厂界环境噪声排放标准》（GB12348-2008）中3类标准要求，厂界噪声达标排放。</w:t>
            </w:r>
          </w:p>
          <w:p w14:paraId="111DA141">
            <w:pPr>
              <w:pStyle w:val="53"/>
              <w:spacing w:before="120"/>
              <w:rPr>
                <w:rFonts w:ascii="仿宋" w:hAnsi="仿宋"/>
                <w:color w:val="auto"/>
                <w:sz w:val="28"/>
              </w:rPr>
            </w:pPr>
            <w:r>
              <w:rPr>
                <w:rFonts w:hint="eastAsia" w:ascii="仿宋" w:hAnsi="仿宋"/>
                <w:color w:val="auto"/>
                <w:sz w:val="28"/>
                <w:lang w:val="en-US"/>
              </w:rPr>
              <w:t>4.4</w:t>
            </w:r>
            <w:r>
              <w:rPr>
                <w:rFonts w:ascii="仿宋" w:hAnsi="仿宋"/>
                <w:color w:val="auto"/>
                <w:sz w:val="28"/>
              </w:rPr>
              <w:t>.3</w:t>
            </w:r>
            <w:r>
              <w:rPr>
                <w:rFonts w:hint="eastAsia" w:ascii="仿宋" w:hAnsi="仿宋"/>
                <w:color w:val="auto"/>
                <w:sz w:val="28"/>
              </w:rPr>
              <w:t>监测要求</w:t>
            </w:r>
          </w:p>
          <w:p w14:paraId="0CDDDA3F">
            <w:pPr>
              <w:ind w:firstLine="560"/>
              <w:rPr>
                <w:color w:val="auto"/>
                <w:sz w:val="28"/>
                <w:lang w:val="zh-CN"/>
              </w:rPr>
            </w:pPr>
            <w:r>
              <w:rPr>
                <w:rFonts w:hint="eastAsia"/>
                <w:color w:val="auto"/>
                <w:sz w:val="28"/>
                <w:lang w:val="zh-CN"/>
              </w:rPr>
              <w:t>根据《排污单位自行监测技术指南总则》（HJ819-2017）、《</w:t>
            </w:r>
            <w:r>
              <w:rPr>
                <w:rFonts w:hint="eastAsia"/>
                <w:color w:val="auto"/>
                <w:sz w:val="28"/>
                <w:lang w:val="zh-CN" w:eastAsia="zh-CN"/>
              </w:rPr>
              <w:t>排污许可证申请与核发技术规范工业噪声</w:t>
            </w:r>
            <w:r>
              <w:rPr>
                <w:rFonts w:hint="eastAsia"/>
                <w:color w:val="auto"/>
                <w:sz w:val="28"/>
                <w:lang w:val="zh-CN"/>
              </w:rPr>
              <w:t>》（</w:t>
            </w:r>
            <w:r>
              <w:rPr>
                <w:rFonts w:hint="eastAsia"/>
                <w:color w:val="auto"/>
                <w:sz w:val="28"/>
                <w:lang w:val="zh-CN" w:eastAsia="zh-CN"/>
              </w:rPr>
              <w:t>HJ1301—2023</w:t>
            </w:r>
            <w:r>
              <w:rPr>
                <w:rFonts w:hint="eastAsia"/>
                <w:color w:val="auto"/>
                <w:sz w:val="28"/>
                <w:lang w:val="zh-CN"/>
              </w:rPr>
              <w:t>）等文件，本项目噪声监测要求见表4-1</w:t>
            </w:r>
            <w:r>
              <w:rPr>
                <w:rFonts w:hint="eastAsia"/>
                <w:color w:val="auto"/>
                <w:sz w:val="28"/>
              </w:rPr>
              <w:t>3</w:t>
            </w:r>
            <w:r>
              <w:rPr>
                <w:rFonts w:hint="eastAsia"/>
                <w:color w:val="auto"/>
                <w:sz w:val="28"/>
                <w:lang w:val="zh-CN"/>
              </w:rPr>
              <w:t>。</w:t>
            </w:r>
          </w:p>
          <w:p w14:paraId="440F5AC0">
            <w:pPr>
              <w:pStyle w:val="75"/>
              <w:rPr>
                <w:color w:val="auto"/>
              </w:rPr>
            </w:pPr>
            <w:r>
              <w:rPr>
                <w:rFonts w:hint="eastAsia"/>
                <w:color w:val="auto"/>
                <w:sz w:val="24"/>
              </w:rPr>
              <w:t>表4-1</w:t>
            </w:r>
            <w:r>
              <w:rPr>
                <w:rFonts w:hint="eastAsia"/>
                <w:color w:val="auto"/>
                <w:sz w:val="24"/>
                <w:lang w:val="en-US"/>
              </w:rPr>
              <w:t>3</w:t>
            </w:r>
            <w:r>
              <w:rPr>
                <w:rFonts w:hint="eastAsia"/>
                <w:color w:val="auto"/>
                <w:sz w:val="24"/>
              </w:rPr>
              <w:t>噪声监测要求一览表</w:t>
            </w:r>
          </w:p>
          <w:tbl>
            <w:tblPr>
              <w:tblStyle w:val="32"/>
              <w:tblW w:w="8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1792"/>
              <w:gridCol w:w="2078"/>
              <w:gridCol w:w="2578"/>
            </w:tblGrid>
            <w:tr w14:paraId="7545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6" w:type="dxa"/>
                  <w:vAlign w:val="center"/>
                </w:tcPr>
                <w:p w14:paraId="0BD64862">
                  <w:pPr>
                    <w:pStyle w:val="48"/>
                    <w:rPr>
                      <w:color w:val="auto"/>
                      <w:szCs w:val="18"/>
                    </w:rPr>
                  </w:pPr>
                  <w:r>
                    <w:rPr>
                      <w:rFonts w:hint="eastAsia"/>
                      <w:color w:val="auto"/>
                      <w:sz w:val="24"/>
                      <w:szCs w:val="18"/>
                    </w:rPr>
                    <w:t>监测点位</w:t>
                  </w:r>
                </w:p>
              </w:tc>
              <w:tc>
                <w:tcPr>
                  <w:tcW w:w="1792" w:type="dxa"/>
                  <w:vAlign w:val="center"/>
                </w:tcPr>
                <w:p w14:paraId="0110A0BC">
                  <w:pPr>
                    <w:pStyle w:val="48"/>
                    <w:rPr>
                      <w:color w:val="auto"/>
                      <w:szCs w:val="18"/>
                    </w:rPr>
                  </w:pPr>
                  <w:r>
                    <w:rPr>
                      <w:rFonts w:hint="eastAsia"/>
                      <w:color w:val="auto"/>
                      <w:sz w:val="24"/>
                      <w:szCs w:val="18"/>
                    </w:rPr>
                    <w:t>监测因子</w:t>
                  </w:r>
                </w:p>
              </w:tc>
              <w:tc>
                <w:tcPr>
                  <w:tcW w:w="2078" w:type="dxa"/>
                  <w:vAlign w:val="center"/>
                </w:tcPr>
                <w:p w14:paraId="75DD9362">
                  <w:pPr>
                    <w:pStyle w:val="48"/>
                    <w:rPr>
                      <w:color w:val="auto"/>
                      <w:szCs w:val="18"/>
                    </w:rPr>
                  </w:pPr>
                  <w:r>
                    <w:rPr>
                      <w:rFonts w:hint="eastAsia"/>
                      <w:color w:val="auto"/>
                      <w:sz w:val="24"/>
                      <w:szCs w:val="18"/>
                    </w:rPr>
                    <w:t>监测频率</w:t>
                  </w:r>
                </w:p>
              </w:tc>
              <w:tc>
                <w:tcPr>
                  <w:tcW w:w="2578" w:type="dxa"/>
                  <w:vAlign w:val="center"/>
                </w:tcPr>
                <w:p w14:paraId="212826A8">
                  <w:pPr>
                    <w:pStyle w:val="48"/>
                    <w:rPr>
                      <w:color w:val="auto"/>
                      <w:szCs w:val="18"/>
                    </w:rPr>
                  </w:pPr>
                  <w:r>
                    <w:rPr>
                      <w:rFonts w:hint="eastAsia"/>
                      <w:color w:val="auto"/>
                      <w:sz w:val="24"/>
                      <w:szCs w:val="18"/>
                    </w:rPr>
                    <w:t>执行标准</w:t>
                  </w:r>
                </w:p>
              </w:tc>
            </w:tr>
            <w:tr w14:paraId="1929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6" w:type="dxa"/>
                  <w:vAlign w:val="center"/>
                </w:tcPr>
                <w:p w14:paraId="22A05E9D">
                  <w:pPr>
                    <w:pStyle w:val="48"/>
                    <w:rPr>
                      <w:color w:val="auto"/>
                      <w:szCs w:val="18"/>
                    </w:rPr>
                  </w:pPr>
                  <w:r>
                    <w:rPr>
                      <w:rFonts w:hint="eastAsia"/>
                      <w:color w:val="auto"/>
                      <w:sz w:val="24"/>
                      <w:szCs w:val="18"/>
                    </w:rPr>
                    <w:t>厂界外1m外</w:t>
                  </w:r>
                </w:p>
              </w:tc>
              <w:tc>
                <w:tcPr>
                  <w:tcW w:w="1792" w:type="dxa"/>
                  <w:vAlign w:val="center"/>
                </w:tcPr>
                <w:p w14:paraId="6BB08207">
                  <w:pPr>
                    <w:pStyle w:val="48"/>
                    <w:rPr>
                      <w:color w:val="auto"/>
                      <w:szCs w:val="18"/>
                    </w:rPr>
                  </w:pPr>
                  <w:r>
                    <w:rPr>
                      <w:rFonts w:hint="eastAsia"/>
                      <w:color w:val="auto"/>
                      <w:sz w:val="24"/>
                      <w:szCs w:val="18"/>
                    </w:rPr>
                    <w:t>等效声级</w:t>
                  </w:r>
                </w:p>
              </w:tc>
              <w:tc>
                <w:tcPr>
                  <w:tcW w:w="2078" w:type="dxa"/>
                  <w:vAlign w:val="center"/>
                </w:tcPr>
                <w:p w14:paraId="423E4B98">
                  <w:pPr>
                    <w:pStyle w:val="48"/>
                    <w:rPr>
                      <w:color w:val="auto"/>
                      <w:szCs w:val="18"/>
                    </w:rPr>
                  </w:pPr>
                  <w:r>
                    <w:rPr>
                      <w:rFonts w:hint="eastAsia"/>
                      <w:color w:val="auto"/>
                      <w:sz w:val="24"/>
                      <w:szCs w:val="18"/>
                    </w:rPr>
                    <w:t>验收时监测一次，以后一季度一次</w:t>
                  </w:r>
                </w:p>
              </w:tc>
              <w:tc>
                <w:tcPr>
                  <w:tcW w:w="2578" w:type="dxa"/>
                  <w:vAlign w:val="center"/>
                </w:tcPr>
                <w:p w14:paraId="09835AE0">
                  <w:pPr>
                    <w:pStyle w:val="48"/>
                    <w:rPr>
                      <w:color w:val="auto"/>
                      <w:szCs w:val="18"/>
                    </w:rPr>
                  </w:pPr>
                  <w:r>
                    <w:rPr>
                      <w:rFonts w:hint="eastAsia"/>
                      <w:color w:val="auto"/>
                      <w:sz w:val="24"/>
                      <w:szCs w:val="18"/>
                    </w:rPr>
                    <w:t>《工业企业厂界环境噪声排放标准》（GB12348-2008）3类标准</w:t>
                  </w:r>
                </w:p>
              </w:tc>
            </w:tr>
          </w:tbl>
          <w:p w14:paraId="41DB6216">
            <w:pPr>
              <w:pStyle w:val="53"/>
              <w:spacing w:before="120"/>
              <w:rPr>
                <w:rFonts w:ascii="仿宋" w:hAnsi="仿宋"/>
                <w:color w:val="auto"/>
                <w:sz w:val="28"/>
              </w:rPr>
            </w:pPr>
            <w:r>
              <w:rPr>
                <w:rFonts w:hint="eastAsia" w:ascii="仿宋" w:hAnsi="仿宋"/>
                <w:color w:val="auto"/>
                <w:sz w:val="28"/>
                <w:lang w:val="en-US"/>
              </w:rPr>
              <w:t>4.4</w:t>
            </w:r>
            <w:r>
              <w:rPr>
                <w:rFonts w:ascii="仿宋" w:hAnsi="仿宋"/>
                <w:color w:val="auto"/>
                <w:sz w:val="28"/>
              </w:rPr>
              <w:t>.4</w:t>
            </w:r>
            <w:r>
              <w:rPr>
                <w:rFonts w:hint="eastAsia" w:ascii="仿宋" w:hAnsi="仿宋"/>
                <w:color w:val="auto"/>
                <w:sz w:val="28"/>
              </w:rPr>
              <w:t>噪声污染措施</w:t>
            </w:r>
          </w:p>
          <w:p w14:paraId="1C20D420">
            <w:pPr>
              <w:ind w:firstLine="560"/>
              <w:rPr>
                <w:color w:val="auto"/>
                <w:sz w:val="28"/>
                <w:lang w:val="zh-CN"/>
              </w:rPr>
            </w:pPr>
            <w:r>
              <w:rPr>
                <w:rFonts w:hint="eastAsia"/>
                <w:color w:val="auto"/>
                <w:sz w:val="28"/>
                <w:lang w:val="zh-CN"/>
              </w:rPr>
              <w:t>在满足生产工艺要求的前提下，尽量选用低噪声设备，做好设备维护保养；所有生产设备均设置于车间内，采取建筑隔声，另外，高噪声设备采取基础减振措施、隔声罩。</w:t>
            </w:r>
          </w:p>
          <w:p w14:paraId="7FBCD007">
            <w:pPr>
              <w:pStyle w:val="53"/>
              <w:spacing w:before="120"/>
              <w:rPr>
                <w:rFonts w:ascii="仿宋" w:hAnsi="仿宋"/>
                <w:color w:val="auto"/>
                <w:sz w:val="28"/>
              </w:rPr>
            </w:pPr>
            <w:r>
              <w:rPr>
                <w:rFonts w:ascii="仿宋" w:hAnsi="仿宋"/>
                <w:color w:val="auto"/>
                <w:sz w:val="28"/>
              </w:rPr>
              <w:t>4.</w:t>
            </w:r>
            <w:r>
              <w:rPr>
                <w:rFonts w:hint="eastAsia" w:ascii="仿宋" w:hAnsi="仿宋"/>
                <w:color w:val="auto"/>
                <w:sz w:val="28"/>
                <w:lang w:val="en-US"/>
              </w:rPr>
              <w:t>5</w:t>
            </w:r>
            <w:r>
              <w:rPr>
                <w:rFonts w:hint="eastAsia" w:ascii="仿宋" w:hAnsi="仿宋"/>
                <w:color w:val="auto"/>
                <w:sz w:val="28"/>
              </w:rPr>
              <w:t>固体废物环境影响及保护措施</w:t>
            </w:r>
          </w:p>
          <w:p w14:paraId="67336FD5">
            <w:pPr>
              <w:pStyle w:val="53"/>
              <w:spacing w:before="120"/>
              <w:rPr>
                <w:rFonts w:ascii="仿宋" w:hAnsi="仿宋"/>
                <w:color w:val="auto"/>
                <w:sz w:val="28"/>
              </w:rPr>
            </w:pPr>
            <w:r>
              <w:rPr>
                <w:rFonts w:ascii="仿宋" w:hAnsi="仿宋"/>
                <w:color w:val="auto"/>
                <w:sz w:val="28"/>
              </w:rPr>
              <w:t>4.</w:t>
            </w:r>
            <w:r>
              <w:rPr>
                <w:rFonts w:hint="eastAsia" w:ascii="仿宋" w:hAnsi="仿宋"/>
                <w:color w:val="auto"/>
                <w:sz w:val="28"/>
                <w:lang w:val="en-US"/>
              </w:rPr>
              <w:t>5.</w:t>
            </w:r>
            <w:r>
              <w:rPr>
                <w:rFonts w:ascii="仿宋" w:hAnsi="仿宋"/>
                <w:color w:val="auto"/>
                <w:sz w:val="28"/>
              </w:rPr>
              <w:t>1</w:t>
            </w:r>
            <w:r>
              <w:rPr>
                <w:rFonts w:hint="eastAsia" w:ascii="仿宋" w:hAnsi="仿宋"/>
                <w:color w:val="auto"/>
                <w:sz w:val="28"/>
              </w:rPr>
              <w:t>固体废物排放信息</w:t>
            </w:r>
          </w:p>
          <w:p w14:paraId="0E92BCA2">
            <w:pPr>
              <w:ind w:firstLine="560"/>
              <w:rPr>
                <w:color w:val="auto"/>
                <w:sz w:val="28"/>
              </w:rPr>
            </w:pPr>
            <w:r>
              <w:rPr>
                <w:color w:val="auto"/>
                <w:sz w:val="28"/>
              </w:rPr>
              <w:t>一般固废类别代码根据《固体废物分类与代码</w:t>
            </w:r>
            <w:r>
              <w:rPr>
                <w:rFonts w:hint="eastAsia"/>
                <w:color w:val="auto"/>
                <w:sz w:val="28"/>
              </w:rPr>
              <w:t>目录</w:t>
            </w:r>
            <w:r>
              <w:rPr>
                <w:color w:val="auto"/>
                <w:sz w:val="28"/>
              </w:rPr>
              <w:t>》（</w:t>
            </w:r>
            <w:r>
              <w:rPr>
                <w:rFonts w:hint="eastAsia"/>
                <w:color w:val="auto"/>
                <w:sz w:val="28"/>
              </w:rPr>
              <w:t>2024版</w:t>
            </w:r>
            <w:r>
              <w:rPr>
                <w:color w:val="auto"/>
                <w:sz w:val="28"/>
              </w:rPr>
              <w:t>）确定</w:t>
            </w:r>
            <w:r>
              <w:rPr>
                <w:rFonts w:hint="eastAsia"/>
                <w:color w:val="auto"/>
                <w:sz w:val="28"/>
              </w:rPr>
              <w:t>，危险废物</w:t>
            </w:r>
            <w:r>
              <w:rPr>
                <w:color w:val="auto"/>
                <w:sz w:val="28"/>
              </w:rPr>
              <w:t>类别代码根据</w:t>
            </w:r>
            <w:r>
              <w:rPr>
                <w:rFonts w:hint="eastAsia"/>
                <w:color w:val="auto"/>
                <w:sz w:val="28"/>
              </w:rPr>
              <w:t>《国家危险废物名录（2025年版）》（部令第15号）确定</w:t>
            </w:r>
            <w:r>
              <w:rPr>
                <w:color w:val="auto"/>
                <w:sz w:val="28"/>
              </w:rPr>
              <w:t>。</w:t>
            </w:r>
          </w:p>
          <w:p w14:paraId="739D2587">
            <w:pPr>
              <w:ind w:firstLine="560"/>
              <w:rPr>
                <w:color w:val="auto"/>
                <w:sz w:val="28"/>
                <w:lang w:val="zh-CN"/>
              </w:rPr>
            </w:pPr>
            <w:r>
              <w:rPr>
                <w:rFonts w:hint="eastAsia"/>
                <w:color w:val="auto"/>
                <w:sz w:val="28"/>
                <w:lang w:val="zh-CN"/>
              </w:rPr>
              <w:t>（1）一般固废</w:t>
            </w:r>
          </w:p>
          <w:p w14:paraId="0B728D64">
            <w:pPr>
              <w:ind w:firstLine="560"/>
              <w:rPr>
                <w:rFonts w:hint="default" w:eastAsia="仿宋"/>
                <w:color w:val="auto"/>
                <w:sz w:val="28"/>
                <w:lang w:val="en-US" w:eastAsia="zh-CN"/>
              </w:rPr>
            </w:pPr>
            <w:r>
              <w:rPr>
                <w:rFonts w:hint="eastAsia"/>
                <w:color w:val="auto"/>
                <w:sz w:val="28"/>
              </w:rPr>
              <w:t>本项目产生的一般固废有废边角料</w:t>
            </w:r>
            <w:r>
              <w:rPr>
                <w:rFonts w:hint="eastAsia"/>
                <w:color w:val="auto"/>
                <w:sz w:val="28"/>
                <w:highlight w:val="none"/>
              </w:rPr>
              <w:t>S1、</w:t>
            </w:r>
            <w:r>
              <w:rPr>
                <w:rFonts w:hint="eastAsia"/>
                <w:color w:val="auto"/>
                <w:sz w:val="28"/>
                <w:highlight w:val="none"/>
                <w:lang w:val="en-US" w:eastAsia="zh-CN"/>
              </w:rPr>
              <w:t>S7</w:t>
            </w:r>
            <w:r>
              <w:rPr>
                <w:rFonts w:hint="eastAsia"/>
                <w:color w:val="auto"/>
                <w:sz w:val="28"/>
                <w:highlight w:val="none"/>
              </w:rPr>
              <w:t>，废包装材料S</w:t>
            </w:r>
            <w:r>
              <w:rPr>
                <w:rFonts w:hint="eastAsia"/>
                <w:color w:val="auto"/>
                <w:sz w:val="28"/>
                <w:highlight w:val="none"/>
                <w:lang w:val="en-US" w:eastAsia="zh-CN"/>
              </w:rPr>
              <w:t>3、S9，</w:t>
            </w:r>
            <w:r>
              <w:rPr>
                <w:rFonts w:hint="eastAsia"/>
                <w:color w:val="auto"/>
                <w:sz w:val="28"/>
                <w:highlight w:val="none"/>
              </w:rPr>
              <w:t>不合格品S</w:t>
            </w:r>
            <w:r>
              <w:rPr>
                <w:rFonts w:hint="eastAsia"/>
                <w:color w:val="auto"/>
                <w:sz w:val="28"/>
                <w:highlight w:val="none"/>
                <w:lang w:val="en-US" w:eastAsia="zh-CN"/>
              </w:rPr>
              <w:t>2</w:t>
            </w:r>
            <w:r>
              <w:rPr>
                <w:rFonts w:hint="eastAsia"/>
                <w:color w:val="auto"/>
                <w:sz w:val="28"/>
                <w:highlight w:val="none"/>
              </w:rPr>
              <w:t>、S</w:t>
            </w:r>
            <w:r>
              <w:rPr>
                <w:rFonts w:hint="eastAsia"/>
                <w:color w:val="auto"/>
                <w:sz w:val="28"/>
                <w:highlight w:val="none"/>
                <w:lang w:val="en-US" w:eastAsia="zh-CN"/>
              </w:rPr>
              <w:t>8</w:t>
            </w:r>
            <w:r>
              <w:rPr>
                <w:rFonts w:hint="eastAsia"/>
                <w:color w:val="auto"/>
                <w:sz w:val="28"/>
                <w:highlight w:val="none"/>
                <w:lang w:eastAsia="zh-CN"/>
              </w:rPr>
              <w:t>，废纸</w:t>
            </w:r>
            <w:r>
              <w:rPr>
                <w:rFonts w:hint="eastAsia"/>
                <w:color w:val="auto"/>
                <w:sz w:val="28"/>
                <w:highlight w:val="none"/>
                <w:lang w:val="en-US" w:eastAsia="zh-CN"/>
              </w:rPr>
              <w:t>S4。</w:t>
            </w:r>
          </w:p>
          <w:p w14:paraId="7F5BD434">
            <w:pPr>
              <w:ind w:firstLine="562"/>
              <w:rPr>
                <w:i/>
                <w:iCs/>
                <w:color w:val="auto"/>
                <w:sz w:val="28"/>
              </w:rPr>
            </w:pPr>
            <w:r>
              <w:rPr>
                <w:rFonts w:hint="eastAsia"/>
                <w:b/>
                <w:i/>
                <w:iCs/>
                <w:color w:val="auto"/>
                <w:sz w:val="28"/>
              </w:rPr>
              <w:t>废边角料（SW17，900-003-S17）：</w:t>
            </w:r>
            <w:r>
              <w:rPr>
                <w:rFonts w:hint="eastAsia"/>
                <w:bCs/>
                <w:i/>
                <w:iCs/>
                <w:color w:val="auto"/>
                <w:sz w:val="28"/>
              </w:rPr>
              <w:t>主要为裁切工序产生的边角料，根据建设单位提供资料，</w:t>
            </w:r>
            <w:r>
              <w:rPr>
                <w:rFonts w:hint="eastAsia"/>
                <w:i/>
                <w:iCs/>
                <w:color w:val="auto"/>
                <w:sz w:val="28"/>
                <w:lang w:val="zh-CN"/>
              </w:rPr>
              <w:t>年产生量约为</w:t>
            </w:r>
            <w:r>
              <w:rPr>
                <w:rFonts w:hint="eastAsia"/>
                <w:i/>
                <w:iCs/>
                <w:color w:val="auto"/>
                <w:sz w:val="28"/>
                <w:highlight w:val="none"/>
                <w:lang w:val="en-US" w:eastAsia="zh-CN"/>
              </w:rPr>
              <w:t>5.64</w:t>
            </w:r>
            <w:r>
              <w:rPr>
                <w:rFonts w:hint="eastAsia"/>
                <w:i/>
                <w:iCs/>
                <w:color w:val="auto"/>
                <w:sz w:val="28"/>
                <w:highlight w:val="none"/>
                <w:lang w:val="zh-CN"/>
              </w:rPr>
              <w:t>t/a</w:t>
            </w:r>
            <w:r>
              <w:rPr>
                <w:rFonts w:hint="eastAsia"/>
                <w:i/>
                <w:iCs/>
                <w:color w:val="auto"/>
                <w:sz w:val="28"/>
                <w:lang w:val="zh-CN"/>
              </w:rPr>
              <w:t>，</w:t>
            </w:r>
            <w:r>
              <w:rPr>
                <w:rFonts w:hint="eastAsia"/>
                <w:i/>
                <w:iCs/>
                <w:color w:val="auto"/>
                <w:sz w:val="28"/>
              </w:rPr>
              <w:t>经收集</w:t>
            </w:r>
            <w:r>
              <w:rPr>
                <w:rFonts w:hint="eastAsia"/>
                <w:i/>
                <w:iCs/>
                <w:color w:val="auto"/>
                <w:sz w:val="28"/>
                <w:lang w:eastAsia="zh-CN"/>
              </w:rPr>
              <w:t>打包</w:t>
            </w:r>
            <w:r>
              <w:rPr>
                <w:rFonts w:hint="eastAsia"/>
                <w:i/>
                <w:iCs/>
                <w:color w:val="auto"/>
                <w:sz w:val="28"/>
              </w:rPr>
              <w:t>后交由物资回收单位利用。</w:t>
            </w:r>
          </w:p>
          <w:p w14:paraId="5C325442">
            <w:pPr>
              <w:ind w:firstLine="562"/>
              <w:rPr>
                <w:i/>
                <w:iCs/>
                <w:color w:val="auto"/>
                <w:sz w:val="28"/>
                <w:highlight w:val="yellow"/>
              </w:rPr>
            </w:pPr>
            <w:r>
              <w:rPr>
                <w:rFonts w:hint="eastAsia"/>
                <w:b/>
                <w:i/>
                <w:iCs/>
                <w:color w:val="auto"/>
                <w:sz w:val="28"/>
              </w:rPr>
              <w:t>废包装材料（SW17，900-003-S17）</w:t>
            </w:r>
            <w:r>
              <w:rPr>
                <w:i/>
                <w:iCs/>
                <w:color w:val="auto"/>
                <w:sz w:val="28"/>
              </w:rPr>
              <w:t>：</w:t>
            </w:r>
            <w:r>
              <w:rPr>
                <w:rFonts w:hint="eastAsia"/>
                <w:i/>
                <w:iCs/>
                <w:color w:val="auto"/>
                <w:sz w:val="28"/>
              </w:rPr>
              <w:t>本项目原辅材料拆包后，将产生废包装材料，主要为废包装袋等，一般固体废物代码为：292</w:t>
            </w:r>
            <w:r>
              <w:rPr>
                <w:i/>
                <w:iCs/>
                <w:color w:val="auto"/>
                <w:sz w:val="28"/>
              </w:rPr>
              <w:t>-001-07</w:t>
            </w:r>
            <w:r>
              <w:rPr>
                <w:rFonts w:hint="eastAsia"/>
                <w:i/>
                <w:iCs/>
                <w:color w:val="auto"/>
                <w:sz w:val="28"/>
              </w:rPr>
              <w:t>，</w:t>
            </w:r>
            <w:r>
              <w:rPr>
                <w:rFonts w:hint="eastAsia"/>
                <w:i/>
                <w:iCs/>
                <w:color w:val="auto"/>
                <w:sz w:val="28"/>
                <w:lang w:val="zh-CN"/>
              </w:rPr>
              <w:t>废包装袋产生量为</w:t>
            </w:r>
            <w:r>
              <w:rPr>
                <w:rFonts w:hint="eastAsia"/>
                <w:i/>
                <w:iCs/>
                <w:color w:val="auto"/>
                <w:sz w:val="28"/>
                <w:highlight w:val="none"/>
                <w:lang w:val="en-US" w:eastAsia="zh-CN"/>
              </w:rPr>
              <w:t>0.5</w:t>
            </w:r>
            <w:r>
              <w:rPr>
                <w:rFonts w:hint="eastAsia"/>
                <w:i/>
                <w:iCs/>
                <w:color w:val="auto"/>
                <w:sz w:val="28"/>
                <w:highlight w:val="none"/>
                <w:lang w:val="zh-CN"/>
              </w:rPr>
              <w:t>t/a</w:t>
            </w:r>
            <w:r>
              <w:rPr>
                <w:rFonts w:hint="eastAsia"/>
                <w:i/>
                <w:iCs/>
                <w:color w:val="auto"/>
                <w:sz w:val="28"/>
                <w:lang w:val="zh-CN"/>
              </w:rPr>
              <w:t>，</w:t>
            </w:r>
            <w:r>
              <w:rPr>
                <w:rFonts w:hint="eastAsia"/>
                <w:i/>
                <w:iCs/>
                <w:color w:val="auto"/>
                <w:sz w:val="28"/>
              </w:rPr>
              <w:t>集中收集于一般固废暂存</w:t>
            </w:r>
            <w:r>
              <w:rPr>
                <w:rFonts w:hint="eastAsia"/>
                <w:i/>
                <w:iCs/>
                <w:color w:val="auto"/>
                <w:sz w:val="28"/>
                <w:lang w:eastAsia="zh-CN"/>
              </w:rPr>
              <w:t>点</w:t>
            </w:r>
            <w:r>
              <w:rPr>
                <w:rFonts w:hint="eastAsia"/>
                <w:i/>
                <w:iCs/>
                <w:color w:val="auto"/>
                <w:sz w:val="28"/>
              </w:rPr>
              <w:t>，后由物资回收单位回收利用。</w:t>
            </w:r>
          </w:p>
          <w:p w14:paraId="0C420A04">
            <w:pPr>
              <w:ind w:firstLine="562"/>
              <w:rPr>
                <w:rFonts w:hint="eastAsia"/>
                <w:i/>
                <w:iCs/>
                <w:color w:val="auto"/>
                <w:kern w:val="0"/>
                <w:sz w:val="28"/>
                <w:szCs w:val="28"/>
                <w:highlight w:val="none"/>
                <w:lang w:eastAsia="zh-CN"/>
              </w:rPr>
            </w:pPr>
            <w:r>
              <w:rPr>
                <w:rFonts w:hint="eastAsia"/>
                <w:b/>
                <w:i/>
                <w:iCs/>
                <w:color w:val="auto"/>
                <w:sz w:val="28"/>
                <w:lang w:val="zh-CN"/>
              </w:rPr>
              <w:t>不合格品（SW17，</w:t>
            </w:r>
            <w:r>
              <w:rPr>
                <w:rFonts w:hint="eastAsia"/>
                <w:b/>
                <w:i/>
                <w:iCs/>
                <w:color w:val="auto"/>
                <w:sz w:val="28"/>
                <w:highlight w:val="none"/>
                <w:lang w:val="zh-CN"/>
              </w:rPr>
              <w:t>900-003-S17</w:t>
            </w:r>
            <w:r>
              <w:rPr>
                <w:rFonts w:hint="eastAsia"/>
                <w:b/>
                <w:i/>
                <w:iCs/>
                <w:color w:val="auto"/>
                <w:sz w:val="28"/>
                <w:lang w:val="zh-CN"/>
              </w:rPr>
              <w:t>）</w:t>
            </w:r>
            <w:r>
              <w:rPr>
                <w:rFonts w:hint="eastAsia"/>
                <w:i/>
                <w:iCs/>
                <w:color w:val="auto"/>
                <w:sz w:val="28"/>
                <w:lang w:val="zh-CN"/>
              </w:rPr>
              <w:t>：裁切过程将产生不合格品，根据业主提供资料，不合格品产生率为</w:t>
            </w:r>
            <w:r>
              <w:rPr>
                <w:rFonts w:hint="eastAsia"/>
                <w:i/>
                <w:iCs/>
                <w:color w:val="auto"/>
                <w:sz w:val="28"/>
                <w:lang w:val="en-US" w:eastAsia="zh-CN"/>
              </w:rPr>
              <w:t>0.1%，产生量</w:t>
            </w:r>
            <w:r>
              <w:rPr>
                <w:rFonts w:hint="eastAsia"/>
                <w:i/>
                <w:iCs/>
                <w:color w:val="auto"/>
                <w:sz w:val="28"/>
                <w:highlight w:val="none"/>
                <w:lang w:val="zh-CN"/>
              </w:rPr>
              <w:t>约为</w:t>
            </w:r>
            <w:r>
              <w:rPr>
                <w:rFonts w:hint="eastAsia"/>
                <w:i/>
                <w:iCs/>
                <w:color w:val="auto"/>
                <w:sz w:val="28"/>
                <w:highlight w:val="none"/>
                <w:lang w:val="en-US" w:eastAsia="zh-CN"/>
              </w:rPr>
              <w:t>0.188t/a，收集打包后</w:t>
            </w:r>
            <w:r>
              <w:rPr>
                <w:rFonts w:hint="eastAsia"/>
                <w:i/>
                <w:iCs/>
                <w:color w:val="auto"/>
                <w:sz w:val="28"/>
                <w:lang w:val="zh-CN"/>
              </w:rPr>
              <w:t>由物资回收单位回收利用</w:t>
            </w:r>
            <w:r>
              <w:rPr>
                <w:rFonts w:hint="eastAsia"/>
                <w:i/>
                <w:iCs/>
                <w:color w:val="auto"/>
                <w:sz w:val="28"/>
              </w:rPr>
              <w:t>。</w:t>
            </w:r>
          </w:p>
          <w:p w14:paraId="1BB740B8">
            <w:pPr>
              <w:pStyle w:val="147"/>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baseline"/>
              <w:rPr>
                <w:rFonts w:hint="eastAsia" w:ascii="仿宋" w:hAnsi="仿宋" w:eastAsia="仿宋" w:cs="Times New Roman"/>
                <w:i/>
                <w:iCs/>
                <w:color w:val="auto"/>
                <w:kern w:val="2"/>
                <w:sz w:val="28"/>
                <w:szCs w:val="24"/>
                <w:lang w:val="zh-CN" w:eastAsia="zh-CN" w:bidi="ar-SA"/>
              </w:rPr>
            </w:pPr>
            <w:r>
              <w:rPr>
                <w:rFonts w:hint="eastAsia" w:ascii="仿宋" w:hAnsi="仿宋" w:eastAsia="仿宋" w:cs="Times New Roman"/>
                <w:b/>
                <w:bCs/>
                <w:i/>
                <w:iCs/>
                <w:color w:val="auto"/>
                <w:kern w:val="2"/>
                <w:sz w:val="28"/>
                <w:szCs w:val="24"/>
                <w:lang w:val="en-US" w:eastAsia="zh-CN" w:bidi="ar-SA"/>
              </w:rPr>
              <w:t>废纸</w:t>
            </w:r>
            <w:r>
              <w:rPr>
                <w:rFonts w:hint="eastAsia" w:ascii="仿宋" w:hAnsi="仿宋" w:eastAsia="仿宋" w:cs="Times New Roman"/>
                <w:b/>
                <w:bCs/>
                <w:i/>
                <w:iCs/>
                <w:color w:val="auto"/>
                <w:kern w:val="2"/>
                <w:sz w:val="28"/>
                <w:szCs w:val="24"/>
                <w:lang w:val="zh-CN" w:eastAsia="zh-CN" w:bidi="ar-SA"/>
              </w:rPr>
              <w:t>（</w:t>
            </w:r>
            <w:r>
              <w:rPr>
                <w:rFonts w:hint="eastAsia"/>
                <w:b/>
                <w:i/>
                <w:iCs/>
                <w:color w:val="auto"/>
                <w:sz w:val="28"/>
                <w:lang w:val="zh-CN"/>
              </w:rPr>
              <w:t>SW17，</w:t>
            </w:r>
            <w:r>
              <w:rPr>
                <w:rFonts w:hint="eastAsia" w:ascii="仿宋" w:hAnsi="仿宋" w:eastAsia="仿宋" w:cs="Times New Roman"/>
                <w:b/>
                <w:bCs/>
                <w:i/>
                <w:iCs/>
                <w:color w:val="auto"/>
                <w:kern w:val="2"/>
                <w:sz w:val="28"/>
                <w:szCs w:val="24"/>
                <w:lang w:val="zh-CN" w:eastAsia="zh-CN" w:bidi="ar-SA"/>
              </w:rPr>
              <w:t>900-005-S17）</w:t>
            </w:r>
            <w:r>
              <w:rPr>
                <w:rFonts w:hint="eastAsia" w:ascii="仿宋" w:hAnsi="仿宋" w:eastAsia="仿宋" w:cs="Times New Roman"/>
                <w:i/>
                <w:iCs/>
                <w:color w:val="auto"/>
                <w:kern w:val="2"/>
                <w:sz w:val="28"/>
                <w:szCs w:val="24"/>
                <w:lang w:val="zh-CN" w:eastAsia="zh-CN" w:bidi="ar-SA"/>
              </w:rPr>
              <w:t>：</w:t>
            </w:r>
            <w:r>
              <w:rPr>
                <w:rFonts w:hint="eastAsia" w:ascii="仿宋" w:hAnsi="仿宋" w:eastAsia="仿宋" w:cs="Times New Roman"/>
                <w:i/>
                <w:iCs/>
                <w:color w:val="auto"/>
                <w:kern w:val="2"/>
                <w:sz w:val="28"/>
                <w:szCs w:val="24"/>
                <w:lang w:val="en-US" w:eastAsia="zh-CN" w:bidi="ar-SA"/>
              </w:rPr>
              <w:t>本项目在滚胶过程中由于涂胶后将粘贴牛皮纸，此过程会产生少量废纸，废纸的产生量约</w:t>
            </w:r>
            <w:r>
              <w:rPr>
                <w:rFonts w:hint="eastAsia" w:ascii="仿宋" w:hAnsi="仿宋" w:eastAsia="仿宋" w:cs="Times New Roman"/>
                <w:i/>
                <w:iCs/>
                <w:color w:val="auto"/>
                <w:kern w:val="2"/>
                <w:sz w:val="28"/>
                <w:szCs w:val="24"/>
                <w:highlight w:val="none"/>
                <w:lang w:val="en-US" w:eastAsia="zh-CN" w:bidi="ar-SA"/>
              </w:rPr>
              <w:t>0.</w:t>
            </w:r>
            <w:r>
              <w:rPr>
                <w:rFonts w:hint="eastAsia" w:cs="Times New Roman"/>
                <w:i/>
                <w:iCs/>
                <w:color w:val="auto"/>
                <w:kern w:val="2"/>
                <w:sz w:val="28"/>
                <w:szCs w:val="24"/>
                <w:highlight w:val="none"/>
                <w:lang w:val="en-US" w:eastAsia="zh-CN" w:bidi="ar-SA"/>
              </w:rPr>
              <w:t>4</w:t>
            </w:r>
            <w:r>
              <w:rPr>
                <w:rFonts w:hint="eastAsia" w:ascii="仿宋" w:hAnsi="仿宋" w:eastAsia="仿宋" w:cs="Times New Roman"/>
                <w:i/>
                <w:iCs/>
                <w:color w:val="auto"/>
                <w:kern w:val="2"/>
                <w:sz w:val="28"/>
                <w:szCs w:val="24"/>
                <w:highlight w:val="none"/>
                <w:lang w:val="en-US" w:eastAsia="zh-CN" w:bidi="ar-SA"/>
              </w:rPr>
              <w:t>t/a</w:t>
            </w:r>
            <w:r>
              <w:rPr>
                <w:rFonts w:hint="eastAsia" w:ascii="仿宋" w:hAnsi="仿宋" w:eastAsia="仿宋" w:cs="Times New Roman"/>
                <w:i/>
                <w:iCs/>
                <w:color w:val="auto"/>
                <w:kern w:val="2"/>
                <w:sz w:val="28"/>
                <w:szCs w:val="24"/>
                <w:lang w:val="en-US" w:eastAsia="zh-CN" w:bidi="ar-SA"/>
              </w:rPr>
              <w:t>，该部分不含油污，收集后由外售回收站处置</w:t>
            </w:r>
            <w:r>
              <w:rPr>
                <w:rFonts w:hint="eastAsia" w:ascii="仿宋" w:hAnsi="仿宋" w:eastAsia="仿宋" w:cs="Times New Roman"/>
                <w:i/>
                <w:iCs/>
                <w:color w:val="auto"/>
                <w:kern w:val="2"/>
                <w:sz w:val="28"/>
                <w:szCs w:val="24"/>
                <w:lang w:val="zh-CN" w:eastAsia="zh-CN" w:bidi="ar-SA"/>
              </w:rPr>
              <w:t>。</w:t>
            </w:r>
          </w:p>
          <w:p w14:paraId="21B57484">
            <w:pPr>
              <w:ind w:firstLine="560"/>
              <w:rPr>
                <w:color w:val="auto"/>
                <w:sz w:val="28"/>
                <w:lang w:val="zh-CN"/>
              </w:rPr>
            </w:pPr>
            <w:r>
              <w:rPr>
                <w:color w:val="auto"/>
                <w:sz w:val="28"/>
                <w:lang w:val="zh-CN"/>
              </w:rPr>
              <w:t>（2）</w:t>
            </w:r>
            <w:r>
              <w:rPr>
                <w:rFonts w:hint="eastAsia"/>
                <w:color w:val="auto"/>
                <w:sz w:val="28"/>
                <w:lang w:val="zh-CN"/>
              </w:rPr>
              <w:t>危险废物</w:t>
            </w:r>
          </w:p>
          <w:p w14:paraId="0B7C679C">
            <w:pPr>
              <w:ind w:firstLine="560"/>
              <w:rPr>
                <w:rFonts w:hint="eastAsia"/>
                <w:b/>
                <w:color w:val="auto"/>
                <w:sz w:val="28"/>
                <w:lang w:val="zh-CN"/>
              </w:rPr>
            </w:pPr>
            <w:r>
              <w:rPr>
                <w:rFonts w:hint="eastAsia"/>
                <w:color w:val="auto"/>
                <w:sz w:val="28"/>
                <w:lang w:val="zh-CN"/>
              </w:rPr>
              <w:t>本项目产生的危险废物主要有</w:t>
            </w:r>
            <w:r>
              <w:rPr>
                <w:rFonts w:hint="eastAsia"/>
                <w:color w:val="auto"/>
                <w:sz w:val="28"/>
                <w:highlight w:val="none"/>
                <w:lang w:val="en-US" w:eastAsia="zh-CN"/>
              </w:rPr>
              <w:t>废抹布S6、S17，</w:t>
            </w:r>
            <w:r>
              <w:rPr>
                <w:rFonts w:hint="eastAsia"/>
                <w:color w:val="auto"/>
                <w:sz w:val="28"/>
                <w:lang w:val="zh-CN"/>
              </w:rPr>
              <w:t>废活性炭</w:t>
            </w:r>
            <w:r>
              <w:rPr>
                <w:rFonts w:hint="eastAsia"/>
                <w:color w:val="auto"/>
                <w:sz w:val="28"/>
              </w:rPr>
              <w:t>S</w:t>
            </w:r>
            <w:r>
              <w:rPr>
                <w:rFonts w:hint="eastAsia"/>
                <w:color w:val="auto"/>
                <w:sz w:val="28"/>
                <w:lang w:val="en-US" w:eastAsia="zh-CN"/>
              </w:rPr>
              <w:t>10</w:t>
            </w:r>
            <w:r>
              <w:rPr>
                <w:rFonts w:hint="eastAsia"/>
                <w:color w:val="auto"/>
                <w:sz w:val="28"/>
                <w:lang w:val="zh-CN"/>
              </w:rPr>
              <w:t>、废矿物油</w:t>
            </w:r>
            <w:r>
              <w:rPr>
                <w:rFonts w:hint="eastAsia"/>
                <w:color w:val="auto"/>
                <w:sz w:val="28"/>
              </w:rPr>
              <w:t>S</w:t>
            </w:r>
            <w:r>
              <w:rPr>
                <w:rFonts w:hint="eastAsia"/>
                <w:color w:val="auto"/>
                <w:sz w:val="28"/>
                <w:lang w:val="en-US" w:eastAsia="zh-CN"/>
              </w:rPr>
              <w:t>11</w:t>
            </w:r>
            <w:r>
              <w:rPr>
                <w:rFonts w:hint="eastAsia"/>
                <w:color w:val="auto"/>
                <w:sz w:val="28"/>
                <w:lang w:val="zh-CN"/>
              </w:rPr>
              <w:t>、废油桶</w:t>
            </w:r>
            <w:r>
              <w:rPr>
                <w:rFonts w:hint="eastAsia"/>
                <w:color w:val="auto"/>
                <w:sz w:val="28"/>
              </w:rPr>
              <w:t>S</w:t>
            </w:r>
            <w:r>
              <w:rPr>
                <w:rFonts w:hint="eastAsia"/>
                <w:color w:val="auto"/>
                <w:sz w:val="28"/>
                <w:lang w:val="en-US" w:eastAsia="zh-CN"/>
              </w:rPr>
              <w:t>12</w:t>
            </w:r>
            <w:r>
              <w:rPr>
                <w:rFonts w:hint="eastAsia"/>
                <w:color w:val="auto"/>
                <w:sz w:val="28"/>
                <w:lang w:val="zh-CN"/>
              </w:rPr>
              <w:t>、废含油棉纱手套</w:t>
            </w:r>
            <w:r>
              <w:rPr>
                <w:rFonts w:hint="eastAsia"/>
                <w:color w:val="auto"/>
                <w:sz w:val="28"/>
              </w:rPr>
              <w:t>S</w:t>
            </w:r>
            <w:r>
              <w:rPr>
                <w:rFonts w:hint="eastAsia"/>
                <w:color w:val="auto"/>
                <w:sz w:val="28"/>
                <w:lang w:val="en-US" w:eastAsia="zh-CN"/>
              </w:rPr>
              <w:t>13</w:t>
            </w:r>
            <w:r>
              <w:rPr>
                <w:rFonts w:hint="eastAsia"/>
                <w:color w:val="auto"/>
                <w:sz w:val="28"/>
              </w:rPr>
              <w:t>、</w:t>
            </w:r>
            <w:r>
              <w:rPr>
                <w:rFonts w:hint="eastAsia"/>
                <w:color w:val="auto"/>
                <w:sz w:val="28"/>
                <w:lang w:eastAsia="zh-CN"/>
              </w:rPr>
              <w:t>空压机含油废水</w:t>
            </w:r>
            <w:r>
              <w:rPr>
                <w:rFonts w:hint="eastAsia"/>
                <w:color w:val="auto"/>
                <w:sz w:val="28"/>
              </w:rPr>
              <w:t>S1</w:t>
            </w:r>
            <w:r>
              <w:rPr>
                <w:rFonts w:hint="eastAsia"/>
                <w:color w:val="auto"/>
                <w:sz w:val="28"/>
                <w:lang w:val="en-US" w:eastAsia="zh-CN"/>
              </w:rPr>
              <w:t>4、废胶桶S5、S16。</w:t>
            </w:r>
          </w:p>
          <w:p w14:paraId="74422E33">
            <w:pPr>
              <w:ind w:firstLine="562"/>
              <w:rPr>
                <w:color w:val="auto"/>
                <w:sz w:val="28"/>
              </w:rPr>
            </w:pPr>
            <w:r>
              <w:rPr>
                <w:rFonts w:hint="eastAsia"/>
                <w:b/>
                <w:bCs/>
                <w:color w:val="auto"/>
                <w:sz w:val="28"/>
              </w:rPr>
              <w:t>空压机</w:t>
            </w:r>
            <w:r>
              <w:rPr>
                <w:rFonts w:hint="eastAsia"/>
                <w:b/>
                <w:bCs/>
                <w:color w:val="auto"/>
                <w:sz w:val="28"/>
                <w:lang w:eastAsia="zh-CN"/>
              </w:rPr>
              <w:t>油水混合物（</w:t>
            </w:r>
            <w:r>
              <w:rPr>
                <w:rFonts w:hint="eastAsia"/>
                <w:b/>
                <w:bCs/>
                <w:color w:val="auto"/>
                <w:sz w:val="28"/>
                <w:lang w:val="en-US" w:eastAsia="zh-CN"/>
              </w:rPr>
              <w:t>HW09，</w:t>
            </w:r>
            <w:r>
              <w:rPr>
                <w:rFonts w:hint="eastAsia"/>
                <w:b/>
                <w:bCs/>
                <w:color w:val="auto"/>
                <w:sz w:val="28"/>
              </w:rPr>
              <w:t>900-007-09</w:t>
            </w:r>
            <w:r>
              <w:rPr>
                <w:rFonts w:hint="eastAsia"/>
                <w:b/>
                <w:bCs/>
                <w:color w:val="auto"/>
                <w:sz w:val="28"/>
                <w:lang w:eastAsia="zh-CN"/>
              </w:rPr>
              <w:t>）</w:t>
            </w:r>
            <w:r>
              <w:rPr>
                <w:rFonts w:hint="eastAsia"/>
                <w:color w:val="auto"/>
                <w:sz w:val="28"/>
                <w:lang w:eastAsia="zh-CN"/>
              </w:rPr>
              <w:t>：</w:t>
            </w:r>
            <w:r>
              <w:rPr>
                <w:rFonts w:hint="eastAsia"/>
                <w:color w:val="auto"/>
                <w:sz w:val="28"/>
              </w:rPr>
              <w:t>空压机使用过程中会产生少量含油废水，产生量约0.01t/a，根据《国家危险废物名录》（2021年版）中规定，空压机含油废水属于HW09油/水、烃/水混合物或乳化液中900-007-09类。经统一收集后暂存于危险废物</w:t>
            </w:r>
            <w:r>
              <w:rPr>
                <w:rFonts w:hint="eastAsia"/>
                <w:color w:val="auto"/>
                <w:sz w:val="28"/>
                <w:lang w:eastAsia="zh-CN"/>
              </w:rPr>
              <w:t>贮存点</w:t>
            </w:r>
            <w:r>
              <w:rPr>
                <w:rFonts w:hint="eastAsia"/>
                <w:color w:val="auto"/>
                <w:sz w:val="28"/>
              </w:rPr>
              <w:t>，定期交有资质的单位处置。</w:t>
            </w:r>
          </w:p>
          <w:p w14:paraId="251E6256">
            <w:pPr>
              <w:ind w:firstLine="562"/>
              <w:rPr>
                <w:bCs/>
                <w:color w:val="auto"/>
                <w:sz w:val="28"/>
              </w:rPr>
            </w:pPr>
            <w:r>
              <w:rPr>
                <w:rFonts w:hint="eastAsia"/>
                <w:b/>
                <w:color w:val="auto"/>
                <w:sz w:val="28"/>
                <w:highlight w:val="none"/>
                <w:lang w:val="zh-CN"/>
              </w:rPr>
              <w:t>废矿物油(HW08，900-</w:t>
            </w:r>
            <w:r>
              <w:rPr>
                <w:rFonts w:hint="eastAsia"/>
                <w:b/>
                <w:color w:val="auto"/>
                <w:sz w:val="28"/>
                <w:highlight w:val="none"/>
                <w:lang w:val="en-US" w:eastAsia="zh-CN"/>
              </w:rPr>
              <w:t>249</w:t>
            </w:r>
            <w:r>
              <w:rPr>
                <w:rFonts w:hint="eastAsia"/>
                <w:b/>
                <w:color w:val="auto"/>
                <w:sz w:val="28"/>
                <w:highlight w:val="none"/>
                <w:lang w:val="zh-CN"/>
              </w:rPr>
              <w:t>-08)</w:t>
            </w:r>
            <w:r>
              <w:rPr>
                <w:rFonts w:hint="eastAsia"/>
                <w:color w:val="auto"/>
                <w:sz w:val="28"/>
                <w:lang w:val="zh-CN"/>
              </w:rPr>
              <w:t>：项目在设备维修维护过程中会产生废油，</w:t>
            </w:r>
            <w:r>
              <w:rPr>
                <w:rFonts w:hint="eastAsia"/>
                <w:color w:val="auto"/>
                <w:sz w:val="28"/>
              </w:rPr>
              <w:t>废</w:t>
            </w:r>
            <w:r>
              <w:rPr>
                <w:rFonts w:hint="eastAsia"/>
                <w:color w:val="auto"/>
                <w:sz w:val="28"/>
                <w:lang w:eastAsia="zh-CN"/>
              </w:rPr>
              <w:t>矿物</w:t>
            </w:r>
            <w:r>
              <w:rPr>
                <w:rFonts w:hint="eastAsia"/>
                <w:color w:val="auto"/>
                <w:sz w:val="28"/>
              </w:rPr>
              <w:t>油</w:t>
            </w:r>
            <w:r>
              <w:rPr>
                <w:rFonts w:hint="eastAsia"/>
                <w:color w:val="auto"/>
                <w:sz w:val="28"/>
                <w:lang w:val="zh-CN"/>
              </w:rPr>
              <w:t>产生量为</w:t>
            </w:r>
            <w:r>
              <w:rPr>
                <w:rFonts w:hint="eastAsia"/>
                <w:color w:val="auto"/>
                <w:sz w:val="28"/>
                <w:lang w:val="en-US" w:eastAsia="zh-CN"/>
              </w:rPr>
              <w:t>0.15</w:t>
            </w:r>
            <w:r>
              <w:rPr>
                <w:rFonts w:hint="eastAsia"/>
                <w:color w:val="auto"/>
                <w:sz w:val="28"/>
              </w:rPr>
              <w:t>t/a</w:t>
            </w:r>
            <w:r>
              <w:rPr>
                <w:rFonts w:hint="eastAsia"/>
                <w:color w:val="auto"/>
                <w:sz w:val="28"/>
                <w:lang w:val="zh-CN"/>
              </w:rPr>
              <w:t>，对照《国家危险废物名录》（202</w:t>
            </w:r>
            <w:r>
              <w:rPr>
                <w:rFonts w:hint="eastAsia"/>
                <w:color w:val="auto"/>
                <w:sz w:val="28"/>
              </w:rPr>
              <w:t>5</w:t>
            </w:r>
            <w:r>
              <w:rPr>
                <w:rFonts w:hint="eastAsia"/>
                <w:color w:val="auto"/>
                <w:sz w:val="28"/>
                <w:lang w:val="zh-CN"/>
              </w:rPr>
              <w:t>年版），属于危险废物HW08，废物代码900-2</w:t>
            </w:r>
            <w:r>
              <w:rPr>
                <w:rFonts w:hint="eastAsia"/>
                <w:color w:val="auto"/>
                <w:sz w:val="28"/>
                <w:lang w:val="en-US" w:eastAsia="zh-CN"/>
              </w:rPr>
              <w:t>49</w:t>
            </w:r>
            <w:r>
              <w:rPr>
                <w:rFonts w:hint="eastAsia"/>
                <w:color w:val="auto"/>
                <w:sz w:val="28"/>
                <w:lang w:val="zh-CN"/>
              </w:rPr>
              <w:t>-08，</w:t>
            </w:r>
            <w:r>
              <w:rPr>
                <w:rFonts w:hint="eastAsia"/>
                <w:color w:val="auto"/>
                <w:sz w:val="28"/>
              </w:rPr>
              <w:t>集中收集暂存于</w:t>
            </w:r>
            <w:r>
              <w:rPr>
                <w:rFonts w:hint="eastAsia"/>
                <w:color w:val="auto"/>
                <w:sz w:val="28"/>
                <w:lang w:eastAsia="zh-CN"/>
              </w:rPr>
              <w:t>危废贮存点</w:t>
            </w:r>
            <w:r>
              <w:rPr>
                <w:rFonts w:hint="eastAsia"/>
                <w:color w:val="auto"/>
                <w:sz w:val="28"/>
              </w:rPr>
              <w:t>，定期交有危险固废处置资质单位处置。</w:t>
            </w:r>
          </w:p>
          <w:p w14:paraId="3FE707EC">
            <w:pPr>
              <w:ind w:firstLine="562"/>
              <w:rPr>
                <w:color w:val="auto"/>
                <w:sz w:val="28"/>
              </w:rPr>
            </w:pPr>
            <w:r>
              <w:rPr>
                <w:rFonts w:hint="eastAsia"/>
                <w:b/>
                <w:color w:val="auto"/>
                <w:sz w:val="28"/>
                <w:lang w:val="zh-CN"/>
              </w:rPr>
              <w:t>废油桶（HW08，900-249-08）</w:t>
            </w:r>
            <w:r>
              <w:rPr>
                <w:rFonts w:hint="eastAsia"/>
                <w:color w:val="auto"/>
                <w:sz w:val="28"/>
                <w:lang w:val="zh-CN"/>
              </w:rPr>
              <w:t>：本项目产生的废油桶约</w:t>
            </w:r>
            <w:r>
              <w:rPr>
                <w:rFonts w:hint="eastAsia"/>
                <w:color w:val="auto"/>
                <w:sz w:val="28"/>
              </w:rPr>
              <w:t>0.3</w:t>
            </w:r>
            <w:r>
              <w:rPr>
                <w:rFonts w:hint="eastAsia"/>
                <w:color w:val="auto"/>
                <w:sz w:val="28"/>
                <w:lang w:val="zh-CN"/>
              </w:rPr>
              <w:t>t，</w:t>
            </w:r>
            <w:r>
              <w:rPr>
                <w:rFonts w:hint="eastAsia"/>
                <w:color w:val="auto"/>
                <w:sz w:val="28"/>
              </w:rPr>
              <w:t>集中收集暂存于</w:t>
            </w:r>
            <w:r>
              <w:rPr>
                <w:rFonts w:hint="eastAsia"/>
                <w:color w:val="auto"/>
                <w:sz w:val="28"/>
                <w:lang w:eastAsia="zh-CN"/>
              </w:rPr>
              <w:t>危废贮存点</w:t>
            </w:r>
            <w:r>
              <w:rPr>
                <w:rFonts w:hint="eastAsia"/>
                <w:color w:val="auto"/>
                <w:sz w:val="28"/>
              </w:rPr>
              <w:t>，定期交有危险废物处置资质单位处置。</w:t>
            </w:r>
          </w:p>
          <w:p w14:paraId="343BED73">
            <w:pPr>
              <w:widowControl/>
              <w:ind w:firstLine="562"/>
              <w:jc w:val="left"/>
              <w:rPr>
                <w:rFonts w:hint="eastAsia" w:eastAsia="仿宋" w:cs="仿宋"/>
                <w:color w:val="auto"/>
                <w:sz w:val="28"/>
                <w:szCs w:val="28"/>
                <w:lang w:eastAsia="zh-CN"/>
              </w:rPr>
            </w:pPr>
            <w:r>
              <w:rPr>
                <w:rFonts w:hint="eastAsia"/>
                <w:b/>
                <w:color w:val="auto"/>
                <w:sz w:val="28"/>
                <w:lang w:val="zh-CN"/>
              </w:rPr>
              <w:t>废活性炭(HW49，900-0</w:t>
            </w:r>
            <w:r>
              <w:rPr>
                <w:rFonts w:hint="eastAsia"/>
                <w:b/>
                <w:color w:val="auto"/>
                <w:sz w:val="28"/>
              </w:rPr>
              <w:t>39</w:t>
            </w:r>
            <w:r>
              <w:rPr>
                <w:rFonts w:hint="eastAsia"/>
                <w:b/>
                <w:color w:val="auto"/>
                <w:sz w:val="28"/>
                <w:lang w:val="zh-CN"/>
              </w:rPr>
              <w:t>-49)</w:t>
            </w:r>
            <w:r>
              <w:rPr>
                <w:color w:val="auto"/>
                <w:sz w:val="28"/>
                <w:lang w:val="zh-CN"/>
              </w:rPr>
              <w:t>：</w:t>
            </w:r>
            <w:r>
              <w:rPr>
                <w:rFonts w:hint="eastAsia"/>
                <w:color w:val="auto"/>
                <w:sz w:val="28"/>
                <w:lang w:val="zh-CN"/>
              </w:rPr>
              <w:t>项目处理有机废气采用活性炭吸附处理</w:t>
            </w:r>
            <w:r>
              <w:rPr>
                <w:rFonts w:hint="eastAsia" w:cs="仿宋"/>
                <w:color w:val="auto"/>
                <w:sz w:val="28"/>
                <w:szCs w:val="28"/>
                <w:lang w:val="zh-CN"/>
              </w:rPr>
              <w:t>，</w:t>
            </w:r>
            <w:r>
              <w:rPr>
                <w:rFonts w:hint="eastAsia" w:cs="仿宋"/>
                <w:color w:val="auto"/>
                <w:kern w:val="0"/>
                <w:sz w:val="28"/>
                <w:szCs w:val="28"/>
                <w:lang w:bidi="ar"/>
              </w:rPr>
              <w:t>《2020年挥发性有机物治理攻坚方案》提出“采用活性炭吸附技术的，应选择碘值不低于800毫克/克的活性炭”，目的是引导企业主动使用吸附效率高的活性炭，实现VOCs有效减排。对于采用颗粒状、柱状等活性炭吸附的，应选择碘值不低于800毫克/克的活性炭；采用蜂窝状活性炭吸附的，建议选择与碘值800毫克/克颗粒状、柱状等活性炭吸附效率相当的蜂窝状活性炭，并按照设计要求足量添加、及时更换。</w:t>
            </w:r>
          </w:p>
          <w:p w14:paraId="55E0603D">
            <w:pPr>
              <w:widowControl/>
              <w:ind w:firstLine="560"/>
              <w:jc w:val="left"/>
              <w:rPr>
                <w:color w:val="auto"/>
                <w:sz w:val="28"/>
              </w:rPr>
            </w:pPr>
            <w:r>
              <w:rPr>
                <w:rFonts w:hint="eastAsia" w:cs="仿宋"/>
                <w:color w:val="auto"/>
                <w:kern w:val="0"/>
                <w:sz w:val="28"/>
                <w:szCs w:val="28"/>
                <w:lang w:bidi="ar"/>
              </w:rPr>
              <w:t>根据重庆市生态环境局印发</w:t>
            </w:r>
            <w:r>
              <w:rPr>
                <w:rFonts w:cs="仿宋"/>
                <w:color w:val="auto"/>
                <w:kern w:val="0"/>
                <w:sz w:val="28"/>
                <w:szCs w:val="28"/>
                <w:lang w:bidi="ar"/>
              </w:rPr>
              <w:t>《</w:t>
            </w:r>
            <w:r>
              <w:rPr>
                <w:rFonts w:hint="eastAsia" w:cs="仿宋"/>
                <w:color w:val="auto"/>
                <w:kern w:val="0"/>
                <w:sz w:val="28"/>
                <w:szCs w:val="28"/>
                <w:lang w:bidi="ar"/>
              </w:rPr>
              <w:t>2025年重庆市夏季空气质量提升工作方案》要求：“采用一次性颗粒状活性炭处理VOCs废气，年活性炭使用量宜不应低于VOCs产生量的5倍，</w:t>
            </w:r>
            <w:r>
              <w:rPr>
                <w:rFonts w:hint="eastAsia" w:cs="仿宋"/>
                <w:color w:val="auto"/>
                <w:kern w:val="0"/>
                <w:sz w:val="28"/>
                <w:szCs w:val="28"/>
                <w:highlight w:val="none"/>
                <w:lang w:bidi="ar"/>
              </w:rPr>
              <w:t>即1吨VOCs产生量，需5吨活性炭用于吸附”</w:t>
            </w:r>
            <w:r>
              <w:rPr>
                <w:rFonts w:hint="eastAsia" w:cs="仿宋"/>
                <w:color w:val="auto"/>
                <w:kern w:val="0"/>
                <w:sz w:val="28"/>
                <w:szCs w:val="28"/>
                <w:highlight w:val="none"/>
                <w:lang w:eastAsia="zh-CN" w:bidi="ar"/>
              </w:rPr>
              <w:t>。</w:t>
            </w:r>
            <w:r>
              <w:rPr>
                <w:rFonts w:hint="eastAsia" w:cs="仿宋"/>
                <w:i/>
                <w:iCs/>
                <w:color w:val="auto"/>
                <w:kern w:val="0"/>
                <w:sz w:val="28"/>
                <w:szCs w:val="28"/>
                <w:lang w:bidi="ar"/>
              </w:rPr>
              <w:t>经核算本项目</w:t>
            </w:r>
            <w:r>
              <w:rPr>
                <w:rFonts w:hint="eastAsia" w:cs="仿宋"/>
                <w:i/>
                <w:iCs/>
                <w:color w:val="auto"/>
                <w:kern w:val="0"/>
                <w:sz w:val="28"/>
                <w:szCs w:val="28"/>
                <w:lang w:eastAsia="zh-CN" w:bidi="ar"/>
              </w:rPr>
              <w:t>非甲烷总烃的产生量为</w:t>
            </w:r>
            <w:r>
              <w:rPr>
                <w:rFonts w:hint="eastAsia" w:cs="仿宋"/>
                <w:i/>
                <w:iCs/>
                <w:color w:val="auto"/>
                <w:kern w:val="0"/>
                <w:sz w:val="28"/>
                <w:szCs w:val="28"/>
                <w:lang w:val="en-US" w:eastAsia="zh-CN" w:bidi="ar"/>
              </w:rPr>
              <w:t>0.216t/a，所需</w:t>
            </w:r>
            <w:r>
              <w:rPr>
                <w:rFonts w:hint="eastAsia" w:cs="仿宋"/>
                <w:i/>
                <w:iCs/>
                <w:color w:val="auto"/>
                <w:kern w:val="0"/>
                <w:sz w:val="28"/>
                <w:szCs w:val="28"/>
                <w:lang w:bidi="ar"/>
              </w:rPr>
              <w:t>活性炭量为</w:t>
            </w:r>
            <w:r>
              <w:rPr>
                <w:rFonts w:hint="eastAsia" w:cs="仿宋"/>
                <w:i/>
                <w:iCs/>
                <w:color w:val="auto"/>
                <w:kern w:val="0"/>
                <w:sz w:val="28"/>
                <w:szCs w:val="28"/>
                <w:highlight w:val="none"/>
                <w:lang w:val="en-US" w:eastAsia="zh-CN" w:bidi="ar"/>
              </w:rPr>
              <w:t>1.08</w:t>
            </w:r>
            <w:r>
              <w:rPr>
                <w:rFonts w:hint="eastAsia" w:cs="仿宋"/>
                <w:i/>
                <w:iCs/>
                <w:color w:val="auto"/>
                <w:kern w:val="0"/>
                <w:sz w:val="28"/>
                <w:szCs w:val="28"/>
                <w:highlight w:val="none"/>
                <w:lang w:bidi="ar"/>
              </w:rPr>
              <w:t>t/a，</w:t>
            </w:r>
            <w:r>
              <w:rPr>
                <w:rFonts w:hint="eastAsia" w:cs="仿宋"/>
                <w:i/>
                <w:iCs/>
                <w:color w:val="auto"/>
                <w:kern w:val="0"/>
                <w:sz w:val="28"/>
                <w:szCs w:val="28"/>
                <w:highlight w:val="none"/>
                <w:lang w:eastAsia="zh-CN" w:bidi="ar"/>
              </w:rPr>
              <w:t>活性炭吸附有机废气量为</w:t>
            </w:r>
            <w:r>
              <w:rPr>
                <w:rFonts w:hint="eastAsia" w:cs="仿宋"/>
                <w:i/>
                <w:iCs/>
                <w:color w:val="auto"/>
                <w:kern w:val="0"/>
                <w:sz w:val="28"/>
                <w:szCs w:val="28"/>
                <w:highlight w:val="none"/>
                <w:lang w:val="en-US" w:eastAsia="zh-CN" w:bidi="ar"/>
              </w:rPr>
              <w:t>0.104t/a，</w:t>
            </w:r>
            <w:r>
              <w:rPr>
                <w:rFonts w:hint="eastAsia" w:cs="仿宋"/>
                <w:i/>
                <w:iCs/>
                <w:color w:val="auto"/>
                <w:kern w:val="0"/>
                <w:sz w:val="28"/>
                <w:szCs w:val="28"/>
                <w:highlight w:val="none"/>
                <w:lang w:bidi="ar"/>
              </w:rPr>
              <w:t>则废活性炭（包含吸附的有机物）产生量约</w:t>
            </w:r>
            <w:r>
              <w:rPr>
                <w:rFonts w:hint="eastAsia" w:cs="仿宋"/>
                <w:i/>
                <w:iCs/>
                <w:color w:val="auto"/>
                <w:kern w:val="0"/>
                <w:sz w:val="28"/>
                <w:szCs w:val="28"/>
                <w:highlight w:val="none"/>
                <w:lang w:val="en-US" w:eastAsia="zh-CN" w:bidi="ar"/>
              </w:rPr>
              <w:t>1.184</w:t>
            </w:r>
            <w:r>
              <w:rPr>
                <w:rFonts w:hint="eastAsia" w:cs="仿宋"/>
                <w:i/>
                <w:iCs/>
                <w:color w:val="auto"/>
                <w:kern w:val="0"/>
                <w:sz w:val="28"/>
                <w:szCs w:val="28"/>
                <w:highlight w:val="none"/>
                <w:lang w:bidi="ar"/>
              </w:rPr>
              <w:t>t/a</w:t>
            </w:r>
            <w:r>
              <w:rPr>
                <w:rFonts w:hint="eastAsia" w:cs="仿宋"/>
                <w:i/>
                <w:iCs/>
                <w:color w:val="auto"/>
                <w:kern w:val="0"/>
                <w:sz w:val="28"/>
                <w:szCs w:val="28"/>
                <w:lang w:bidi="ar"/>
              </w:rPr>
              <w:t>，根据《国家危险废物名录（202</w:t>
            </w:r>
            <w:r>
              <w:rPr>
                <w:rFonts w:hint="eastAsia" w:cs="仿宋"/>
                <w:i/>
                <w:iCs/>
                <w:color w:val="auto"/>
                <w:kern w:val="0"/>
                <w:sz w:val="28"/>
                <w:szCs w:val="28"/>
                <w:lang w:val="en-US" w:eastAsia="zh-CN" w:bidi="ar"/>
              </w:rPr>
              <w:t>5</w:t>
            </w:r>
            <w:r>
              <w:rPr>
                <w:rFonts w:hint="eastAsia" w:cs="仿宋"/>
                <w:i/>
                <w:iCs/>
                <w:color w:val="auto"/>
                <w:kern w:val="0"/>
                <w:sz w:val="28"/>
                <w:szCs w:val="28"/>
                <w:lang w:bidi="ar"/>
              </w:rPr>
              <w:t>年版）》，属于危险废物，危险废物类别为HW49，废物代码为900-039-49，定期更换后交由有危废处理资质的单位处理。活性炭更换周期约为</w:t>
            </w:r>
            <w:r>
              <w:rPr>
                <w:rFonts w:hint="eastAsia" w:cs="仿宋"/>
                <w:i/>
                <w:iCs/>
                <w:color w:val="auto"/>
                <w:kern w:val="0"/>
                <w:sz w:val="28"/>
                <w:szCs w:val="28"/>
                <w:highlight w:val="none"/>
                <w:lang w:eastAsia="zh-CN" w:bidi="ar"/>
              </w:rPr>
              <w:t>三</w:t>
            </w:r>
            <w:r>
              <w:rPr>
                <w:rFonts w:hint="eastAsia" w:cs="仿宋"/>
                <w:i/>
                <w:iCs/>
                <w:color w:val="auto"/>
                <w:kern w:val="0"/>
                <w:sz w:val="28"/>
                <w:szCs w:val="28"/>
                <w:highlight w:val="none"/>
                <w:lang w:bidi="ar"/>
              </w:rPr>
              <w:t>个月一次</w:t>
            </w:r>
            <w:r>
              <w:rPr>
                <w:rFonts w:hint="eastAsia"/>
                <w:i/>
                <w:iCs/>
                <w:color w:val="auto"/>
                <w:sz w:val="28"/>
              </w:rPr>
              <w:t>，</w:t>
            </w:r>
            <w:r>
              <w:rPr>
                <w:rFonts w:hint="eastAsia"/>
                <w:i/>
                <w:iCs/>
                <w:color w:val="auto"/>
                <w:sz w:val="28"/>
                <w:lang w:eastAsia="zh-CN"/>
              </w:rPr>
              <w:t>建议活性炭装填量为</w:t>
            </w:r>
            <w:r>
              <w:rPr>
                <w:rFonts w:hint="eastAsia"/>
                <w:i/>
                <w:iCs/>
                <w:color w:val="auto"/>
                <w:sz w:val="28"/>
                <w:lang w:val="en-US" w:eastAsia="zh-CN"/>
              </w:rPr>
              <w:t>0.3t，</w:t>
            </w:r>
            <w:r>
              <w:rPr>
                <w:rFonts w:hint="eastAsia"/>
                <w:i/>
                <w:iCs/>
                <w:color w:val="auto"/>
                <w:sz w:val="28"/>
              </w:rPr>
              <w:t>本项目设置</w:t>
            </w:r>
            <w:r>
              <w:rPr>
                <w:rFonts w:hint="eastAsia"/>
                <w:i/>
                <w:iCs/>
                <w:color w:val="auto"/>
                <w:sz w:val="28"/>
                <w:lang w:eastAsia="zh-CN"/>
              </w:rPr>
              <w:t>危废贮存点</w:t>
            </w:r>
            <w:r>
              <w:rPr>
                <w:rFonts w:hint="eastAsia"/>
                <w:i/>
                <w:iCs/>
                <w:color w:val="auto"/>
                <w:sz w:val="28"/>
              </w:rPr>
              <w:t>一处，集中收集暂存于</w:t>
            </w:r>
            <w:r>
              <w:rPr>
                <w:rFonts w:hint="eastAsia"/>
                <w:i/>
                <w:iCs/>
                <w:color w:val="auto"/>
                <w:sz w:val="28"/>
                <w:lang w:eastAsia="zh-CN"/>
              </w:rPr>
              <w:t>危废贮存点</w:t>
            </w:r>
            <w:r>
              <w:rPr>
                <w:rFonts w:hint="eastAsia"/>
                <w:i/>
                <w:iCs/>
                <w:color w:val="auto"/>
                <w:sz w:val="28"/>
              </w:rPr>
              <w:t>，定期交有危险废物处置资质单位处置</w:t>
            </w:r>
            <w:r>
              <w:rPr>
                <w:rFonts w:hint="eastAsia"/>
                <w:color w:val="auto"/>
                <w:sz w:val="28"/>
              </w:rPr>
              <w:t>。</w:t>
            </w:r>
          </w:p>
          <w:p w14:paraId="6ECF89FE">
            <w:pPr>
              <w:ind w:firstLine="562"/>
              <w:rPr>
                <w:rFonts w:hint="eastAsia"/>
                <w:color w:val="auto"/>
                <w:sz w:val="28"/>
                <w:lang w:val="zh-CN"/>
              </w:rPr>
            </w:pPr>
            <w:r>
              <w:rPr>
                <w:rFonts w:hint="eastAsia"/>
                <w:b/>
                <w:color w:val="auto"/>
                <w:sz w:val="28"/>
                <w:lang w:val="zh-CN"/>
              </w:rPr>
              <w:t>废含油棉纱、手套(900-041-49</w:t>
            </w:r>
            <w:r>
              <w:rPr>
                <w:rFonts w:hint="eastAsia"/>
                <w:color w:val="auto"/>
                <w:sz w:val="28"/>
                <w:lang w:val="zh-CN"/>
              </w:rPr>
              <w:t>)：本项目生产过程中使用机油对设备进行维护检修，在维护和保养过程中会产生一定的含油棉纱、手套，产生量约0.0</w:t>
            </w:r>
            <w:r>
              <w:rPr>
                <w:rFonts w:hint="eastAsia"/>
                <w:color w:val="auto"/>
                <w:sz w:val="28"/>
              </w:rPr>
              <w:t>2</w:t>
            </w:r>
            <w:r>
              <w:rPr>
                <w:rFonts w:hint="eastAsia"/>
                <w:color w:val="auto"/>
                <w:sz w:val="28"/>
                <w:lang w:val="zh-CN"/>
              </w:rPr>
              <w:t>t/a。集中收集后交由有危废处理资质单位处理。</w:t>
            </w:r>
          </w:p>
          <w:p w14:paraId="2FA26647">
            <w:pPr>
              <w:keepNext w:val="0"/>
              <w:keepLines w:val="0"/>
              <w:pageBreakBefore w:val="0"/>
              <w:widowControl w:val="0"/>
              <w:kinsoku/>
              <w:wordWrap/>
              <w:overflowPunct/>
              <w:topLinePunct w:val="0"/>
              <w:autoSpaceDE/>
              <w:autoSpaceDN/>
              <w:bidi w:val="0"/>
              <w:adjustRightInd w:val="0"/>
              <w:snapToGrid w:val="0"/>
              <w:ind w:left="0" w:leftChars="0" w:firstLine="562" w:firstLineChars="200"/>
              <w:textAlignment w:val="auto"/>
              <w:rPr>
                <w:rFonts w:hint="eastAsia"/>
                <w:b/>
                <w:bCs/>
                <w:i/>
                <w:iCs/>
                <w:color w:val="auto"/>
                <w:sz w:val="28"/>
                <w:szCs w:val="36"/>
                <w:lang w:eastAsia="zh-CN"/>
              </w:rPr>
            </w:pPr>
            <w:r>
              <w:rPr>
                <w:rFonts w:hint="eastAsia"/>
                <w:b/>
                <w:bCs/>
                <w:i/>
                <w:iCs/>
                <w:color w:val="auto"/>
                <w:sz w:val="28"/>
                <w:szCs w:val="36"/>
                <w:lang w:val="en-US" w:eastAsia="zh-CN"/>
              </w:rPr>
              <w:t>废抹布</w:t>
            </w:r>
            <w:r>
              <w:rPr>
                <w:rFonts w:hint="eastAsia"/>
                <w:b/>
                <w:bCs/>
                <w:i/>
                <w:iCs/>
                <w:color w:val="auto"/>
                <w:sz w:val="28"/>
                <w:szCs w:val="28"/>
              </w:rPr>
              <w:t>（</w:t>
            </w:r>
            <w:r>
              <w:rPr>
                <w:rFonts w:hint="eastAsia"/>
                <w:b/>
                <w:i/>
                <w:iCs/>
                <w:color w:val="auto"/>
                <w:sz w:val="28"/>
                <w:lang w:val="zh-CN"/>
              </w:rPr>
              <w:t>900-041-49</w:t>
            </w:r>
            <w:r>
              <w:rPr>
                <w:rFonts w:hint="eastAsia"/>
                <w:b/>
                <w:bCs/>
                <w:i/>
                <w:iCs/>
                <w:color w:val="auto"/>
                <w:sz w:val="28"/>
                <w:szCs w:val="28"/>
              </w:rPr>
              <w:t>）</w:t>
            </w:r>
          </w:p>
          <w:p w14:paraId="0109A9D8">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hint="eastAsia"/>
                <w:i/>
                <w:iCs/>
                <w:color w:val="auto"/>
                <w:lang w:eastAsia="zh-CN"/>
              </w:rPr>
            </w:pPr>
            <w:r>
              <w:rPr>
                <w:rFonts w:hint="eastAsia"/>
                <w:i/>
                <w:iCs/>
                <w:color w:val="auto"/>
                <w:sz w:val="28"/>
                <w:szCs w:val="36"/>
                <w:lang w:val="en-US" w:eastAsia="zh-CN"/>
              </w:rPr>
              <w:t>涂布烘烤一体机需使用沾水的抹布擦拭，清理表面沾染的水性丙烯酸胶水，根据建设单位提供的资料，废抹布产生量约为0.1t/a，根据《国家危险废物名录（2025年版）》（部令第36号）废物代码为</w:t>
            </w:r>
            <w:r>
              <w:rPr>
                <w:rFonts w:hint="eastAsia" w:ascii="Times New Roman"/>
                <w:b w:val="0"/>
                <w:bCs/>
                <w:i/>
                <w:iCs/>
                <w:color w:val="auto"/>
                <w:sz w:val="28"/>
                <w:lang w:val="zh-CN"/>
              </w:rPr>
              <w:t>900-041-49</w:t>
            </w:r>
            <w:r>
              <w:rPr>
                <w:rFonts w:hint="eastAsia"/>
                <w:i/>
                <w:iCs/>
                <w:color w:val="auto"/>
                <w:sz w:val="28"/>
                <w:szCs w:val="36"/>
                <w:lang w:val="en-US" w:eastAsia="zh-CN"/>
              </w:rPr>
              <w:t>。</w:t>
            </w:r>
          </w:p>
          <w:p w14:paraId="575CF080">
            <w:pPr>
              <w:ind w:firstLine="562"/>
              <w:rPr>
                <w:rFonts w:hint="eastAsia"/>
                <w:color w:val="auto"/>
                <w:sz w:val="28"/>
                <w:lang w:val="zh-CN" w:eastAsia="zh-CN"/>
              </w:rPr>
            </w:pPr>
            <w:r>
              <w:rPr>
                <w:rFonts w:hint="eastAsia"/>
                <w:b/>
                <w:bCs/>
                <w:i/>
                <w:iCs/>
                <w:color w:val="auto"/>
                <w:sz w:val="28"/>
                <w:szCs w:val="28"/>
              </w:rPr>
              <w:t>废胶桶（900-041-49）</w:t>
            </w:r>
            <w:r>
              <w:rPr>
                <w:rFonts w:hint="eastAsia"/>
                <w:i/>
                <w:iCs/>
                <w:color w:val="auto"/>
                <w:sz w:val="28"/>
                <w:szCs w:val="28"/>
              </w:rPr>
              <w:t>：项目生产过程中使用到的</w:t>
            </w:r>
            <w:r>
              <w:rPr>
                <w:rFonts w:hint="eastAsia"/>
                <w:i/>
                <w:iCs/>
                <w:color w:val="auto"/>
                <w:sz w:val="28"/>
                <w:szCs w:val="28"/>
                <w:lang w:val="en-US" w:eastAsia="zh-CN"/>
              </w:rPr>
              <w:t>胶水</w:t>
            </w:r>
            <w:r>
              <w:rPr>
                <w:rFonts w:hint="eastAsia"/>
                <w:i/>
                <w:iCs/>
                <w:color w:val="auto"/>
                <w:sz w:val="28"/>
                <w:szCs w:val="28"/>
              </w:rPr>
              <w:t>包装规格为</w:t>
            </w:r>
            <w:r>
              <w:rPr>
                <w:rFonts w:hint="eastAsia"/>
                <w:i/>
                <w:iCs/>
                <w:color w:val="auto"/>
                <w:sz w:val="28"/>
                <w:szCs w:val="28"/>
                <w:highlight w:val="none"/>
                <w:lang w:val="en-US" w:eastAsia="zh-CN"/>
              </w:rPr>
              <w:t>900</w:t>
            </w:r>
            <w:r>
              <w:rPr>
                <w:rFonts w:hint="eastAsia"/>
                <w:i/>
                <w:iCs/>
                <w:color w:val="auto"/>
                <w:sz w:val="28"/>
                <w:szCs w:val="28"/>
                <w:highlight w:val="none"/>
              </w:rPr>
              <w:t>kg/桶，</w:t>
            </w:r>
            <w:r>
              <w:rPr>
                <w:rFonts w:hint="eastAsia"/>
                <w:i/>
                <w:iCs/>
                <w:color w:val="auto"/>
                <w:sz w:val="28"/>
                <w:szCs w:val="28"/>
                <w:highlight w:val="none"/>
                <w:lang w:val="en-US" w:eastAsia="zh-CN"/>
              </w:rPr>
              <w:t>使用量共计约89桶</w:t>
            </w:r>
            <w:r>
              <w:rPr>
                <w:rFonts w:hint="eastAsia"/>
                <w:i/>
                <w:iCs/>
                <w:color w:val="auto"/>
                <w:sz w:val="28"/>
                <w:szCs w:val="28"/>
              </w:rPr>
              <w:t>，每个废胶桶按</w:t>
            </w:r>
            <w:r>
              <w:rPr>
                <w:rFonts w:hint="eastAsia"/>
                <w:i/>
                <w:iCs/>
                <w:color w:val="auto"/>
                <w:sz w:val="28"/>
                <w:szCs w:val="28"/>
                <w:lang w:val="en-US" w:eastAsia="zh-CN"/>
              </w:rPr>
              <w:t>55</w:t>
            </w:r>
            <w:r>
              <w:rPr>
                <w:rFonts w:hint="eastAsia"/>
                <w:i/>
                <w:iCs/>
                <w:color w:val="auto"/>
                <w:sz w:val="28"/>
                <w:szCs w:val="28"/>
              </w:rPr>
              <w:t>kg计，则废胶桶的产生量约</w:t>
            </w:r>
            <w:r>
              <w:rPr>
                <w:rFonts w:hint="eastAsia"/>
                <w:i/>
                <w:iCs/>
                <w:color w:val="auto"/>
                <w:sz w:val="28"/>
                <w:szCs w:val="28"/>
                <w:highlight w:val="none"/>
                <w:lang w:val="en-US" w:eastAsia="zh-CN"/>
              </w:rPr>
              <w:t>4.895</w:t>
            </w:r>
            <w:r>
              <w:rPr>
                <w:rFonts w:hint="eastAsia"/>
                <w:i/>
                <w:iCs/>
                <w:color w:val="auto"/>
                <w:sz w:val="28"/>
                <w:szCs w:val="28"/>
                <w:highlight w:val="none"/>
              </w:rPr>
              <w:t>t/a。</w:t>
            </w:r>
            <w:r>
              <w:rPr>
                <w:rFonts w:hint="eastAsia"/>
                <w:i/>
                <w:iCs/>
                <w:color w:val="auto"/>
                <w:sz w:val="28"/>
                <w:szCs w:val="28"/>
                <w:highlight w:val="none"/>
                <w:lang w:eastAsia="zh-CN"/>
              </w:rPr>
              <w:t>胶水属于水性胶，集中收集后进行危险废物鉴别，如鉴别结果属危险废物应交由相应危险废物处置单位处置；如鉴别结果不属于危险废物，按一般工业固体废物交专业机构妥善处置或利用。在鉴别结果出来之前暂按危险废物管理，送有资质的单位处置，</w:t>
            </w:r>
            <w:r>
              <w:rPr>
                <w:rFonts w:hint="eastAsia"/>
                <w:i/>
                <w:iCs/>
                <w:color w:val="auto"/>
                <w:sz w:val="28"/>
                <w:szCs w:val="28"/>
                <w:highlight w:val="none"/>
                <w:lang w:val="en-US" w:eastAsia="zh-CN"/>
              </w:rPr>
              <w:t>根据《国家危险废物名录（2025年版）》（部令第36号），废物代码为900-041-49。</w:t>
            </w:r>
          </w:p>
          <w:p w14:paraId="332D26E3">
            <w:pPr>
              <w:ind w:firstLine="560"/>
              <w:rPr>
                <w:color w:val="auto"/>
                <w:sz w:val="28"/>
                <w:lang w:val="zh-CN"/>
              </w:rPr>
            </w:pPr>
            <w:r>
              <w:rPr>
                <w:rFonts w:hint="eastAsia"/>
                <w:color w:val="auto"/>
                <w:sz w:val="28"/>
                <w:lang w:val="zh-CN"/>
              </w:rPr>
              <w:t>（3）生活垃圾</w:t>
            </w:r>
          </w:p>
          <w:p w14:paraId="2538B338">
            <w:pPr>
              <w:ind w:firstLine="560"/>
              <w:rPr>
                <w:color w:val="auto"/>
                <w:lang w:val="zh-CN"/>
              </w:rPr>
            </w:pPr>
            <w:r>
              <w:rPr>
                <w:rFonts w:hint="eastAsia"/>
                <w:color w:val="auto"/>
                <w:sz w:val="28"/>
                <w:lang w:val="zh-CN"/>
              </w:rPr>
              <w:t>生活垃圾主要为员工</w:t>
            </w:r>
            <w:r>
              <w:rPr>
                <w:rFonts w:hint="eastAsia"/>
                <w:i/>
                <w:iCs/>
                <w:color w:val="auto"/>
                <w:sz w:val="28"/>
                <w:lang w:val="zh-CN"/>
              </w:rPr>
              <w:t>（</w:t>
            </w:r>
            <w:r>
              <w:rPr>
                <w:rFonts w:hint="eastAsia"/>
                <w:i/>
                <w:iCs/>
                <w:color w:val="auto"/>
                <w:sz w:val="28"/>
                <w:lang w:val="en-US" w:eastAsia="zh-CN"/>
              </w:rPr>
              <w:t>25</w:t>
            </w:r>
            <w:r>
              <w:rPr>
                <w:rFonts w:hint="eastAsia"/>
                <w:i/>
                <w:iCs/>
                <w:color w:val="auto"/>
                <w:sz w:val="28"/>
                <w:lang w:val="zh-CN"/>
              </w:rPr>
              <w:t>人）生活产生的垃圾，</w:t>
            </w:r>
            <w:r>
              <w:rPr>
                <w:rFonts w:hint="eastAsia"/>
                <w:color w:val="auto"/>
                <w:sz w:val="28"/>
                <w:lang w:val="zh-CN"/>
              </w:rPr>
              <w:t>按0.5kg/人·d计，</w:t>
            </w:r>
            <w:r>
              <w:rPr>
                <w:rFonts w:hint="eastAsia"/>
                <w:i/>
                <w:iCs/>
                <w:color w:val="auto"/>
                <w:sz w:val="28"/>
                <w:lang w:val="zh-CN"/>
              </w:rPr>
              <w:t>产生量</w:t>
            </w:r>
            <w:r>
              <w:rPr>
                <w:rFonts w:hint="eastAsia"/>
                <w:i/>
                <w:iCs/>
                <w:color w:val="auto"/>
                <w:sz w:val="28"/>
                <w:lang w:val="en-US" w:eastAsia="zh-CN"/>
              </w:rPr>
              <w:t>3.75</w:t>
            </w:r>
            <w:r>
              <w:rPr>
                <w:rFonts w:hint="eastAsia"/>
                <w:i/>
                <w:iCs/>
                <w:color w:val="auto"/>
                <w:sz w:val="28"/>
                <w:lang w:val="zh-CN"/>
              </w:rPr>
              <w:t>t/a，</w:t>
            </w:r>
            <w:r>
              <w:rPr>
                <w:rFonts w:hint="eastAsia"/>
                <w:color w:val="auto"/>
                <w:sz w:val="28"/>
                <w:lang w:val="zh-CN"/>
              </w:rPr>
              <w:t>由当地环卫部门统一收集处理。</w:t>
            </w:r>
          </w:p>
        </w:tc>
      </w:tr>
    </w:tbl>
    <w:p w14:paraId="704BF74B">
      <w:pPr>
        <w:ind w:firstLine="420"/>
        <w:rPr>
          <w:color w:val="auto"/>
        </w:rPr>
        <w:sectPr>
          <w:pgSz w:w="11906" w:h="16838"/>
          <w:pgMar w:top="1701" w:right="1531" w:bottom="1701" w:left="1531" w:header="851" w:footer="851" w:gutter="0"/>
          <w:cols w:space="720" w:num="1"/>
          <w:docGrid w:linePitch="312" w:charSpace="0"/>
        </w:sectPr>
      </w:pPr>
    </w:p>
    <w:tbl>
      <w:tblPr>
        <w:tblStyle w:val="31"/>
        <w:tblW w:w="151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4759"/>
      </w:tblGrid>
      <w:tr w14:paraId="005705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4" w:hRule="atLeast"/>
          <w:jc w:val="center"/>
        </w:trPr>
        <w:tc>
          <w:tcPr>
            <w:tcW w:w="437" w:type="dxa"/>
            <w:tcMar>
              <w:left w:w="28" w:type="dxa"/>
              <w:right w:w="28" w:type="dxa"/>
            </w:tcMar>
            <w:vAlign w:val="center"/>
          </w:tcPr>
          <w:p w14:paraId="50CEE23D">
            <w:pPr>
              <w:pStyle w:val="49"/>
              <w:rPr>
                <w:color w:val="auto"/>
                <w:sz w:val="28"/>
              </w:rPr>
            </w:pPr>
            <w:r>
              <w:rPr>
                <w:rFonts w:hint="eastAsia"/>
                <w:color w:val="auto"/>
                <w:sz w:val="28"/>
              </w:rPr>
              <w:t>运营期环境影</w:t>
            </w:r>
          </w:p>
          <w:p w14:paraId="01DE1AB3">
            <w:pPr>
              <w:pStyle w:val="49"/>
              <w:rPr>
                <w:color w:val="auto"/>
              </w:rPr>
            </w:pPr>
            <w:r>
              <w:rPr>
                <w:rFonts w:hint="eastAsia"/>
                <w:color w:val="auto"/>
                <w:sz w:val="28"/>
              </w:rPr>
              <w:t>响和保护措施</w:t>
            </w:r>
          </w:p>
        </w:tc>
        <w:tc>
          <w:tcPr>
            <w:tcW w:w="14759" w:type="dxa"/>
            <w:vAlign w:val="center"/>
          </w:tcPr>
          <w:p w14:paraId="3DEFF4E5">
            <w:pPr>
              <w:ind w:firstLine="560"/>
              <w:rPr>
                <w:color w:val="auto"/>
                <w:sz w:val="28"/>
                <w:lang w:val="zh-CN"/>
              </w:rPr>
            </w:pPr>
            <w:r>
              <w:rPr>
                <w:rFonts w:hint="eastAsia"/>
                <w:color w:val="auto"/>
                <w:sz w:val="28"/>
                <w:lang w:val="zh-CN"/>
              </w:rPr>
              <w:t>本项目固体废物污染源源强核算结果及相关参数一览表见表4-1</w:t>
            </w:r>
            <w:r>
              <w:rPr>
                <w:rFonts w:hint="eastAsia"/>
                <w:color w:val="auto"/>
                <w:sz w:val="28"/>
              </w:rPr>
              <w:t>4</w:t>
            </w:r>
            <w:r>
              <w:rPr>
                <w:rFonts w:hint="eastAsia"/>
                <w:color w:val="auto"/>
                <w:sz w:val="28"/>
                <w:lang w:val="zh-CN"/>
              </w:rPr>
              <w:t>，</w:t>
            </w:r>
            <w:r>
              <w:rPr>
                <w:snapToGrid w:val="0"/>
                <w:color w:val="auto"/>
                <w:sz w:val="28"/>
              </w:rPr>
              <w:t>危险废物汇总表</w:t>
            </w:r>
            <w:r>
              <w:rPr>
                <w:rFonts w:hint="eastAsia"/>
                <w:snapToGrid w:val="0"/>
                <w:color w:val="auto"/>
                <w:sz w:val="28"/>
              </w:rPr>
              <w:t>见表</w:t>
            </w:r>
            <w:r>
              <w:rPr>
                <w:rFonts w:hint="eastAsia"/>
                <w:color w:val="auto"/>
                <w:sz w:val="28"/>
              </w:rPr>
              <w:t>4-15。</w:t>
            </w:r>
          </w:p>
          <w:p w14:paraId="35A29B00">
            <w:pPr>
              <w:pStyle w:val="75"/>
              <w:rPr>
                <w:color w:val="auto"/>
              </w:rPr>
            </w:pPr>
            <w:r>
              <w:rPr>
                <w:rFonts w:hint="eastAsia"/>
                <w:color w:val="auto"/>
                <w:sz w:val="24"/>
              </w:rPr>
              <w:t>表4-1</w:t>
            </w:r>
            <w:r>
              <w:rPr>
                <w:rFonts w:hint="eastAsia"/>
                <w:color w:val="auto"/>
                <w:sz w:val="24"/>
                <w:lang w:val="en-US"/>
              </w:rPr>
              <w:t>4</w:t>
            </w:r>
            <w:r>
              <w:rPr>
                <w:rFonts w:hint="eastAsia"/>
                <w:color w:val="auto"/>
                <w:sz w:val="24"/>
              </w:rPr>
              <w:t>固体废物污染源源强核算结果及相关参数一览表</w:t>
            </w:r>
          </w:p>
          <w:tbl>
            <w:tblPr>
              <w:tblStyle w:val="31"/>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3062"/>
              <w:gridCol w:w="2042"/>
              <w:gridCol w:w="729"/>
              <w:gridCol w:w="874"/>
              <w:gridCol w:w="1167"/>
              <w:gridCol w:w="876"/>
              <w:gridCol w:w="1021"/>
              <w:gridCol w:w="2187"/>
            </w:tblGrid>
            <w:tr w14:paraId="33F0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vMerge w:val="restart"/>
                  <w:vAlign w:val="center"/>
                </w:tcPr>
                <w:p w14:paraId="60B9C54A">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工序</w:t>
                  </w:r>
                </w:p>
              </w:tc>
              <w:tc>
                <w:tcPr>
                  <w:tcW w:w="3062" w:type="dxa"/>
                  <w:vMerge w:val="restart"/>
                  <w:vAlign w:val="center"/>
                </w:tcPr>
                <w:p w14:paraId="449D89DA">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产生源</w:t>
                  </w:r>
                </w:p>
              </w:tc>
              <w:tc>
                <w:tcPr>
                  <w:tcW w:w="2042" w:type="dxa"/>
                  <w:vMerge w:val="restart"/>
                  <w:vAlign w:val="center"/>
                </w:tcPr>
                <w:p w14:paraId="771CB9BA">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固体废物名称</w:t>
                  </w:r>
                </w:p>
              </w:tc>
              <w:tc>
                <w:tcPr>
                  <w:tcW w:w="729" w:type="dxa"/>
                  <w:vMerge w:val="restart"/>
                  <w:vAlign w:val="center"/>
                </w:tcPr>
                <w:p w14:paraId="2782D495">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固废属性</w:t>
                  </w:r>
                </w:p>
              </w:tc>
              <w:tc>
                <w:tcPr>
                  <w:tcW w:w="2041" w:type="dxa"/>
                  <w:gridSpan w:val="2"/>
                  <w:vAlign w:val="center"/>
                </w:tcPr>
                <w:p w14:paraId="6DC6615C">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产生量</w:t>
                  </w:r>
                </w:p>
              </w:tc>
              <w:tc>
                <w:tcPr>
                  <w:tcW w:w="1897" w:type="dxa"/>
                  <w:gridSpan w:val="2"/>
                  <w:vAlign w:val="center"/>
                </w:tcPr>
                <w:p w14:paraId="57121C7C">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处置措施</w:t>
                  </w:r>
                </w:p>
              </w:tc>
              <w:tc>
                <w:tcPr>
                  <w:tcW w:w="2187" w:type="dxa"/>
                  <w:vMerge w:val="restart"/>
                  <w:vAlign w:val="center"/>
                </w:tcPr>
                <w:p w14:paraId="1BBB94A5">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最终去向</w:t>
                  </w:r>
                </w:p>
              </w:tc>
            </w:tr>
            <w:tr w14:paraId="6D9D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vMerge w:val="continue"/>
                  <w:vAlign w:val="center"/>
                </w:tcPr>
                <w:p w14:paraId="1DA47C19">
                  <w:pPr>
                    <w:pStyle w:val="48"/>
                    <w:spacing w:line="240" w:lineRule="auto"/>
                    <w:rPr>
                      <w:rFonts w:hint="default" w:ascii="Times New Roman" w:hAnsi="Times New Roman" w:cs="Times New Roman"/>
                      <w:i/>
                      <w:iCs/>
                      <w:snapToGrid w:val="0"/>
                      <w:color w:val="auto"/>
                      <w:szCs w:val="18"/>
                    </w:rPr>
                  </w:pPr>
                </w:p>
              </w:tc>
              <w:tc>
                <w:tcPr>
                  <w:tcW w:w="3062" w:type="dxa"/>
                  <w:vMerge w:val="continue"/>
                  <w:vAlign w:val="center"/>
                </w:tcPr>
                <w:p w14:paraId="7C1B557F">
                  <w:pPr>
                    <w:pStyle w:val="48"/>
                    <w:spacing w:line="240" w:lineRule="auto"/>
                    <w:rPr>
                      <w:rFonts w:hint="default" w:ascii="Times New Roman" w:hAnsi="Times New Roman" w:cs="Times New Roman"/>
                      <w:i/>
                      <w:iCs/>
                      <w:snapToGrid w:val="0"/>
                      <w:color w:val="auto"/>
                      <w:szCs w:val="18"/>
                    </w:rPr>
                  </w:pPr>
                </w:p>
              </w:tc>
              <w:tc>
                <w:tcPr>
                  <w:tcW w:w="2042" w:type="dxa"/>
                  <w:vMerge w:val="continue"/>
                  <w:vAlign w:val="center"/>
                </w:tcPr>
                <w:p w14:paraId="75312287">
                  <w:pPr>
                    <w:pStyle w:val="48"/>
                    <w:spacing w:line="240" w:lineRule="auto"/>
                    <w:rPr>
                      <w:rFonts w:hint="default" w:ascii="Times New Roman" w:hAnsi="Times New Roman" w:cs="Times New Roman"/>
                      <w:i/>
                      <w:iCs/>
                      <w:snapToGrid w:val="0"/>
                      <w:color w:val="auto"/>
                      <w:szCs w:val="18"/>
                    </w:rPr>
                  </w:pPr>
                </w:p>
              </w:tc>
              <w:tc>
                <w:tcPr>
                  <w:tcW w:w="729" w:type="dxa"/>
                  <w:vMerge w:val="continue"/>
                  <w:vAlign w:val="center"/>
                </w:tcPr>
                <w:p w14:paraId="42B64CD0">
                  <w:pPr>
                    <w:pStyle w:val="48"/>
                    <w:spacing w:line="240" w:lineRule="auto"/>
                    <w:rPr>
                      <w:rFonts w:hint="default" w:ascii="Times New Roman" w:hAnsi="Times New Roman" w:cs="Times New Roman"/>
                      <w:i/>
                      <w:iCs/>
                      <w:snapToGrid w:val="0"/>
                      <w:color w:val="auto"/>
                      <w:szCs w:val="18"/>
                    </w:rPr>
                  </w:pPr>
                </w:p>
              </w:tc>
              <w:tc>
                <w:tcPr>
                  <w:tcW w:w="874" w:type="dxa"/>
                  <w:vAlign w:val="center"/>
                </w:tcPr>
                <w:p w14:paraId="2166525A">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核算方法</w:t>
                  </w:r>
                </w:p>
              </w:tc>
              <w:tc>
                <w:tcPr>
                  <w:tcW w:w="1167" w:type="dxa"/>
                  <w:vAlign w:val="center"/>
                </w:tcPr>
                <w:p w14:paraId="130F5076">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产生量（t/a）</w:t>
                  </w:r>
                </w:p>
              </w:tc>
              <w:tc>
                <w:tcPr>
                  <w:tcW w:w="876" w:type="dxa"/>
                  <w:vAlign w:val="center"/>
                </w:tcPr>
                <w:p w14:paraId="1B7BAABA">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工艺</w:t>
                  </w:r>
                </w:p>
              </w:tc>
              <w:tc>
                <w:tcPr>
                  <w:tcW w:w="1021" w:type="dxa"/>
                  <w:vAlign w:val="center"/>
                </w:tcPr>
                <w:p w14:paraId="1EB7D165">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处置量（t/a）</w:t>
                  </w:r>
                </w:p>
              </w:tc>
              <w:tc>
                <w:tcPr>
                  <w:tcW w:w="2187" w:type="dxa"/>
                  <w:vMerge w:val="continue"/>
                  <w:vAlign w:val="center"/>
                </w:tcPr>
                <w:p w14:paraId="6727ABAB">
                  <w:pPr>
                    <w:pStyle w:val="48"/>
                    <w:spacing w:line="240" w:lineRule="auto"/>
                    <w:rPr>
                      <w:rFonts w:hint="default" w:ascii="Times New Roman" w:hAnsi="Times New Roman" w:cs="Times New Roman"/>
                      <w:i/>
                      <w:iCs/>
                      <w:snapToGrid w:val="0"/>
                      <w:color w:val="auto"/>
                      <w:szCs w:val="18"/>
                    </w:rPr>
                  </w:pPr>
                </w:p>
              </w:tc>
            </w:tr>
            <w:tr w14:paraId="0CD6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vAlign w:val="center"/>
                </w:tcPr>
                <w:p w14:paraId="131CBEB0">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裁切</w:t>
                  </w:r>
                </w:p>
              </w:tc>
              <w:tc>
                <w:tcPr>
                  <w:tcW w:w="3062" w:type="dxa"/>
                  <w:vAlign w:val="center"/>
                </w:tcPr>
                <w:p w14:paraId="030EA5AF">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裁切</w:t>
                  </w:r>
                </w:p>
              </w:tc>
              <w:tc>
                <w:tcPr>
                  <w:tcW w:w="2042" w:type="dxa"/>
                  <w:vAlign w:val="center"/>
                </w:tcPr>
                <w:p w14:paraId="6F01DA16">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边角料</w:t>
                  </w:r>
                </w:p>
              </w:tc>
              <w:tc>
                <w:tcPr>
                  <w:tcW w:w="729" w:type="dxa"/>
                  <w:vMerge w:val="restart"/>
                  <w:vAlign w:val="center"/>
                </w:tcPr>
                <w:p w14:paraId="44DD9E83">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一般工业固废</w:t>
                  </w:r>
                </w:p>
              </w:tc>
              <w:tc>
                <w:tcPr>
                  <w:tcW w:w="874" w:type="dxa"/>
                  <w:vMerge w:val="restart"/>
                  <w:vAlign w:val="center"/>
                </w:tcPr>
                <w:p w14:paraId="13F7BF85">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物料衡算法</w:t>
                  </w:r>
                </w:p>
              </w:tc>
              <w:tc>
                <w:tcPr>
                  <w:tcW w:w="1167" w:type="dxa"/>
                  <w:vAlign w:val="center"/>
                </w:tcPr>
                <w:p w14:paraId="03A75883">
                  <w:pPr>
                    <w:pStyle w:val="48"/>
                    <w:spacing w:line="240" w:lineRule="auto"/>
                    <w:rPr>
                      <w:rFonts w:hint="default" w:ascii="Times New Roman" w:hAnsi="Times New Roman" w:eastAsia="仿宋"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5.64</w:t>
                  </w:r>
                </w:p>
              </w:tc>
              <w:tc>
                <w:tcPr>
                  <w:tcW w:w="876" w:type="dxa"/>
                  <w:vMerge w:val="restart"/>
                  <w:vAlign w:val="center"/>
                </w:tcPr>
                <w:p w14:paraId="17F02384">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利用</w:t>
                  </w:r>
                </w:p>
              </w:tc>
              <w:tc>
                <w:tcPr>
                  <w:tcW w:w="1021" w:type="dxa"/>
                  <w:vAlign w:val="center"/>
                </w:tcPr>
                <w:p w14:paraId="4735B4DE">
                  <w:pPr>
                    <w:pStyle w:val="48"/>
                    <w:spacing w:line="240" w:lineRule="auto"/>
                    <w:rPr>
                      <w:rFonts w:hint="default" w:ascii="Times New Roman" w:hAnsi="Times New Roman" w:eastAsia="仿宋" w:cs="Times New Roman"/>
                      <w:i/>
                      <w:iCs/>
                      <w:snapToGrid w:val="0"/>
                      <w:color w:val="auto"/>
                      <w:szCs w:val="18"/>
                      <w:lang w:val="en-US" w:eastAsia="zh-CN"/>
                    </w:rPr>
                  </w:pPr>
                  <w:r>
                    <w:rPr>
                      <w:rFonts w:hint="eastAsia" w:ascii="Times New Roman" w:hAnsi="Times New Roman" w:cs="Times New Roman"/>
                      <w:i/>
                      <w:iCs/>
                      <w:snapToGrid w:val="0"/>
                      <w:color w:val="auto"/>
                      <w:sz w:val="24"/>
                      <w:szCs w:val="24"/>
                      <w:lang w:val="en-US" w:eastAsia="zh-CN"/>
                    </w:rPr>
                    <w:t>5.64</w:t>
                  </w:r>
                </w:p>
              </w:tc>
              <w:tc>
                <w:tcPr>
                  <w:tcW w:w="2187" w:type="dxa"/>
                  <w:vAlign w:val="center"/>
                </w:tcPr>
                <w:p w14:paraId="592EF469">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color w:val="auto"/>
                      <w:sz w:val="24"/>
                    </w:rPr>
                    <w:t>交由物资回收单位处理</w:t>
                  </w:r>
                </w:p>
              </w:tc>
            </w:tr>
            <w:tr w14:paraId="25DC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vAlign w:val="center"/>
                </w:tcPr>
                <w:p w14:paraId="64315DE8">
                  <w:pPr>
                    <w:pStyle w:val="48"/>
                    <w:spacing w:line="240" w:lineRule="auto"/>
                    <w:rPr>
                      <w:rFonts w:hint="default" w:ascii="Times New Roman" w:hAnsi="Times New Roman" w:cs="Times New Roman"/>
                      <w:i/>
                      <w:iCs/>
                      <w:snapToGrid w:val="0"/>
                      <w:color w:val="auto"/>
                      <w:szCs w:val="18"/>
                      <w:highlight w:val="yellow"/>
                    </w:rPr>
                  </w:pPr>
                  <w:r>
                    <w:rPr>
                      <w:rFonts w:hint="default" w:ascii="Times New Roman" w:hAnsi="Times New Roman" w:cs="Times New Roman"/>
                      <w:i/>
                      <w:iCs/>
                      <w:snapToGrid w:val="0"/>
                      <w:color w:val="auto"/>
                      <w:sz w:val="24"/>
                      <w:szCs w:val="18"/>
                    </w:rPr>
                    <w:t>原辅材料拆包</w:t>
                  </w:r>
                </w:p>
              </w:tc>
              <w:tc>
                <w:tcPr>
                  <w:tcW w:w="3062" w:type="dxa"/>
                  <w:vAlign w:val="center"/>
                </w:tcPr>
                <w:p w14:paraId="228CB707">
                  <w:pPr>
                    <w:pStyle w:val="48"/>
                    <w:spacing w:line="240" w:lineRule="auto"/>
                    <w:rPr>
                      <w:rFonts w:hint="default" w:ascii="Times New Roman" w:hAnsi="Times New Roman" w:cs="Times New Roman"/>
                      <w:i/>
                      <w:iCs/>
                      <w:snapToGrid w:val="0"/>
                      <w:color w:val="auto"/>
                      <w:szCs w:val="18"/>
                      <w:highlight w:val="yellow"/>
                    </w:rPr>
                  </w:pPr>
                  <w:r>
                    <w:rPr>
                      <w:rFonts w:hint="default" w:ascii="Times New Roman" w:hAnsi="Times New Roman" w:cs="Times New Roman"/>
                      <w:i/>
                      <w:iCs/>
                      <w:snapToGrid w:val="0"/>
                      <w:color w:val="auto"/>
                      <w:sz w:val="24"/>
                      <w:szCs w:val="18"/>
                    </w:rPr>
                    <w:t>原辅材料拆包</w:t>
                  </w:r>
                </w:p>
              </w:tc>
              <w:tc>
                <w:tcPr>
                  <w:tcW w:w="2042" w:type="dxa"/>
                  <w:vAlign w:val="center"/>
                </w:tcPr>
                <w:p w14:paraId="53956778">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废包装材料</w:t>
                  </w:r>
                </w:p>
              </w:tc>
              <w:tc>
                <w:tcPr>
                  <w:tcW w:w="729" w:type="dxa"/>
                  <w:vMerge w:val="continue"/>
                  <w:vAlign w:val="center"/>
                </w:tcPr>
                <w:p w14:paraId="134DFAD5">
                  <w:pPr>
                    <w:pStyle w:val="48"/>
                    <w:spacing w:line="240" w:lineRule="auto"/>
                    <w:rPr>
                      <w:rFonts w:hint="default" w:ascii="Times New Roman" w:hAnsi="Times New Roman" w:cs="Times New Roman"/>
                      <w:i/>
                      <w:iCs/>
                      <w:snapToGrid w:val="0"/>
                      <w:color w:val="auto"/>
                      <w:szCs w:val="18"/>
                    </w:rPr>
                  </w:pPr>
                </w:p>
              </w:tc>
              <w:tc>
                <w:tcPr>
                  <w:tcW w:w="874" w:type="dxa"/>
                  <w:vMerge w:val="continue"/>
                  <w:vAlign w:val="center"/>
                </w:tcPr>
                <w:p w14:paraId="7981A397">
                  <w:pPr>
                    <w:pStyle w:val="48"/>
                    <w:spacing w:line="240" w:lineRule="auto"/>
                    <w:rPr>
                      <w:rFonts w:hint="default" w:ascii="Times New Roman" w:hAnsi="Times New Roman" w:cs="Times New Roman"/>
                      <w:i/>
                      <w:iCs/>
                      <w:snapToGrid w:val="0"/>
                      <w:color w:val="auto"/>
                      <w:szCs w:val="18"/>
                    </w:rPr>
                  </w:pPr>
                </w:p>
              </w:tc>
              <w:tc>
                <w:tcPr>
                  <w:tcW w:w="1167" w:type="dxa"/>
                  <w:vAlign w:val="center"/>
                </w:tcPr>
                <w:p w14:paraId="1D79C578">
                  <w:pPr>
                    <w:pStyle w:val="48"/>
                    <w:spacing w:line="240" w:lineRule="auto"/>
                    <w:rPr>
                      <w:rFonts w:hint="default" w:ascii="Times New Roman" w:hAnsi="Times New Roman" w:eastAsia="仿宋" w:cs="Times New Roman"/>
                      <w:i/>
                      <w:iCs/>
                      <w:snapToGrid w:val="0"/>
                      <w:color w:val="auto"/>
                      <w:sz w:val="24"/>
                      <w:szCs w:val="24"/>
                      <w:lang w:val="en-US" w:eastAsia="zh-CN"/>
                    </w:rPr>
                  </w:pPr>
                  <w:r>
                    <w:rPr>
                      <w:rFonts w:hint="default" w:ascii="Times New Roman" w:hAnsi="Times New Roman" w:cs="Times New Roman"/>
                      <w:i/>
                      <w:iCs/>
                      <w:snapToGrid w:val="0"/>
                      <w:color w:val="auto"/>
                      <w:sz w:val="24"/>
                      <w:szCs w:val="24"/>
                      <w:lang w:val="en-US" w:eastAsia="zh-CN"/>
                    </w:rPr>
                    <w:t>0.5</w:t>
                  </w:r>
                </w:p>
              </w:tc>
              <w:tc>
                <w:tcPr>
                  <w:tcW w:w="876" w:type="dxa"/>
                  <w:vMerge w:val="continue"/>
                  <w:vAlign w:val="center"/>
                </w:tcPr>
                <w:p w14:paraId="57377E20">
                  <w:pPr>
                    <w:pStyle w:val="48"/>
                    <w:spacing w:line="240" w:lineRule="auto"/>
                    <w:rPr>
                      <w:rFonts w:hint="default" w:ascii="Times New Roman" w:hAnsi="Times New Roman" w:cs="Times New Roman"/>
                      <w:bCs/>
                      <w:i/>
                      <w:iCs/>
                      <w:color w:val="auto"/>
                      <w:spacing w:val="-10"/>
                      <w:szCs w:val="18"/>
                    </w:rPr>
                  </w:pPr>
                </w:p>
              </w:tc>
              <w:tc>
                <w:tcPr>
                  <w:tcW w:w="1021" w:type="dxa"/>
                  <w:vAlign w:val="center"/>
                </w:tcPr>
                <w:p w14:paraId="5DE66878">
                  <w:pPr>
                    <w:pStyle w:val="48"/>
                    <w:spacing w:line="240" w:lineRule="auto"/>
                    <w:rPr>
                      <w:rFonts w:hint="default" w:ascii="Times New Roman" w:hAnsi="Times New Roman" w:eastAsia="仿宋" w:cs="Times New Roman"/>
                      <w:i/>
                      <w:iCs/>
                      <w:snapToGrid w:val="0"/>
                      <w:color w:val="auto"/>
                      <w:szCs w:val="18"/>
                      <w:lang w:val="en-US" w:eastAsia="zh-CN"/>
                    </w:rPr>
                  </w:pPr>
                  <w:r>
                    <w:rPr>
                      <w:rFonts w:hint="default" w:ascii="Times New Roman" w:hAnsi="Times New Roman" w:cs="Times New Roman"/>
                      <w:i/>
                      <w:iCs/>
                      <w:snapToGrid w:val="0"/>
                      <w:color w:val="auto"/>
                      <w:sz w:val="24"/>
                      <w:szCs w:val="18"/>
                      <w:lang w:val="en-US" w:eastAsia="zh-CN"/>
                    </w:rPr>
                    <w:t>0.5</w:t>
                  </w:r>
                </w:p>
              </w:tc>
              <w:tc>
                <w:tcPr>
                  <w:tcW w:w="2187" w:type="dxa"/>
                  <w:vAlign w:val="center"/>
                </w:tcPr>
                <w:p w14:paraId="0A36B6EA">
                  <w:pPr>
                    <w:pStyle w:val="48"/>
                    <w:rPr>
                      <w:rFonts w:hint="default" w:ascii="Times New Roman" w:hAnsi="Times New Roman" w:cs="Times New Roman"/>
                      <w:i/>
                      <w:iCs/>
                      <w:color w:val="auto"/>
                    </w:rPr>
                  </w:pPr>
                  <w:r>
                    <w:rPr>
                      <w:rFonts w:hint="default" w:ascii="Times New Roman" w:hAnsi="Times New Roman" w:cs="Times New Roman"/>
                      <w:i/>
                      <w:iCs/>
                      <w:color w:val="auto"/>
                      <w:sz w:val="24"/>
                    </w:rPr>
                    <w:t>交由物资回收单位处理</w:t>
                  </w:r>
                </w:p>
              </w:tc>
            </w:tr>
            <w:tr w14:paraId="32D3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vAlign w:val="center"/>
                </w:tcPr>
                <w:p w14:paraId="26D32260">
                  <w:pPr>
                    <w:pStyle w:val="48"/>
                    <w:spacing w:line="240" w:lineRule="auto"/>
                    <w:rPr>
                      <w:rFonts w:hint="default" w:ascii="Times New Roman" w:hAnsi="Times New Roman" w:cs="Times New Roman"/>
                      <w:i/>
                      <w:iCs/>
                      <w:snapToGrid w:val="0"/>
                      <w:color w:val="auto"/>
                      <w:szCs w:val="18"/>
                      <w:highlight w:val="yellow"/>
                    </w:rPr>
                  </w:pPr>
                  <w:r>
                    <w:rPr>
                      <w:rFonts w:hint="default" w:ascii="Times New Roman" w:hAnsi="Times New Roman" w:cs="Times New Roman"/>
                      <w:i/>
                      <w:iCs/>
                      <w:snapToGrid w:val="0"/>
                      <w:color w:val="auto"/>
                      <w:kern w:val="0"/>
                      <w:sz w:val="24"/>
                      <w:szCs w:val="18"/>
                    </w:rPr>
                    <w:t>检验</w:t>
                  </w:r>
                </w:p>
              </w:tc>
              <w:tc>
                <w:tcPr>
                  <w:tcW w:w="3062" w:type="dxa"/>
                  <w:vAlign w:val="center"/>
                </w:tcPr>
                <w:p w14:paraId="5B8500A6">
                  <w:pPr>
                    <w:pStyle w:val="48"/>
                    <w:spacing w:line="240" w:lineRule="auto"/>
                    <w:rPr>
                      <w:rFonts w:hint="default" w:ascii="Times New Roman" w:hAnsi="Times New Roman" w:cs="Times New Roman"/>
                      <w:bCs/>
                      <w:i/>
                      <w:iCs/>
                      <w:color w:val="auto"/>
                      <w:spacing w:val="-10"/>
                      <w:szCs w:val="18"/>
                      <w:highlight w:val="yellow"/>
                    </w:rPr>
                  </w:pPr>
                  <w:r>
                    <w:rPr>
                      <w:rFonts w:hint="default" w:ascii="Times New Roman" w:hAnsi="Times New Roman" w:cs="Times New Roman"/>
                      <w:i/>
                      <w:iCs/>
                      <w:snapToGrid w:val="0"/>
                      <w:color w:val="auto"/>
                      <w:kern w:val="0"/>
                      <w:sz w:val="24"/>
                      <w:szCs w:val="18"/>
                    </w:rPr>
                    <w:t>检验</w:t>
                  </w:r>
                </w:p>
              </w:tc>
              <w:tc>
                <w:tcPr>
                  <w:tcW w:w="2042" w:type="dxa"/>
                  <w:vAlign w:val="center"/>
                </w:tcPr>
                <w:p w14:paraId="1E6F3E68">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不合格品</w:t>
                  </w:r>
                </w:p>
              </w:tc>
              <w:tc>
                <w:tcPr>
                  <w:tcW w:w="729" w:type="dxa"/>
                  <w:vMerge w:val="continue"/>
                  <w:vAlign w:val="center"/>
                </w:tcPr>
                <w:p w14:paraId="355BE1F2">
                  <w:pPr>
                    <w:pStyle w:val="48"/>
                    <w:spacing w:line="240" w:lineRule="auto"/>
                    <w:rPr>
                      <w:rFonts w:hint="default" w:ascii="Times New Roman" w:hAnsi="Times New Roman" w:cs="Times New Roman"/>
                      <w:i/>
                      <w:iCs/>
                      <w:snapToGrid w:val="0"/>
                      <w:color w:val="auto"/>
                      <w:szCs w:val="18"/>
                    </w:rPr>
                  </w:pPr>
                </w:p>
              </w:tc>
              <w:tc>
                <w:tcPr>
                  <w:tcW w:w="874" w:type="dxa"/>
                  <w:vMerge w:val="continue"/>
                  <w:vAlign w:val="center"/>
                </w:tcPr>
                <w:p w14:paraId="22DBDA41">
                  <w:pPr>
                    <w:pStyle w:val="48"/>
                    <w:spacing w:line="240" w:lineRule="auto"/>
                    <w:rPr>
                      <w:rFonts w:hint="default" w:ascii="Times New Roman" w:hAnsi="Times New Roman" w:cs="Times New Roman"/>
                      <w:i/>
                      <w:iCs/>
                      <w:snapToGrid w:val="0"/>
                      <w:color w:val="auto"/>
                      <w:szCs w:val="18"/>
                    </w:rPr>
                  </w:pPr>
                </w:p>
              </w:tc>
              <w:tc>
                <w:tcPr>
                  <w:tcW w:w="1167" w:type="dxa"/>
                  <w:vAlign w:val="center"/>
                </w:tcPr>
                <w:p w14:paraId="54961FBE">
                  <w:pPr>
                    <w:pStyle w:val="48"/>
                    <w:spacing w:line="240" w:lineRule="auto"/>
                    <w:rPr>
                      <w:rFonts w:hint="default" w:ascii="Times New Roman" w:hAnsi="Times New Roman" w:eastAsia="仿宋"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0.188</w:t>
                  </w:r>
                </w:p>
              </w:tc>
              <w:tc>
                <w:tcPr>
                  <w:tcW w:w="876" w:type="dxa"/>
                  <w:vMerge w:val="continue"/>
                  <w:vAlign w:val="center"/>
                </w:tcPr>
                <w:p w14:paraId="07C68421">
                  <w:pPr>
                    <w:pStyle w:val="48"/>
                    <w:spacing w:line="240" w:lineRule="auto"/>
                    <w:rPr>
                      <w:rFonts w:hint="default" w:ascii="Times New Roman" w:hAnsi="Times New Roman" w:cs="Times New Roman"/>
                      <w:bCs/>
                      <w:i/>
                      <w:iCs/>
                      <w:color w:val="auto"/>
                      <w:spacing w:val="-10"/>
                      <w:szCs w:val="18"/>
                    </w:rPr>
                  </w:pPr>
                </w:p>
              </w:tc>
              <w:tc>
                <w:tcPr>
                  <w:tcW w:w="1021" w:type="dxa"/>
                  <w:vAlign w:val="center"/>
                </w:tcPr>
                <w:p w14:paraId="7A081D5E">
                  <w:pPr>
                    <w:pStyle w:val="48"/>
                    <w:spacing w:line="240" w:lineRule="auto"/>
                    <w:rPr>
                      <w:rFonts w:hint="default" w:ascii="Times New Roman" w:hAnsi="Times New Roman" w:eastAsia="仿宋" w:cs="Times New Roman"/>
                      <w:i/>
                      <w:iCs/>
                      <w:snapToGrid w:val="0"/>
                      <w:color w:val="auto"/>
                      <w:szCs w:val="18"/>
                      <w:lang w:val="en-US" w:eastAsia="zh-CN"/>
                    </w:rPr>
                  </w:pPr>
                  <w:r>
                    <w:rPr>
                      <w:rFonts w:hint="eastAsia" w:ascii="Times New Roman" w:hAnsi="Times New Roman" w:cs="Times New Roman"/>
                      <w:i/>
                      <w:iCs/>
                      <w:snapToGrid w:val="0"/>
                      <w:color w:val="auto"/>
                      <w:sz w:val="24"/>
                      <w:szCs w:val="24"/>
                      <w:lang w:val="en-US" w:eastAsia="zh-CN"/>
                    </w:rPr>
                    <w:t>0.188</w:t>
                  </w:r>
                </w:p>
              </w:tc>
              <w:tc>
                <w:tcPr>
                  <w:tcW w:w="2187" w:type="dxa"/>
                  <w:vAlign w:val="center"/>
                </w:tcPr>
                <w:p w14:paraId="4D53EF6D">
                  <w:pPr>
                    <w:pStyle w:val="48"/>
                    <w:rPr>
                      <w:rFonts w:hint="default" w:ascii="Times New Roman" w:hAnsi="Times New Roman" w:cs="Times New Roman"/>
                      <w:i/>
                      <w:iCs/>
                      <w:color w:val="auto"/>
                    </w:rPr>
                  </w:pPr>
                  <w:r>
                    <w:rPr>
                      <w:rFonts w:hint="default" w:ascii="Times New Roman" w:hAnsi="Times New Roman" w:cs="Times New Roman"/>
                      <w:i/>
                      <w:iCs/>
                      <w:color w:val="auto"/>
                      <w:sz w:val="24"/>
                    </w:rPr>
                    <w:t>交物资回收单位处理</w:t>
                  </w:r>
                </w:p>
              </w:tc>
            </w:tr>
            <w:tr w14:paraId="045F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vAlign w:val="center"/>
                </w:tcPr>
                <w:p w14:paraId="515CA65C">
                  <w:pPr>
                    <w:pStyle w:val="48"/>
                    <w:spacing w:line="240" w:lineRule="auto"/>
                    <w:rPr>
                      <w:rFonts w:hint="default" w:ascii="Times New Roman" w:hAnsi="Times New Roman" w:eastAsia="仿宋" w:cs="Times New Roman"/>
                      <w:i/>
                      <w:iCs/>
                      <w:snapToGrid w:val="0"/>
                      <w:color w:val="auto"/>
                      <w:kern w:val="0"/>
                      <w:sz w:val="24"/>
                      <w:szCs w:val="18"/>
                      <w:lang w:eastAsia="zh-CN"/>
                    </w:rPr>
                  </w:pPr>
                  <w:r>
                    <w:rPr>
                      <w:rFonts w:hint="eastAsia" w:ascii="Times New Roman" w:hAnsi="Times New Roman" w:cs="Times New Roman"/>
                      <w:i/>
                      <w:iCs/>
                      <w:snapToGrid w:val="0"/>
                      <w:color w:val="auto"/>
                      <w:kern w:val="0"/>
                      <w:sz w:val="24"/>
                      <w:szCs w:val="18"/>
                      <w:lang w:eastAsia="zh-CN"/>
                    </w:rPr>
                    <w:t>涂胶</w:t>
                  </w:r>
                </w:p>
              </w:tc>
              <w:tc>
                <w:tcPr>
                  <w:tcW w:w="3062" w:type="dxa"/>
                  <w:vAlign w:val="center"/>
                </w:tcPr>
                <w:p w14:paraId="7C23B9D7">
                  <w:pPr>
                    <w:pStyle w:val="48"/>
                    <w:spacing w:line="240" w:lineRule="auto"/>
                    <w:rPr>
                      <w:rFonts w:hint="default" w:ascii="Times New Roman" w:hAnsi="Times New Roman" w:eastAsia="仿宋" w:cs="Times New Roman"/>
                      <w:i/>
                      <w:iCs/>
                      <w:snapToGrid w:val="0"/>
                      <w:color w:val="auto"/>
                      <w:kern w:val="0"/>
                      <w:sz w:val="24"/>
                      <w:szCs w:val="18"/>
                      <w:lang w:eastAsia="zh-CN"/>
                    </w:rPr>
                  </w:pPr>
                  <w:r>
                    <w:rPr>
                      <w:rFonts w:hint="eastAsia" w:ascii="Times New Roman" w:hAnsi="Times New Roman" w:cs="Times New Roman"/>
                      <w:i/>
                      <w:iCs/>
                      <w:snapToGrid w:val="0"/>
                      <w:color w:val="auto"/>
                      <w:kern w:val="0"/>
                      <w:sz w:val="24"/>
                      <w:szCs w:val="18"/>
                      <w:lang w:eastAsia="zh-CN"/>
                    </w:rPr>
                    <w:t>牛皮纸</w:t>
                  </w:r>
                </w:p>
              </w:tc>
              <w:tc>
                <w:tcPr>
                  <w:tcW w:w="2042" w:type="dxa"/>
                  <w:vAlign w:val="center"/>
                </w:tcPr>
                <w:p w14:paraId="3295FD0D">
                  <w:pPr>
                    <w:pStyle w:val="48"/>
                    <w:spacing w:line="240" w:lineRule="auto"/>
                    <w:rPr>
                      <w:rFonts w:hint="default" w:ascii="Times New Roman" w:hAnsi="Times New Roman" w:eastAsia="仿宋" w:cs="Times New Roman"/>
                      <w:i/>
                      <w:iCs/>
                      <w:snapToGrid w:val="0"/>
                      <w:color w:val="auto"/>
                      <w:sz w:val="24"/>
                      <w:szCs w:val="18"/>
                      <w:lang w:eastAsia="zh-CN"/>
                    </w:rPr>
                  </w:pPr>
                  <w:r>
                    <w:rPr>
                      <w:rFonts w:hint="default" w:ascii="Times New Roman" w:hAnsi="Times New Roman" w:cs="Times New Roman"/>
                      <w:i/>
                      <w:iCs/>
                      <w:snapToGrid w:val="0"/>
                      <w:color w:val="auto"/>
                      <w:sz w:val="24"/>
                      <w:szCs w:val="18"/>
                      <w:lang w:eastAsia="zh-CN"/>
                    </w:rPr>
                    <w:t>废纸</w:t>
                  </w:r>
                </w:p>
              </w:tc>
              <w:tc>
                <w:tcPr>
                  <w:tcW w:w="729" w:type="dxa"/>
                  <w:vMerge w:val="continue"/>
                  <w:vAlign w:val="center"/>
                </w:tcPr>
                <w:p w14:paraId="3D09DC2F">
                  <w:pPr>
                    <w:pStyle w:val="48"/>
                    <w:spacing w:line="240" w:lineRule="auto"/>
                    <w:rPr>
                      <w:rFonts w:hint="default" w:ascii="Times New Roman" w:hAnsi="Times New Roman" w:cs="Times New Roman"/>
                      <w:i/>
                      <w:iCs/>
                      <w:snapToGrid w:val="0"/>
                      <w:color w:val="auto"/>
                      <w:szCs w:val="18"/>
                    </w:rPr>
                  </w:pPr>
                </w:p>
              </w:tc>
              <w:tc>
                <w:tcPr>
                  <w:tcW w:w="874" w:type="dxa"/>
                  <w:vMerge w:val="continue"/>
                  <w:vAlign w:val="center"/>
                </w:tcPr>
                <w:p w14:paraId="73ADD924">
                  <w:pPr>
                    <w:pStyle w:val="48"/>
                    <w:spacing w:line="240" w:lineRule="auto"/>
                    <w:rPr>
                      <w:rFonts w:hint="default" w:ascii="Times New Roman" w:hAnsi="Times New Roman" w:cs="Times New Roman"/>
                      <w:i/>
                      <w:iCs/>
                      <w:snapToGrid w:val="0"/>
                      <w:color w:val="auto"/>
                      <w:szCs w:val="18"/>
                    </w:rPr>
                  </w:pPr>
                </w:p>
              </w:tc>
              <w:tc>
                <w:tcPr>
                  <w:tcW w:w="1167" w:type="dxa"/>
                  <w:vAlign w:val="center"/>
                </w:tcPr>
                <w:p w14:paraId="31EC8996">
                  <w:pPr>
                    <w:pStyle w:val="48"/>
                    <w:spacing w:line="240" w:lineRule="auto"/>
                    <w:rPr>
                      <w:rFonts w:hint="default" w:ascii="Times New Roman" w:hAnsi="Times New Roman" w:cs="Times New Roman"/>
                      <w:i/>
                      <w:iCs/>
                      <w:snapToGrid w:val="0"/>
                      <w:color w:val="auto"/>
                      <w:sz w:val="24"/>
                      <w:szCs w:val="24"/>
                      <w:lang w:val="en-US" w:eastAsia="zh-CN"/>
                    </w:rPr>
                  </w:pPr>
                  <w:r>
                    <w:rPr>
                      <w:rFonts w:hint="default" w:ascii="Times New Roman" w:hAnsi="Times New Roman" w:cs="Times New Roman"/>
                      <w:i/>
                      <w:iCs/>
                      <w:snapToGrid w:val="0"/>
                      <w:color w:val="auto"/>
                      <w:sz w:val="24"/>
                      <w:szCs w:val="24"/>
                      <w:lang w:val="en-US" w:eastAsia="zh-CN"/>
                    </w:rPr>
                    <w:t>0.</w:t>
                  </w:r>
                  <w:r>
                    <w:rPr>
                      <w:rFonts w:hint="eastAsia" w:ascii="Times New Roman" w:hAnsi="Times New Roman" w:cs="Times New Roman"/>
                      <w:i/>
                      <w:iCs/>
                      <w:snapToGrid w:val="0"/>
                      <w:color w:val="auto"/>
                      <w:sz w:val="24"/>
                      <w:szCs w:val="24"/>
                      <w:lang w:val="en-US" w:eastAsia="zh-CN"/>
                    </w:rPr>
                    <w:t>4</w:t>
                  </w:r>
                </w:p>
              </w:tc>
              <w:tc>
                <w:tcPr>
                  <w:tcW w:w="876" w:type="dxa"/>
                  <w:vMerge w:val="continue"/>
                  <w:vAlign w:val="center"/>
                </w:tcPr>
                <w:p w14:paraId="1AA02F6B">
                  <w:pPr>
                    <w:pStyle w:val="48"/>
                    <w:spacing w:line="240" w:lineRule="auto"/>
                    <w:rPr>
                      <w:rFonts w:hint="default" w:ascii="Times New Roman" w:hAnsi="Times New Roman" w:cs="Times New Roman"/>
                      <w:bCs/>
                      <w:i/>
                      <w:iCs/>
                      <w:color w:val="auto"/>
                      <w:spacing w:val="-10"/>
                      <w:szCs w:val="18"/>
                    </w:rPr>
                  </w:pPr>
                </w:p>
              </w:tc>
              <w:tc>
                <w:tcPr>
                  <w:tcW w:w="1021" w:type="dxa"/>
                  <w:vAlign w:val="center"/>
                </w:tcPr>
                <w:p w14:paraId="60A0DA87">
                  <w:pPr>
                    <w:pStyle w:val="48"/>
                    <w:spacing w:line="240" w:lineRule="auto"/>
                    <w:rPr>
                      <w:rFonts w:hint="default" w:ascii="Times New Roman" w:hAnsi="Times New Roman" w:cs="Times New Roman"/>
                      <w:i/>
                      <w:iCs/>
                      <w:snapToGrid w:val="0"/>
                      <w:color w:val="auto"/>
                      <w:sz w:val="24"/>
                      <w:szCs w:val="18"/>
                      <w:lang w:val="en-US" w:eastAsia="zh-CN"/>
                    </w:rPr>
                  </w:pPr>
                  <w:r>
                    <w:rPr>
                      <w:rFonts w:hint="default" w:ascii="Times New Roman" w:hAnsi="Times New Roman" w:cs="Times New Roman"/>
                      <w:i/>
                      <w:iCs/>
                      <w:snapToGrid w:val="0"/>
                      <w:color w:val="auto"/>
                      <w:sz w:val="24"/>
                      <w:szCs w:val="18"/>
                      <w:lang w:val="en-US" w:eastAsia="zh-CN"/>
                    </w:rPr>
                    <w:t>0.</w:t>
                  </w:r>
                  <w:r>
                    <w:rPr>
                      <w:rFonts w:hint="eastAsia" w:ascii="Times New Roman" w:hAnsi="Times New Roman" w:cs="Times New Roman"/>
                      <w:i/>
                      <w:iCs/>
                      <w:snapToGrid w:val="0"/>
                      <w:color w:val="auto"/>
                      <w:sz w:val="24"/>
                      <w:szCs w:val="18"/>
                      <w:lang w:val="en-US" w:eastAsia="zh-CN"/>
                    </w:rPr>
                    <w:t>4</w:t>
                  </w:r>
                </w:p>
              </w:tc>
              <w:tc>
                <w:tcPr>
                  <w:tcW w:w="2187" w:type="dxa"/>
                  <w:vAlign w:val="center"/>
                </w:tcPr>
                <w:p w14:paraId="1B601C8C">
                  <w:pPr>
                    <w:pStyle w:val="48"/>
                    <w:rPr>
                      <w:rFonts w:hint="default" w:ascii="Times New Roman" w:hAnsi="Times New Roman" w:cs="Times New Roman"/>
                      <w:i/>
                      <w:iCs/>
                      <w:color w:val="auto"/>
                      <w:sz w:val="24"/>
                    </w:rPr>
                  </w:pPr>
                  <w:r>
                    <w:rPr>
                      <w:rFonts w:hint="default" w:ascii="Times New Roman" w:hAnsi="Times New Roman" w:cs="Times New Roman"/>
                      <w:i/>
                      <w:iCs/>
                      <w:color w:val="auto"/>
                      <w:sz w:val="24"/>
                    </w:rPr>
                    <w:t>交由物资回收单位处理</w:t>
                  </w:r>
                </w:p>
              </w:tc>
            </w:tr>
            <w:tr w14:paraId="3C68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24" w:type="dxa"/>
                  <w:gridSpan w:val="5"/>
                  <w:vAlign w:val="center"/>
                </w:tcPr>
                <w:p w14:paraId="7E8C94EF">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b/>
                      <w:i/>
                      <w:iCs/>
                      <w:snapToGrid w:val="0"/>
                      <w:color w:val="auto"/>
                      <w:sz w:val="24"/>
                      <w:szCs w:val="18"/>
                    </w:rPr>
                    <w:t>小计</w:t>
                  </w:r>
                </w:p>
              </w:tc>
              <w:tc>
                <w:tcPr>
                  <w:tcW w:w="1167" w:type="dxa"/>
                  <w:vAlign w:val="center"/>
                </w:tcPr>
                <w:p w14:paraId="3B51D6A2">
                  <w:pPr>
                    <w:pStyle w:val="48"/>
                    <w:spacing w:line="240" w:lineRule="auto"/>
                    <w:rPr>
                      <w:rFonts w:hint="default" w:ascii="Times New Roman" w:hAnsi="Times New Roman" w:eastAsia="仿宋" w:cs="Times New Roman"/>
                      <w:b/>
                      <w:i/>
                      <w:iCs/>
                      <w:snapToGrid w:val="0"/>
                      <w:color w:val="auto"/>
                      <w:sz w:val="24"/>
                      <w:szCs w:val="24"/>
                      <w:lang w:val="en-US" w:eastAsia="zh-CN"/>
                    </w:rPr>
                  </w:pPr>
                  <w:r>
                    <w:rPr>
                      <w:rFonts w:hint="eastAsia" w:ascii="Times New Roman" w:hAnsi="Times New Roman" w:cs="Times New Roman"/>
                      <w:b/>
                      <w:i/>
                      <w:iCs/>
                      <w:snapToGrid w:val="0"/>
                      <w:color w:val="auto"/>
                      <w:sz w:val="24"/>
                      <w:szCs w:val="24"/>
                      <w:lang w:val="en-US" w:eastAsia="zh-CN"/>
                    </w:rPr>
                    <w:t>6.728</w:t>
                  </w:r>
                </w:p>
              </w:tc>
              <w:tc>
                <w:tcPr>
                  <w:tcW w:w="876" w:type="dxa"/>
                  <w:vAlign w:val="center"/>
                </w:tcPr>
                <w:p w14:paraId="5844A0A7">
                  <w:pPr>
                    <w:pStyle w:val="48"/>
                    <w:spacing w:line="240" w:lineRule="auto"/>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w:t>
                  </w:r>
                </w:p>
              </w:tc>
              <w:tc>
                <w:tcPr>
                  <w:tcW w:w="1021" w:type="dxa"/>
                  <w:vAlign w:val="center"/>
                </w:tcPr>
                <w:p w14:paraId="31239580">
                  <w:pPr>
                    <w:pStyle w:val="48"/>
                    <w:spacing w:line="240" w:lineRule="auto"/>
                    <w:rPr>
                      <w:rFonts w:hint="default" w:ascii="Times New Roman" w:hAnsi="Times New Roman" w:eastAsia="仿宋" w:cs="Times New Roman"/>
                      <w:b/>
                      <w:i/>
                      <w:iCs/>
                      <w:snapToGrid w:val="0"/>
                      <w:color w:val="auto"/>
                      <w:sz w:val="24"/>
                      <w:szCs w:val="24"/>
                      <w:lang w:val="en-US" w:eastAsia="zh-CN"/>
                    </w:rPr>
                  </w:pPr>
                  <w:r>
                    <w:rPr>
                      <w:rFonts w:hint="eastAsia" w:ascii="Times New Roman" w:hAnsi="Times New Roman" w:cs="Times New Roman"/>
                      <w:b/>
                      <w:i/>
                      <w:iCs/>
                      <w:snapToGrid w:val="0"/>
                      <w:color w:val="auto"/>
                      <w:sz w:val="24"/>
                      <w:szCs w:val="24"/>
                      <w:lang w:val="en-US" w:eastAsia="zh-CN"/>
                    </w:rPr>
                    <w:t>6.728</w:t>
                  </w:r>
                </w:p>
              </w:tc>
              <w:tc>
                <w:tcPr>
                  <w:tcW w:w="2187" w:type="dxa"/>
                  <w:vAlign w:val="center"/>
                </w:tcPr>
                <w:p w14:paraId="4B65286B">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r>
            <w:tr w14:paraId="0E2F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217" w:type="dxa"/>
                  <w:vAlign w:val="center"/>
                </w:tcPr>
                <w:p w14:paraId="5F01F41E">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设备维护</w:t>
                  </w:r>
                </w:p>
              </w:tc>
              <w:tc>
                <w:tcPr>
                  <w:tcW w:w="3062" w:type="dxa"/>
                  <w:vAlign w:val="center"/>
                </w:tcPr>
                <w:p w14:paraId="0C5FE42B">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lang w:eastAsia="zh-CN"/>
                    </w:rPr>
                    <w:t>矿物</w:t>
                  </w:r>
                  <w:r>
                    <w:rPr>
                      <w:rFonts w:hint="default" w:ascii="Times New Roman" w:hAnsi="Times New Roman" w:cs="Times New Roman"/>
                      <w:i/>
                      <w:iCs/>
                      <w:snapToGrid w:val="0"/>
                      <w:color w:val="auto"/>
                      <w:sz w:val="24"/>
                      <w:szCs w:val="18"/>
                    </w:rPr>
                    <w:t>油</w:t>
                  </w:r>
                </w:p>
              </w:tc>
              <w:tc>
                <w:tcPr>
                  <w:tcW w:w="2042" w:type="dxa"/>
                  <w:vAlign w:val="center"/>
                </w:tcPr>
                <w:p w14:paraId="77B48B82">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废</w:t>
                  </w:r>
                  <w:r>
                    <w:rPr>
                      <w:rFonts w:hint="default" w:ascii="Times New Roman" w:hAnsi="Times New Roman" w:cs="Times New Roman"/>
                      <w:i/>
                      <w:iCs/>
                      <w:snapToGrid w:val="0"/>
                      <w:color w:val="auto"/>
                      <w:sz w:val="24"/>
                      <w:szCs w:val="18"/>
                      <w:lang w:eastAsia="zh-CN"/>
                    </w:rPr>
                    <w:t>矿物</w:t>
                  </w:r>
                  <w:r>
                    <w:rPr>
                      <w:rFonts w:hint="default" w:ascii="Times New Roman" w:hAnsi="Times New Roman" w:cs="Times New Roman"/>
                      <w:i/>
                      <w:iCs/>
                      <w:snapToGrid w:val="0"/>
                      <w:color w:val="auto"/>
                      <w:sz w:val="24"/>
                      <w:szCs w:val="18"/>
                    </w:rPr>
                    <w:t>油</w:t>
                  </w:r>
                </w:p>
              </w:tc>
              <w:tc>
                <w:tcPr>
                  <w:tcW w:w="729" w:type="dxa"/>
                  <w:vMerge w:val="restart"/>
                  <w:vAlign w:val="center"/>
                </w:tcPr>
                <w:p w14:paraId="3A95EE08">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危险废物</w:t>
                  </w:r>
                </w:p>
              </w:tc>
              <w:tc>
                <w:tcPr>
                  <w:tcW w:w="874" w:type="dxa"/>
                  <w:vMerge w:val="restart"/>
                  <w:vAlign w:val="center"/>
                </w:tcPr>
                <w:p w14:paraId="31DDB2C7">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物料衡算法</w:t>
                  </w:r>
                </w:p>
              </w:tc>
              <w:tc>
                <w:tcPr>
                  <w:tcW w:w="1167" w:type="dxa"/>
                  <w:vAlign w:val="center"/>
                </w:tcPr>
                <w:p w14:paraId="63B3734F">
                  <w:pPr>
                    <w:pStyle w:val="48"/>
                    <w:spacing w:line="240" w:lineRule="auto"/>
                    <w:rPr>
                      <w:rFonts w:hint="default" w:ascii="Times New Roman" w:hAnsi="Times New Roman" w:eastAsia="仿宋" w:cs="Times New Roman"/>
                      <w:i/>
                      <w:iCs/>
                      <w:snapToGrid w:val="0"/>
                      <w:color w:val="auto"/>
                      <w:sz w:val="24"/>
                      <w:szCs w:val="24"/>
                      <w:lang w:val="en-US" w:eastAsia="zh-CN"/>
                    </w:rPr>
                  </w:pPr>
                  <w:r>
                    <w:rPr>
                      <w:rFonts w:hint="default" w:ascii="Times New Roman" w:hAnsi="Times New Roman" w:cs="Times New Roman"/>
                      <w:i/>
                      <w:iCs/>
                      <w:snapToGrid w:val="0"/>
                      <w:color w:val="auto"/>
                      <w:sz w:val="24"/>
                      <w:szCs w:val="24"/>
                      <w:lang w:val="en-US" w:eastAsia="zh-CN"/>
                    </w:rPr>
                    <w:t>0.</w:t>
                  </w:r>
                  <w:r>
                    <w:rPr>
                      <w:rFonts w:hint="eastAsia" w:ascii="Times New Roman" w:hAnsi="Times New Roman" w:cs="Times New Roman"/>
                      <w:i/>
                      <w:iCs/>
                      <w:snapToGrid w:val="0"/>
                      <w:color w:val="auto"/>
                      <w:sz w:val="24"/>
                      <w:szCs w:val="24"/>
                      <w:lang w:val="en-US" w:eastAsia="zh-CN"/>
                    </w:rPr>
                    <w:t>15</w:t>
                  </w:r>
                </w:p>
              </w:tc>
              <w:tc>
                <w:tcPr>
                  <w:tcW w:w="876" w:type="dxa"/>
                  <w:vMerge w:val="restart"/>
                  <w:vAlign w:val="center"/>
                </w:tcPr>
                <w:p w14:paraId="5525FBD5">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处置</w:t>
                  </w:r>
                </w:p>
              </w:tc>
              <w:tc>
                <w:tcPr>
                  <w:tcW w:w="1021" w:type="dxa"/>
                  <w:vAlign w:val="center"/>
                </w:tcPr>
                <w:p w14:paraId="428D0164">
                  <w:pPr>
                    <w:pStyle w:val="48"/>
                    <w:spacing w:line="240" w:lineRule="auto"/>
                    <w:ind w:firstLine="0" w:firstLineChars="0"/>
                    <w:rPr>
                      <w:rFonts w:hint="default" w:ascii="Times New Roman" w:hAnsi="Times New Roman" w:cs="Times New Roman"/>
                      <w:i/>
                      <w:iCs/>
                      <w:snapToGrid w:val="0"/>
                      <w:color w:val="auto"/>
                      <w:szCs w:val="18"/>
                      <w:lang w:val="en-US"/>
                    </w:rPr>
                  </w:pPr>
                  <w:r>
                    <w:rPr>
                      <w:rFonts w:hint="default" w:ascii="Times New Roman" w:hAnsi="Times New Roman" w:cs="Times New Roman"/>
                      <w:i/>
                      <w:iCs/>
                      <w:snapToGrid w:val="0"/>
                      <w:color w:val="auto"/>
                      <w:sz w:val="24"/>
                      <w:szCs w:val="24"/>
                      <w:lang w:val="en-US" w:eastAsia="zh-CN"/>
                    </w:rPr>
                    <w:t>0.</w:t>
                  </w:r>
                  <w:r>
                    <w:rPr>
                      <w:rFonts w:hint="eastAsia" w:ascii="Times New Roman" w:hAnsi="Times New Roman" w:cs="Times New Roman"/>
                      <w:i/>
                      <w:iCs/>
                      <w:snapToGrid w:val="0"/>
                      <w:color w:val="auto"/>
                      <w:sz w:val="24"/>
                      <w:szCs w:val="24"/>
                      <w:lang w:val="en-US" w:eastAsia="zh-CN"/>
                    </w:rPr>
                    <w:t>15</w:t>
                  </w:r>
                </w:p>
              </w:tc>
              <w:tc>
                <w:tcPr>
                  <w:tcW w:w="2187" w:type="dxa"/>
                  <w:vMerge w:val="restart"/>
                  <w:vAlign w:val="center"/>
                </w:tcPr>
                <w:p w14:paraId="7989323D">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交由有危废处理资质单位处理</w:t>
                  </w:r>
                </w:p>
              </w:tc>
            </w:tr>
            <w:tr w14:paraId="2FEF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vAlign w:val="center"/>
                </w:tcPr>
                <w:p w14:paraId="37E8AF17">
                  <w:pPr>
                    <w:pStyle w:val="48"/>
                    <w:spacing w:line="240" w:lineRule="auto"/>
                    <w:rPr>
                      <w:rFonts w:hint="default" w:ascii="Times New Roman" w:hAnsi="Times New Roman" w:eastAsia="仿宋" w:cs="Times New Roman"/>
                      <w:i/>
                      <w:iCs/>
                      <w:snapToGrid w:val="0"/>
                      <w:color w:val="auto"/>
                      <w:szCs w:val="18"/>
                      <w:lang w:eastAsia="zh-CN"/>
                    </w:rPr>
                  </w:pPr>
                  <w:r>
                    <w:rPr>
                      <w:rFonts w:hint="default" w:ascii="Times New Roman" w:hAnsi="Times New Roman" w:cs="Times New Roman"/>
                      <w:i/>
                      <w:iCs/>
                      <w:snapToGrid w:val="0"/>
                      <w:color w:val="auto"/>
                      <w:sz w:val="24"/>
                      <w:szCs w:val="18"/>
                      <w:lang w:eastAsia="zh-CN"/>
                    </w:rPr>
                    <w:t>涂布、烘烤</w:t>
                  </w:r>
                </w:p>
              </w:tc>
              <w:tc>
                <w:tcPr>
                  <w:tcW w:w="3062" w:type="dxa"/>
                  <w:vAlign w:val="center"/>
                </w:tcPr>
                <w:p w14:paraId="3EA6CBF3">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废气治理</w:t>
                  </w:r>
                </w:p>
              </w:tc>
              <w:tc>
                <w:tcPr>
                  <w:tcW w:w="2042" w:type="dxa"/>
                  <w:vAlign w:val="center"/>
                </w:tcPr>
                <w:p w14:paraId="1C8FB962">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废活性炭</w:t>
                  </w:r>
                </w:p>
              </w:tc>
              <w:tc>
                <w:tcPr>
                  <w:tcW w:w="729" w:type="dxa"/>
                  <w:vMerge w:val="continue"/>
                  <w:vAlign w:val="center"/>
                </w:tcPr>
                <w:p w14:paraId="58897E26">
                  <w:pPr>
                    <w:pStyle w:val="48"/>
                    <w:spacing w:line="240" w:lineRule="auto"/>
                    <w:rPr>
                      <w:rFonts w:hint="default" w:ascii="Times New Roman" w:hAnsi="Times New Roman" w:cs="Times New Roman"/>
                      <w:i/>
                      <w:iCs/>
                      <w:snapToGrid w:val="0"/>
                      <w:color w:val="auto"/>
                      <w:szCs w:val="18"/>
                    </w:rPr>
                  </w:pPr>
                </w:p>
              </w:tc>
              <w:tc>
                <w:tcPr>
                  <w:tcW w:w="874" w:type="dxa"/>
                  <w:vMerge w:val="continue"/>
                  <w:vAlign w:val="center"/>
                </w:tcPr>
                <w:p w14:paraId="2A875728">
                  <w:pPr>
                    <w:pStyle w:val="48"/>
                    <w:spacing w:line="240" w:lineRule="auto"/>
                    <w:rPr>
                      <w:rFonts w:hint="default" w:ascii="Times New Roman" w:hAnsi="Times New Roman" w:cs="Times New Roman"/>
                      <w:i/>
                      <w:iCs/>
                      <w:snapToGrid w:val="0"/>
                      <w:color w:val="auto"/>
                      <w:szCs w:val="18"/>
                    </w:rPr>
                  </w:pPr>
                </w:p>
              </w:tc>
              <w:tc>
                <w:tcPr>
                  <w:tcW w:w="1167" w:type="dxa"/>
                  <w:vAlign w:val="center"/>
                </w:tcPr>
                <w:p w14:paraId="351788EB">
                  <w:pPr>
                    <w:pStyle w:val="48"/>
                    <w:spacing w:line="240" w:lineRule="auto"/>
                    <w:rPr>
                      <w:rFonts w:hint="default" w:ascii="Times New Roman" w:hAnsi="Times New Roman" w:eastAsia="仿宋"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1.184</w:t>
                  </w:r>
                </w:p>
              </w:tc>
              <w:tc>
                <w:tcPr>
                  <w:tcW w:w="876" w:type="dxa"/>
                  <w:vMerge w:val="continue"/>
                  <w:vAlign w:val="center"/>
                </w:tcPr>
                <w:p w14:paraId="522549C8">
                  <w:pPr>
                    <w:pStyle w:val="48"/>
                    <w:spacing w:line="240" w:lineRule="auto"/>
                    <w:rPr>
                      <w:rFonts w:hint="default" w:ascii="Times New Roman" w:hAnsi="Times New Roman" w:cs="Times New Roman"/>
                      <w:i/>
                      <w:iCs/>
                      <w:snapToGrid w:val="0"/>
                      <w:color w:val="auto"/>
                      <w:szCs w:val="18"/>
                    </w:rPr>
                  </w:pPr>
                </w:p>
              </w:tc>
              <w:tc>
                <w:tcPr>
                  <w:tcW w:w="1021" w:type="dxa"/>
                  <w:vAlign w:val="center"/>
                </w:tcPr>
                <w:p w14:paraId="01BB193F">
                  <w:pPr>
                    <w:pStyle w:val="48"/>
                    <w:spacing w:line="240" w:lineRule="auto"/>
                    <w:ind w:firstLine="0" w:firstLineChars="0"/>
                    <w:rPr>
                      <w:rFonts w:hint="default" w:ascii="Times New Roman" w:hAnsi="Times New Roman" w:eastAsia="仿宋" w:cs="Times New Roman"/>
                      <w:i/>
                      <w:iCs/>
                      <w:snapToGrid w:val="0"/>
                      <w:color w:val="auto"/>
                      <w:szCs w:val="18"/>
                      <w:lang w:val="en-US" w:eastAsia="zh-CN"/>
                    </w:rPr>
                  </w:pPr>
                  <w:r>
                    <w:rPr>
                      <w:rFonts w:hint="eastAsia" w:ascii="Times New Roman" w:hAnsi="Times New Roman" w:cs="Times New Roman"/>
                      <w:i/>
                      <w:iCs/>
                      <w:snapToGrid w:val="0"/>
                      <w:color w:val="auto"/>
                      <w:sz w:val="24"/>
                      <w:szCs w:val="24"/>
                      <w:lang w:val="en-US" w:eastAsia="zh-CN"/>
                    </w:rPr>
                    <w:t>1.184</w:t>
                  </w:r>
                </w:p>
              </w:tc>
              <w:tc>
                <w:tcPr>
                  <w:tcW w:w="2187" w:type="dxa"/>
                  <w:vMerge w:val="continue"/>
                  <w:vAlign w:val="center"/>
                </w:tcPr>
                <w:p w14:paraId="54F8A4C9">
                  <w:pPr>
                    <w:pStyle w:val="48"/>
                    <w:spacing w:line="240" w:lineRule="auto"/>
                    <w:rPr>
                      <w:rFonts w:hint="default" w:ascii="Times New Roman" w:hAnsi="Times New Roman" w:cs="Times New Roman"/>
                      <w:i/>
                      <w:iCs/>
                      <w:snapToGrid w:val="0"/>
                      <w:color w:val="auto"/>
                      <w:szCs w:val="18"/>
                    </w:rPr>
                  </w:pPr>
                </w:p>
              </w:tc>
            </w:tr>
            <w:tr w14:paraId="230E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vAlign w:val="center"/>
                </w:tcPr>
                <w:p w14:paraId="35AC4E2A">
                  <w:pPr>
                    <w:pStyle w:val="48"/>
                    <w:spacing w:line="240" w:lineRule="auto"/>
                    <w:rPr>
                      <w:rFonts w:hint="default" w:ascii="Times New Roman" w:hAnsi="Times New Roman" w:cs="Times New Roman"/>
                      <w:i/>
                      <w:iCs/>
                      <w:snapToGrid w:val="0"/>
                      <w:color w:val="auto"/>
                      <w:szCs w:val="18"/>
                      <w:highlight w:val="yellow"/>
                    </w:rPr>
                  </w:pPr>
                  <w:r>
                    <w:rPr>
                      <w:rFonts w:hint="default" w:ascii="Times New Roman" w:hAnsi="Times New Roman" w:cs="Times New Roman"/>
                      <w:i/>
                      <w:iCs/>
                      <w:snapToGrid w:val="0"/>
                      <w:color w:val="auto"/>
                      <w:sz w:val="24"/>
                      <w:szCs w:val="18"/>
                    </w:rPr>
                    <w:t>油品包装</w:t>
                  </w:r>
                </w:p>
              </w:tc>
              <w:tc>
                <w:tcPr>
                  <w:tcW w:w="3062" w:type="dxa"/>
                  <w:vAlign w:val="center"/>
                </w:tcPr>
                <w:p w14:paraId="0EC71A71">
                  <w:pPr>
                    <w:pStyle w:val="48"/>
                    <w:spacing w:line="240" w:lineRule="auto"/>
                    <w:rPr>
                      <w:rFonts w:hint="default" w:ascii="Times New Roman" w:hAnsi="Times New Roman" w:cs="Times New Roman"/>
                      <w:i/>
                      <w:iCs/>
                      <w:snapToGrid w:val="0"/>
                      <w:color w:val="auto"/>
                      <w:szCs w:val="18"/>
                      <w:highlight w:val="yellow"/>
                    </w:rPr>
                  </w:pPr>
                  <w:r>
                    <w:rPr>
                      <w:rFonts w:hint="default" w:ascii="Times New Roman" w:hAnsi="Times New Roman" w:cs="Times New Roman"/>
                      <w:i/>
                      <w:iCs/>
                      <w:snapToGrid w:val="0"/>
                      <w:color w:val="auto"/>
                      <w:sz w:val="24"/>
                      <w:szCs w:val="18"/>
                    </w:rPr>
                    <w:t>油品包装桶</w:t>
                  </w:r>
                </w:p>
              </w:tc>
              <w:tc>
                <w:tcPr>
                  <w:tcW w:w="2042" w:type="dxa"/>
                  <w:vAlign w:val="center"/>
                </w:tcPr>
                <w:p w14:paraId="157EDCD0">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废油桶</w:t>
                  </w:r>
                </w:p>
              </w:tc>
              <w:tc>
                <w:tcPr>
                  <w:tcW w:w="729" w:type="dxa"/>
                  <w:vMerge w:val="continue"/>
                  <w:vAlign w:val="center"/>
                </w:tcPr>
                <w:p w14:paraId="2AC4D527">
                  <w:pPr>
                    <w:pStyle w:val="48"/>
                    <w:spacing w:line="240" w:lineRule="auto"/>
                    <w:rPr>
                      <w:rFonts w:hint="default" w:ascii="Times New Roman" w:hAnsi="Times New Roman" w:cs="Times New Roman"/>
                      <w:i/>
                      <w:iCs/>
                      <w:snapToGrid w:val="0"/>
                      <w:color w:val="auto"/>
                      <w:szCs w:val="18"/>
                    </w:rPr>
                  </w:pPr>
                </w:p>
              </w:tc>
              <w:tc>
                <w:tcPr>
                  <w:tcW w:w="874" w:type="dxa"/>
                  <w:vMerge w:val="continue"/>
                  <w:vAlign w:val="center"/>
                </w:tcPr>
                <w:p w14:paraId="3EFF64BB">
                  <w:pPr>
                    <w:pStyle w:val="48"/>
                    <w:spacing w:line="240" w:lineRule="auto"/>
                    <w:rPr>
                      <w:rFonts w:hint="default" w:ascii="Times New Roman" w:hAnsi="Times New Roman" w:cs="Times New Roman"/>
                      <w:i/>
                      <w:iCs/>
                      <w:snapToGrid w:val="0"/>
                      <w:color w:val="auto"/>
                      <w:szCs w:val="18"/>
                    </w:rPr>
                  </w:pPr>
                </w:p>
              </w:tc>
              <w:tc>
                <w:tcPr>
                  <w:tcW w:w="1167" w:type="dxa"/>
                  <w:vAlign w:val="center"/>
                </w:tcPr>
                <w:p w14:paraId="5364330A">
                  <w:pPr>
                    <w:pStyle w:val="48"/>
                    <w:spacing w:line="240" w:lineRule="auto"/>
                    <w:rPr>
                      <w:rFonts w:hint="default" w:ascii="Times New Roman" w:hAnsi="Times New Roman" w:eastAsia="仿宋" w:cs="Times New Roman"/>
                      <w:i/>
                      <w:iCs/>
                      <w:snapToGrid w:val="0"/>
                      <w:color w:val="auto"/>
                      <w:sz w:val="24"/>
                      <w:szCs w:val="24"/>
                      <w:lang w:val="en-US" w:eastAsia="zh-CN"/>
                    </w:rPr>
                  </w:pPr>
                  <w:r>
                    <w:rPr>
                      <w:rFonts w:hint="default" w:ascii="Times New Roman" w:hAnsi="Times New Roman" w:cs="Times New Roman"/>
                      <w:i/>
                      <w:iCs/>
                      <w:snapToGrid w:val="0"/>
                      <w:color w:val="auto"/>
                      <w:sz w:val="24"/>
                      <w:szCs w:val="24"/>
                      <w:lang w:val="en-US" w:eastAsia="zh-CN"/>
                    </w:rPr>
                    <w:t>0.3</w:t>
                  </w:r>
                </w:p>
              </w:tc>
              <w:tc>
                <w:tcPr>
                  <w:tcW w:w="876" w:type="dxa"/>
                  <w:vMerge w:val="continue"/>
                  <w:vAlign w:val="center"/>
                </w:tcPr>
                <w:p w14:paraId="02DEF923">
                  <w:pPr>
                    <w:pStyle w:val="48"/>
                    <w:spacing w:line="240" w:lineRule="auto"/>
                    <w:rPr>
                      <w:rFonts w:hint="default" w:ascii="Times New Roman" w:hAnsi="Times New Roman" w:cs="Times New Roman"/>
                      <w:i/>
                      <w:iCs/>
                      <w:snapToGrid w:val="0"/>
                      <w:color w:val="auto"/>
                      <w:szCs w:val="18"/>
                    </w:rPr>
                  </w:pPr>
                </w:p>
              </w:tc>
              <w:tc>
                <w:tcPr>
                  <w:tcW w:w="1021" w:type="dxa"/>
                  <w:vAlign w:val="center"/>
                </w:tcPr>
                <w:p w14:paraId="773B0358">
                  <w:pPr>
                    <w:pStyle w:val="48"/>
                    <w:spacing w:line="240" w:lineRule="auto"/>
                    <w:ind w:firstLine="0" w:firstLineChars="0"/>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24"/>
                      <w:lang w:val="en-US" w:eastAsia="zh-CN"/>
                    </w:rPr>
                    <w:t>0.3</w:t>
                  </w:r>
                </w:p>
              </w:tc>
              <w:tc>
                <w:tcPr>
                  <w:tcW w:w="2187" w:type="dxa"/>
                  <w:vMerge w:val="continue"/>
                  <w:vAlign w:val="center"/>
                </w:tcPr>
                <w:p w14:paraId="1E9087DC">
                  <w:pPr>
                    <w:pStyle w:val="48"/>
                    <w:spacing w:line="240" w:lineRule="auto"/>
                    <w:rPr>
                      <w:rFonts w:hint="default" w:ascii="Times New Roman" w:hAnsi="Times New Roman" w:cs="Times New Roman"/>
                      <w:i/>
                      <w:iCs/>
                      <w:snapToGrid w:val="0"/>
                      <w:color w:val="auto"/>
                      <w:szCs w:val="18"/>
                    </w:rPr>
                  </w:pPr>
                </w:p>
              </w:tc>
            </w:tr>
            <w:tr w14:paraId="454B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vAlign w:val="center"/>
                </w:tcPr>
                <w:p w14:paraId="3CC46A69">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设备维修保养</w:t>
                  </w:r>
                </w:p>
              </w:tc>
              <w:tc>
                <w:tcPr>
                  <w:tcW w:w="3062" w:type="dxa"/>
                  <w:vAlign w:val="center"/>
                </w:tcPr>
                <w:p w14:paraId="0B1403FD">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棉纱、手套</w:t>
                  </w:r>
                </w:p>
              </w:tc>
              <w:tc>
                <w:tcPr>
                  <w:tcW w:w="2042" w:type="dxa"/>
                  <w:vAlign w:val="center"/>
                </w:tcPr>
                <w:p w14:paraId="7AA181AC">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废含油棉纱、手套</w:t>
                  </w:r>
                </w:p>
              </w:tc>
              <w:tc>
                <w:tcPr>
                  <w:tcW w:w="729" w:type="dxa"/>
                  <w:vMerge w:val="continue"/>
                  <w:vAlign w:val="center"/>
                </w:tcPr>
                <w:p w14:paraId="3B273ABE">
                  <w:pPr>
                    <w:pStyle w:val="48"/>
                    <w:spacing w:line="240" w:lineRule="auto"/>
                    <w:rPr>
                      <w:rFonts w:hint="default" w:ascii="Times New Roman" w:hAnsi="Times New Roman" w:cs="Times New Roman"/>
                      <w:i/>
                      <w:iCs/>
                      <w:snapToGrid w:val="0"/>
                      <w:color w:val="auto"/>
                      <w:szCs w:val="18"/>
                    </w:rPr>
                  </w:pPr>
                </w:p>
              </w:tc>
              <w:tc>
                <w:tcPr>
                  <w:tcW w:w="874" w:type="dxa"/>
                  <w:vMerge w:val="continue"/>
                  <w:vAlign w:val="center"/>
                </w:tcPr>
                <w:p w14:paraId="76751F61">
                  <w:pPr>
                    <w:pStyle w:val="48"/>
                    <w:spacing w:line="240" w:lineRule="auto"/>
                    <w:rPr>
                      <w:rFonts w:hint="default" w:ascii="Times New Roman" w:hAnsi="Times New Roman" w:cs="Times New Roman"/>
                      <w:i/>
                      <w:iCs/>
                      <w:snapToGrid w:val="0"/>
                      <w:color w:val="auto"/>
                      <w:szCs w:val="18"/>
                    </w:rPr>
                  </w:pPr>
                </w:p>
              </w:tc>
              <w:tc>
                <w:tcPr>
                  <w:tcW w:w="1167" w:type="dxa"/>
                  <w:vAlign w:val="center"/>
                </w:tcPr>
                <w:p w14:paraId="7F90BF03">
                  <w:pPr>
                    <w:pStyle w:val="48"/>
                    <w:spacing w:line="240" w:lineRule="auto"/>
                    <w:rPr>
                      <w:rFonts w:hint="default" w:ascii="Times New Roman" w:hAnsi="Times New Roman" w:eastAsia="仿宋" w:cs="Times New Roman"/>
                      <w:i/>
                      <w:iCs/>
                      <w:snapToGrid w:val="0"/>
                      <w:color w:val="auto"/>
                      <w:sz w:val="24"/>
                      <w:szCs w:val="24"/>
                      <w:lang w:val="en-US" w:eastAsia="zh-CN"/>
                    </w:rPr>
                  </w:pPr>
                  <w:r>
                    <w:rPr>
                      <w:rFonts w:hint="default" w:ascii="Times New Roman" w:hAnsi="Times New Roman" w:cs="Times New Roman"/>
                      <w:i/>
                      <w:iCs/>
                      <w:snapToGrid w:val="0"/>
                      <w:color w:val="auto"/>
                      <w:sz w:val="24"/>
                      <w:szCs w:val="24"/>
                      <w:lang w:val="en-US" w:eastAsia="zh-CN"/>
                    </w:rPr>
                    <w:t>0.02</w:t>
                  </w:r>
                </w:p>
              </w:tc>
              <w:tc>
                <w:tcPr>
                  <w:tcW w:w="876" w:type="dxa"/>
                  <w:vMerge w:val="continue"/>
                  <w:vAlign w:val="center"/>
                </w:tcPr>
                <w:p w14:paraId="4223F5C5">
                  <w:pPr>
                    <w:pStyle w:val="48"/>
                    <w:spacing w:line="240" w:lineRule="auto"/>
                    <w:rPr>
                      <w:rFonts w:hint="default" w:ascii="Times New Roman" w:hAnsi="Times New Roman" w:cs="Times New Roman"/>
                      <w:i/>
                      <w:iCs/>
                      <w:snapToGrid w:val="0"/>
                      <w:color w:val="auto"/>
                      <w:szCs w:val="18"/>
                    </w:rPr>
                  </w:pPr>
                </w:p>
              </w:tc>
              <w:tc>
                <w:tcPr>
                  <w:tcW w:w="1021" w:type="dxa"/>
                  <w:vAlign w:val="center"/>
                </w:tcPr>
                <w:p w14:paraId="29E9AD75">
                  <w:pPr>
                    <w:pStyle w:val="48"/>
                    <w:spacing w:line="240" w:lineRule="auto"/>
                    <w:ind w:firstLine="0" w:firstLineChars="0"/>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24"/>
                      <w:lang w:val="en-US" w:eastAsia="zh-CN"/>
                    </w:rPr>
                    <w:t>0.02</w:t>
                  </w:r>
                </w:p>
              </w:tc>
              <w:tc>
                <w:tcPr>
                  <w:tcW w:w="2187" w:type="dxa"/>
                  <w:vMerge w:val="continue"/>
                  <w:vAlign w:val="center"/>
                </w:tcPr>
                <w:p w14:paraId="39902527">
                  <w:pPr>
                    <w:pStyle w:val="48"/>
                    <w:spacing w:line="240" w:lineRule="auto"/>
                    <w:rPr>
                      <w:rFonts w:hint="default" w:ascii="Times New Roman" w:hAnsi="Times New Roman" w:cs="Times New Roman"/>
                      <w:i/>
                      <w:iCs/>
                      <w:snapToGrid w:val="0"/>
                      <w:color w:val="auto"/>
                      <w:szCs w:val="18"/>
                    </w:rPr>
                  </w:pPr>
                </w:p>
              </w:tc>
            </w:tr>
            <w:tr w14:paraId="0A91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vAlign w:val="center"/>
                </w:tcPr>
                <w:p w14:paraId="0C036619">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空压机运行</w:t>
                  </w:r>
                </w:p>
              </w:tc>
              <w:tc>
                <w:tcPr>
                  <w:tcW w:w="3062" w:type="dxa"/>
                  <w:vAlign w:val="center"/>
                </w:tcPr>
                <w:p w14:paraId="2C26385F">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空压机</w:t>
                  </w:r>
                </w:p>
              </w:tc>
              <w:tc>
                <w:tcPr>
                  <w:tcW w:w="2042" w:type="dxa"/>
                  <w:vAlign w:val="center"/>
                </w:tcPr>
                <w:p w14:paraId="37B48081">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油水混合物</w:t>
                  </w:r>
                </w:p>
              </w:tc>
              <w:tc>
                <w:tcPr>
                  <w:tcW w:w="729" w:type="dxa"/>
                  <w:vMerge w:val="continue"/>
                  <w:vAlign w:val="center"/>
                </w:tcPr>
                <w:p w14:paraId="24E47925">
                  <w:pPr>
                    <w:pStyle w:val="48"/>
                    <w:spacing w:line="240" w:lineRule="auto"/>
                    <w:rPr>
                      <w:rFonts w:hint="default" w:ascii="Times New Roman" w:hAnsi="Times New Roman" w:cs="Times New Roman"/>
                      <w:i/>
                      <w:iCs/>
                      <w:snapToGrid w:val="0"/>
                      <w:color w:val="auto"/>
                      <w:szCs w:val="18"/>
                    </w:rPr>
                  </w:pPr>
                </w:p>
              </w:tc>
              <w:tc>
                <w:tcPr>
                  <w:tcW w:w="874" w:type="dxa"/>
                  <w:vMerge w:val="continue"/>
                  <w:vAlign w:val="center"/>
                </w:tcPr>
                <w:p w14:paraId="0482D1CE">
                  <w:pPr>
                    <w:pStyle w:val="48"/>
                    <w:spacing w:line="240" w:lineRule="auto"/>
                    <w:rPr>
                      <w:rFonts w:hint="default" w:ascii="Times New Roman" w:hAnsi="Times New Roman" w:cs="Times New Roman"/>
                      <w:i/>
                      <w:iCs/>
                      <w:snapToGrid w:val="0"/>
                      <w:color w:val="auto"/>
                      <w:szCs w:val="18"/>
                    </w:rPr>
                  </w:pPr>
                </w:p>
              </w:tc>
              <w:tc>
                <w:tcPr>
                  <w:tcW w:w="1167" w:type="dxa"/>
                  <w:vAlign w:val="center"/>
                </w:tcPr>
                <w:p w14:paraId="260AE35B">
                  <w:pPr>
                    <w:pStyle w:val="48"/>
                    <w:spacing w:line="240" w:lineRule="auto"/>
                    <w:rPr>
                      <w:rFonts w:hint="default" w:ascii="Times New Roman" w:hAnsi="Times New Roman" w:eastAsia="仿宋" w:cs="Times New Roman"/>
                      <w:i/>
                      <w:iCs/>
                      <w:snapToGrid w:val="0"/>
                      <w:color w:val="auto"/>
                      <w:sz w:val="24"/>
                      <w:szCs w:val="24"/>
                      <w:lang w:val="en-US" w:eastAsia="zh-CN"/>
                    </w:rPr>
                  </w:pPr>
                  <w:r>
                    <w:rPr>
                      <w:rFonts w:hint="default" w:ascii="Times New Roman" w:hAnsi="Times New Roman" w:cs="Times New Roman"/>
                      <w:i/>
                      <w:iCs/>
                      <w:snapToGrid w:val="0"/>
                      <w:color w:val="auto"/>
                      <w:sz w:val="24"/>
                      <w:szCs w:val="24"/>
                    </w:rPr>
                    <w:t>0.</w:t>
                  </w:r>
                  <w:r>
                    <w:rPr>
                      <w:rFonts w:hint="default" w:ascii="Times New Roman" w:hAnsi="Times New Roman" w:cs="Times New Roman"/>
                      <w:i/>
                      <w:iCs/>
                      <w:snapToGrid w:val="0"/>
                      <w:color w:val="auto"/>
                      <w:sz w:val="24"/>
                      <w:szCs w:val="24"/>
                      <w:lang w:val="en-US" w:eastAsia="zh-CN"/>
                    </w:rPr>
                    <w:t>01</w:t>
                  </w:r>
                </w:p>
              </w:tc>
              <w:tc>
                <w:tcPr>
                  <w:tcW w:w="876" w:type="dxa"/>
                  <w:vMerge w:val="continue"/>
                  <w:vAlign w:val="center"/>
                </w:tcPr>
                <w:p w14:paraId="1ABA009C">
                  <w:pPr>
                    <w:pStyle w:val="48"/>
                    <w:spacing w:line="240" w:lineRule="auto"/>
                    <w:rPr>
                      <w:rFonts w:hint="default" w:ascii="Times New Roman" w:hAnsi="Times New Roman" w:cs="Times New Roman"/>
                      <w:i/>
                      <w:iCs/>
                      <w:snapToGrid w:val="0"/>
                      <w:color w:val="auto"/>
                      <w:szCs w:val="18"/>
                    </w:rPr>
                  </w:pPr>
                </w:p>
              </w:tc>
              <w:tc>
                <w:tcPr>
                  <w:tcW w:w="1021" w:type="dxa"/>
                  <w:vAlign w:val="center"/>
                </w:tcPr>
                <w:p w14:paraId="17E9B0F5">
                  <w:pPr>
                    <w:pStyle w:val="48"/>
                    <w:spacing w:line="240" w:lineRule="auto"/>
                    <w:ind w:firstLine="0" w:firstLineChars="0"/>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24"/>
                    </w:rPr>
                    <w:t>0.</w:t>
                  </w:r>
                  <w:r>
                    <w:rPr>
                      <w:rFonts w:hint="default" w:ascii="Times New Roman" w:hAnsi="Times New Roman" w:cs="Times New Roman"/>
                      <w:i/>
                      <w:iCs/>
                      <w:snapToGrid w:val="0"/>
                      <w:color w:val="auto"/>
                      <w:sz w:val="24"/>
                      <w:szCs w:val="24"/>
                      <w:lang w:val="en-US" w:eastAsia="zh-CN"/>
                    </w:rPr>
                    <w:t>01</w:t>
                  </w:r>
                </w:p>
              </w:tc>
              <w:tc>
                <w:tcPr>
                  <w:tcW w:w="2187" w:type="dxa"/>
                  <w:vMerge w:val="continue"/>
                  <w:vAlign w:val="center"/>
                </w:tcPr>
                <w:p w14:paraId="64587978">
                  <w:pPr>
                    <w:pStyle w:val="48"/>
                    <w:spacing w:line="240" w:lineRule="auto"/>
                    <w:rPr>
                      <w:rFonts w:hint="default" w:ascii="Times New Roman" w:hAnsi="Times New Roman" w:cs="Times New Roman"/>
                      <w:i/>
                      <w:iCs/>
                      <w:snapToGrid w:val="0"/>
                      <w:color w:val="auto"/>
                      <w:szCs w:val="18"/>
                    </w:rPr>
                  </w:pPr>
                </w:p>
              </w:tc>
            </w:tr>
            <w:tr w14:paraId="1DC4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shd w:val="clear" w:color="auto" w:fill="auto"/>
                  <w:vAlign w:val="center"/>
                </w:tcPr>
                <w:p w14:paraId="2D12452D">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胶水使用</w:t>
                  </w:r>
                </w:p>
              </w:tc>
              <w:tc>
                <w:tcPr>
                  <w:tcW w:w="3062" w:type="dxa"/>
                  <w:shd w:val="clear" w:color="auto" w:fill="auto"/>
                  <w:vAlign w:val="center"/>
                </w:tcPr>
                <w:p w14:paraId="2F7E595A">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胶水使用</w:t>
                  </w:r>
                </w:p>
              </w:tc>
              <w:tc>
                <w:tcPr>
                  <w:tcW w:w="2042" w:type="dxa"/>
                  <w:shd w:val="clear" w:color="auto" w:fill="auto"/>
                  <w:vAlign w:val="center"/>
                </w:tcPr>
                <w:p w14:paraId="548FA059">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废</w:t>
                  </w:r>
                  <w:r>
                    <w:rPr>
                      <w:rFonts w:hint="default" w:ascii="Times New Roman" w:hAnsi="Times New Roman" w:cs="Times New Roman"/>
                      <w:i/>
                      <w:iCs/>
                      <w:snapToGrid w:val="0"/>
                      <w:color w:val="auto"/>
                      <w:sz w:val="24"/>
                      <w:szCs w:val="18"/>
                      <w:lang w:eastAsia="zh-CN"/>
                    </w:rPr>
                    <w:t>胶</w:t>
                  </w:r>
                  <w:r>
                    <w:rPr>
                      <w:rFonts w:hint="default" w:ascii="Times New Roman" w:hAnsi="Times New Roman" w:cs="Times New Roman"/>
                      <w:i/>
                      <w:iCs/>
                      <w:snapToGrid w:val="0"/>
                      <w:color w:val="auto"/>
                      <w:sz w:val="24"/>
                      <w:szCs w:val="18"/>
                    </w:rPr>
                    <w:t>包装桶</w:t>
                  </w:r>
                </w:p>
              </w:tc>
              <w:tc>
                <w:tcPr>
                  <w:tcW w:w="729" w:type="dxa"/>
                  <w:vMerge w:val="continue"/>
                  <w:vAlign w:val="center"/>
                </w:tcPr>
                <w:p w14:paraId="7B529043">
                  <w:pPr>
                    <w:pStyle w:val="48"/>
                    <w:spacing w:line="240" w:lineRule="auto"/>
                    <w:rPr>
                      <w:rFonts w:hint="default" w:ascii="Times New Roman" w:hAnsi="Times New Roman" w:cs="Times New Roman"/>
                      <w:i/>
                      <w:iCs/>
                      <w:snapToGrid w:val="0"/>
                      <w:color w:val="auto"/>
                      <w:szCs w:val="18"/>
                    </w:rPr>
                  </w:pPr>
                </w:p>
              </w:tc>
              <w:tc>
                <w:tcPr>
                  <w:tcW w:w="874" w:type="dxa"/>
                  <w:vMerge w:val="continue"/>
                  <w:vAlign w:val="center"/>
                </w:tcPr>
                <w:p w14:paraId="2A3A269B">
                  <w:pPr>
                    <w:pStyle w:val="48"/>
                    <w:spacing w:line="240" w:lineRule="auto"/>
                    <w:rPr>
                      <w:rFonts w:hint="default" w:ascii="Times New Roman" w:hAnsi="Times New Roman" w:cs="Times New Roman"/>
                      <w:i/>
                      <w:iCs/>
                      <w:snapToGrid w:val="0"/>
                      <w:color w:val="auto"/>
                      <w:szCs w:val="18"/>
                    </w:rPr>
                  </w:pPr>
                </w:p>
              </w:tc>
              <w:tc>
                <w:tcPr>
                  <w:tcW w:w="1167" w:type="dxa"/>
                  <w:vAlign w:val="center"/>
                </w:tcPr>
                <w:p w14:paraId="43A2587E">
                  <w:pPr>
                    <w:pStyle w:val="48"/>
                    <w:spacing w:line="240" w:lineRule="auto"/>
                    <w:rPr>
                      <w:rFonts w:hint="default" w:ascii="Times New Roman" w:hAnsi="Times New Roman" w:cs="Times New Roman"/>
                      <w:i/>
                      <w:iCs/>
                      <w:snapToGrid w:val="0"/>
                      <w:color w:val="auto"/>
                      <w:sz w:val="24"/>
                      <w:szCs w:val="24"/>
                      <w:lang w:val="en-US"/>
                    </w:rPr>
                  </w:pPr>
                  <w:r>
                    <w:rPr>
                      <w:rFonts w:hint="eastAsia" w:ascii="Times New Roman" w:hAnsi="Times New Roman" w:cs="Times New Roman"/>
                      <w:i/>
                      <w:iCs/>
                      <w:snapToGrid w:val="0"/>
                      <w:color w:val="auto"/>
                      <w:sz w:val="24"/>
                      <w:szCs w:val="24"/>
                      <w:lang w:val="en-US" w:eastAsia="zh-CN"/>
                    </w:rPr>
                    <w:t>4.895</w:t>
                  </w:r>
                </w:p>
              </w:tc>
              <w:tc>
                <w:tcPr>
                  <w:tcW w:w="876" w:type="dxa"/>
                  <w:vAlign w:val="center"/>
                </w:tcPr>
                <w:p w14:paraId="3BC9EC91">
                  <w:pPr>
                    <w:pStyle w:val="48"/>
                    <w:spacing w:line="240" w:lineRule="auto"/>
                    <w:rPr>
                      <w:rFonts w:hint="default" w:ascii="Times New Roman" w:hAnsi="Times New Roman" w:cs="Times New Roman"/>
                      <w:i/>
                      <w:iCs/>
                      <w:snapToGrid w:val="0"/>
                      <w:color w:val="auto"/>
                      <w:szCs w:val="18"/>
                    </w:rPr>
                  </w:pPr>
                </w:p>
              </w:tc>
              <w:tc>
                <w:tcPr>
                  <w:tcW w:w="1021" w:type="dxa"/>
                  <w:vAlign w:val="center"/>
                </w:tcPr>
                <w:p w14:paraId="0F3B4844">
                  <w:pPr>
                    <w:pStyle w:val="48"/>
                    <w:spacing w:line="240" w:lineRule="auto"/>
                    <w:ind w:firstLine="0" w:firstLineChars="0"/>
                    <w:rPr>
                      <w:rFonts w:hint="default" w:ascii="Times New Roman" w:hAnsi="Times New Roman" w:cs="Times New Roman"/>
                      <w:i/>
                      <w:iCs/>
                      <w:snapToGrid w:val="0"/>
                      <w:color w:val="auto"/>
                      <w:sz w:val="24"/>
                      <w:szCs w:val="24"/>
                      <w:lang w:val="en-US"/>
                    </w:rPr>
                  </w:pPr>
                  <w:r>
                    <w:rPr>
                      <w:rFonts w:hint="eastAsia" w:ascii="Times New Roman" w:hAnsi="Times New Roman" w:cs="Times New Roman"/>
                      <w:i/>
                      <w:iCs/>
                      <w:snapToGrid w:val="0"/>
                      <w:color w:val="auto"/>
                      <w:sz w:val="24"/>
                      <w:szCs w:val="24"/>
                      <w:lang w:val="en-US" w:eastAsia="zh-CN"/>
                    </w:rPr>
                    <w:t>4.895</w:t>
                  </w:r>
                </w:p>
              </w:tc>
              <w:tc>
                <w:tcPr>
                  <w:tcW w:w="2187" w:type="dxa"/>
                  <w:vMerge w:val="continue"/>
                  <w:vAlign w:val="center"/>
                </w:tcPr>
                <w:p w14:paraId="025620EC">
                  <w:pPr>
                    <w:pStyle w:val="48"/>
                    <w:spacing w:line="240" w:lineRule="auto"/>
                    <w:rPr>
                      <w:rFonts w:hint="default" w:ascii="Times New Roman" w:hAnsi="Times New Roman" w:cs="Times New Roman"/>
                      <w:i/>
                      <w:iCs/>
                      <w:snapToGrid w:val="0"/>
                      <w:color w:val="auto"/>
                      <w:szCs w:val="18"/>
                    </w:rPr>
                  </w:pPr>
                </w:p>
              </w:tc>
            </w:tr>
            <w:tr w14:paraId="5D74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shd w:val="clear" w:color="auto" w:fill="auto"/>
                  <w:vAlign w:val="center"/>
                </w:tcPr>
                <w:p w14:paraId="75966C5C">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eastAsia" w:ascii="Times New Roman" w:hAnsi="Times New Roman" w:cs="Times New Roman"/>
                      <w:i/>
                      <w:iCs/>
                      <w:snapToGrid w:val="0"/>
                      <w:color w:val="auto"/>
                      <w:sz w:val="24"/>
                      <w:szCs w:val="18"/>
                      <w:lang w:eastAsia="zh-CN"/>
                    </w:rPr>
                    <w:t>涂胶清洗</w:t>
                  </w:r>
                </w:p>
              </w:tc>
              <w:tc>
                <w:tcPr>
                  <w:tcW w:w="3062" w:type="dxa"/>
                  <w:shd w:val="clear" w:color="auto" w:fill="auto"/>
                  <w:vAlign w:val="center"/>
                </w:tcPr>
                <w:p w14:paraId="33F66135">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eastAsia" w:ascii="Times New Roman" w:hAnsi="Times New Roman" w:cs="Times New Roman"/>
                      <w:i/>
                      <w:iCs/>
                      <w:snapToGrid w:val="0"/>
                      <w:color w:val="auto"/>
                      <w:sz w:val="24"/>
                      <w:szCs w:val="18"/>
                      <w:lang w:eastAsia="zh-CN"/>
                    </w:rPr>
                    <w:t>涂胶机清洗</w:t>
                  </w:r>
                </w:p>
              </w:tc>
              <w:tc>
                <w:tcPr>
                  <w:tcW w:w="2042" w:type="dxa"/>
                  <w:shd w:val="clear" w:color="auto" w:fill="auto"/>
                  <w:vAlign w:val="center"/>
                </w:tcPr>
                <w:p w14:paraId="36D1F828">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eastAsia" w:ascii="Times New Roman" w:hAnsi="Times New Roman" w:cs="Times New Roman"/>
                      <w:i/>
                      <w:iCs/>
                      <w:snapToGrid w:val="0"/>
                      <w:color w:val="auto"/>
                      <w:sz w:val="24"/>
                      <w:szCs w:val="18"/>
                      <w:lang w:eastAsia="zh-CN"/>
                    </w:rPr>
                    <w:t>废抹布</w:t>
                  </w:r>
                </w:p>
              </w:tc>
              <w:tc>
                <w:tcPr>
                  <w:tcW w:w="729" w:type="dxa"/>
                  <w:vMerge w:val="continue"/>
                  <w:vAlign w:val="center"/>
                </w:tcPr>
                <w:p w14:paraId="782C78C4">
                  <w:pPr>
                    <w:pStyle w:val="48"/>
                    <w:spacing w:line="240" w:lineRule="auto"/>
                    <w:rPr>
                      <w:rFonts w:hint="default" w:ascii="Times New Roman" w:hAnsi="Times New Roman" w:cs="Times New Roman"/>
                      <w:i/>
                      <w:iCs/>
                      <w:snapToGrid w:val="0"/>
                      <w:color w:val="auto"/>
                      <w:szCs w:val="18"/>
                    </w:rPr>
                  </w:pPr>
                </w:p>
              </w:tc>
              <w:tc>
                <w:tcPr>
                  <w:tcW w:w="874" w:type="dxa"/>
                  <w:vMerge w:val="continue"/>
                  <w:vAlign w:val="center"/>
                </w:tcPr>
                <w:p w14:paraId="3A3B5E42">
                  <w:pPr>
                    <w:pStyle w:val="48"/>
                    <w:spacing w:line="240" w:lineRule="auto"/>
                    <w:rPr>
                      <w:rFonts w:hint="default" w:ascii="Times New Roman" w:hAnsi="Times New Roman" w:cs="Times New Roman"/>
                      <w:i/>
                      <w:iCs/>
                      <w:snapToGrid w:val="0"/>
                      <w:color w:val="auto"/>
                      <w:szCs w:val="18"/>
                    </w:rPr>
                  </w:pPr>
                </w:p>
              </w:tc>
              <w:tc>
                <w:tcPr>
                  <w:tcW w:w="1167" w:type="dxa"/>
                  <w:vAlign w:val="center"/>
                </w:tcPr>
                <w:p w14:paraId="45DC59BB">
                  <w:pPr>
                    <w:pStyle w:val="48"/>
                    <w:spacing w:line="240" w:lineRule="auto"/>
                    <w:rPr>
                      <w:rFonts w:hint="eastAsia" w:ascii="Times New Roman" w:hAnsi="Times New Roman"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0.1</w:t>
                  </w:r>
                </w:p>
              </w:tc>
              <w:tc>
                <w:tcPr>
                  <w:tcW w:w="876" w:type="dxa"/>
                  <w:vAlign w:val="center"/>
                </w:tcPr>
                <w:p w14:paraId="149B582E">
                  <w:pPr>
                    <w:pStyle w:val="48"/>
                    <w:spacing w:line="240" w:lineRule="auto"/>
                    <w:rPr>
                      <w:rFonts w:hint="default" w:ascii="Times New Roman" w:hAnsi="Times New Roman" w:cs="Times New Roman"/>
                      <w:i/>
                      <w:iCs/>
                      <w:snapToGrid w:val="0"/>
                      <w:color w:val="auto"/>
                      <w:szCs w:val="18"/>
                    </w:rPr>
                  </w:pPr>
                </w:p>
              </w:tc>
              <w:tc>
                <w:tcPr>
                  <w:tcW w:w="1021" w:type="dxa"/>
                  <w:vAlign w:val="center"/>
                </w:tcPr>
                <w:p w14:paraId="5795B60B">
                  <w:pPr>
                    <w:pStyle w:val="48"/>
                    <w:spacing w:line="240" w:lineRule="auto"/>
                    <w:ind w:firstLine="0" w:firstLineChars="0"/>
                    <w:rPr>
                      <w:rFonts w:hint="eastAsia" w:ascii="Times New Roman" w:hAnsi="Times New Roman" w:cs="Times New Roman"/>
                      <w:i/>
                      <w:iCs/>
                      <w:snapToGrid w:val="0"/>
                      <w:color w:val="auto"/>
                      <w:sz w:val="24"/>
                      <w:szCs w:val="24"/>
                      <w:lang w:val="en-US" w:eastAsia="zh-CN"/>
                    </w:rPr>
                  </w:pPr>
                  <w:r>
                    <w:rPr>
                      <w:rFonts w:hint="eastAsia" w:ascii="Times New Roman" w:hAnsi="Times New Roman" w:cs="Times New Roman"/>
                      <w:i/>
                      <w:iCs/>
                      <w:snapToGrid w:val="0"/>
                      <w:color w:val="auto"/>
                      <w:sz w:val="24"/>
                      <w:szCs w:val="24"/>
                      <w:lang w:val="en-US" w:eastAsia="zh-CN"/>
                    </w:rPr>
                    <w:t>0.1</w:t>
                  </w:r>
                </w:p>
              </w:tc>
              <w:tc>
                <w:tcPr>
                  <w:tcW w:w="2187" w:type="dxa"/>
                  <w:vMerge w:val="continue"/>
                  <w:vAlign w:val="center"/>
                </w:tcPr>
                <w:p w14:paraId="1F1AA8F3">
                  <w:pPr>
                    <w:pStyle w:val="48"/>
                    <w:spacing w:line="240" w:lineRule="auto"/>
                    <w:rPr>
                      <w:rFonts w:hint="default" w:ascii="Times New Roman" w:hAnsi="Times New Roman" w:cs="Times New Roman"/>
                      <w:i/>
                      <w:iCs/>
                      <w:snapToGrid w:val="0"/>
                      <w:color w:val="auto"/>
                      <w:szCs w:val="18"/>
                    </w:rPr>
                  </w:pPr>
                </w:p>
              </w:tc>
            </w:tr>
            <w:tr w14:paraId="7C03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24" w:type="dxa"/>
                  <w:gridSpan w:val="5"/>
                  <w:vAlign w:val="center"/>
                </w:tcPr>
                <w:p w14:paraId="6C19BA04">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b/>
                      <w:i/>
                      <w:iCs/>
                      <w:snapToGrid w:val="0"/>
                      <w:color w:val="auto"/>
                      <w:sz w:val="24"/>
                      <w:szCs w:val="18"/>
                      <w:highlight w:val="none"/>
                    </w:rPr>
                    <w:t>小计</w:t>
                  </w:r>
                </w:p>
              </w:tc>
              <w:tc>
                <w:tcPr>
                  <w:tcW w:w="1167" w:type="dxa"/>
                  <w:vAlign w:val="center"/>
                </w:tcPr>
                <w:p w14:paraId="45BDF8A2">
                  <w:pPr>
                    <w:pStyle w:val="48"/>
                    <w:spacing w:line="240" w:lineRule="auto"/>
                    <w:rPr>
                      <w:rFonts w:hint="default" w:ascii="Times New Roman" w:hAnsi="Times New Roman" w:eastAsia="仿宋" w:cs="Times New Roman"/>
                      <w:b/>
                      <w:i/>
                      <w:iCs/>
                      <w:snapToGrid w:val="0"/>
                      <w:color w:val="auto"/>
                      <w:sz w:val="24"/>
                      <w:szCs w:val="24"/>
                      <w:lang w:val="en-US" w:eastAsia="zh-CN"/>
                    </w:rPr>
                  </w:pPr>
                  <w:r>
                    <w:rPr>
                      <w:rFonts w:hint="eastAsia" w:ascii="Times New Roman" w:hAnsi="Times New Roman" w:cs="Times New Roman"/>
                      <w:b/>
                      <w:i/>
                      <w:iCs/>
                      <w:snapToGrid w:val="0"/>
                      <w:color w:val="auto"/>
                      <w:sz w:val="24"/>
                      <w:szCs w:val="24"/>
                      <w:lang w:val="en-US" w:eastAsia="zh-CN"/>
                    </w:rPr>
                    <w:t>6.659</w:t>
                  </w:r>
                </w:p>
              </w:tc>
              <w:tc>
                <w:tcPr>
                  <w:tcW w:w="876" w:type="dxa"/>
                  <w:vAlign w:val="center"/>
                </w:tcPr>
                <w:p w14:paraId="752CDE78">
                  <w:pPr>
                    <w:pStyle w:val="48"/>
                    <w:spacing w:line="240" w:lineRule="auto"/>
                    <w:rPr>
                      <w:rFonts w:hint="default" w:ascii="Times New Roman" w:hAnsi="Times New Roman" w:cs="Times New Roman"/>
                      <w:b/>
                      <w:i/>
                      <w:iCs/>
                      <w:snapToGrid w:val="0"/>
                      <w:color w:val="auto"/>
                      <w:sz w:val="24"/>
                      <w:szCs w:val="24"/>
                    </w:rPr>
                  </w:pPr>
                  <w:r>
                    <w:rPr>
                      <w:rFonts w:hint="default" w:ascii="Times New Roman" w:hAnsi="Times New Roman" w:cs="Times New Roman"/>
                      <w:b/>
                      <w:i/>
                      <w:iCs/>
                      <w:snapToGrid w:val="0"/>
                      <w:color w:val="auto"/>
                      <w:sz w:val="24"/>
                      <w:szCs w:val="24"/>
                    </w:rPr>
                    <w:t>/</w:t>
                  </w:r>
                </w:p>
              </w:tc>
              <w:tc>
                <w:tcPr>
                  <w:tcW w:w="1021" w:type="dxa"/>
                  <w:vAlign w:val="center"/>
                </w:tcPr>
                <w:p w14:paraId="23E5F976">
                  <w:pPr>
                    <w:pStyle w:val="48"/>
                    <w:spacing w:line="240" w:lineRule="auto"/>
                    <w:rPr>
                      <w:rFonts w:hint="default" w:ascii="Times New Roman" w:hAnsi="Times New Roman" w:eastAsia="仿宋" w:cs="Times New Roman"/>
                      <w:b/>
                      <w:i/>
                      <w:iCs/>
                      <w:snapToGrid w:val="0"/>
                      <w:color w:val="auto"/>
                      <w:sz w:val="24"/>
                      <w:szCs w:val="24"/>
                      <w:lang w:val="en-US" w:eastAsia="zh-CN"/>
                    </w:rPr>
                  </w:pPr>
                  <w:r>
                    <w:rPr>
                      <w:rFonts w:hint="eastAsia" w:ascii="Times New Roman" w:hAnsi="Times New Roman" w:cs="Times New Roman"/>
                      <w:b/>
                      <w:i/>
                      <w:iCs/>
                      <w:snapToGrid w:val="0"/>
                      <w:color w:val="auto"/>
                      <w:sz w:val="24"/>
                      <w:szCs w:val="24"/>
                      <w:lang w:val="en-US" w:eastAsia="zh-CN"/>
                    </w:rPr>
                    <w:t>6.659</w:t>
                  </w:r>
                </w:p>
              </w:tc>
              <w:tc>
                <w:tcPr>
                  <w:tcW w:w="2187" w:type="dxa"/>
                  <w:vAlign w:val="center"/>
                </w:tcPr>
                <w:p w14:paraId="100C4FA4">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r>
            <w:tr w14:paraId="162C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7" w:type="dxa"/>
                  <w:vAlign w:val="center"/>
                </w:tcPr>
                <w:p w14:paraId="76B4ACF1">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职工生活</w:t>
                  </w:r>
                </w:p>
              </w:tc>
              <w:tc>
                <w:tcPr>
                  <w:tcW w:w="3062" w:type="dxa"/>
                  <w:vAlign w:val="center"/>
                </w:tcPr>
                <w:p w14:paraId="32052000">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职工</w:t>
                  </w:r>
                </w:p>
              </w:tc>
              <w:tc>
                <w:tcPr>
                  <w:tcW w:w="2042" w:type="dxa"/>
                  <w:vAlign w:val="center"/>
                </w:tcPr>
                <w:p w14:paraId="3839D1A0">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生活垃圾</w:t>
                  </w:r>
                </w:p>
              </w:tc>
              <w:tc>
                <w:tcPr>
                  <w:tcW w:w="729" w:type="dxa"/>
                  <w:vAlign w:val="center"/>
                </w:tcPr>
                <w:p w14:paraId="55293A29">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874" w:type="dxa"/>
                  <w:vAlign w:val="center"/>
                </w:tcPr>
                <w:p w14:paraId="2A501B66">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物料衡算法</w:t>
                  </w:r>
                </w:p>
              </w:tc>
              <w:tc>
                <w:tcPr>
                  <w:tcW w:w="1167" w:type="dxa"/>
                  <w:vAlign w:val="center"/>
                </w:tcPr>
                <w:p w14:paraId="17666B71">
                  <w:pPr>
                    <w:pStyle w:val="48"/>
                    <w:spacing w:line="240" w:lineRule="auto"/>
                    <w:rPr>
                      <w:rFonts w:hint="default" w:ascii="Times New Roman" w:hAnsi="Times New Roman" w:eastAsia="仿宋" w:cs="Times New Roman"/>
                      <w:i/>
                      <w:iCs/>
                      <w:snapToGrid w:val="0"/>
                      <w:color w:val="auto"/>
                      <w:szCs w:val="18"/>
                      <w:lang w:val="en-US" w:eastAsia="zh-CN"/>
                    </w:rPr>
                  </w:pPr>
                  <w:r>
                    <w:rPr>
                      <w:rFonts w:hint="default" w:ascii="Times New Roman" w:hAnsi="Times New Roman" w:cs="Times New Roman"/>
                      <w:i/>
                      <w:iCs/>
                      <w:snapToGrid w:val="0"/>
                      <w:color w:val="auto"/>
                      <w:sz w:val="24"/>
                      <w:szCs w:val="18"/>
                      <w:lang w:val="en-US" w:eastAsia="zh-CN"/>
                    </w:rPr>
                    <w:t>3.</w:t>
                  </w:r>
                  <w:r>
                    <w:rPr>
                      <w:rFonts w:hint="eastAsia" w:ascii="Times New Roman" w:hAnsi="Times New Roman" w:cs="Times New Roman"/>
                      <w:i/>
                      <w:iCs/>
                      <w:snapToGrid w:val="0"/>
                      <w:color w:val="auto"/>
                      <w:sz w:val="24"/>
                      <w:szCs w:val="18"/>
                      <w:lang w:val="en-US" w:eastAsia="zh-CN"/>
                    </w:rPr>
                    <w:t>7</w:t>
                  </w:r>
                  <w:r>
                    <w:rPr>
                      <w:rFonts w:hint="default" w:ascii="Times New Roman" w:hAnsi="Times New Roman" w:cs="Times New Roman"/>
                      <w:i/>
                      <w:iCs/>
                      <w:snapToGrid w:val="0"/>
                      <w:color w:val="auto"/>
                      <w:sz w:val="24"/>
                      <w:szCs w:val="18"/>
                      <w:lang w:val="en-US" w:eastAsia="zh-CN"/>
                    </w:rPr>
                    <w:t>5</w:t>
                  </w:r>
                </w:p>
              </w:tc>
              <w:tc>
                <w:tcPr>
                  <w:tcW w:w="876" w:type="dxa"/>
                  <w:vAlign w:val="center"/>
                </w:tcPr>
                <w:p w14:paraId="50AD0AAD">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021" w:type="dxa"/>
                  <w:vAlign w:val="center"/>
                </w:tcPr>
                <w:p w14:paraId="701AC724">
                  <w:pPr>
                    <w:pStyle w:val="48"/>
                    <w:spacing w:line="240" w:lineRule="auto"/>
                    <w:rPr>
                      <w:rFonts w:hint="default" w:ascii="Times New Roman" w:hAnsi="Times New Roman" w:eastAsia="仿宋" w:cs="Times New Roman"/>
                      <w:i/>
                      <w:iCs/>
                      <w:snapToGrid w:val="0"/>
                      <w:color w:val="auto"/>
                      <w:szCs w:val="18"/>
                      <w:lang w:val="en-US" w:eastAsia="zh-CN"/>
                    </w:rPr>
                  </w:pPr>
                  <w:r>
                    <w:rPr>
                      <w:rFonts w:hint="default" w:ascii="Times New Roman" w:hAnsi="Times New Roman" w:cs="Times New Roman"/>
                      <w:i/>
                      <w:iCs/>
                      <w:snapToGrid w:val="0"/>
                      <w:color w:val="auto"/>
                      <w:sz w:val="24"/>
                      <w:szCs w:val="18"/>
                      <w:lang w:val="en-US" w:eastAsia="zh-CN"/>
                    </w:rPr>
                    <w:t>3.</w:t>
                  </w:r>
                  <w:r>
                    <w:rPr>
                      <w:rFonts w:hint="eastAsia" w:ascii="Times New Roman" w:hAnsi="Times New Roman" w:cs="Times New Roman"/>
                      <w:i/>
                      <w:iCs/>
                      <w:snapToGrid w:val="0"/>
                      <w:color w:val="auto"/>
                      <w:sz w:val="24"/>
                      <w:szCs w:val="18"/>
                      <w:lang w:val="en-US" w:eastAsia="zh-CN"/>
                    </w:rPr>
                    <w:t>7</w:t>
                  </w:r>
                  <w:r>
                    <w:rPr>
                      <w:rFonts w:hint="default" w:ascii="Times New Roman" w:hAnsi="Times New Roman" w:cs="Times New Roman"/>
                      <w:i/>
                      <w:iCs/>
                      <w:snapToGrid w:val="0"/>
                      <w:color w:val="auto"/>
                      <w:sz w:val="24"/>
                      <w:szCs w:val="18"/>
                      <w:lang w:val="en-US" w:eastAsia="zh-CN"/>
                    </w:rPr>
                    <w:t>5</w:t>
                  </w:r>
                </w:p>
              </w:tc>
              <w:tc>
                <w:tcPr>
                  <w:tcW w:w="2187" w:type="dxa"/>
                  <w:vAlign w:val="center"/>
                </w:tcPr>
                <w:p w14:paraId="0B153874">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交由当地环卫部门统一收集处理</w:t>
                  </w:r>
                </w:p>
              </w:tc>
            </w:tr>
          </w:tbl>
          <w:p w14:paraId="7B189196">
            <w:pPr>
              <w:pStyle w:val="75"/>
              <w:jc w:val="both"/>
              <w:rPr>
                <w:snapToGrid w:val="0"/>
                <w:color w:val="auto"/>
                <w:sz w:val="24"/>
              </w:rPr>
            </w:pPr>
          </w:p>
          <w:p w14:paraId="7CD52668">
            <w:pPr>
              <w:pStyle w:val="75"/>
              <w:rPr>
                <w:color w:val="auto"/>
              </w:rPr>
            </w:pPr>
            <w:r>
              <w:rPr>
                <w:snapToGrid w:val="0"/>
                <w:color w:val="auto"/>
                <w:sz w:val="24"/>
              </w:rPr>
              <w:t>表</w:t>
            </w:r>
            <w:r>
              <w:rPr>
                <w:rFonts w:hint="eastAsia"/>
                <w:snapToGrid w:val="0"/>
                <w:color w:val="auto"/>
                <w:sz w:val="24"/>
              </w:rPr>
              <w:t>4-1</w:t>
            </w:r>
            <w:r>
              <w:rPr>
                <w:rFonts w:hint="eastAsia"/>
                <w:snapToGrid w:val="0"/>
                <w:color w:val="auto"/>
                <w:sz w:val="24"/>
                <w:lang w:val="en-US"/>
              </w:rPr>
              <w:t>5</w:t>
            </w:r>
            <w:r>
              <w:rPr>
                <w:snapToGrid w:val="0"/>
                <w:color w:val="auto"/>
                <w:sz w:val="24"/>
              </w:rPr>
              <w:t>危险废物汇总表</w:t>
            </w:r>
          </w:p>
          <w:tbl>
            <w:tblPr>
              <w:tblStyle w:val="31"/>
              <w:tblW w:w="14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612"/>
              <w:gridCol w:w="1537"/>
              <w:gridCol w:w="1538"/>
              <w:gridCol w:w="1076"/>
              <w:gridCol w:w="1385"/>
              <w:gridCol w:w="922"/>
              <w:gridCol w:w="969"/>
              <w:gridCol w:w="1030"/>
              <w:gridCol w:w="1076"/>
              <w:gridCol w:w="1293"/>
              <w:gridCol w:w="1265"/>
            </w:tblGrid>
            <w:tr w14:paraId="3C26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exact"/>
              </w:trPr>
              <w:tc>
                <w:tcPr>
                  <w:tcW w:w="716" w:type="dxa"/>
                  <w:vAlign w:val="center"/>
                </w:tcPr>
                <w:p w14:paraId="06578983">
                  <w:pPr>
                    <w:pStyle w:val="48"/>
                    <w:rPr>
                      <w:i/>
                      <w:iCs/>
                      <w:color w:val="auto"/>
                      <w:szCs w:val="18"/>
                    </w:rPr>
                  </w:pPr>
                  <w:r>
                    <w:rPr>
                      <w:i/>
                      <w:iCs/>
                      <w:color w:val="auto"/>
                      <w:sz w:val="24"/>
                      <w:szCs w:val="18"/>
                    </w:rPr>
                    <w:t>序号</w:t>
                  </w:r>
                </w:p>
              </w:tc>
              <w:tc>
                <w:tcPr>
                  <w:tcW w:w="1612" w:type="dxa"/>
                  <w:vAlign w:val="center"/>
                </w:tcPr>
                <w:p w14:paraId="1F1594BC">
                  <w:pPr>
                    <w:pStyle w:val="48"/>
                    <w:rPr>
                      <w:i/>
                      <w:iCs/>
                      <w:color w:val="auto"/>
                      <w:szCs w:val="18"/>
                    </w:rPr>
                  </w:pPr>
                  <w:r>
                    <w:rPr>
                      <w:i/>
                      <w:iCs/>
                      <w:color w:val="auto"/>
                      <w:sz w:val="24"/>
                      <w:szCs w:val="18"/>
                    </w:rPr>
                    <w:t>危险废物名称</w:t>
                  </w:r>
                </w:p>
              </w:tc>
              <w:tc>
                <w:tcPr>
                  <w:tcW w:w="1537" w:type="dxa"/>
                  <w:vAlign w:val="center"/>
                </w:tcPr>
                <w:p w14:paraId="205A341C">
                  <w:pPr>
                    <w:pStyle w:val="48"/>
                    <w:rPr>
                      <w:i/>
                      <w:iCs/>
                      <w:color w:val="auto"/>
                      <w:szCs w:val="18"/>
                    </w:rPr>
                  </w:pPr>
                  <w:r>
                    <w:rPr>
                      <w:i/>
                      <w:iCs/>
                      <w:color w:val="auto"/>
                      <w:sz w:val="24"/>
                      <w:szCs w:val="18"/>
                    </w:rPr>
                    <w:t>危险废物类别</w:t>
                  </w:r>
                </w:p>
              </w:tc>
              <w:tc>
                <w:tcPr>
                  <w:tcW w:w="1538" w:type="dxa"/>
                  <w:vAlign w:val="center"/>
                </w:tcPr>
                <w:p w14:paraId="23155DC9">
                  <w:pPr>
                    <w:pStyle w:val="48"/>
                    <w:rPr>
                      <w:i/>
                      <w:iCs/>
                      <w:color w:val="auto"/>
                      <w:szCs w:val="18"/>
                    </w:rPr>
                  </w:pPr>
                  <w:r>
                    <w:rPr>
                      <w:i/>
                      <w:iCs/>
                      <w:color w:val="auto"/>
                      <w:sz w:val="24"/>
                      <w:szCs w:val="18"/>
                    </w:rPr>
                    <w:t>危险废物代码</w:t>
                  </w:r>
                </w:p>
              </w:tc>
              <w:tc>
                <w:tcPr>
                  <w:tcW w:w="1076" w:type="dxa"/>
                  <w:vAlign w:val="center"/>
                </w:tcPr>
                <w:p w14:paraId="59EB8A62">
                  <w:pPr>
                    <w:pStyle w:val="48"/>
                    <w:rPr>
                      <w:i/>
                      <w:iCs/>
                      <w:color w:val="auto"/>
                      <w:sz w:val="24"/>
                      <w:szCs w:val="18"/>
                    </w:rPr>
                  </w:pPr>
                  <w:r>
                    <w:rPr>
                      <w:i/>
                      <w:iCs/>
                      <w:color w:val="auto"/>
                      <w:sz w:val="24"/>
                      <w:szCs w:val="18"/>
                    </w:rPr>
                    <w:t>产生量</w:t>
                  </w:r>
                </w:p>
                <w:p w14:paraId="4114674B">
                  <w:pPr>
                    <w:pStyle w:val="48"/>
                    <w:rPr>
                      <w:i/>
                      <w:iCs/>
                      <w:color w:val="auto"/>
                      <w:szCs w:val="18"/>
                    </w:rPr>
                  </w:pPr>
                  <w:r>
                    <w:rPr>
                      <w:i/>
                      <w:iCs/>
                      <w:color w:val="auto"/>
                      <w:sz w:val="24"/>
                      <w:szCs w:val="18"/>
                    </w:rPr>
                    <w:t>（t/a）</w:t>
                  </w:r>
                </w:p>
              </w:tc>
              <w:tc>
                <w:tcPr>
                  <w:tcW w:w="1385" w:type="dxa"/>
                  <w:vAlign w:val="center"/>
                </w:tcPr>
                <w:p w14:paraId="1D63576E">
                  <w:pPr>
                    <w:pStyle w:val="48"/>
                    <w:rPr>
                      <w:i/>
                      <w:iCs/>
                      <w:color w:val="auto"/>
                      <w:szCs w:val="18"/>
                    </w:rPr>
                  </w:pPr>
                  <w:r>
                    <w:rPr>
                      <w:i/>
                      <w:iCs/>
                      <w:color w:val="auto"/>
                      <w:sz w:val="24"/>
                      <w:szCs w:val="18"/>
                    </w:rPr>
                    <w:t>产生工序</w:t>
                  </w:r>
                </w:p>
              </w:tc>
              <w:tc>
                <w:tcPr>
                  <w:tcW w:w="922" w:type="dxa"/>
                  <w:vAlign w:val="center"/>
                </w:tcPr>
                <w:p w14:paraId="559383F9">
                  <w:pPr>
                    <w:pStyle w:val="48"/>
                    <w:rPr>
                      <w:i/>
                      <w:iCs/>
                      <w:color w:val="auto"/>
                      <w:szCs w:val="18"/>
                    </w:rPr>
                  </w:pPr>
                  <w:r>
                    <w:rPr>
                      <w:i/>
                      <w:iCs/>
                      <w:color w:val="auto"/>
                      <w:sz w:val="24"/>
                      <w:szCs w:val="18"/>
                    </w:rPr>
                    <w:t>形态</w:t>
                  </w:r>
                </w:p>
              </w:tc>
              <w:tc>
                <w:tcPr>
                  <w:tcW w:w="969" w:type="dxa"/>
                  <w:vAlign w:val="center"/>
                </w:tcPr>
                <w:p w14:paraId="3401B961">
                  <w:pPr>
                    <w:pStyle w:val="48"/>
                    <w:rPr>
                      <w:i/>
                      <w:iCs/>
                      <w:color w:val="auto"/>
                      <w:szCs w:val="18"/>
                    </w:rPr>
                  </w:pPr>
                  <w:r>
                    <w:rPr>
                      <w:i/>
                      <w:iCs/>
                      <w:color w:val="auto"/>
                      <w:sz w:val="24"/>
                      <w:szCs w:val="18"/>
                    </w:rPr>
                    <w:t>主要成分</w:t>
                  </w:r>
                </w:p>
              </w:tc>
              <w:tc>
                <w:tcPr>
                  <w:tcW w:w="1030" w:type="dxa"/>
                  <w:vAlign w:val="center"/>
                </w:tcPr>
                <w:p w14:paraId="77E66EFD">
                  <w:pPr>
                    <w:pStyle w:val="48"/>
                    <w:rPr>
                      <w:i/>
                      <w:iCs/>
                      <w:color w:val="auto"/>
                      <w:szCs w:val="18"/>
                    </w:rPr>
                  </w:pPr>
                  <w:r>
                    <w:rPr>
                      <w:i/>
                      <w:iCs/>
                      <w:color w:val="auto"/>
                      <w:sz w:val="24"/>
                      <w:szCs w:val="18"/>
                    </w:rPr>
                    <w:t>有害成分</w:t>
                  </w:r>
                </w:p>
              </w:tc>
              <w:tc>
                <w:tcPr>
                  <w:tcW w:w="1076" w:type="dxa"/>
                  <w:vAlign w:val="center"/>
                </w:tcPr>
                <w:p w14:paraId="04471F82">
                  <w:pPr>
                    <w:pStyle w:val="48"/>
                    <w:rPr>
                      <w:i/>
                      <w:iCs/>
                      <w:color w:val="auto"/>
                      <w:szCs w:val="18"/>
                    </w:rPr>
                  </w:pPr>
                  <w:r>
                    <w:rPr>
                      <w:i/>
                      <w:iCs/>
                      <w:color w:val="auto"/>
                      <w:sz w:val="24"/>
                      <w:szCs w:val="18"/>
                    </w:rPr>
                    <w:t>产废周期</w:t>
                  </w:r>
                </w:p>
              </w:tc>
              <w:tc>
                <w:tcPr>
                  <w:tcW w:w="1293" w:type="dxa"/>
                  <w:vAlign w:val="center"/>
                </w:tcPr>
                <w:p w14:paraId="22580C96">
                  <w:pPr>
                    <w:pStyle w:val="48"/>
                    <w:rPr>
                      <w:i/>
                      <w:iCs/>
                      <w:color w:val="auto"/>
                      <w:szCs w:val="18"/>
                    </w:rPr>
                  </w:pPr>
                  <w:r>
                    <w:rPr>
                      <w:i/>
                      <w:iCs/>
                      <w:color w:val="auto"/>
                      <w:sz w:val="24"/>
                      <w:szCs w:val="18"/>
                    </w:rPr>
                    <w:t>危险特性</w:t>
                  </w:r>
                </w:p>
              </w:tc>
              <w:tc>
                <w:tcPr>
                  <w:tcW w:w="1265" w:type="dxa"/>
                  <w:vAlign w:val="center"/>
                </w:tcPr>
                <w:p w14:paraId="67A49188">
                  <w:pPr>
                    <w:pStyle w:val="48"/>
                    <w:rPr>
                      <w:i/>
                      <w:iCs/>
                      <w:color w:val="auto"/>
                      <w:szCs w:val="18"/>
                    </w:rPr>
                  </w:pPr>
                  <w:r>
                    <w:rPr>
                      <w:i/>
                      <w:iCs/>
                      <w:color w:val="auto"/>
                      <w:sz w:val="24"/>
                      <w:szCs w:val="18"/>
                    </w:rPr>
                    <w:t>污染防治措施</w:t>
                  </w:r>
                </w:p>
              </w:tc>
            </w:tr>
            <w:tr w14:paraId="26E5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716" w:type="dxa"/>
                  <w:vAlign w:val="center"/>
                </w:tcPr>
                <w:p w14:paraId="0CE251C4">
                  <w:pPr>
                    <w:pStyle w:val="48"/>
                    <w:rPr>
                      <w:i/>
                      <w:iCs/>
                      <w:color w:val="auto"/>
                      <w:szCs w:val="18"/>
                    </w:rPr>
                  </w:pPr>
                  <w:r>
                    <w:rPr>
                      <w:rFonts w:hint="eastAsia"/>
                      <w:i/>
                      <w:iCs/>
                      <w:color w:val="auto"/>
                      <w:sz w:val="24"/>
                      <w:szCs w:val="18"/>
                    </w:rPr>
                    <w:t>1</w:t>
                  </w:r>
                </w:p>
              </w:tc>
              <w:tc>
                <w:tcPr>
                  <w:tcW w:w="1612" w:type="dxa"/>
                  <w:vAlign w:val="center"/>
                </w:tcPr>
                <w:p w14:paraId="0ACED509">
                  <w:pPr>
                    <w:pStyle w:val="48"/>
                    <w:rPr>
                      <w:i/>
                      <w:iCs/>
                      <w:snapToGrid w:val="0"/>
                      <w:color w:val="auto"/>
                      <w:szCs w:val="18"/>
                    </w:rPr>
                  </w:pPr>
                  <w:r>
                    <w:rPr>
                      <w:rFonts w:hint="eastAsia"/>
                      <w:i/>
                      <w:iCs/>
                      <w:snapToGrid w:val="0"/>
                      <w:color w:val="auto"/>
                      <w:sz w:val="24"/>
                      <w:szCs w:val="18"/>
                    </w:rPr>
                    <w:t>废</w:t>
                  </w:r>
                  <w:r>
                    <w:rPr>
                      <w:rFonts w:hint="eastAsia"/>
                      <w:i/>
                      <w:iCs/>
                      <w:snapToGrid w:val="0"/>
                      <w:color w:val="auto"/>
                      <w:sz w:val="24"/>
                      <w:szCs w:val="18"/>
                      <w:lang w:eastAsia="zh-CN"/>
                    </w:rPr>
                    <w:t>矿物</w:t>
                  </w:r>
                  <w:r>
                    <w:rPr>
                      <w:rFonts w:hint="eastAsia"/>
                      <w:i/>
                      <w:iCs/>
                      <w:snapToGrid w:val="0"/>
                      <w:color w:val="auto"/>
                      <w:sz w:val="24"/>
                      <w:szCs w:val="18"/>
                    </w:rPr>
                    <w:t>油</w:t>
                  </w:r>
                </w:p>
              </w:tc>
              <w:tc>
                <w:tcPr>
                  <w:tcW w:w="1537" w:type="dxa"/>
                  <w:vAlign w:val="center"/>
                </w:tcPr>
                <w:p w14:paraId="65CAB7B7">
                  <w:pPr>
                    <w:pStyle w:val="48"/>
                    <w:rPr>
                      <w:i/>
                      <w:iCs/>
                      <w:color w:val="auto"/>
                      <w:szCs w:val="18"/>
                    </w:rPr>
                  </w:pPr>
                  <w:r>
                    <w:rPr>
                      <w:rFonts w:hint="eastAsia"/>
                      <w:i/>
                      <w:iCs/>
                      <w:color w:val="auto"/>
                      <w:sz w:val="24"/>
                      <w:szCs w:val="18"/>
                    </w:rPr>
                    <w:t>HW08</w:t>
                  </w:r>
                </w:p>
              </w:tc>
              <w:tc>
                <w:tcPr>
                  <w:tcW w:w="1538" w:type="dxa"/>
                  <w:vAlign w:val="center"/>
                </w:tcPr>
                <w:p w14:paraId="365B55CD">
                  <w:pPr>
                    <w:pStyle w:val="48"/>
                    <w:rPr>
                      <w:i/>
                      <w:iCs/>
                      <w:color w:val="auto"/>
                      <w:szCs w:val="18"/>
                    </w:rPr>
                  </w:pPr>
                  <w:r>
                    <w:rPr>
                      <w:i/>
                      <w:iCs/>
                      <w:color w:val="auto"/>
                      <w:sz w:val="24"/>
                      <w:szCs w:val="18"/>
                    </w:rPr>
                    <w:t>900-249-08</w:t>
                  </w:r>
                </w:p>
              </w:tc>
              <w:tc>
                <w:tcPr>
                  <w:tcW w:w="1076" w:type="dxa"/>
                  <w:vAlign w:val="center"/>
                </w:tcPr>
                <w:p w14:paraId="38DE7F78">
                  <w:pPr>
                    <w:pStyle w:val="48"/>
                    <w:spacing w:line="240" w:lineRule="auto"/>
                    <w:ind w:firstLine="0" w:firstLineChars="0"/>
                    <w:rPr>
                      <w:rFonts w:hint="default"/>
                      <w:i/>
                      <w:iCs/>
                      <w:color w:val="auto"/>
                      <w:szCs w:val="18"/>
                      <w:lang w:val="en-US"/>
                    </w:rPr>
                  </w:pPr>
                  <w:r>
                    <w:rPr>
                      <w:rFonts w:hint="eastAsia" w:ascii="Times New Roman" w:hAnsi="Times New Roman"/>
                      <w:i/>
                      <w:iCs/>
                      <w:snapToGrid w:val="0"/>
                      <w:color w:val="auto"/>
                      <w:sz w:val="24"/>
                      <w:szCs w:val="24"/>
                      <w:lang w:val="en-US" w:eastAsia="zh-CN"/>
                    </w:rPr>
                    <w:t>0.15</w:t>
                  </w:r>
                </w:p>
              </w:tc>
              <w:tc>
                <w:tcPr>
                  <w:tcW w:w="1385" w:type="dxa"/>
                  <w:vAlign w:val="center"/>
                </w:tcPr>
                <w:p w14:paraId="7CADBAF4">
                  <w:pPr>
                    <w:pStyle w:val="48"/>
                    <w:rPr>
                      <w:i/>
                      <w:iCs/>
                      <w:snapToGrid w:val="0"/>
                      <w:color w:val="auto"/>
                      <w:szCs w:val="18"/>
                    </w:rPr>
                  </w:pPr>
                  <w:r>
                    <w:rPr>
                      <w:rFonts w:hint="eastAsia"/>
                      <w:i/>
                      <w:iCs/>
                      <w:snapToGrid w:val="0"/>
                      <w:color w:val="auto"/>
                      <w:sz w:val="24"/>
                      <w:szCs w:val="18"/>
                    </w:rPr>
                    <w:t>设备维护</w:t>
                  </w:r>
                </w:p>
              </w:tc>
              <w:tc>
                <w:tcPr>
                  <w:tcW w:w="922" w:type="dxa"/>
                  <w:vAlign w:val="center"/>
                </w:tcPr>
                <w:p w14:paraId="612A33C0">
                  <w:pPr>
                    <w:pStyle w:val="48"/>
                    <w:rPr>
                      <w:i/>
                      <w:iCs/>
                      <w:color w:val="auto"/>
                      <w:szCs w:val="18"/>
                    </w:rPr>
                  </w:pPr>
                  <w:r>
                    <w:rPr>
                      <w:rFonts w:hint="eastAsia"/>
                      <w:i/>
                      <w:iCs/>
                      <w:color w:val="auto"/>
                      <w:sz w:val="24"/>
                      <w:szCs w:val="18"/>
                    </w:rPr>
                    <w:t>液态</w:t>
                  </w:r>
                </w:p>
              </w:tc>
              <w:tc>
                <w:tcPr>
                  <w:tcW w:w="969" w:type="dxa"/>
                  <w:vAlign w:val="center"/>
                </w:tcPr>
                <w:p w14:paraId="449D6524">
                  <w:pPr>
                    <w:pStyle w:val="48"/>
                    <w:rPr>
                      <w:i/>
                      <w:iCs/>
                      <w:color w:val="auto"/>
                      <w:szCs w:val="18"/>
                    </w:rPr>
                  </w:pPr>
                  <w:r>
                    <w:rPr>
                      <w:i/>
                      <w:iCs/>
                      <w:color w:val="auto"/>
                      <w:sz w:val="24"/>
                      <w:szCs w:val="18"/>
                    </w:rPr>
                    <w:t>矿物油</w:t>
                  </w:r>
                </w:p>
              </w:tc>
              <w:tc>
                <w:tcPr>
                  <w:tcW w:w="1030" w:type="dxa"/>
                  <w:vAlign w:val="center"/>
                </w:tcPr>
                <w:p w14:paraId="5FECA7B3">
                  <w:pPr>
                    <w:pStyle w:val="48"/>
                    <w:rPr>
                      <w:i/>
                      <w:iCs/>
                      <w:color w:val="auto"/>
                      <w:szCs w:val="18"/>
                    </w:rPr>
                  </w:pPr>
                  <w:r>
                    <w:rPr>
                      <w:i/>
                      <w:iCs/>
                      <w:color w:val="auto"/>
                      <w:sz w:val="24"/>
                      <w:szCs w:val="18"/>
                    </w:rPr>
                    <w:t>矿物油</w:t>
                  </w:r>
                </w:p>
              </w:tc>
              <w:tc>
                <w:tcPr>
                  <w:tcW w:w="1076" w:type="dxa"/>
                  <w:vAlign w:val="center"/>
                </w:tcPr>
                <w:p w14:paraId="187C255C">
                  <w:pPr>
                    <w:spacing w:line="240" w:lineRule="auto"/>
                    <w:ind w:firstLine="0" w:firstLineChars="0"/>
                    <w:jc w:val="center"/>
                    <w:rPr>
                      <w:i/>
                      <w:iCs/>
                      <w:color w:val="auto"/>
                      <w:szCs w:val="18"/>
                    </w:rPr>
                  </w:pPr>
                  <w:r>
                    <w:rPr>
                      <w:rFonts w:hint="eastAsia"/>
                      <w:i/>
                      <w:iCs/>
                      <w:color w:val="auto"/>
                      <w:sz w:val="24"/>
                    </w:rPr>
                    <w:t>间断</w:t>
                  </w:r>
                </w:p>
              </w:tc>
              <w:tc>
                <w:tcPr>
                  <w:tcW w:w="1293" w:type="dxa"/>
                  <w:vAlign w:val="center"/>
                </w:tcPr>
                <w:p w14:paraId="7F35E15B">
                  <w:pPr>
                    <w:pStyle w:val="48"/>
                    <w:rPr>
                      <w:i/>
                      <w:iCs/>
                      <w:color w:val="auto"/>
                      <w:szCs w:val="18"/>
                    </w:rPr>
                  </w:pPr>
                  <w:r>
                    <w:rPr>
                      <w:rFonts w:hint="eastAsia"/>
                      <w:i/>
                      <w:iCs/>
                      <w:color w:val="auto"/>
                      <w:sz w:val="24"/>
                    </w:rPr>
                    <w:t>T，I</w:t>
                  </w:r>
                </w:p>
              </w:tc>
              <w:tc>
                <w:tcPr>
                  <w:tcW w:w="1265" w:type="dxa"/>
                  <w:vMerge w:val="restart"/>
                  <w:vAlign w:val="center"/>
                </w:tcPr>
                <w:p w14:paraId="67C13B92">
                  <w:pPr>
                    <w:pStyle w:val="48"/>
                    <w:rPr>
                      <w:i/>
                      <w:iCs/>
                      <w:color w:val="auto"/>
                      <w:szCs w:val="18"/>
                    </w:rPr>
                  </w:pPr>
                  <w:r>
                    <w:rPr>
                      <w:i/>
                      <w:iCs/>
                      <w:snapToGrid w:val="0"/>
                      <w:color w:val="auto"/>
                      <w:sz w:val="24"/>
                      <w:szCs w:val="18"/>
                    </w:rPr>
                    <w:t>交由有危废处理资质单位处理</w:t>
                  </w:r>
                </w:p>
              </w:tc>
            </w:tr>
            <w:tr w14:paraId="1A5E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716" w:type="dxa"/>
                  <w:vAlign w:val="center"/>
                </w:tcPr>
                <w:p w14:paraId="43573C96">
                  <w:pPr>
                    <w:pStyle w:val="48"/>
                    <w:rPr>
                      <w:rFonts w:hint="eastAsia" w:eastAsia="仿宋"/>
                      <w:i/>
                      <w:iCs/>
                      <w:color w:val="auto"/>
                      <w:szCs w:val="18"/>
                      <w:lang w:eastAsia="zh-CN"/>
                    </w:rPr>
                  </w:pPr>
                  <w:r>
                    <w:rPr>
                      <w:rFonts w:hint="eastAsia"/>
                      <w:i/>
                      <w:iCs/>
                      <w:color w:val="auto"/>
                      <w:sz w:val="24"/>
                      <w:szCs w:val="18"/>
                      <w:lang w:val="en-US" w:eastAsia="zh-CN"/>
                    </w:rPr>
                    <w:t>2</w:t>
                  </w:r>
                </w:p>
              </w:tc>
              <w:tc>
                <w:tcPr>
                  <w:tcW w:w="1612" w:type="dxa"/>
                  <w:vAlign w:val="center"/>
                </w:tcPr>
                <w:p w14:paraId="610B0B77">
                  <w:pPr>
                    <w:pStyle w:val="48"/>
                    <w:rPr>
                      <w:i/>
                      <w:iCs/>
                      <w:snapToGrid w:val="0"/>
                      <w:color w:val="auto"/>
                      <w:szCs w:val="18"/>
                    </w:rPr>
                  </w:pPr>
                  <w:r>
                    <w:rPr>
                      <w:rFonts w:hint="eastAsia"/>
                      <w:i/>
                      <w:iCs/>
                      <w:snapToGrid w:val="0"/>
                      <w:color w:val="auto"/>
                      <w:sz w:val="24"/>
                      <w:szCs w:val="18"/>
                    </w:rPr>
                    <w:t>废活性炭</w:t>
                  </w:r>
                </w:p>
              </w:tc>
              <w:tc>
                <w:tcPr>
                  <w:tcW w:w="1537" w:type="dxa"/>
                  <w:vAlign w:val="center"/>
                </w:tcPr>
                <w:p w14:paraId="346CE067">
                  <w:pPr>
                    <w:pStyle w:val="48"/>
                    <w:rPr>
                      <w:i/>
                      <w:iCs/>
                      <w:color w:val="auto"/>
                      <w:szCs w:val="18"/>
                    </w:rPr>
                  </w:pPr>
                  <w:r>
                    <w:rPr>
                      <w:rFonts w:hint="eastAsia"/>
                      <w:i/>
                      <w:iCs/>
                      <w:color w:val="auto"/>
                      <w:sz w:val="24"/>
                      <w:szCs w:val="18"/>
                    </w:rPr>
                    <w:t>H</w:t>
                  </w:r>
                  <w:r>
                    <w:rPr>
                      <w:i/>
                      <w:iCs/>
                      <w:color w:val="auto"/>
                      <w:sz w:val="24"/>
                      <w:szCs w:val="18"/>
                    </w:rPr>
                    <w:t>W49</w:t>
                  </w:r>
                </w:p>
              </w:tc>
              <w:tc>
                <w:tcPr>
                  <w:tcW w:w="1538" w:type="dxa"/>
                  <w:vAlign w:val="center"/>
                </w:tcPr>
                <w:p w14:paraId="2E9322A7">
                  <w:pPr>
                    <w:pStyle w:val="48"/>
                    <w:rPr>
                      <w:i/>
                      <w:iCs/>
                      <w:color w:val="auto"/>
                      <w:szCs w:val="18"/>
                    </w:rPr>
                  </w:pPr>
                  <w:r>
                    <w:rPr>
                      <w:i/>
                      <w:iCs/>
                      <w:color w:val="auto"/>
                      <w:sz w:val="24"/>
                      <w:szCs w:val="18"/>
                    </w:rPr>
                    <w:t>900-0</w:t>
                  </w:r>
                  <w:r>
                    <w:rPr>
                      <w:rFonts w:hint="eastAsia"/>
                      <w:i/>
                      <w:iCs/>
                      <w:color w:val="auto"/>
                      <w:sz w:val="24"/>
                      <w:szCs w:val="18"/>
                    </w:rPr>
                    <w:t>39</w:t>
                  </w:r>
                  <w:r>
                    <w:rPr>
                      <w:i/>
                      <w:iCs/>
                      <w:color w:val="auto"/>
                      <w:sz w:val="24"/>
                      <w:szCs w:val="18"/>
                    </w:rPr>
                    <w:t>-49</w:t>
                  </w:r>
                </w:p>
              </w:tc>
              <w:tc>
                <w:tcPr>
                  <w:tcW w:w="1076" w:type="dxa"/>
                  <w:vAlign w:val="center"/>
                </w:tcPr>
                <w:p w14:paraId="68E07E49">
                  <w:pPr>
                    <w:pStyle w:val="48"/>
                    <w:spacing w:line="240" w:lineRule="auto"/>
                    <w:ind w:firstLine="0" w:firstLineChars="0"/>
                    <w:rPr>
                      <w:rFonts w:hint="default" w:eastAsia="仿宋"/>
                      <w:i/>
                      <w:iCs/>
                      <w:snapToGrid w:val="0"/>
                      <w:color w:val="auto"/>
                      <w:szCs w:val="18"/>
                      <w:highlight w:val="yellow"/>
                      <w:lang w:val="en-US" w:eastAsia="zh-CN"/>
                    </w:rPr>
                  </w:pPr>
                  <w:r>
                    <w:rPr>
                      <w:rFonts w:hint="eastAsia" w:ascii="Times New Roman" w:hAnsi="Times New Roman"/>
                      <w:i/>
                      <w:iCs/>
                      <w:snapToGrid w:val="0"/>
                      <w:color w:val="auto"/>
                      <w:sz w:val="24"/>
                      <w:szCs w:val="24"/>
                      <w:lang w:val="en-US" w:eastAsia="zh-CN"/>
                    </w:rPr>
                    <w:t>1.184</w:t>
                  </w:r>
                </w:p>
              </w:tc>
              <w:tc>
                <w:tcPr>
                  <w:tcW w:w="1385" w:type="dxa"/>
                  <w:vAlign w:val="center"/>
                </w:tcPr>
                <w:p w14:paraId="2BA5CC43">
                  <w:pPr>
                    <w:pStyle w:val="48"/>
                    <w:rPr>
                      <w:i/>
                      <w:iCs/>
                      <w:snapToGrid w:val="0"/>
                      <w:color w:val="auto"/>
                      <w:szCs w:val="18"/>
                    </w:rPr>
                  </w:pPr>
                  <w:r>
                    <w:rPr>
                      <w:rFonts w:hint="eastAsia"/>
                      <w:i/>
                      <w:iCs/>
                      <w:snapToGrid w:val="0"/>
                      <w:color w:val="auto"/>
                      <w:sz w:val="24"/>
                      <w:szCs w:val="18"/>
                    </w:rPr>
                    <w:t>废气治理</w:t>
                  </w:r>
                </w:p>
              </w:tc>
              <w:tc>
                <w:tcPr>
                  <w:tcW w:w="922" w:type="dxa"/>
                  <w:vAlign w:val="center"/>
                </w:tcPr>
                <w:p w14:paraId="0E951736">
                  <w:pPr>
                    <w:pStyle w:val="48"/>
                    <w:rPr>
                      <w:i/>
                      <w:iCs/>
                      <w:color w:val="auto"/>
                      <w:szCs w:val="18"/>
                    </w:rPr>
                  </w:pPr>
                  <w:r>
                    <w:rPr>
                      <w:rFonts w:hint="eastAsia"/>
                      <w:i/>
                      <w:iCs/>
                      <w:color w:val="auto"/>
                      <w:sz w:val="24"/>
                      <w:szCs w:val="18"/>
                    </w:rPr>
                    <w:t>固态</w:t>
                  </w:r>
                </w:p>
              </w:tc>
              <w:tc>
                <w:tcPr>
                  <w:tcW w:w="969" w:type="dxa"/>
                  <w:vAlign w:val="center"/>
                </w:tcPr>
                <w:p w14:paraId="50498E95">
                  <w:pPr>
                    <w:pStyle w:val="48"/>
                    <w:rPr>
                      <w:i/>
                      <w:iCs/>
                      <w:color w:val="auto"/>
                      <w:szCs w:val="18"/>
                    </w:rPr>
                  </w:pPr>
                  <w:r>
                    <w:rPr>
                      <w:i/>
                      <w:iCs/>
                      <w:color w:val="auto"/>
                      <w:sz w:val="24"/>
                      <w:szCs w:val="18"/>
                    </w:rPr>
                    <w:t>/</w:t>
                  </w:r>
                </w:p>
              </w:tc>
              <w:tc>
                <w:tcPr>
                  <w:tcW w:w="1030" w:type="dxa"/>
                  <w:vAlign w:val="center"/>
                </w:tcPr>
                <w:p w14:paraId="3F24D745">
                  <w:pPr>
                    <w:pStyle w:val="48"/>
                    <w:rPr>
                      <w:i/>
                      <w:iCs/>
                      <w:color w:val="auto"/>
                      <w:szCs w:val="18"/>
                    </w:rPr>
                  </w:pPr>
                  <w:r>
                    <w:rPr>
                      <w:rFonts w:hint="eastAsia"/>
                      <w:i/>
                      <w:iCs/>
                      <w:color w:val="auto"/>
                      <w:sz w:val="24"/>
                      <w:szCs w:val="18"/>
                    </w:rPr>
                    <w:t>V</w:t>
                  </w:r>
                  <w:r>
                    <w:rPr>
                      <w:i/>
                      <w:iCs/>
                      <w:color w:val="auto"/>
                      <w:sz w:val="24"/>
                      <w:szCs w:val="18"/>
                    </w:rPr>
                    <w:t>OC</w:t>
                  </w:r>
                  <w:r>
                    <w:rPr>
                      <w:rFonts w:hint="eastAsia"/>
                      <w:i/>
                      <w:iCs/>
                      <w:color w:val="auto"/>
                      <w:sz w:val="24"/>
                      <w:szCs w:val="18"/>
                    </w:rPr>
                    <w:t>s</w:t>
                  </w:r>
                </w:p>
              </w:tc>
              <w:tc>
                <w:tcPr>
                  <w:tcW w:w="1076" w:type="dxa"/>
                  <w:vAlign w:val="center"/>
                </w:tcPr>
                <w:p w14:paraId="27C7B56A">
                  <w:pPr>
                    <w:pStyle w:val="48"/>
                    <w:rPr>
                      <w:i/>
                      <w:iCs/>
                      <w:color w:val="auto"/>
                      <w:szCs w:val="18"/>
                    </w:rPr>
                  </w:pPr>
                  <w:r>
                    <w:rPr>
                      <w:rFonts w:hint="eastAsia"/>
                      <w:i/>
                      <w:iCs/>
                      <w:color w:val="auto"/>
                      <w:sz w:val="24"/>
                      <w:szCs w:val="18"/>
                    </w:rPr>
                    <w:t>每三个月</w:t>
                  </w:r>
                </w:p>
              </w:tc>
              <w:tc>
                <w:tcPr>
                  <w:tcW w:w="1293" w:type="dxa"/>
                  <w:vAlign w:val="center"/>
                </w:tcPr>
                <w:p w14:paraId="1B20A56D">
                  <w:pPr>
                    <w:pStyle w:val="48"/>
                    <w:rPr>
                      <w:i/>
                      <w:iCs/>
                      <w:color w:val="auto"/>
                      <w:sz w:val="24"/>
                    </w:rPr>
                  </w:pPr>
                  <w:r>
                    <w:rPr>
                      <w:rFonts w:hint="eastAsia"/>
                      <w:i/>
                      <w:iCs/>
                      <w:color w:val="auto"/>
                      <w:sz w:val="24"/>
                    </w:rPr>
                    <w:t>T</w:t>
                  </w:r>
                </w:p>
              </w:tc>
              <w:tc>
                <w:tcPr>
                  <w:tcW w:w="1265" w:type="dxa"/>
                  <w:vMerge w:val="continue"/>
                  <w:vAlign w:val="center"/>
                </w:tcPr>
                <w:p w14:paraId="7E1FDCA9">
                  <w:pPr>
                    <w:pStyle w:val="48"/>
                    <w:rPr>
                      <w:i/>
                      <w:iCs/>
                      <w:color w:val="auto"/>
                      <w:szCs w:val="18"/>
                    </w:rPr>
                  </w:pPr>
                </w:p>
              </w:tc>
            </w:tr>
            <w:tr w14:paraId="1205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716" w:type="dxa"/>
                  <w:vAlign w:val="center"/>
                </w:tcPr>
                <w:p w14:paraId="062F9D7A">
                  <w:pPr>
                    <w:pStyle w:val="48"/>
                    <w:rPr>
                      <w:rFonts w:hint="eastAsia" w:eastAsia="仿宋"/>
                      <w:i/>
                      <w:iCs/>
                      <w:color w:val="auto"/>
                      <w:sz w:val="24"/>
                      <w:szCs w:val="18"/>
                      <w:lang w:eastAsia="zh-CN"/>
                    </w:rPr>
                  </w:pPr>
                  <w:r>
                    <w:rPr>
                      <w:rFonts w:hint="eastAsia"/>
                      <w:i/>
                      <w:iCs/>
                      <w:color w:val="auto"/>
                      <w:sz w:val="24"/>
                      <w:szCs w:val="18"/>
                      <w:lang w:val="en-US" w:eastAsia="zh-CN"/>
                    </w:rPr>
                    <w:t>3</w:t>
                  </w:r>
                </w:p>
              </w:tc>
              <w:tc>
                <w:tcPr>
                  <w:tcW w:w="1612" w:type="dxa"/>
                  <w:vAlign w:val="center"/>
                </w:tcPr>
                <w:p w14:paraId="2E78170C">
                  <w:pPr>
                    <w:pStyle w:val="48"/>
                    <w:rPr>
                      <w:i/>
                      <w:iCs/>
                      <w:snapToGrid w:val="0"/>
                      <w:color w:val="auto"/>
                      <w:szCs w:val="18"/>
                    </w:rPr>
                  </w:pPr>
                  <w:r>
                    <w:rPr>
                      <w:rFonts w:hint="eastAsia"/>
                      <w:i/>
                      <w:iCs/>
                      <w:snapToGrid w:val="0"/>
                      <w:color w:val="auto"/>
                      <w:sz w:val="24"/>
                      <w:szCs w:val="18"/>
                    </w:rPr>
                    <w:t>废油桶</w:t>
                  </w:r>
                </w:p>
              </w:tc>
              <w:tc>
                <w:tcPr>
                  <w:tcW w:w="1537" w:type="dxa"/>
                  <w:vAlign w:val="center"/>
                </w:tcPr>
                <w:p w14:paraId="60BC6B81">
                  <w:pPr>
                    <w:pStyle w:val="48"/>
                    <w:rPr>
                      <w:i/>
                      <w:iCs/>
                      <w:color w:val="auto"/>
                      <w:szCs w:val="18"/>
                    </w:rPr>
                  </w:pPr>
                  <w:r>
                    <w:rPr>
                      <w:rFonts w:hint="eastAsia"/>
                      <w:i/>
                      <w:iCs/>
                      <w:color w:val="auto"/>
                      <w:sz w:val="24"/>
                      <w:szCs w:val="18"/>
                    </w:rPr>
                    <w:t>HW08</w:t>
                  </w:r>
                </w:p>
              </w:tc>
              <w:tc>
                <w:tcPr>
                  <w:tcW w:w="1538" w:type="dxa"/>
                  <w:vAlign w:val="center"/>
                </w:tcPr>
                <w:p w14:paraId="5594BA33">
                  <w:pPr>
                    <w:pStyle w:val="48"/>
                    <w:rPr>
                      <w:i/>
                      <w:iCs/>
                      <w:color w:val="auto"/>
                      <w:szCs w:val="18"/>
                    </w:rPr>
                  </w:pPr>
                  <w:r>
                    <w:rPr>
                      <w:i/>
                      <w:iCs/>
                      <w:color w:val="auto"/>
                      <w:sz w:val="24"/>
                      <w:szCs w:val="18"/>
                      <w:lang w:val="zh-CN"/>
                    </w:rPr>
                    <w:t>900-249-08</w:t>
                  </w:r>
                </w:p>
              </w:tc>
              <w:tc>
                <w:tcPr>
                  <w:tcW w:w="1076" w:type="dxa"/>
                  <w:vAlign w:val="center"/>
                </w:tcPr>
                <w:p w14:paraId="6E52C6EA">
                  <w:pPr>
                    <w:pStyle w:val="48"/>
                    <w:spacing w:line="240" w:lineRule="auto"/>
                    <w:ind w:firstLine="0" w:firstLineChars="0"/>
                    <w:rPr>
                      <w:i/>
                      <w:iCs/>
                      <w:snapToGrid w:val="0"/>
                      <w:color w:val="auto"/>
                      <w:szCs w:val="18"/>
                      <w:highlight w:val="yellow"/>
                    </w:rPr>
                  </w:pPr>
                  <w:r>
                    <w:rPr>
                      <w:rFonts w:hint="eastAsia" w:ascii="Times New Roman" w:hAnsi="Times New Roman"/>
                      <w:i/>
                      <w:iCs/>
                      <w:snapToGrid w:val="0"/>
                      <w:color w:val="auto"/>
                      <w:sz w:val="24"/>
                      <w:szCs w:val="24"/>
                      <w:lang w:val="en-US" w:eastAsia="zh-CN"/>
                    </w:rPr>
                    <w:t>0.3</w:t>
                  </w:r>
                </w:p>
              </w:tc>
              <w:tc>
                <w:tcPr>
                  <w:tcW w:w="1385" w:type="dxa"/>
                  <w:vAlign w:val="center"/>
                </w:tcPr>
                <w:p w14:paraId="6075EFCE">
                  <w:pPr>
                    <w:pStyle w:val="48"/>
                    <w:rPr>
                      <w:i/>
                      <w:iCs/>
                      <w:snapToGrid w:val="0"/>
                      <w:color w:val="auto"/>
                      <w:szCs w:val="18"/>
                    </w:rPr>
                  </w:pPr>
                  <w:r>
                    <w:rPr>
                      <w:rFonts w:hint="eastAsia"/>
                      <w:i/>
                      <w:iCs/>
                      <w:snapToGrid w:val="0"/>
                      <w:color w:val="auto"/>
                      <w:sz w:val="24"/>
                      <w:szCs w:val="18"/>
                    </w:rPr>
                    <w:t>油品包装</w:t>
                  </w:r>
                </w:p>
              </w:tc>
              <w:tc>
                <w:tcPr>
                  <w:tcW w:w="922" w:type="dxa"/>
                  <w:vAlign w:val="center"/>
                </w:tcPr>
                <w:p w14:paraId="468FF6CF">
                  <w:pPr>
                    <w:pStyle w:val="48"/>
                    <w:rPr>
                      <w:i/>
                      <w:iCs/>
                      <w:color w:val="auto"/>
                      <w:szCs w:val="18"/>
                    </w:rPr>
                  </w:pPr>
                  <w:r>
                    <w:rPr>
                      <w:rFonts w:hint="eastAsia"/>
                      <w:i/>
                      <w:iCs/>
                      <w:color w:val="auto"/>
                      <w:sz w:val="24"/>
                      <w:szCs w:val="18"/>
                    </w:rPr>
                    <w:t>固态</w:t>
                  </w:r>
                </w:p>
              </w:tc>
              <w:tc>
                <w:tcPr>
                  <w:tcW w:w="969" w:type="dxa"/>
                  <w:vAlign w:val="center"/>
                </w:tcPr>
                <w:p w14:paraId="284339B1">
                  <w:pPr>
                    <w:pStyle w:val="48"/>
                    <w:rPr>
                      <w:i/>
                      <w:iCs/>
                      <w:color w:val="auto"/>
                      <w:szCs w:val="18"/>
                    </w:rPr>
                  </w:pPr>
                  <w:r>
                    <w:rPr>
                      <w:i/>
                      <w:iCs/>
                      <w:color w:val="auto"/>
                      <w:sz w:val="24"/>
                      <w:szCs w:val="18"/>
                    </w:rPr>
                    <w:t>/</w:t>
                  </w:r>
                </w:p>
              </w:tc>
              <w:tc>
                <w:tcPr>
                  <w:tcW w:w="1030" w:type="dxa"/>
                  <w:vAlign w:val="center"/>
                </w:tcPr>
                <w:p w14:paraId="2C46BE2B">
                  <w:pPr>
                    <w:pStyle w:val="48"/>
                    <w:rPr>
                      <w:i/>
                      <w:iCs/>
                      <w:color w:val="auto"/>
                      <w:szCs w:val="18"/>
                    </w:rPr>
                  </w:pPr>
                  <w:r>
                    <w:rPr>
                      <w:i/>
                      <w:iCs/>
                      <w:color w:val="auto"/>
                      <w:sz w:val="24"/>
                      <w:szCs w:val="18"/>
                    </w:rPr>
                    <w:t>矿物油</w:t>
                  </w:r>
                </w:p>
              </w:tc>
              <w:tc>
                <w:tcPr>
                  <w:tcW w:w="1076" w:type="dxa"/>
                  <w:vAlign w:val="center"/>
                </w:tcPr>
                <w:p w14:paraId="1390A53E">
                  <w:pPr>
                    <w:pStyle w:val="48"/>
                    <w:rPr>
                      <w:i/>
                      <w:iCs/>
                      <w:color w:val="auto"/>
                      <w:szCs w:val="18"/>
                    </w:rPr>
                  </w:pPr>
                  <w:r>
                    <w:rPr>
                      <w:rFonts w:hint="eastAsia"/>
                      <w:i/>
                      <w:iCs/>
                      <w:color w:val="auto"/>
                      <w:sz w:val="24"/>
                    </w:rPr>
                    <w:t>间断</w:t>
                  </w:r>
                </w:p>
              </w:tc>
              <w:tc>
                <w:tcPr>
                  <w:tcW w:w="1293" w:type="dxa"/>
                  <w:vAlign w:val="center"/>
                </w:tcPr>
                <w:p w14:paraId="34FABF92">
                  <w:pPr>
                    <w:pStyle w:val="48"/>
                    <w:rPr>
                      <w:i/>
                      <w:iCs/>
                      <w:color w:val="auto"/>
                      <w:sz w:val="24"/>
                    </w:rPr>
                  </w:pPr>
                  <w:r>
                    <w:rPr>
                      <w:rFonts w:hint="eastAsia"/>
                      <w:i/>
                      <w:iCs/>
                      <w:color w:val="auto"/>
                      <w:sz w:val="24"/>
                    </w:rPr>
                    <w:t>T，I</w:t>
                  </w:r>
                </w:p>
              </w:tc>
              <w:tc>
                <w:tcPr>
                  <w:tcW w:w="1265" w:type="dxa"/>
                  <w:vMerge w:val="continue"/>
                  <w:vAlign w:val="center"/>
                </w:tcPr>
                <w:p w14:paraId="3D5B9FD5">
                  <w:pPr>
                    <w:pStyle w:val="48"/>
                    <w:rPr>
                      <w:i/>
                      <w:iCs/>
                      <w:color w:val="auto"/>
                      <w:szCs w:val="18"/>
                    </w:rPr>
                  </w:pPr>
                </w:p>
              </w:tc>
            </w:tr>
            <w:tr w14:paraId="6669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exact"/>
              </w:trPr>
              <w:tc>
                <w:tcPr>
                  <w:tcW w:w="716" w:type="dxa"/>
                  <w:vAlign w:val="center"/>
                </w:tcPr>
                <w:p w14:paraId="7A81655E">
                  <w:pPr>
                    <w:pStyle w:val="48"/>
                    <w:rPr>
                      <w:rFonts w:hint="eastAsia" w:eastAsia="仿宋"/>
                      <w:i/>
                      <w:iCs/>
                      <w:color w:val="auto"/>
                      <w:sz w:val="24"/>
                      <w:szCs w:val="18"/>
                      <w:lang w:eastAsia="zh-CN"/>
                    </w:rPr>
                  </w:pPr>
                  <w:r>
                    <w:rPr>
                      <w:rFonts w:hint="eastAsia"/>
                      <w:i/>
                      <w:iCs/>
                      <w:color w:val="auto"/>
                      <w:sz w:val="24"/>
                      <w:szCs w:val="18"/>
                      <w:lang w:val="en-US" w:eastAsia="zh-CN"/>
                    </w:rPr>
                    <w:t>4</w:t>
                  </w:r>
                </w:p>
              </w:tc>
              <w:tc>
                <w:tcPr>
                  <w:tcW w:w="1612" w:type="dxa"/>
                  <w:vAlign w:val="center"/>
                </w:tcPr>
                <w:p w14:paraId="1B1C242C">
                  <w:pPr>
                    <w:pStyle w:val="48"/>
                    <w:rPr>
                      <w:i/>
                      <w:iCs/>
                      <w:snapToGrid w:val="0"/>
                      <w:color w:val="auto"/>
                      <w:sz w:val="24"/>
                      <w:szCs w:val="18"/>
                    </w:rPr>
                  </w:pPr>
                  <w:r>
                    <w:rPr>
                      <w:rFonts w:hint="eastAsia"/>
                      <w:i/>
                      <w:iCs/>
                      <w:snapToGrid w:val="0"/>
                      <w:color w:val="auto"/>
                      <w:sz w:val="24"/>
                      <w:szCs w:val="18"/>
                    </w:rPr>
                    <w:t>废含油棉纱手套</w:t>
                  </w:r>
                </w:p>
              </w:tc>
              <w:tc>
                <w:tcPr>
                  <w:tcW w:w="1537" w:type="dxa"/>
                  <w:vAlign w:val="center"/>
                </w:tcPr>
                <w:p w14:paraId="557C3EB0">
                  <w:pPr>
                    <w:pStyle w:val="48"/>
                    <w:rPr>
                      <w:i/>
                      <w:iCs/>
                      <w:color w:val="auto"/>
                      <w:sz w:val="24"/>
                      <w:szCs w:val="18"/>
                    </w:rPr>
                  </w:pPr>
                  <w:r>
                    <w:rPr>
                      <w:rFonts w:hint="eastAsia"/>
                      <w:i/>
                      <w:iCs/>
                      <w:color w:val="auto"/>
                      <w:sz w:val="24"/>
                      <w:szCs w:val="18"/>
                    </w:rPr>
                    <w:t>H</w:t>
                  </w:r>
                  <w:r>
                    <w:rPr>
                      <w:i/>
                      <w:iCs/>
                      <w:color w:val="auto"/>
                      <w:sz w:val="24"/>
                      <w:szCs w:val="18"/>
                    </w:rPr>
                    <w:t>W49</w:t>
                  </w:r>
                </w:p>
              </w:tc>
              <w:tc>
                <w:tcPr>
                  <w:tcW w:w="1538" w:type="dxa"/>
                  <w:vAlign w:val="center"/>
                </w:tcPr>
                <w:p w14:paraId="309263A9">
                  <w:pPr>
                    <w:pStyle w:val="48"/>
                    <w:rPr>
                      <w:i/>
                      <w:iCs/>
                      <w:color w:val="auto"/>
                      <w:sz w:val="24"/>
                      <w:szCs w:val="18"/>
                      <w:lang w:val="zh-CN"/>
                    </w:rPr>
                  </w:pPr>
                  <w:r>
                    <w:rPr>
                      <w:rFonts w:hint="eastAsia"/>
                      <w:i/>
                      <w:iCs/>
                      <w:color w:val="auto"/>
                      <w:sz w:val="24"/>
                      <w:szCs w:val="18"/>
                      <w:lang w:val="zh-CN"/>
                    </w:rPr>
                    <w:t>900-041-49</w:t>
                  </w:r>
                </w:p>
              </w:tc>
              <w:tc>
                <w:tcPr>
                  <w:tcW w:w="1076" w:type="dxa"/>
                  <w:vAlign w:val="center"/>
                </w:tcPr>
                <w:p w14:paraId="528C7A3B">
                  <w:pPr>
                    <w:pStyle w:val="48"/>
                    <w:spacing w:line="240" w:lineRule="auto"/>
                    <w:ind w:firstLine="0" w:firstLineChars="0"/>
                    <w:rPr>
                      <w:rFonts w:ascii="Times New Roman" w:hAnsi="Times New Roman"/>
                      <w:i/>
                      <w:iCs/>
                      <w:snapToGrid w:val="0"/>
                      <w:color w:val="auto"/>
                      <w:sz w:val="24"/>
                      <w:szCs w:val="18"/>
                      <w:highlight w:val="yellow"/>
                    </w:rPr>
                  </w:pPr>
                  <w:r>
                    <w:rPr>
                      <w:rFonts w:hint="eastAsia" w:ascii="Times New Roman" w:hAnsi="Times New Roman"/>
                      <w:i/>
                      <w:iCs/>
                      <w:snapToGrid w:val="0"/>
                      <w:color w:val="auto"/>
                      <w:sz w:val="24"/>
                      <w:szCs w:val="24"/>
                      <w:lang w:val="en-US" w:eastAsia="zh-CN"/>
                    </w:rPr>
                    <w:t>0.02</w:t>
                  </w:r>
                </w:p>
              </w:tc>
              <w:tc>
                <w:tcPr>
                  <w:tcW w:w="1385" w:type="dxa"/>
                  <w:vAlign w:val="center"/>
                </w:tcPr>
                <w:p w14:paraId="2DBCE48C">
                  <w:pPr>
                    <w:pStyle w:val="48"/>
                    <w:rPr>
                      <w:i/>
                      <w:iCs/>
                      <w:snapToGrid w:val="0"/>
                      <w:color w:val="auto"/>
                      <w:sz w:val="24"/>
                      <w:szCs w:val="18"/>
                    </w:rPr>
                  </w:pPr>
                  <w:r>
                    <w:rPr>
                      <w:rFonts w:hint="eastAsia"/>
                      <w:i/>
                      <w:iCs/>
                      <w:snapToGrid w:val="0"/>
                      <w:color w:val="auto"/>
                      <w:sz w:val="24"/>
                      <w:szCs w:val="18"/>
                    </w:rPr>
                    <w:t>设备维护</w:t>
                  </w:r>
                </w:p>
              </w:tc>
              <w:tc>
                <w:tcPr>
                  <w:tcW w:w="922" w:type="dxa"/>
                  <w:vAlign w:val="center"/>
                </w:tcPr>
                <w:p w14:paraId="335BED5F">
                  <w:pPr>
                    <w:pStyle w:val="48"/>
                    <w:rPr>
                      <w:i/>
                      <w:iCs/>
                      <w:color w:val="auto"/>
                      <w:sz w:val="24"/>
                      <w:szCs w:val="18"/>
                    </w:rPr>
                  </w:pPr>
                  <w:r>
                    <w:rPr>
                      <w:rFonts w:hint="eastAsia"/>
                      <w:i/>
                      <w:iCs/>
                      <w:color w:val="auto"/>
                      <w:sz w:val="24"/>
                      <w:szCs w:val="18"/>
                    </w:rPr>
                    <w:t>固态</w:t>
                  </w:r>
                </w:p>
              </w:tc>
              <w:tc>
                <w:tcPr>
                  <w:tcW w:w="969" w:type="dxa"/>
                  <w:vAlign w:val="center"/>
                </w:tcPr>
                <w:p w14:paraId="425558D9">
                  <w:pPr>
                    <w:pStyle w:val="48"/>
                    <w:rPr>
                      <w:i/>
                      <w:iCs/>
                      <w:color w:val="auto"/>
                      <w:sz w:val="24"/>
                      <w:szCs w:val="18"/>
                    </w:rPr>
                  </w:pPr>
                  <w:r>
                    <w:rPr>
                      <w:rFonts w:hint="eastAsia"/>
                      <w:i/>
                      <w:iCs/>
                      <w:color w:val="auto"/>
                      <w:sz w:val="24"/>
                      <w:szCs w:val="18"/>
                    </w:rPr>
                    <w:t>纺织物、矿物油</w:t>
                  </w:r>
                </w:p>
                <w:p w14:paraId="273C22DF">
                  <w:pPr>
                    <w:pStyle w:val="48"/>
                    <w:rPr>
                      <w:i/>
                      <w:iCs/>
                      <w:color w:val="auto"/>
                      <w:sz w:val="24"/>
                      <w:szCs w:val="18"/>
                    </w:rPr>
                  </w:pPr>
                  <w:r>
                    <w:rPr>
                      <w:rFonts w:hint="eastAsia"/>
                      <w:i/>
                      <w:iCs/>
                      <w:color w:val="auto"/>
                      <w:sz w:val="24"/>
                      <w:szCs w:val="18"/>
                    </w:rPr>
                    <w:t>油</w:t>
                  </w:r>
                </w:p>
                <w:p w14:paraId="6DDA2357">
                  <w:pPr>
                    <w:pStyle w:val="48"/>
                    <w:rPr>
                      <w:i/>
                      <w:iCs/>
                      <w:color w:val="auto"/>
                      <w:sz w:val="24"/>
                      <w:szCs w:val="18"/>
                    </w:rPr>
                  </w:pPr>
                </w:p>
              </w:tc>
              <w:tc>
                <w:tcPr>
                  <w:tcW w:w="1030" w:type="dxa"/>
                  <w:vAlign w:val="center"/>
                </w:tcPr>
                <w:p w14:paraId="39EA85AE">
                  <w:pPr>
                    <w:pStyle w:val="48"/>
                    <w:rPr>
                      <w:i/>
                      <w:iCs/>
                      <w:color w:val="auto"/>
                      <w:sz w:val="24"/>
                      <w:szCs w:val="18"/>
                    </w:rPr>
                  </w:pPr>
                  <w:r>
                    <w:rPr>
                      <w:rFonts w:hint="eastAsia"/>
                      <w:i/>
                      <w:iCs/>
                      <w:color w:val="auto"/>
                      <w:sz w:val="24"/>
                      <w:szCs w:val="18"/>
                    </w:rPr>
                    <w:t>矿物油</w:t>
                  </w:r>
                </w:p>
              </w:tc>
              <w:tc>
                <w:tcPr>
                  <w:tcW w:w="1076" w:type="dxa"/>
                  <w:vAlign w:val="center"/>
                </w:tcPr>
                <w:p w14:paraId="5DFDD37A">
                  <w:pPr>
                    <w:pStyle w:val="48"/>
                    <w:rPr>
                      <w:i/>
                      <w:iCs/>
                      <w:color w:val="auto"/>
                      <w:sz w:val="24"/>
                      <w:szCs w:val="18"/>
                    </w:rPr>
                  </w:pPr>
                  <w:r>
                    <w:rPr>
                      <w:rFonts w:hint="eastAsia"/>
                      <w:i/>
                      <w:iCs/>
                      <w:color w:val="auto"/>
                      <w:sz w:val="24"/>
                    </w:rPr>
                    <w:t>间断</w:t>
                  </w:r>
                </w:p>
              </w:tc>
              <w:tc>
                <w:tcPr>
                  <w:tcW w:w="1293" w:type="dxa"/>
                  <w:vAlign w:val="center"/>
                </w:tcPr>
                <w:p w14:paraId="52A94B61">
                  <w:pPr>
                    <w:pStyle w:val="48"/>
                    <w:rPr>
                      <w:i/>
                      <w:iCs/>
                      <w:color w:val="auto"/>
                      <w:sz w:val="24"/>
                    </w:rPr>
                  </w:pPr>
                  <w:r>
                    <w:rPr>
                      <w:rFonts w:hint="eastAsia"/>
                      <w:i/>
                      <w:iCs/>
                      <w:color w:val="auto"/>
                      <w:sz w:val="24"/>
                    </w:rPr>
                    <w:t>T/In</w:t>
                  </w:r>
                </w:p>
              </w:tc>
              <w:tc>
                <w:tcPr>
                  <w:tcW w:w="1265" w:type="dxa"/>
                  <w:vMerge w:val="continue"/>
                  <w:vAlign w:val="center"/>
                </w:tcPr>
                <w:p w14:paraId="23448BF5">
                  <w:pPr>
                    <w:pStyle w:val="48"/>
                    <w:rPr>
                      <w:i/>
                      <w:iCs/>
                      <w:color w:val="auto"/>
                      <w:szCs w:val="18"/>
                    </w:rPr>
                  </w:pPr>
                </w:p>
              </w:tc>
            </w:tr>
            <w:tr w14:paraId="43B7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exact"/>
              </w:trPr>
              <w:tc>
                <w:tcPr>
                  <w:tcW w:w="716" w:type="dxa"/>
                  <w:vAlign w:val="center"/>
                </w:tcPr>
                <w:p w14:paraId="7EEBE52A">
                  <w:pPr>
                    <w:pStyle w:val="48"/>
                    <w:rPr>
                      <w:rFonts w:hint="eastAsia" w:eastAsia="仿宋"/>
                      <w:i/>
                      <w:iCs/>
                      <w:color w:val="auto"/>
                      <w:sz w:val="24"/>
                      <w:szCs w:val="18"/>
                      <w:lang w:eastAsia="zh-CN"/>
                    </w:rPr>
                  </w:pPr>
                  <w:r>
                    <w:rPr>
                      <w:rFonts w:hint="eastAsia"/>
                      <w:i/>
                      <w:iCs/>
                      <w:color w:val="auto"/>
                      <w:sz w:val="24"/>
                      <w:szCs w:val="18"/>
                      <w:lang w:val="en-US" w:eastAsia="zh-CN"/>
                    </w:rPr>
                    <w:t>5</w:t>
                  </w:r>
                </w:p>
              </w:tc>
              <w:tc>
                <w:tcPr>
                  <w:tcW w:w="1612" w:type="dxa"/>
                  <w:vAlign w:val="center"/>
                </w:tcPr>
                <w:p w14:paraId="106F1F6B">
                  <w:pPr>
                    <w:pStyle w:val="48"/>
                    <w:rPr>
                      <w:i/>
                      <w:iCs/>
                      <w:snapToGrid w:val="0"/>
                      <w:color w:val="auto"/>
                      <w:sz w:val="24"/>
                      <w:szCs w:val="18"/>
                    </w:rPr>
                  </w:pPr>
                  <w:r>
                    <w:rPr>
                      <w:rFonts w:hint="eastAsia"/>
                      <w:i/>
                      <w:iCs/>
                      <w:snapToGrid w:val="0"/>
                      <w:color w:val="auto"/>
                      <w:sz w:val="24"/>
                      <w:szCs w:val="18"/>
                    </w:rPr>
                    <w:t>油水混合物</w:t>
                  </w:r>
                </w:p>
              </w:tc>
              <w:tc>
                <w:tcPr>
                  <w:tcW w:w="1537" w:type="dxa"/>
                  <w:vAlign w:val="center"/>
                </w:tcPr>
                <w:p w14:paraId="6F6441D1">
                  <w:pPr>
                    <w:pStyle w:val="48"/>
                    <w:rPr>
                      <w:i/>
                      <w:iCs/>
                      <w:color w:val="auto"/>
                      <w:sz w:val="24"/>
                      <w:szCs w:val="18"/>
                    </w:rPr>
                  </w:pPr>
                  <w:r>
                    <w:rPr>
                      <w:rFonts w:hint="eastAsia"/>
                      <w:i/>
                      <w:iCs/>
                      <w:color w:val="auto"/>
                      <w:sz w:val="24"/>
                      <w:szCs w:val="18"/>
                    </w:rPr>
                    <w:t>H</w:t>
                  </w:r>
                  <w:r>
                    <w:rPr>
                      <w:i/>
                      <w:iCs/>
                      <w:color w:val="auto"/>
                      <w:sz w:val="24"/>
                      <w:szCs w:val="18"/>
                    </w:rPr>
                    <w:t>W</w:t>
                  </w:r>
                  <w:r>
                    <w:rPr>
                      <w:rFonts w:hint="eastAsia"/>
                      <w:i/>
                      <w:iCs/>
                      <w:color w:val="auto"/>
                      <w:sz w:val="24"/>
                      <w:szCs w:val="18"/>
                    </w:rPr>
                    <w:t>0</w:t>
                  </w:r>
                  <w:r>
                    <w:rPr>
                      <w:i/>
                      <w:iCs/>
                      <w:color w:val="auto"/>
                      <w:sz w:val="24"/>
                      <w:szCs w:val="18"/>
                    </w:rPr>
                    <w:t>9</w:t>
                  </w:r>
                </w:p>
              </w:tc>
              <w:tc>
                <w:tcPr>
                  <w:tcW w:w="1538" w:type="dxa"/>
                  <w:vAlign w:val="center"/>
                </w:tcPr>
                <w:p w14:paraId="28FC7ED1">
                  <w:pPr>
                    <w:pStyle w:val="48"/>
                    <w:rPr>
                      <w:i/>
                      <w:iCs/>
                      <w:color w:val="auto"/>
                      <w:sz w:val="24"/>
                      <w:szCs w:val="18"/>
                    </w:rPr>
                  </w:pPr>
                  <w:r>
                    <w:rPr>
                      <w:rFonts w:hint="eastAsia"/>
                      <w:i/>
                      <w:iCs/>
                      <w:color w:val="auto"/>
                      <w:sz w:val="24"/>
                      <w:szCs w:val="18"/>
                    </w:rPr>
                    <w:t>900-007-09</w:t>
                  </w:r>
                </w:p>
              </w:tc>
              <w:tc>
                <w:tcPr>
                  <w:tcW w:w="1076" w:type="dxa"/>
                  <w:vAlign w:val="center"/>
                </w:tcPr>
                <w:p w14:paraId="03544075">
                  <w:pPr>
                    <w:pStyle w:val="48"/>
                    <w:spacing w:line="240" w:lineRule="auto"/>
                    <w:ind w:firstLine="0" w:firstLineChars="0"/>
                    <w:rPr>
                      <w:rFonts w:ascii="Times New Roman" w:hAnsi="Times New Roman"/>
                      <w:i/>
                      <w:iCs/>
                      <w:snapToGrid w:val="0"/>
                      <w:color w:val="auto"/>
                      <w:sz w:val="24"/>
                      <w:szCs w:val="18"/>
                    </w:rPr>
                  </w:pPr>
                  <w:r>
                    <w:rPr>
                      <w:rFonts w:hint="eastAsia" w:ascii="Times New Roman" w:hAnsi="Times New Roman"/>
                      <w:i/>
                      <w:iCs/>
                      <w:snapToGrid w:val="0"/>
                      <w:color w:val="auto"/>
                      <w:sz w:val="24"/>
                      <w:szCs w:val="24"/>
                    </w:rPr>
                    <w:t>0.</w:t>
                  </w:r>
                  <w:r>
                    <w:rPr>
                      <w:rFonts w:hint="eastAsia" w:ascii="Times New Roman" w:hAnsi="Times New Roman"/>
                      <w:i/>
                      <w:iCs/>
                      <w:snapToGrid w:val="0"/>
                      <w:color w:val="auto"/>
                      <w:sz w:val="24"/>
                      <w:szCs w:val="24"/>
                      <w:lang w:val="en-US" w:eastAsia="zh-CN"/>
                    </w:rPr>
                    <w:t>01</w:t>
                  </w:r>
                </w:p>
              </w:tc>
              <w:tc>
                <w:tcPr>
                  <w:tcW w:w="1385" w:type="dxa"/>
                  <w:vAlign w:val="center"/>
                </w:tcPr>
                <w:p w14:paraId="42000D3A">
                  <w:pPr>
                    <w:pStyle w:val="48"/>
                    <w:rPr>
                      <w:i/>
                      <w:iCs/>
                      <w:snapToGrid w:val="0"/>
                      <w:color w:val="auto"/>
                      <w:sz w:val="24"/>
                      <w:szCs w:val="18"/>
                    </w:rPr>
                  </w:pPr>
                  <w:r>
                    <w:rPr>
                      <w:rFonts w:hint="eastAsia"/>
                      <w:i/>
                      <w:iCs/>
                      <w:snapToGrid w:val="0"/>
                      <w:color w:val="auto"/>
                      <w:sz w:val="24"/>
                      <w:szCs w:val="18"/>
                    </w:rPr>
                    <w:t>空压机运行</w:t>
                  </w:r>
                </w:p>
              </w:tc>
              <w:tc>
                <w:tcPr>
                  <w:tcW w:w="922" w:type="dxa"/>
                  <w:vAlign w:val="center"/>
                </w:tcPr>
                <w:p w14:paraId="23AE484B">
                  <w:pPr>
                    <w:pStyle w:val="48"/>
                    <w:rPr>
                      <w:i/>
                      <w:iCs/>
                      <w:color w:val="auto"/>
                      <w:szCs w:val="18"/>
                    </w:rPr>
                  </w:pPr>
                  <w:r>
                    <w:rPr>
                      <w:rFonts w:hint="eastAsia"/>
                      <w:i/>
                      <w:iCs/>
                      <w:color w:val="auto"/>
                      <w:sz w:val="24"/>
                      <w:szCs w:val="18"/>
                    </w:rPr>
                    <w:t>液态</w:t>
                  </w:r>
                </w:p>
              </w:tc>
              <w:tc>
                <w:tcPr>
                  <w:tcW w:w="969" w:type="dxa"/>
                  <w:vAlign w:val="center"/>
                </w:tcPr>
                <w:p w14:paraId="0E2BF774">
                  <w:pPr>
                    <w:pStyle w:val="48"/>
                    <w:rPr>
                      <w:i/>
                      <w:iCs/>
                      <w:color w:val="auto"/>
                      <w:szCs w:val="18"/>
                    </w:rPr>
                  </w:pPr>
                  <w:r>
                    <w:rPr>
                      <w:i/>
                      <w:iCs/>
                      <w:color w:val="auto"/>
                      <w:sz w:val="24"/>
                      <w:szCs w:val="18"/>
                    </w:rPr>
                    <w:t>矿物油</w:t>
                  </w:r>
                </w:p>
              </w:tc>
              <w:tc>
                <w:tcPr>
                  <w:tcW w:w="1030" w:type="dxa"/>
                  <w:vAlign w:val="center"/>
                </w:tcPr>
                <w:p w14:paraId="1907E45F">
                  <w:pPr>
                    <w:pStyle w:val="48"/>
                    <w:rPr>
                      <w:i/>
                      <w:iCs/>
                      <w:color w:val="auto"/>
                      <w:szCs w:val="18"/>
                    </w:rPr>
                  </w:pPr>
                  <w:r>
                    <w:rPr>
                      <w:i/>
                      <w:iCs/>
                      <w:color w:val="auto"/>
                      <w:sz w:val="24"/>
                      <w:szCs w:val="18"/>
                    </w:rPr>
                    <w:t>矿物油</w:t>
                  </w:r>
                </w:p>
              </w:tc>
              <w:tc>
                <w:tcPr>
                  <w:tcW w:w="1076" w:type="dxa"/>
                  <w:vAlign w:val="center"/>
                </w:tcPr>
                <w:p w14:paraId="0A1099D1">
                  <w:pPr>
                    <w:pStyle w:val="48"/>
                    <w:rPr>
                      <w:i/>
                      <w:iCs/>
                      <w:color w:val="auto"/>
                      <w:szCs w:val="18"/>
                    </w:rPr>
                  </w:pPr>
                  <w:r>
                    <w:rPr>
                      <w:rFonts w:hint="eastAsia"/>
                      <w:i/>
                      <w:iCs/>
                      <w:color w:val="auto"/>
                      <w:sz w:val="24"/>
                    </w:rPr>
                    <w:t>间断</w:t>
                  </w:r>
                </w:p>
              </w:tc>
              <w:tc>
                <w:tcPr>
                  <w:tcW w:w="1293" w:type="dxa"/>
                  <w:vAlign w:val="center"/>
                </w:tcPr>
                <w:p w14:paraId="48BB0C6A">
                  <w:pPr>
                    <w:pStyle w:val="48"/>
                    <w:rPr>
                      <w:i/>
                      <w:iCs/>
                      <w:color w:val="auto"/>
                      <w:sz w:val="24"/>
                    </w:rPr>
                  </w:pPr>
                  <w:r>
                    <w:rPr>
                      <w:rFonts w:hint="eastAsia"/>
                      <w:i/>
                      <w:iCs/>
                      <w:color w:val="auto"/>
                      <w:sz w:val="24"/>
                    </w:rPr>
                    <w:t>T</w:t>
                  </w:r>
                </w:p>
              </w:tc>
              <w:tc>
                <w:tcPr>
                  <w:tcW w:w="1265" w:type="dxa"/>
                  <w:vMerge w:val="continue"/>
                  <w:vAlign w:val="center"/>
                </w:tcPr>
                <w:p w14:paraId="58FC93BF">
                  <w:pPr>
                    <w:pStyle w:val="48"/>
                    <w:rPr>
                      <w:i/>
                      <w:iCs/>
                      <w:color w:val="auto"/>
                      <w:szCs w:val="18"/>
                    </w:rPr>
                  </w:pPr>
                </w:p>
              </w:tc>
            </w:tr>
            <w:tr w14:paraId="370B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exact"/>
              </w:trPr>
              <w:tc>
                <w:tcPr>
                  <w:tcW w:w="716" w:type="dxa"/>
                  <w:vAlign w:val="center"/>
                </w:tcPr>
                <w:p w14:paraId="6B424008">
                  <w:pPr>
                    <w:pStyle w:val="48"/>
                    <w:rPr>
                      <w:rFonts w:hint="default"/>
                      <w:i/>
                      <w:iCs/>
                      <w:color w:val="auto"/>
                      <w:sz w:val="24"/>
                      <w:szCs w:val="18"/>
                      <w:lang w:val="en-US" w:eastAsia="zh-CN"/>
                    </w:rPr>
                  </w:pPr>
                  <w:r>
                    <w:rPr>
                      <w:rFonts w:hint="eastAsia"/>
                      <w:i/>
                      <w:iCs/>
                      <w:color w:val="auto"/>
                      <w:sz w:val="24"/>
                      <w:szCs w:val="18"/>
                      <w:lang w:val="en-US" w:eastAsia="zh-CN"/>
                    </w:rPr>
                    <w:t>6</w:t>
                  </w:r>
                </w:p>
              </w:tc>
              <w:tc>
                <w:tcPr>
                  <w:tcW w:w="1612" w:type="dxa"/>
                  <w:vAlign w:val="center"/>
                </w:tcPr>
                <w:p w14:paraId="1BAA01A7">
                  <w:pPr>
                    <w:pStyle w:val="48"/>
                    <w:rPr>
                      <w:rFonts w:hint="eastAsia" w:eastAsia="仿宋"/>
                      <w:i/>
                      <w:iCs/>
                      <w:snapToGrid w:val="0"/>
                      <w:color w:val="auto"/>
                      <w:sz w:val="24"/>
                      <w:szCs w:val="18"/>
                      <w:lang w:eastAsia="zh-CN"/>
                    </w:rPr>
                  </w:pPr>
                  <w:r>
                    <w:rPr>
                      <w:rFonts w:hint="eastAsia"/>
                      <w:i/>
                      <w:iCs/>
                      <w:snapToGrid w:val="0"/>
                      <w:color w:val="auto"/>
                      <w:sz w:val="24"/>
                      <w:szCs w:val="18"/>
                      <w:lang w:eastAsia="zh-CN"/>
                    </w:rPr>
                    <w:t>废胶桶</w:t>
                  </w:r>
                </w:p>
              </w:tc>
              <w:tc>
                <w:tcPr>
                  <w:tcW w:w="1537" w:type="dxa"/>
                  <w:vAlign w:val="center"/>
                </w:tcPr>
                <w:p w14:paraId="4ECF67C3">
                  <w:pPr>
                    <w:pStyle w:val="48"/>
                    <w:rPr>
                      <w:rFonts w:hint="default" w:eastAsia="仿宋"/>
                      <w:i/>
                      <w:iCs/>
                      <w:color w:val="auto"/>
                      <w:sz w:val="24"/>
                      <w:szCs w:val="18"/>
                      <w:lang w:val="en-US" w:eastAsia="zh-CN"/>
                    </w:rPr>
                  </w:pPr>
                  <w:r>
                    <w:rPr>
                      <w:rFonts w:hint="eastAsia"/>
                      <w:i/>
                      <w:iCs/>
                      <w:color w:val="auto"/>
                      <w:sz w:val="24"/>
                      <w:szCs w:val="18"/>
                      <w:lang w:val="en-US" w:eastAsia="zh-CN"/>
                    </w:rPr>
                    <w:t>HW49</w:t>
                  </w:r>
                </w:p>
              </w:tc>
              <w:tc>
                <w:tcPr>
                  <w:tcW w:w="1538" w:type="dxa"/>
                  <w:vAlign w:val="center"/>
                </w:tcPr>
                <w:p w14:paraId="3DE2EBBE">
                  <w:pPr>
                    <w:pStyle w:val="48"/>
                    <w:rPr>
                      <w:rFonts w:hint="eastAsia"/>
                      <w:i/>
                      <w:iCs/>
                      <w:color w:val="auto"/>
                      <w:sz w:val="24"/>
                      <w:szCs w:val="18"/>
                    </w:rPr>
                  </w:pPr>
                  <w:r>
                    <w:rPr>
                      <w:rFonts w:hint="eastAsia"/>
                      <w:i/>
                      <w:iCs/>
                      <w:color w:val="auto"/>
                      <w:sz w:val="24"/>
                      <w:szCs w:val="18"/>
                    </w:rPr>
                    <w:t>900-041-49</w:t>
                  </w:r>
                </w:p>
              </w:tc>
              <w:tc>
                <w:tcPr>
                  <w:tcW w:w="1076" w:type="dxa"/>
                  <w:vAlign w:val="center"/>
                </w:tcPr>
                <w:p w14:paraId="01F743CB">
                  <w:pPr>
                    <w:pStyle w:val="48"/>
                    <w:spacing w:line="240" w:lineRule="auto"/>
                    <w:ind w:firstLine="0" w:firstLineChars="0"/>
                    <w:rPr>
                      <w:rFonts w:hint="default" w:ascii="Times New Roman" w:hAnsi="Times New Roman" w:eastAsia="仿宋"/>
                      <w:i/>
                      <w:iCs/>
                      <w:snapToGrid w:val="0"/>
                      <w:color w:val="auto"/>
                      <w:sz w:val="24"/>
                      <w:szCs w:val="24"/>
                      <w:lang w:val="en-US" w:eastAsia="zh-CN"/>
                    </w:rPr>
                  </w:pPr>
                  <w:r>
                    <w:rPr>
                      <w:rFonts w:hint="eastAsia" w:ascii="Times New Roman" w:hAnsi="Times New Roman"/>
                      <w:i/>
                      <w:iCs/>
                      <w:snapToGrid w:val="0"/>
                      <w:color w:val="auto"/>
                      <w:sz w:val="24"/>
                      <w:szCs w:val="24"/>
                      <w:lang w:val="en-US" w:eastAsia="zh-CN"/>
                    </w:rPr>
                    <w:t>4.895</w:t>
                  </w:r>
                </w:p>
              </w:tc>
              <w:tc>
                <w:tcPr>
                  <w:tcW w:w="1385" w:type="dxa"/>
                  <w:vAlign w:val="center"/>
                </w:tcPr>
                <w:p w14:paraId="4BB4A16F">
                  <w:pPr>
                    <w:pStyle w:val="48"/>
                    <w:rPr>
                      <w:rFonts w:hint="eastAsia" w:eastAsia="仿宋"/>
                      <w:i/>
                      <w:iCs/>
                      <w:snapToGrid w:val="0"/>
                      <w:color w:val="auto"/>
                      <w:sz w:val="24"/>
                      <w:szCs w:val="18"/>
                      <w:lang w:eastAsia="zh-CN"/>
                    </w:rPr>
                  </w:pPr>
                  <w:r>
                    <w:rPr>
                      <w:rFonts w:hint="eastAsia"/>
                      <w:i/>
                      <w:iCs/>
                      <w:snapToGrid w:val="0"/>
                      <w:color w:val="auto"/>
                      <w:sz w:val="24"/>
                      <w:szCs w:val="18"/>
                      <w:lang w:eastAsia="zh-CN"/>
                    </w:rPr>
                    <w:t>涂胶</w:t>
                  </w:r>
                </w:p>
              </w:tc>
              <w:tc>
                <w:tcPr>
                  <w:tcW w:w="922" w:type="dxa"/>
                  <w:vAlign w:val="center"/>
                </w:tcPr>
                <w:p w14:paraId="13500C92">
                  <w:pPr>
                    <w:pStyle w:val="48"/>
                    <w:rPr>
                      <w:rFonts w:hint="eastAsia"/>
                      <w:i/>
                      <w:iCs/>
                      <w:color w:val="auto"/>
                      <w:sz w:val="24"/>
                      <w:szCs w:val="18"/>
                    </w:rPr>
                  </w:pPr>
                  <w:r>
                    <w:rPr>
                      <w:rFonts w:hint="eastAsia"/>
                      <w:i/>
                      <w:iCs/>
                      <w:color w:val="auto"/>
                      <w:sz w:val="24"/>
                      <w:szCs w:val="18"/>
                    </w:rPr>
                    <w:t>液态</w:t>
                  </w:r>
                </w:p>
              </w:tc>
              <w:tc>
                <w:tcPr>
                  <w:tcW w:w="969" w:type="dxa"/>
                  <w:vAlign w:val="center"/>
                </w:tcPr>
                <w:p w14:paraId="4496C696">
                  <w:pPr>
                    <w:pStyle w:val="48"/>
                    <w:rPr>
                      <w:rFonts w:hint="eastAsia" w:eastAsia="仿宋"/>
                      <w:i/>
                      <w:iCs/>
                      <w:color w:val="auto"/>
                      <w:sz w:val="24"/>
                      <w:szCs w:val="18"/>
                      <w:lang w:eastAsia="zh-CN"/>
                    </w:rPr>
                  </w:pPr>
                  <w:r>
                    <w:rPr>
                      <w:rFonts w:hint="eastAsia"/>
                      <w:i/>
                      <w:iCs/>
                      <w:color w:val="auto"/>
                      <w:sz w:val="24"/>
                      <w:szCs w:val="18"/>
                      <w:lang w:eastAsia="zh-CN"/>
                    </w:rPr>
                    <w:t>胶</w:t>
                  </w:r>
                </w:p>
              </w:tc>
              <w:tc>
                <w:tcPr>
                  <w:tcW w:w="1030" w:type="dxa"/>
                  <w:vAlign w:val="center"/>
                </w:tcPr>
                <w:p w14:paraId="554BDEB9">
                  <w:pPr>
                    <w:pStyle w:val="48"/>
                    <w:rPr>
                      <w:i/>
                      <w:iCs/>
                      <w:color w:val="auto"/>
                      <w:sz w:val="24"/>
                      <w:szCs w:val="18"/>
                    </w:rPr>
                  </w:pPr>
                  <w:r>
                    <w:rPr>
                      <w:rFonts w:hint="eastAsia"/>
                      <w:i/>
                      <w:iCs/>
                      <w:color w:val="auto"/>
                      <w:sz w:val="24"/>
                      <w:szCs w:val="18"/>
                      <w:lang w:eastAsia="zh-CN"/>
                    </w:rPr>
                    <w:t>胶</w:t>
                  </w:r>
                </w:p>
              </w:tc>
              <w:tc>
                <w:tcPr>
                  <w:tcW w:w="1076" w:type="dxa"/>
                  <w:vAlign w:val="center"/>
                </w:tcPr>
                <w:p w14:paraId="5D76CC9F">
                  <w:pPr>
                    <w:pStyle w:val="48"/>
                    <w:rPr>
                      <w:rFonts w:hint="eastAsia" w:eastAsia="仿宋"/>
                      <w:i/>
                      <w:iCs/>
                      <w:color w:val="auto"/>
                      <w:sz w:val="24"/>
                      <w:lang w:eastAsia="zh-CN"/>
                    </w:rPr>
                  </w:pPr>
                  <w:r>
                    <w:rPr>
                      <w:rFonts w:hint="eastAsia"/>
                      <w:i/>
                      <w:iCs/>
                      <w:color w:val="auto"/>
                      <w:sz w:val="24"/>
                      <w:lang w:eastAsia="zh-CN"/>
                    </w:rPr>
                    <w:t>每天</w:t>
                  </w:r>
                </w:p>
              </w:tc>
              <w:tc>
                <w:tcPr>
                  <w:tcW w:w="1293" w:type="dxa"/>
                  <w:vAlign w:val="center"/>
                </w:tcPr>
                <w:p w14:paraId="7F4A0F57">
                  <w:pPr>
                    <w:pStyle w:val="48"/>
                    <w:rPr>
                      <w:rFonts w:hint="eastAsia"/>
                      <w:i/>
                      <w:iCs/>
                      <w:color w:val="auto"/>
                      <w:sz w:val="24"/>
                    </w:rPr>
                  </w:pPr>
                  <w:r>
                    <w:rPr>
                      <w:rFonts w:hint="eastAsia"/>
                      <w:i/>
                      <w:iCs/>
                      <w:color w:val="auto"/>
                      <w:sz w:val="24"/>
                    </w:rPr>
                    <w:t>T/In</w:t>
                  </w:r>
                </w:p>
              </w:tc>
              <w:tc>
                <w:tcPr>
                  <w:tcW w:w="1265" w:type="dxa"/>
                  <w:vMerge w:val="continue"/>
                  <w:vAlign w:val="center"/>
                </w:tcPr>
                <w:p w14:paraId="1AC4A049">
                  <w:pPr>
                    <w:pStyle w:val="48"/>
                    <w:rPr>
                      <w:i/>
                      <w:iCs/>
                      <w:color w:val="auto"/>
                      <w:szCs w:val="18"/>
                    </w:rPr>
                  </w:pPr>
                </w:p>
              </w:tc>
            </w:tr>
            <w:tr w14:paraId="64FA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exact"/>
              </w:trPr>
              <w:tc>
                <w:tcPr>
                  <w:tcW w:w="716" w:type="dxa"/>
                  <w:vAlign w:val="center"/>
                </w:tcPr>
                <w:p w14:paraId="6A9A0BD1">
                  <w:pPr>
                    <w:pStyle w:val="48"/>
                    <w:rPr>
                      <w:rFonts w:hint="default"/>
                      <w:i/>
                      <w:iCs/>
                      <w:color w:val="auto"/>
                      <w:sz w:val="24"/>
                      <w:szCs w:val="18"/>
                      <w:lang w:val="en-US" w:eastAsia="zh-CN"/>
                    </w:rPr>
                  </w:pPr>
                  <w:r>
                    <w:rPr>
                      <w:rFonts w:hint="eastAsia"/>
                      <w:i/>
                      <w:iCs/>
                      <w:color w:val="auto"/>
                      <w:sz w:val="24"/>
                      <w:szCs w:val="18"/>
                      <w:lang w:val="en-US" w:eastAsia="zh-CN"/>
                    </w:rPr>
                    <w:t>7</w:t>
                  </w:r>
                </w:p>
              </w:tc>
              <w:tc>
                <w:tcPr>
                  <w:tcW w:w="1612" w:type="dxa"/>
                  <w:vAlign w:val="center"/>
                </w:tcPr>
                <w:p w14:paraId="3D10DA36">
                  <w:pPr>
                    <w:pStyle w:val="48"/>
                    <w:rPr>
                      <w:rFonts w:hint="eastAsia"/>
                      <w:i/>
                      <w:iCs/>
                      <w:snapToGrid w:val="0"/>
                      <w:color w:val="auto"/>
                      <w:sz w:val="24"/>
                      <w:szCs w:val="18"/>
                      <w:lang w:eastAsia="zh-CN"/>
                    </w:rPr>
                  </w:pPr>
                  <w:r>
                    <w:rPr>
                      <w:rFonts w:hint="eastAsia"/>
                      <w:i/>
                      <w:iCs/>
                      <w:snapToGrid w:val="0"/>
                      <w:color w:val="auto"/>
                      <w:sz w:val="24"/>
                      <w:szCs w:val="18"/>
                      <w:lang w:eastAsia="zh-CN"/>
                    </w:rPr>
                    <w:t>废抹布</w:t>
                  </w:r>
                </w:p>
              </w:tc>
              <w:tc>
                <w:tcPr>
                  <w:tcW w:w="1537" w:type="dxa"/>
                  <w:shd w:val="clear" w:color="auto" w:fill="auto"/>
                  <w:vAlign w:val="center"/>
                </w:tcPr>
                <w:p w14:paraId="33C5AC7F">
                  <w:pPr>
                    <w:pStyle w:val="48"/>
                    <w:ind w:firstLine="0" w:firstLineChars="0"/>
                    <w:rPr>
                      <w:rFonts w:hint="eastAsia" w:ascii="仿宋" w:hAnsi="仿宋" w:eastAsia="仿宋" w:cs="Times New Roman"/>
                      <w:i/>
                      <w:iCs/>
                      <w:color w:val="auto"/>
                      <w:kern w:val="2"/>
                      <w:sz w:val="24"/>
                      <w:szCs w:val="18"/>
                      <w:lang w:val="en-US" w:eastAsia="zh-CN" w:bidi="ar-SA"/>
                    </w:rPr>
                  </w:pPr>
                  <w:r>
                    <w:rPr>
                      <w:rFonts w:hint="eastAsia"/>
                      <w:i/>
                      <w:iCs/>
                      <w:color w:val="auto"/>
                      <w:sz w:val="24"/>
                      <w:szCs w:val="18"/>
                    </w:rPr>
                    <w:t>H</w:t>
                  </w:r>
                  <w:r>
                    <w:rPr>
                      <w:i/>
                      <w:iCs/>
                      <w:color w:val="auto"/>
                      <w:sz w:val="24"/>
                      <w:szCs w:val="18"/>
                    </w:rPr>
                    <w:t>W49</w:t>
                  </w:r>
                </w:p>
              </w:tc>
              <w:tc>
                <w:tcPr>
                  <w:tcW w:w="1538" w:type="dxa"/>
                  <w:shd w:val="clear" w:color="auto" w:fill="auto"/>
                  <w:vAlign w:val="center"/>
                </w:tcPr>
                <w:p w14:paraId="59C41746">
                  <w:pPr>
                    <w:pStyle w:val="48"/>
                    <w:ind w:firstLine="0" w:firstLineChars="0"/>
                    <w:rPr>
                      <w:rFonts w:hint="eastAsia" w:ascii="仿宋" w:hAnsi="仿宋" w:eastAsia="仿宋" w:cs="Times New Roman"/>
                      <w:i/>
                      <w:iCs/>
                      <w:color w:val="auto"/>
                      <w:kern w:val="2"/>
                      <w:sz w:val="24"/>
                      <w:szCs w:val="18"/>
                      <w:lang w:val="zh-CN" w:eastAsia="zh-CN" w:bidi="ar-SA"/>
                    </w:rPr>
                  </w:pPr>
                  <w:r>
                    <w:rPr>
                      <w:rFonts w:hint="eastAsia"/>
                      <w:i/>
                      <w:iCs/>
                      <w:color w:val="auto"/>
                      <w:sz w:val="24"/>
                      <w:szCs w:val="18"/>
                      <w:lang w:val="zh-CN"/>
                    </w:rPr>
                    <w:t>900-041-49</w:t>
                  </w:r>
                </w:p>
              </w:tc>
              <w:tc>
                <w:tcPr>
                  <w:tcW w:w="1076" w:type="dxa"/>
                  <w:shd w:val="clear" w:color="auto" w:fill="auto"/>
                  <w:vAlign w:val="center"/>
                </w:tcPr>
                <w:p w14:paraId="39350CF4">
                  <w:pPr>
                    <w:pStyle w:val="48"/>
                    <w:spacing w:line="240" w:lineRule="auto"/>
                    <w:ind w:firstLine="0" w:firstLineChars="0"/>
                    <w:rPr>
                      <w:rFonts w:hint="eastAsia" w:ascii="Times New Roman" w:hAnsi="Times New Roman" w:eastAsia="仿宋" w:cs="Times New Roman"/>
                      <w:i/>
                      <w:iCs/>
                      <w:snapToGrid w:val="0"/>
                      <w:color w:val="auto"/>
                      <w:kern w:val="2"/>
                      <w:sz w:val="24"/>
                      <w:szCs w:val="18"/>
                      <w:highlight w:val="yellow"/>
                      <w:lang w:val="en-US" w:eastAsia="zh-CN" w:bidi="ar-SA"/>
                    </w:rPr>
                  </w:pPr>
                  <w:r>
                    <w:rPr>
                      <w:rFonts w:hint="eastAsia" w:ascii="Times New Roman" w:hAnsi="Times New Roman"/>
                      <w:i/>
                      <w:iCs/>
                      <w:snapToGrid w:val="0"/>
                      <w:color w:val="auto"/>
                      <w:sz w:val="24"/>
                      <w:szCs w:val="24"/>
                      <w:lang w:val="en-US" w:eastAsia="zh-CN"/>
                    </w:rPr>
                    <w:t>0.1</w:t>
                  </w:r>
                </w:p>
              </w:tc>
              <w:tc>
                <w:tcPr>
                  <w:tcW w:w="1385" w:type="dxa"/>
                  <w:shd w:val="clear" w:color="auto" w:fill="auto"/>
                  <w:vAlign w:val="center"/>
                </w:tcPr>
                <w:p w14:paraId="7B42FC65">
                  <w:pPr>
                    <w:pStyle w:val="48"/>
                    <w:ind w:firstLine="0" w:firstLineChars="0"/>
                    <w:rPr>
                      <w:rFonts w:hint="eastAsia" w:ascii="仿宋" w:hAnsi="仿宋" w:eastAsia="仿宋" w:cs="Times New Roman"/>
                      <w:i/>
                      <w:iCs/>
                      <w:snapToGrid w:val="0"/>
                      <w:color w:val="auto"/>
                      <w:kern w:val="2"/>
                      <w:sz w:val="24"/>
                      <w:szCs w:val="18"/>
                      <w:lang w:val="en-US" w:eastAsia="zh-CN" w:bidi="ar-SA"/>
                    </w:rPr>
                  </w:pPr>
                  <w:r>
                    <w:rPr>
                      <w:rFonts w:hint="eastAsia"/>
                      <w:i/>
                      <w:iCs/>
                      <w:snapToGrid w:val="0"/>
                      <w:color w:val="auto"/>
                      <w:sz w:val="24"/>
                      <w:szCs w:val="18"/>
                    </w:rPr>
                    <w:t>设备维护</w:t>
                  </w:r>
                </w:p>
              </w:tc>
              <w:tc>
                <w:tcPr>
                  <w:tcW w:w="922" w:type="dxa"/>
                  <w:shd w:val="clear" w:color="auto" w:fill="auto"/>
                  <w:vAlign w:val="center"/>
                </w:tcPr>
                <w:p w14:paraId="1DB16EB6">
                  <w:pPr>
                    <w:pStyle w:val="48"/>
                    <w:ind w:firstLine="0" w:firstLineChars="0"/>
                    <w:rPr>
                      <w:rFonts w:hint="eastAsia" w:ascii="仿宋" w:hAnsi="仿宋" w:eastAsia="仿宋" w:cs="Times New Roman"/>
                      <w:i/>
                      <w:iCs/>
                      <w:color w:val="auto"/>
                      <w:kern w:val="2"/>
                      <w:sz w:val="24"/>
                      <w:szCs w:val="18"/>
                      <w:lang w:val="en-US" w:eastAsia="zh-CN" w:bidi="ar-SA"/>
                    </w:rPr>
                  </w:pPr>
                  <w:r>
                    <w:rPr>
                      <w:rFonts w:hint="eastAsia"/>
                      <w:i/>
                      <w:iCs/>
                      <w:color w:val="auto"/>
                      <w:sz w:val="24"/>
                      <w:szCs w:val="18"/>
                    </w:rPr>
                    <w:t>固态</w:t>
                  </w:r>
                </w:p>
              </w:tc>
              <w:tc>
                <w:tcPr>
                  <w:tcW w:w="969" w:type="dxa"/>
                  <w:shd w:val="clear" w:color="auto" w:fill="auto"/>
                  <w:vAlign w:val="center"/>
                </w:tcPr>
                <w:p w14:paraId="41A4FF2B">
                  <w:pPr>
                    <w:pStyle w:val="48"/>
                    <w:rPr>
                      <w:rFonts w:hint="eastAsia" w:ascii="仿宋" w:hAnsi="仿宋" w:eastAsia="仿宋" w:cs="Times New Roman"/>
                      <w:i/>
                      <w:iCs/>
                      <w:color w:val="auto"/>
                      <w:kern w:val="2"/>
                      <w:sz w:val="24"/>
                      <w:szCs w:val="18"/>
                      <w:lang w:val="en-US" w:eastAsia="zh-CN" w:bidi="ar-SA"/>
                    </w:rPr>
                  </w:pPr>
                  <w:r>
                    <w:rPr>
                      <w:rFonts w:hint="eastAsia"/>
                      <w:i/>
                      <w:iCs/>
                      <w:color w:val="auto"/>
                      <w:sz w:val="24"/>
                      <w:szCs w:val="18"/>
                      <w:lang w:eastAsia="zh-CN"/>
                    </w:rPr>
                    <w:t>胶</w:t>
                  </w:r>
                </w:p>
              </w:tc>
              <w:tc>
                <w:tcPr>
                  <w:tcW w:w="1030" w:type="dxa"/>
                  <w:shd w:val="clear" w:color="auto" w:fill="auto"/>
                  <w:vAlign w:val="center"/>
                </w:tcPr>
                <w:p w14:paraId="45501714">
                  <w:pPr>
                    <w:pStyle w:val="48"/>
                    <w:ind w:firstLine="0" w:firstLineChars="0"/>
                    <w:rPr>
                      <w:rFonts w:hint="eastAsia" w:ascii="仿宋" w:hAnsi="仿宋" w:eastAsia="仿宋" w:cs="Times New Roman"/>
                      <w:i/>
                      <w:iCs/>
                      <w:color w:val="auto"/>
                      <w:kern w:val="2"/>
                      <w:sz w:val="24"/>
                      <w:szCs w:val="18"/>
                      <w:lang w:val="en-US" w:eastAsia="zh-CN" w:bidi="ar-SA"/>
                    </w:rPr>
                  </w:pPr>
                  <w:r>
                    <w:rPr>
                      <w:rFonts w:hint="eastAsia"/>
                      <w:i/>
                      <w:iCs/>
                      <w:color w:val="auto"/>
                      <w:sz w:val="24"/>
                      <w:szCs w:val="18"/>
                      <w:lang w:eastAsia="zh-CN"/>
                    </w:rPr>
                    <w:t>胶</w:t>
                  </w:r>
                </w:p>
              </w:tc>
              <w:tc>
                <w:tcPr>
                  <w:tcW w:w="1076" w:type="dxa"/>
                  <w:shd w:val="clear" w:color="auto" w:fill="auto"/>
                  <w:vAlign w:val="center"/>
                </w:tcPr>
                <w:p w14:paraId="4C57A046">
                  <w:pPr>
                    <w:pStyle w:val="48"/>
                    <w:ind w:firstLine="0" w:firstLineChars="0"/>
                    <w:rPr>
                      <w:rFonts w:hint="eastAsia" w:ascii="仿宋" w:hAnsi="仿宋" w:eastAsia="仿宋" w:cs="Times New Roman"/>
                      <w:i/>
                      <w:iCs/>
                      <w:color w:val="auto"/>
                      <w:kern w:val="2"/>
                      <w:sz w:val="24"/>
                      <w:szCs w:val="18"/>
                      <w:lang w:val="en-US" w:eastAsia="zh-CN" w:bidi="ar-SA"/>
                    </w:rPr>
                  </w:pPr>
                  <w:r>
                    <w:rPr>
                      <w:rFonts w:hint="eastAsia"/>
                      <w:i/>
                      <w:iCs/>
                      <w:color w:val="auto"/>
                      <w:sz w:val="24"/>
                    </w:rPr>
                    <w:t>间断</w:t>
                  </w:r>
                </w:p>
              </w:tc>
              <w:tc>
                <w:tcPr>
                  <w:tcW w:w="1293" w:type="dxa"/>
                  <w:shd w:val="clear" w:color="auto" w:fill="auto"/>
                  <w:vAlign w:val="center"/>
                </w:tcPr>
                <w:p w14:paraId="0E203F32">
                  <w:pPr>
                    <w:pStyle w:val="48"/>
                    <w:ind w:firstLine="0" w:firstLineChars="0"/>
                    <w:rPr>
                      <w:rFonts w:hint="eastAsia" w:ascii="仿宋" w:hAnsi="仿宋" w:eastAsia="仿宋" w:cs="Times New Roman"/>
                      <w:i/>
                      <w:iCs/>
                      <w:color w:val="auto"/>
                      <w:kern w:val="2"/>
                      <w:sz w:val="24"/>
                      <w:szCs w:val="24"/>
                      <w:lang w:val="en-US" w:eastAsia="zh-CN" w:bidi="ar-SA"/>
                    </w:rPr>
                  </w:pPr>
                  <w:r>
                    <w:rPr>
                      <w:rFonts w:hint="eastAsia"/>
                      <w:i/>
                      <w:iCs/>
                      <w:color w:val="auto"/>
                      <w:sz w:val="24"/>
                    </w:rPr>
                    <w:t>T/In</w:t>
                  </w:r>
                </w:p>
              </w:tc>
              <w:tc>
                <w:tcPr>
                  <w:tcW w:w="1265" w:type="dxa"/>
                  <w:vMerge w:val="continue"/>
                  <w:vAlign w:val="center"/>
                </w:tcPr>
                <w:p w14:paraId="2D4947B6">
                  <w:pPr>
                    <w:pStyle w:val="48"/>
                    <w:rPr>
                      <w:i/>
                      <w:iCs/>
                      <w:color w:val="auto"/>
                      <w:szCs w:val="18"/>
                    </w:rPr>
                  </w:pPr>
                </w:p>
              </w:tc>
            </w:tr>
            <w:tr w14:paraId="557A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5403" w:type="dxa"/>
                  <w:gridSpan w:val="4"/>
                  <w:vAlign w:val="center"/>
                </w:tcPr>
                <w:p w14:paraId="7F492415">
                  <w:pPr>
                    <w:pStyle w:val="48"/>
                    <w:rPr>
                      <w:b/>
                      <w:i/>
                      <w:iCs/>
                      <w:color w:val="auto"/>
                      <w:szCs w:val="18"/>
                    </w:rPr>
                  </w:pPr>
                  <w:r>
                    <w:rPr>
                      <w:b/>
                      <w:i/>
                      <w:iCs/>
                      <w:color w:val="auto"/>
                      <w:sz w:val="24"/>
                      <w:szCs w:val="18"/>
                    </w:rPr>
                    <w:t>合计</w:t>
                  </w:r>
                </w:p>
              </w:tc>
              <w:tc>
                <w:tcPr>
                  <w:tcW w:w="1076" w:type="dxa"/>
                  <w:vAlign w:val="center"/>
                </w:tcPr>
                <w:p w14:paraId="09DA4C62">
                  <w:pPr>
                    <w:pStyle w:val="48"/>
                    <w:rPr>
                      <w:rFonts w:hint="default" w:eastAsia="仿宋"/>
                      <w:b/>
                      <w:i/>
                      <w:iCs/>
                      <w:snapToGrid w:val="0"/>
                      <w:color w:val="auto"/>
                      <w:szCs w:val="18"/>
                      <w:lang w:val="en-US" w:eastAsia="zh-CN"/>
                    </w:rPr>
                  </w:pPr>
                  <w:r>
                    <w:rPr>
                      <w:rFonts w:hint="eastAsia"/>
                      <w:b/>
                      <w:i/>
                      <w:iCs/>
                      <w:snapToGrid w:val="0"/>
                      <w:color w:val="auto"/>
                      <w:sz w:val="24"/>
                      <w:szCs w:val="24"/>
                      <w:highlight w:val="none"/>
                      <w:lang w:val="en-US" w:eastAsia="zh-CN"/>
                    </w:rPr>
                    <w:t>6.659</w:t>
                  </w:r>
                </w:p>
              </w:tc>
              <w:tc>
                <w:tcPr>
                  <w:tcW w:w="1385" w:type="dxa"/>
                  <w:vAlign w:val="center"/>
                </w:tcPr>
                <w:p w14:paraId="77CE586D">
                  <w:pPr>
                    <w:pStyle w:val="48"/>
                    <w:rPr>
                      <w:b/>
                      <w:i/>
                      <w:iCs/>
                      <w:snapToGrid w:val="0"/>
                      <w:color w:val="auto"/>
                      <w:szCs w:val="18"/>
                    </w:rPr>
                  </w:pPr>
                  <w:r>
                    <w:rPr>
                      <w:b/>
                      <w:i/>
                      <w:iCs/>
                      <w:snapToGrid w:val="0"/>
                      <w:color w:val="auto"/>
                      <w:sz w:val="24"/>
                      <w:szCs w:val="18"/>
                    </w:rPr>
                    <w:t>/</w:t>
                  </w:r>
                </w:p>
              </w:tc>
              <w:tc>
                <w:tcPr>
                  <w:tcW w:w="922" w:type="dxa"/>
                  <w:vAlign w:val="center"/>
                </w:tcPr>
                <w:p w14:paraId="379CA8F5">
                  <w:pPr>
                    <w:pStyle w:val="48"/>
                    <w:rPr>
                      <w:b/>
                      <w:i/>
                      <w:iCs/>
                      <w:color w:val="auto"/>
                      <w:szCs w:val="18"/>
                    </w:rPr>
                  </w:pPr>
                  <w:r>
                    <w:rPr>
                      <w:b/>
                      <w:i/>
                      <w:iCs/>
                      <w:color w:val="auto"/>
                      <w:sz w:val="24"/>
                      <w:szCs w:val="18"/>
                    </w:rPr>
                    <w:t>/</w:t>
                  </w:r>
                </w:p>
              </w:tc>
              <w:tc>
                <w:tcPr>
                  <w:tcW w:w="969" w:type="dxa"/>
                  <w:vAlign w:val="center"/>
                </w:tcPr>
                <w:p w14:paraId="71094430">
                  <w:pPr>
                    <w:pStyle w:val="48"/>
                    <w:rPr>
                      <w:b/>
                      <w:i/>
                      <w:iCs/>
                      <w:color w:val="auto"/>
                      <w:szCs w:val="18"/>
                    </w:rPr>
                  </w:pPr>
                  <w:r>
                    <w:rPr>
                      <w:rFonts w:hint="eastAsia"/>
                      <w:b/>
                      <w:i/>
                      <w:iCs/>
                      <w:snapToGrid w:val="0"/>
                      <w:color w:val="auto"/>
                      <w:sz w:val="24"/>
                      <w:szCs w:val="18"/>
                    </w:rPr>
                    <w:t>/</w:t>
                  </w:r>
                </w:p>
              </w:tc>
              <w:tc>
                <w:tcPr>
                  <w:tcW w:w="1030" w:type="dxa"/>
                  <w:vAlign w:val="center"/>
                </w:tcPr>
                <w:p w14:paraId="6DE81280">
                  <w:pPr>
                    <w:pStyle w:val="48"/>
                    <w:rPr>
                      <w:i/>
                      <w:iCs/>
                      <w:color w:val="auto"/>
                      <w:szCs w:val="18"/>
                    </w:rPr>
                  </w:pPr>
                  <w:r>
                    <w:rPr>
                      <w:i/>
                      <w:iCs/>
                      <w:color w:val="auto"/>
                      <w:sz w:val="24"/>
                      <w:szCs w:val="18"/>
                    </w:rPr>
                    <w:t>/</w:t>
                  </w:r>
                </w:p>
              </w:tc>
              <w:tc>
                <w:tcPr>
                  <w:tcW w:w="1076" w:type="dxa"/>
                  <w:vAlign w:val="center"/>
                </w:tcPr>
                <w:p w14:paraId="7C4092E4">
                  <w:pPr>
                    <w:pStyle w:val="48"/>
                    <w:rPr>
                      <w:i/>
                      <w:iCs/>
                      <w:color w:val="auto"/>
                      <w:szCs w:val="18"/>
                    </w:rPr>
                  </w:pPr>
                  <w:r>
                    <w:rPr>
                      <w:i/>
                      <w:iCs/>
                      <w:color w:val="auto"/>
                      <w:sz w:val="24"/>
                      <w:szCs w:val="18"/>
                    </w:rPr>
                    <w:t>/</w:t>
                  </w:r>
                </w:p>
              </w:tc>
              <w:tc>
                <w:tcPr>
                  <w:tcW w:w="1293" w:type="dxa"/>
                  <w:vAlign w:val="center"/>
                </w:tcPr>
                <w:p w14:paraId="021A452B">
                  <w:pPr>
                    <w:pStyle w:val="48"/>
                    <w:rPr>
                      <w:i/>
                      <w:iCs/>
                      <w:color w:val="auto"/>
                      <w:szCs w:val="18"/>
                    </w:rPr>
                  </w:pPr>
                  <w:r>
                    <w:rPr>
                      <w:i/>
                      <w:iCs/>
                      <w:color w:val="auto"/>
                      <w:sz w:val="24"/>
                      <w:szCs w:val="18"/>
                    </w:rPr>
                    <w:t>/</w:t>
                  </w:r>
                </w:p>
              </w:tc>
              <w:tc>
                <w:tcPr>
                  <w:tcW w:w="1265" w:type="dxa"/>
                  <w:vMerge w:val="continue"/>
                  <w:vAlign w:val="center"/>
                </w:tcPr>
                <w:p w14:paraId="64099880">
                  <w:pPr>
                    <w:pStyle w:val="48"/>
                    <w:rPr>
                      <w:i/>
                      <w:iCs/>
                      <w:color w:val="auto"/>
                      <w:szCs w:val="18"/>
                    </w:rPr>
                  </w:pPr>
                </w:p>
              </w:tc>
            </w:tr>
          </w:tbl>
          <w:p w14:paraId="0B26FEE5">
            <w:pPr>
              <w:ind w:firstLine="420"/>
              <w:rPr>
                <w:color w:val="auto"/>
                <w:lang w:val="zh-CN"/>
              </w:rPr>
            </w:pPr>
          </w:p>
        </w:tc>
      </w:tr>
    </w:tbl>
    <w:p w14:paraId="5BBCF1CE">
      <w:pPr>
        <w:ind w:firstLine="420"/>
        <w:rPr>
          <w:color w:val="auto"/>
        </w:rPr>
        <w:sectPr>
          <w:pgSz w:w="16838" w:h="11906" w:orient="landscape"/>
          <w:pgMar w:top="1531" w:right="1701" w:bottom="1531" w:left="1701" w:header="851" w:footer="851" w:gutter="0"/>
          <w:cols w:space="720" w:num="1"/>
          <w:docGrid w:linePitch="312" w:charSpace="0"/>
        </w:sectPr>
      </w:pPr>
    </w:p>
    <w:tbl>
      <w:tblPr>
        <w:tblStyle w:val="3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492"/>
      </w:tblGrid>
      <w:tr w14:paraId="62307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416" w:type="dxa"/>
            <w:tcMar>
              <w:left w:w="28" w:type="dxa"/>
              <w:right w:w="28" w:type="dxa"/>
            </w:tcMar>
            <w:vAlign w:val="center"/>
          </w:tcPr>
          <w:p w14:paraId="06D47834">
            <w:pPr>
              <w:pStyle w:val="49"/>
              <w:rPr>
                <w:color w:val="auto"/>
                <w:sz w:val="28"/>
              </w:rPr>
            </w:pPr>
            <w:r>
              <w:rPr>
                <w:rFonts w:hint="eastAsia"/>
                <w:color w:val="auto"/>
                <w:sz w:val="28"/>
              </w:rPr>
              <w:t>运营期环境影</w:t>
            </w:r>
          </w:p>
          <w:p w14:paraId="76D5923E">
            <w:pPr>
              <w:pStyle w:val="49"/>
              <w:rPr>
                <w:color w:val="auto"/>
              </w:rPr>
            </w:pPr>
            <w:r>
              <w:rPr>
                <w:rFonts w:hint="eastAsia"/>
                <w:color w:val="auto"/>
                <w:sz w:val="28"/>
              </w:rPr>
              <w:t>响和保护措施</w:t>
            </w:r>
          </w:p>
        </w:tc>
        <w:tc>
          <w:tcPr>
            <w:tcW w:w="8492" w:type="dxa"/>
            <w:vAlign w:val="center"/>
          </w:tcPr>
          <w:p w14:paraId="4FBC1D59">
            <w:pPr>
              <w:pStyle w:val="53"/>
              <w:spacing w:before="120"/>
              <w:rPr>
                <w:rFonts w:ascii="仿宋" w:hAnsi="仿宋"/>
                <w:color w:val="auto"/>
                <w:sz w:val="28"/>
              </w:rPr>
            </w:pPr>
            <w:r>
              <w:rPr>
                <w:rFonts w:hint="eastAsia" w:ascii="仿宋" w:hAnsi="仿宋"/>
                <w:color w:val="auto"/>
                <w:sz w:val="28"/>
                <w:lang w:val="en-US"/>
              </w:rPr>
              <w:t>4.5</w:t>
            </w:r>
            <w:r>
              <w:rPr>
                <w:rFonts w:ascii="仿宋" w:hAnsi="仿宋"/>
                <w:color w:val="auto"/>
                <w:sz w:val="28"/>
              </w:rPr>
              <w:t>.2</w:t>
            </w:r>
            <w:r>
              <w:rPr>
                <w:rFonts w:hint="eastAsia" w:ascii="仿宋" w:hAnsi="仿宋"/>
                <w:color w:val="auto"/>
                <w:sz w:val="28"/>
              </w:rPr>
              <w:t>管理要求</w:t>
            </w:r>
          </w:p>
          <w:p w14:paraId="5F5DE224">
            <w:pPr>
              <w:ind w:firstLine="560"/>
              <w:rPr>
                <w:color w:val="auto"/>
                <w:sz w:val="28"/>
                <w:lang w:val="zh-CN"/>
              </w:rPr>
            </w:pPr>
            <w:r>
              <w:rPr>
                <w:rFonts w:hint="eastAsia"/>
                <w:color w:val="auto"/>
                <w:sz w:val="28"/>
                <w:lang w:val="zh-CN"/>
              </w:rPr>
              <w:t>一般固废暂存点应符合防渗漏、防雨淋、防扬散等环境保护要求。贮存应设置环境保护图形的警示、提示标志</w:t>
            </w:r>
            <w:r>
              <w:rPr>
                <w:color w:val="auto"/>
                <w:sz w:val="28"/>
                <w:lang w:val="zh-CN"/>
              </w:rPr>
              <w:t>(环境保护图形标准(GB15562.2-1995)；堆场不得混入生活垃圾或危险废物。</w:t>
            </w:r>
          </w:p>
          <w:p w14:paraId="3113642B">
            <w:pPr>
              <w:ind w:firstLine="560"/>
              <w:rPr>
                <w:color w:val="auto"/>
                <w:sz w:val="28"/>
              </w:rPr>
            </w:pPr>
            <w:r>
              <w:rPr>
                <w:rFonts w:hint="eastAsia"/>
                <w:color w:val="auto"/>
                <w:sz w:val="28"/>
                <w:lang w:eastAsia="zh-CN"/>
              </w:rPr>
              <w:t>危废贮存点</w:t>
            </w:r>
            <w:r>
              <w:rPr>
                <w:rFonts w:hint="eastAsia"/>
                <w:color w:val="auto"/>
                <w:sz w:val="28"/>
              </w:rPr>
              <w:t>严格按照《危险废物贮存污染控制标准》中有关要求进行防风、防雨、防晒、防渗漏处理，地面和墙角30cm要求进行防渗处理，防渗层的防渗性能不应低于1.5m厚渗透系数为1.0*10</w:t>
            </w:r>
            <w:r>
              <w:rPr>
                <w:rFonts w:hint="eastAsia"/>
                <w:color w:val="auto"/>
                <w:sz w:val="28"/>
                <w:vertAlign w:val="superscript"/>
              </w:rPr>
              <w:t>-7</w:t>
            </w:r>
            <w:r>
              <w:rPr>
                <w:rFonts w:hint="eastAsia"/>
                <w:color w:val="auto"/>
                <w:sz w:val="28"/>
              </w:rPr>
              <w:t>cm/s的黏土层的防渗性能，并设置危险废物标识标牌等；危险废物转移应按照《危险废物转移管理办法》（生态环境部、公安部、交通运输部令第23号）执行转移联单制度。</w:t>
            </w:r>
          </w:p>
          <w:p w14:paraId="2897AF98">
            <w:pPr>
              <w:pStyle w:val="53"/>
              <w:spacing w:before="120"/>
              <w:rPr>
                <w:rFonts w:ascii="仿宋" w:hAnsi="仿宋"/>
                <w:color w:val="auto"/>
                <w:sz w:val="28"/>
              </w:rPr>
            </w:pPr>
            <w:r>
              <w:rPr>
                <w:rFonts w:hint="eastAsia" w:ascii="仿宋" w:hAnsi="仿宋"/>
                <w:color w:val="auto"/>
                <w:sz w:val="28"/>
                <w:lang w:val="en-US"/>
              </w:rPr>
              <w:t>4.6</w:t>
            </w:r>
            <w:r>
              <w:rPr>
                <w:rFonts w:ascii="仿宋" w:hAnsi="仿宋"/>
                <w:color w:val="auto"/>
                <w:sz w:val="28"/>
              </w:rPr>
              <w:t>.</w:t>
            </w:r>
            <w:r>
              <w:rPr>
                <w:rFonts w:hint="eastAsia" w:ascii="仿宋" w:hAnsi="仿宋"/>
                <w:color w:val="auto"/>
                <w:sz w:val="28"/>
              </w:rPr>
              <w:t>地下水及土壤环境影响及保护措施</w:t>
            </w:r>
          </w:p>
          <w:p w14:paraId="6840472B">
            <w:pPr>
              <w:ind w:firstLine="560"/>
              <w:rPr>
                <w:color w:val="auto"/>
                <w:sz w:val="28"/>
              </w:rPr>
            </w:pPr>
            <w:r>
              <w:rPr>
                <w:rFonts w:hint="eastAsia"/>
                <w:color w:val="auto"/>
                <w:sz w:val="28"/>
              </w:rPr>
              <w:t>本项目地下水、土壤污染源及污染物类型情况见下表</w:t>
            </w:r>
            <w:r>
              <w:rPr>
                <w:color w:val="auto"/>
                <w:sz w:val="28"/>
              </w:rPr>
              <w:t>4-1</w:t>
            </w:r>
            <w:r>
              <w:rPr>
                <w:rFonts w:hint="eastAsia"/>
                <w:color w:val="auto"/>
                <w:sz w:val="28"/>
              </w:rPr>
              <w:t>6。</w:t>
            </w:r>
          </w:p>
          <w:p w14:paraId="76913E5A">
            <w:pPr>
              <w:pStyle w:val="75"/>
              <w:rPr>
                <w:color w:val="auto"/>
              </w:rPr>
            </w:pPr>
            <w:r>
              <w:rPr>
                <w:rFonts w:hint="eastAsia"/>
                <w:color w:val="auto"/>
                <w:sz w:val="24"/>
              </w:rPr>
              <w:t>表</w:t>
            </w:r>
            <w:r>
              <w:rPr>
                <w:color w:val="auto"/>
                <w:sz w:val="24"/>
              </w:rPr>
              <w:t>4-1</w:t>
            </w:r>
            <w:r>
              <w:rPr>
                <w:rFonts w:hint="eastAsia"/>
                <w:color w:val="auto"/>
                <w:sz w:val="24"/>
                <w:lang w:val="en-US"/>
              </w:rPr>
              <w:t>6</w:t>
            </w:r>
            <w:r>
              <w:rPr>
                <w:rFonts w:hint="eastAsia"/>
                <w:color w:val="auto"/>
                <w:sz w:val="24"/>
              </w:rPr>
              <w:t>地下水、土壤污染源及污染物类型情况一览表</w:t>
            </w:r>
          </w:p>
          <w:tbl>
            <w:tblPr>
              <w:tblStyle w:val="31"/>
              <w:tblW w:w="8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4"/>
              <w:gridCol w:w="4740"/>
            </w:tblGrid>
            <w:tr w14:paraId="38F9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4" w:type="dxa"/>
                  <w:vAlign w:val="center"/>
                </w:tcPr>
                <w:p w14:paraId="698D0E87">
                  <w:pPr>
                    <w:pStyle w:val="48"/>
                    <w:rPr>
                      <w:color w:val="auto"/>
                      <w:szCs w:val="18"/>
                    </w:rPr>
                  </w:pPr>
                  <w:r>
                    <w:rPr>
                      <w:rFonts w:hint="eastAsia"/>
                      <w:color w:val="auto"/>
                      <w:sz w:val="24"/>
                      <w:szCs w:val="18"/>
                    </w:rPr>
                    <w:t>污染源</w:t>
                  </w:r>
                </w:p>
              </w:tc>
              <w:tc>
                <w:tcPr>
                  <w:tcW w:w="4740" w:type="dxa"/>
                  <w:vAlign w:val="center"/>
                </w:tcPr>
                <w:p w14:paraId="6D8FE3B6">
                  <w:pPr>
                    <w:pStyle w:val="48"/>
                    <w:rPr>
                      <w:color w:val="auto"/>
                      <w:szCs w:val="18"/>
                    </w:rPr>
                  </w:pPr>
                  <w:r>
                    <w:rPr>
                      <w:rFonts w:hint="eastAsia"/>
                      <w:color w:val="auto"/>
                      <w:sz w:val="24"/>
                      <w:szCs w:val="18"/>
                    </w:rPr>
                    <w:t>污染物类型</w:t>
                  </w:r>
                </w:p>
              </w:tc>
            </w:tr>
            <w:tr w14:paraId="40CD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4" w:type="dxa"/>
                  <w:vAlign w:val="center"/>
                </w:tcPr>
                <w:p w14:paraId="31DD3131">
                  <w:pPr>
                    <w:pStyle w:val="48"/>
                    <w:rPr>
                      <w:rFonts w:hint="eastAsia" w:eastAsia="仿宋"/>
                      <w:color w:val="auto"/>
                      <w:szCs w:val="18"/>
                      <w:lang w:eastAsia="zh-CN"/>
                    </w:rPr>
                  </w:pPr>
                  <w:r>
                    <w:rPr>
                      <w:rFonts w:hint="eastAsia"/>
                      <w:color w:val="auto"/>
                      <w:sz w:val="24"/>
                      <w:szCs w:val="18"/>
                      <w:lang w:eastAsia="zh-CN"/>
                    </w:rPr>
                    <w:t>危废贮存点</w:t>
                  </w:r>
                </w:p>
              </w:tc>
              <w:tc>
                <w:tcPr>
                  <w:tcW w:w="4740" w:type="dxa"/>
                  <w:vAlign w:val="center"/>
                </w:tcPr>
                <w:p w14:paraId="7C47341D">
                  <w:pPr>
                    <w:pStyle w:val="48"/>
                    <w:rPr>
                      <w:rFonts w:hint="eastAsia" w:eastAsia="仿宋"/>
                      <w:color w:val="auto"/>
                      <w:szCs w:val="18"/>
                      <w:lang w:eastAsia="zh-CN"/>
                    </w:rPr>
                  </w:pPr>
                  <w:r>
                    <w:rPr>
                      <w:rFonts w:hint="eastAsia"/>
                      <w:color w:val="auto"/>
                      <w:sz w:val="24"/>
                      <w:szCs w:val="18"/>
                    </w:rPr>
                    <w:t>废</w:t>
                  </w:r>
                  <w:r>
                    <w:rPr>
                      <w:rFonts w:hint="eastAsia"/>
                      <w:color w:val="auto"/>
                      <w:sz w:val="24"/>
                      <w:szCs w:val="18"/>
                      <w:lang w:eastAsia="zh-CN"/>
                    </w:rPr>
                    <w:t>矿物</w:t>
                  </w:r>
                  <w:r>
                    <w:rPr>
                      <w:rFonts w:hint="eastAsia"/>
                      <w:color w:val="auto"/>
                      <w:sz w:val="24"/>
                      <w:szCs w:val="18"/>
                    </w:rPr>
                    <w:t>油、废油桶、空压机油水混合物</w:t>
                  </w:r>
                  <w:r>
                    <w:rPr>
                      <w:rFonts w:hint="eastAsia"/>
                      <w:color w:val="auto"/>
                      <w:sz w:val="24"/>
                      <w:szCs w:val="18"/>
                      <w:highlight w:val="none"/>
                      <w:lang w:eastAsia="zh-CN"/>
                    </w:rPr>
                    <w:t>、废胶桶</w:t>
                  </w:r>
                </w:p>
              </w:tc>
            </w:tr>
            <w:tr w14:paraId="1A88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4" w:type="dxa"/>
                  <w:vAlign w:val="center"/>
                </w:tcPr>
                <w:p w14:paraId="3E4548C4">
                  <w:pPr>
                    <w:pStyle w:val="48"/>
                    <w:rPr>
                      <w:color w:val="auto"/>
                      <w:sz w:val="24"/>
                      <w:szCs w:val="18"/>
                    </w:rPr>
                  </w:pPr>
                  <w:r>
                    <w:rPr>
                      <w:rFonts w:hint="eastAsia"/>
                      <w:color w:val="auto"/>
                      <w:sz w:val="24"/>
                      <w:szCs w:val="18"/>
                    </w:rPr>
                    <w:t>化学品暂存区</w:t>
                  </w:r>
                </w:p>
              </w:tc>
              <w:tc>
                <w:tcPr>
                  <w:tcW w:w="4740" w:type="dxa"/>
                  <w:vAlign w:val="center"/>
                </w:tcPr>
                <w:p w14:paraId="79DED785">
                  <w:pPr>
                    <w:pStyle w:val="48"/>
                    <w:rPr>
                      <w:color w:val="auto"/>
                      <w:sz w:val="24"/>
                      <w:szCs w:val="18"/>
                    </w:rPr>
                  </w:pPr>
                  <w:r>
                    <w:rPr>
                      <w:rFonts w:hint="eastAsia"/>
                      <w:color w:val="auto"/>
                      <w:sz w:val="24"/>
                      <w:szCs w:val="18"/>
                    </w:rPr>
                    <w:t>胶水</w:t>
                  </w:r>
                  <w:r>
                    <w:rPr>
                      <w:rFonts w:hint="eastAsia"/>
                      <w:color w:val="auto"/>
                      <w:sz w:val="24"/>
                      <w:szCs w:val="18"/>
                      <w:lang w:eastAsia="zh-CN"/>
                    </w:rPr>
                    <w:t>、矿物</w:t>
                  </w:r>
                  <w:r>
                    <w:rPr>
                      <w:rFonts w:hint="eastAsia"/>
                      <w:color w:val="auto"/>
                      <w:sz w:val="24"/>
                      <w:szCs w:val="18"/>
                    </w:rPr>
                    <w:t>油</w:t>
                  </w:r>
                </w:p>
              </w:tc>
            </w:tr>
            <w:tr w14:paraId="03A2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4" w:type="dxa"/>
                  <w:vAlign w:val="center"/>
                </w:tcPr>
                <w:p w14:paraId="4AF4567F">
                  <w:pPr>
                    <w:pStyle w:val="48"/>
                    <w:rPr>
                      <w:rFonts w:hint="eastAsia" w:eastAsia="仿宋"/>
                      <w:color w:val="auto"/>
                      <w:sz w:val="24"/>
                      <w:szCs w:val="18"/>
                      <w:lang w:eastAsia="zh-CN"/>
                    </w:rPr>
                  </w:pPr>
                  <w:r>
                    <w:rPr>
                      <w:rFonts w:hint="eastAsia"/>
                      <w:color w:val="auto"/>
                      <w:sz w:val="24"/>
                      <w:szCs w:val="18"/>
                      <w:lang w:eastAsia="zh-CN"/>
                    </w:rPr>
                    <w:t>涂胶区</w:t>
                  </w:r>
                </w:p>
              </w:tc>
              <w:tc>
                <w:tcPr>
                  <w:tcW w:w="4740" w:type="dxa"/>
                  <w:vAlign w:val="center"/>
                </w:tcPr>
                <w:p w14:paraId="246D4DCC">
                  <w:pPr>
                    <w:pStyle w:val="48"/>
                    <w:rPr>
                      <w:rFonts w:hint="eastAsia"/>
                      <w:color w:val="auto"/>
                      <w:sz w:val="24"/>
                      <w:szCs w:val="18"/>
                    </w:rPr>
                  </w:pPr>
                  <w:r>
                    <w:rPr>
                      <w:rFonts w:hint="eastAsia"/>
                      <w:color w:val="auto"/>
                      <w:sz w:val="24"/>
                      <w:szCs w:val="18"/>
                    </w:rPr>
                    <w:t>胶水</w:t>
                  </w:r>
                </w:p>
              </w:tc>
            </w:tr>
          </w:tbl>
          <w:p w14:paraId="13972724">
            <w:pPr>
              <w:spacing w:before="120" w:beforeLines="50"/>
              <w:ind w:firstLine="560"/>
              <w:rPr>
                <w:bCs/>
                <w:color w:val="auto"/>
                <w:sz w:val="28"/>
              </w:rPr>
            </w:pPr>
            <w:r>
              <w:rPr>
                <w:rFonts w:hint="eastAsia"/>
                <w:bCs/>
                <w:color w:val="auto"/>
                <w:sz w:val="28"/>
              </w:rPr>
              <w:t>由上表可知，本项目地下水、土壤污染源主要是在化学品暂存区</w:t>
            </w:r>
            <w:r>
              <w:rPr>
                <w:rFonts w:hint="eastAsia"/>
                <w:bCs/>
                <w:color w:val="auto"/>
                <w:sz w:val="28"/>
                <w:lang w:eastAsia="zh-CN"/>
              </w:rPr>
              <w:t>与涂胶区</w:t>
            </w:r>
            <w:r>
              <w:rPr>
                <w:rFonts w:hint="eastAsia"/>
                <w:bCs/>
                <w:color w:val="auto"/>
                <w:sz w:val="28"/>
              </w:rPr>
              <w:t>以及</w:t>
            </w:r>
            <w:r>
              <w:rPr>
                <w:rFonts w:hint="eastAsia"/>
                <w:bCs/>
                <w:color w:val="auto"/>
                <w:sz w:val="28"/>
                <w:lang w:eastAsia="zh-CN"/>
              </w:rPr>
              <w:t>危废贮存点</w:t>
            </w:r>
            <w:r>
              <w:rPr>
                <w:rFonts w:hint="eastAsia"/>
                <w:bCs/>
                <w:color w:val="auto"/>
                <w:sz w:val="28"/>
              </w:rPr>
              <w:t>区域，污染物类型主要为各类液体物料区域，则</w:t>
            </w:r>
            <w:r>
              <w:rPr>
                <w:rFonts w:hint="eastAsia"/>
                <w:color w:val="auto"/>
                <w:sz w:val="28"/>
              </w:rPr>
              <w:t>本项目地下水及土壤污染防治措施按照</w:t>
            </w:r>
            <w:r>
              <w:rPr>
                <w:color w:val="auto"/>
                <w:sz w:val="28"/>
              </w:rPr>
              <w:t>“</w:t>
            </w:r>
            <w:r>
              <w:rPr>
                <w:rFonts w:hint="eastAsia"/>
                <w:color w:val="auto"/>
                <w:sz w:val="28"/>
              </w:rPr>
              <w:t>源头控制、分区防治、污染监控、应急响应</w:t>
            </w:r>
            <w:r>
              <w:rPr>
                <w:color w:val="auto"/>
                <w:sz w:val="28"/>
              </w:rPr>
              <w:t>”</w:t>
            </w:r>
            <w:r>
              <w:rPr>
                <w:rFonts w:hint="eastAsia"/>
                <w:color w:val="auto"/>
                <w:sz w:val="28"/>
              </w:rPr>
              <w:t>相结合的原则进行控制。</w:t>
            </w:r>
          </w:p>
          <w:p w14:paraId="79FC7DD5">
            <w:pPr>
              <w:ind w:firstLine="560"/>
              <w:rPr>
                <w:b/>
                <w:bCs/>
                <w:color w:val="auto"/>
                <w:sz w:val="28"/>
              </w:rPr>
            </w:pPr>
            <w:r>
              <w:rPr>
                <w:rFonts w:hint="eastAsia"/>
                <w:color w:val="auto"/>
                <w:sz w:val="28"/>
              </w:rPr>
              <w:t>①源头控制措施</w:t>
            </w:r>
          </w:p>
          <w:p w14:paraId="0558AA7B">
            <w:pPr>
              <w:ind w:firstLine="560"/>
              <w:rPr>
                <w:color w:val="auto"/>
                <w:sz w:val="28"/>
              </w:rPr>
            </w:pPr>
            <w:r>
              <w:rPr>
                <w:rFonts w:hint="eastAsia"/>
                <w:color w:val="auto"/>
                <w:sz w:val="28"/>
                <w:lang w:eastAsia="zh-CN"/>
              </w:rPr>
              <w:t>化学品</w:t>
            </w:r>
            <w:r>
              <w:rPr>
                <w:rFonts w:hint="eastAsia"/>
                <w:color w:val="auto"/>
                <w:sz w:val="28"/>
                <w:szCs w:val="18"/>
                <w:lang w:eastAsia="zh-CN"/>
              </w:rPr>
              <w:t>暂存区、涂胶区</w:t>
            </w:r>
            <w:r>
              <w:rPr>
                <w:rFonts w:hint="eastAsia"/>
                <w:color w:val="auto"/>
                <w:sz w:val="28"/>
              </w:rPr>
              <w:t>以及</w:t>
            </w:r>
            <w:r>
              <w:rPr>
                <w:rFonts w:hint="eastAsia"/>
                <w:color w:val="auto"/>
                <w:sz w:val="28"/>
                <w:lang w:eastAsia="zh-CN"/>
              </w:rPr>
              <w:t>危废贮存点</w:t>
            </w:r>
            <w:r>
              <w:rPr>
                <w:rFonts w:hint="eastAsia"/>
                <w:color w:val="auto"/>
                <w:sz w:val="28"/>
              </w:rPr>
              <w:t>按照《危险废物贮存污染控制标准》的要求，地面采用坚固、防渗、耐腐蚀的钢筋混凝土材料铺设，同时设置托盘或围堰，考虑单桶最大的储存容积泄漏，其储存区域托盘或围堰有效容积不小于单桶最大容积。</w:t>
            </w:r>
          </w:p>
          <w:p w14:paraId="0BD374A4">
            <w:pPr>
              <w:ind w:firstLine="560"/>
              <w:rPr>
                <w:b/>
                <w:bCs/>
                <w:color w:val="auto"/>
                <w:sz w:val="28"/>
              </w:rPr>
            </w:pPr>
            <w:r>
              <w:rPr>
                <w:rFonts w:hint="eastAsia"/>
                <w:color w:val="auto"/>
                <w:sz w:val="28"/>
              </w:rPr>
              <w:t>工作人员应加强</w:t>
            </w:r>
            <w:r>
              <w:rPr>
                <w:rFonts w:hint="eastAsia"/>
                <w:color w:val="auto"/>
                <w:sz w:val="28"/>
                <w:lang w:eastAsia="zh-CN"/>
              </w:rPr>
              <w:t>化学品</w:t>
            </w:r>
            <w:r>
              <w:rPr>
                <w:rFonts w:hint="eastAsia"/>
                <w:color w:val="auto"/>
                <w:sz w:val="28"/>
                <w:szCs w:val="18"/>
                <w:lang w:eastAsia="zh-CN"/>
              </w:rPr>
              <w:t>暂存区、涂胶区</w:t>
            </w:r>
            <w:r>
              <w:rPr>
                <w:rFonts w:hint="eastAsia"/>
                <w:color w:val="auto"/>
                <w:sz w:val="28"/>
              </w:rPr>
              <w:t>和</w:t>
            </w:r>
            <w:r>
              <w:rPr>
                <w:rFonts w:hint="eastAsia"/>
                <w:color w:val="auto"/>
                <w:sz w:val="28"/>
                <w:lang w:eastAsia="zh-CN"/>
              </w:rPr>
              <w:t>危废贮存点</w:t>
            </w:r>
            <w:r>
              <w:rPr>
                <w:rFonts w:hint="eastAsia"/>
                <w:color w:val="auto"/>
                <w:sz w:val="28"/>
              </w:rPr>
              <w:t>的检修、加固，防止渗漏，防止对地下水及土壤造成污染。</w:t>
            </w:r>
          </w:p>
          <w:p w14:paraId="68A620E8">
            <w:pPr>
              <w:ind w:firstLine="560"/>
              <w:rPr>
                <w:b/>
                <w:bCs/>
                <w:color w:val="auto"/>
                <w:sz w:val="28"/>
              </w:rPr>
            </w:pPr>
            <w:r>
              <w:rPr>
                <w:rFonts w:hint="eastAsia"/>
                <w:color w:val="auto"/>
                <w:sz w:val="28"/>
              </w:rPr>
              <w:t>②防渗分区防治及措施</w:t>
            </w:r>
          </w:p>
          <w:p w14:paraId="483EBA48">
            <w:pPr>
              <w:ind w:firstLine="560"/>
              <w:rPr>
                <w:rFonts w:hint="eastAsia" w:eastAsia="仿宋"/>
                <w:b/>
                <w:bCs/>
                <w:color w:val="auto"/>
                <w:sz w:val="28"/>
                <w:lang w:eastAsia="zh-CN"/>
              </w:rPr>
            </w:pPr>
            <w:r>
              <w:rPr>
                <w:rFonts w:hint="eastAsia"/>
                <w:color w:val="auto"/>
                <w:sz w:val="28"/>
              </w:rPr>
              <w:t>根据防渗分区技术方法及本项目的工程分析，将</w:t>
            </w:r>
            <w:r>
              <w:rPr>
                <w:rFonts w:hint="eastAsia"/>
                <w:color w:val="auto"/>
                <w:sz w:val="28"/>
                <w:lang w:eastAsia="zh-CN"/>
              </w:rPr>
              <w:t>涂胶区、化学品</w:t>
            </w:r>
            <w:r>
              <w:rPr>
                <w:rFonts w:hint="eastAsia"/>
                <w:color w:val="auto"/>
                <w:sz w:val="28"/>
                <w:szCs w:val="18"/>
                <w:lang w:eastAsia="zh-CN"/>
              </w:rPr>
              <w:t>暂存区</w:t>
            </w:r>
            <w:r>
              <w:rPr>
                <w:rFonts w:hint="eastAsia"/>
                <w:color w:val="auto"/>
                <w:sz w:val="28"/>
              </w:rPr>
              <w:t>、</w:t>
            </w:r>
            <w:r>
              <w:rPr>
                <w:rFonts w:hint="eastAsia"/>
                <w:color w:val="auto"/>
                <w:sz w:val="28"/>
                <w:lang w:eastAsia="zh-CN"/>
              </w:rPr>
              <w:t>危废贮存点</w:t>
            </w:r>
            <w:r>
              <w:rPr>
                <w:rFonts w:hint="eastAsia"/>
                <w:color w:val="auto"/>
                <w:sz w:val="28"/>
              </w:rPr>
              <w:t>划分为重点防渗区；</w:t>
            </w:r>
            <w:r>
              <w:rPr>
                <w:rFonts w:hint="eastAsia"/>
                <w:i/>
                <w:iCs/>
                <w:color w:val="auto"/>
                <w:sz w:val="28"/>
                <w:lang w:eastAsia="zh-CN"/>
              </w:rPr>
              <w:t>办公区、原材料堆放区、成品暂存区为简单防渗区，</w:t>
            </w:r>
            <w:r>
              <w:rPr>
                <w:rFonts w:hint="eastAsia"/>
                <w:i/>
                <w:iCs/>
                <w:color w:val="auto"/>
                <w:sz w:val="28"/>
              </w:rPr>
              <w:t>厂房其他生产区划分为一般防渗区。</w:t>
            </w:r>
          </w:p>
          <w:p w14:paraId="53CD2873">
            <w:pPr>
              <w:ind w:firstLine="560"/>
              <w:rPr>
                <w:b/>
                <w:bCs/>
                <w:color w:val="auto"/>
                <w:sz w:val="28"/>
              </w:rPr>
            </w:pPr>
            <w:r>
              <w:rPr>
                <w:color w:val="auto"/>
                <w:sz w:val="28"/>
              </w:rPr>
              <w:t>I</w:t>
            </w:r>
            <w:r>
              <w:rPr>
                <w:rFonts w:hint="eastAsia"/>
                <w:color w:val="auto"/>
                <w:sz w:val="28"/>
              </w:rPr>
              <w:t>、重点防渗区：按照《危险废物贮存污染控制标准》的要求，地面采用坚固、防渗、耐腐蚀的钢筋混凝土材料铺设，地面按照《环境影响评价技术导则</w:t>
            </w:r>
            <w:r>
              <w:rPr>
                <w:color w:val="auto"/>
                <w:sz w:val="28"/>
              </w:rPr>
              <w:t>—</w:t>
            </w:r>
            <w:r>
              <w:rPr>
                <w:rFonts w:hint="eastAsia"/>
                <w:color w:val="auto"/>
                <w:sz w:val="28"/>
              </w:rPr>
              <w:t>地下水环境》（</w:t>
            </w:r>
            <w:r>
              <w:rPr>
                <w:color w:val="auto"/>
                <w:sz w:val="28"/>
              </w:rPr>
              <w:t>HJ610-2016</w:t>
            </w:r>
            <w:r>
              <w:rPr>
                <w:rFonts w:hint="eastAsia"/>
                <w:color w:val="auto"/>
                <w:sz w:val="28"/>
              </w:rPr>
              <w:t>）中等效黏土防渗层</w:t>
            </w:r>
            <w:r>
              <w:rPr>
                <w:color w:val="auto"/>
                <w:sz w:val="28"/>
              </w:rPr>
              <w:t>Mb≥6.0m</w:t>
            </w:r>
            <w:r>
              <w:rPr>
                <w:rFonts w:hint="eastAsia"/>
                <w:color w:val="auto"/>
                <w:sz w:val="28"/>
              </w:rPr>
              <w:t>，渗透系数</w:t>
            </w:r>
            <w:r>
              <w:rPr>
                <w:color w:val="auto"/>
                <w:sz w:val="28"/>
              </w:rPr>
              <w:t>K≤1.0×10</w:t>
            </w:r>
            <w:r>
              <w:rPr>
                <w:color w:val="auto"/>
                <w:sz w:val="28"/>
                <w:vertAlign w:val="superscript"/>
              </w:rPr>
              <w:t>-7</w:t>
            </w:r>
            <w:r>
              <w:rPr>
                <w:color w:val="auto"/>
                <w:sz w:val="28"/>
              </w:rPr>
              <w:t>cm/s</w:t>
            </w:r>
            <w:r>
              <w:rPr>
                <w:rFonts w:hint="eastAsia"/>
                <w:color w:val="auto"/>
                <w:sz w:val="28"/>
              </w:rPr>
              <w:t>的要求。</w:t>
            </w:r>
          </w:p>
          <w:p w14:paraId="01FF0D43">
            <w:pPr>
              <w:ind w:firstLine="560"/>
              <w:rPr>
                <w:color w:val="auto"/>
                <w:sz w:val="28"/>
              </w:rPr>
            </w:pPr>
            <w:r>
              <w:rPr>
                <w:color w:val="auto"/>
                <w:sz w:val="28"/>
              </w:rPr>
              <w:t>II</w:t>
            </w:r>
            <w:r>
              <w:rPr>
                <w:rFonts w:hint="eastAsia"/>
                <w:color w:val="auto"/>
                <w:sz w:val="28"/>
              </w:rPr>
              <w:t>、一般防渗区：防渗层的防渗性能等效黏土防渗层</w:t>
            </w:r>
            <w:r>
              <w:rPr>
                <w:color w:val="auto"/>
                <w:sz w:val="28"/>
              </w:rPr>
              <w:t>Mb≥1.5m</w:t>
            </w:r>
            <w:r>
              <w:rPr>
                <w:rFonts w:hint="eastAsia"/>
                <w:color w:val="auto"/>
                <w:sz w:val="28"/>
              </w:rPr>
              <w:t>，渗透系数</w:t>
            </w:r>
            <w:r>
              <w:rPr>
                <w:color w:val="auto"/>
                <w:sz w:val="28"/>
              </w:rPr>
              <w:t>K≤1.0×10</w:t>
            </w:r>
            <w:r>
              <w:rPr>
                <w:color w:val="auto"/>
                <w:sz w:val="28"/>
                <w:vertAlign w:val="superscript"/>
              </w:rPr>
              <w:t>-7</w:t>
            </w:r>
            <w:r>
              <w:rPr>
                <w:color w:val="auto"/>
                <w:sz w:val="28"/>
              </w:rPr>
              <w:t>cm/s</w:t>
            </w:r>
          </w:p>
          <w:p w14:paraId="63EA28A0">
            <w:pPr>
              <w:pStyle w:val="56"/>
              <w:keepNext w:val="0"/>
              <w:keepLines w:val="0"/>
              <w:pageBreakBefore w:val="0"/>
              <w:widowControl w:val="0"/>
              <w:kinsoku/>
              <w:wordWrap/>
              <w:overflowPunct/>
              <w:topLinePunct w:val="0"/>
              <w:autoSpaceDE/>
              <w:autoSpaceDN/>
              <w:bidi w:val="0"/>
              <w:adjustRightInd w:val="0"/>
              <w:snapToGrid w:val="0"/>
              <w:ind w:firstLine="560" w:firstLineChars="200"/>
              <w:textAlignment w:val="auto"/>
              <w:rPr>
                <w:i/>
                <w:iCs/>
                <w:color w:val="auto"/>
                <w:sz w:val="28"/>
                <w:szCs w:val="21"/>
              </w:rPr>
            </w:pPr>
            <w:r>
              <w:rPr>
                <w:rFonts w:hint="eastAsia"/>
                <w:i/>
                <w:iCs/>
                <w:color w:val="auto"/>
                <w:sz w:val="28"/>
                <w:szCs w:val="21"/>
                <w:lang w:val="en-US" w:eastAsia="zh-CN"/>
              </w:rPr>
              <w:t>Ⅲ、简单防渗区：防渗技术要求：地面采取水泥硬化。</w:t>
            </w:r>
          </w:p>
          <w:p w14:paraId="04D44422">
            <w:pPr>
              <w:ind w:firstLine="560"/>
              <w:rPr>
                <w:b/>
                <w:bCs/>
                <w:color w:val="auto"/>
                <w:sz w:val="28"/>
              </w:rPr>
            </w:pPr>
            <w:r>
              <w:rPr>
                <w:rFonts w:hint="eastAsia"/>
                <w:color w:val="auto"/>
                <w:sz w:val="28"/>
              </w:rPr>
              <w:t>③风险事故应急响应</w:t>
            </w:r>
          </w:p>
          <w:p w14:paraId="1CBFBB88">
            <w:pPr>
              <w:ind w:firstLine="560"/>
              <w:rPr>
                <w:b/>
                <w:bCs/>
                <w:color w:val="auto"/>
                <w:sz w:val="28"/>
              </w:rPr>
            </w:pPr>
            <w:r>
              <w:rPr>
                <w:rFonts w:hint="eastAsia"/>
                <w:color w:val="auto"/>
                <w:sz w:val="28"/>
              </w:rPr>
              <w:t>发现渗漏时应立即停止运营，组织人员查明渗漏源头，采取补救措施。</w:t>
            </w:r>
          </w:p>
          <w:p w14:paraId="261E814D">
            <w:pPr>
              <w:ind w:firstLine="560"/>
              <w:rPr>
                <w:color w:val="auto"/>
                <w:sz w:val="28"/>
              </w:rPr>
            </w:pPr>
            <w:r>
              <w:rPr>
                <w:rFonts w:hint="eastAsia"/>
                <w:color w:val="auto"/>
                <w:sz w:val="28"/>
              </w:rPr>
              <w:t>④跟踪监测</w:t>
            </w:r>
          </w:p>
          <w:p w14:paraId="0A9C4048">
            <w:pPr>
              <w:ind w:firstLine="560"/>
              <w:rPr>
                <w:color w:val="auto"/>
                <w:sz w:val="28"/>
              </w:rPr>
            </w:pPr>
            <w:r>
              <w:rPr>
                <w:rFonts w:hint="eastAsia"/>
                <w:color w:val="auto"/>
                <w:sz w:val="28"/>
              </w:rPr>
              <w:t>本项目不设置地下储罐，所有物料均储存于地面，一旦发生泄露可及时发现，可以保证对污染源进行监控。若确因项目生产对周边的地下水、土壤造成污染事故的，建设单位应积极查漏，并切断泄漏源，并采取相应的补救措施杜绝此类事故的发生和消除污染造成的影响，因此本项目可不设置跟踪监测点位。</w:t>
            </w:r>
          </w:p>
          <w:p w14:paraId="6F80BA33">
            <w:pPr>
              <w:ind w:firstLine="560"/>
              <w:rPr>
                <w:color w:val="auto"/>
                <w:sz w:val="28"/>
                <w:lang w:val="zh-CN"/>
              </w:rPr>
            </w:pPr>
            <w:r>
              <w:rPr>
                <w:rFonts w:hint="eastAsia"/>
                <w:color w:val="auto"/>
                <w:sz w:val="28"/>
              </w:rPr>
              <w:t>综上，本项目在确保各项措施得到落实，并加强维护和厂区环境管理的前提下，不存在地下水、土壤的污染途径，可有效避免污染地下水及土壤，因此本项目不会对地下水及土壤环境产生明显影响。</w:t>
            </w:r>
          </w:p>
          <w:p w14:paraId="215F60AC">
            <w:pPr>
              <w:pStyle w:val="53"/>
              <w:spacing w:before="120"/>
              <w:rPr>
                <w:rFonts w:ascii="仿宋" w:hAnsi="仿宋"/>
                <w:color w:val="auto"/>
                <w:sz w:val="28"/>
              </w:rPr>
            </w:pPr>
            <w:r>
              <w:rPr>
                <w:rFonts w:hint="eastAsia" w:ascii="仿宋" w:hAnsi="仿宋"/>
                <w:color w:val="auto"/>
                <w:sz w:val="28"/>
                <w:lang w:val="en-US"/>
              </w:rPr>
              <w:t>4.7</w:t>
            </w:r>
            <w:r>
              <w:rPr>
                <w:rFonts w:hint="eastAsia" w:ascii="仿宋" w:hAnsi="仿宋"/>
                <w:color w:val="auto"/>
                <w:sz w:val="28"/>
              </w:rPr>
              <w:t>环境风险环境影响及保护措施</w:t>
            </w:r>
          </w:p>
          <w:p w14:paraId="73E77622">
            <w:pPr>
              <w:pStyle w:val="53"/>
              <w:spacing w:before="120"/>
              <w:rPr>
                <w:rFonts w:ascii="仿宋" w:hAnsi="仿宋"/>
                <w:color w:val="auto"/>
                <w:sz w:val="28"/>
              </w:rPr>
            </w:pPr>
            <w:r>
              <w:rPr>
                <w:rFonts w:hint="eastAsia" w:ascii="仿宋" w:hAnsi="仿宋"/>
                <w:color w:val="auto"/>
                <w:sz w:val="28"/>
                <w:lang w:val="en-US"/>
              </w:rPr>
              <w:t>4.7</w:t>
            </w:r>
            <w:r>
              <w:rPr>
                <w:rFonts w:ascii="仿宋" w:hAnsi="仿宋"/>
                <w:color w:val="auto"/>
                <w:sz w:val="28"/>
              </w:rPr>
              <w:t>.1</w:t>
            </w:r>
            <w:r>
              <w:rPr>
                <w:rFonts w:hint="eastAsia" w:ascii="仿宋" w:hAnsi="仿宋"/>
                <w:color w:val="auto"/>
                <w:sz w:val="28"/>
              </w:rPr>
              <w:t>风险评价等级判定</w:t>
            </w:r>
          </w:p>
          <w:p w14:paraId="330B137C">
            <w:pPr>
              <w:ind w:firstLine="560"/>
              <w:rPr>
                <w:color w:val="auto"/>
                <w:sz w:val="28"/>
              </w:rPr>
            </w:pPr>
            <w:r>
              <w:rPr>
                <w:color w:val="auto"/>
                <w:sz w:val="28"/>
              </w:rPr>
              <w:t>（1）</w:t>
            </w:r>
            <w:r>
              <w:rPr>
                <w:rFonts w:hint="eastAsia"/>
                <w:color w:val="auto"/>
                <w:sz w:val="28"/>
              </w:rPr>
              <w:t>物质危险性识别</w:t>
            </w:r>
          </w:p>
          <w:p w14:paraId="16EBA1A9">
            <w:pPr>
              <w:ind w:firstLine="560"/>
              <w:rPr>
                <w:color w:val="auto"/>
                <w:sz w:val="28"/>
              </w:rPr>
            </w:pPr>
            <w:r>
              <w:rPr>
                <w:rFonts w:hint="eastAsia"/>
                <w:color w:val="auto"/>
                <w:sz w:val="28"/>
              </w:rPr>
              <w:t>根据危险化学品定义：具有毒害、腐蚀、爆炸、燃烧、助燃等性质，对人体、设施、环境具有危害的剧毒化学品和其他化学品。根据物质危险性判定标准，本项目涉及设备维护、使用的机油、液压油具有可燃、低毒性。</w:t>
            </w:r>
          </w:p>
          <w:p w14:paraId="1AB20197">
            <w:pPr>
              <w:ind w:firstLine="560"/>
              <w:rPr>
                <w:rFonts w:hint="eastAsia" w:eastAsia="仿宋"/>
                <w:color w:val="auto"/>
                <w:sz w:val="28"/>
                <w:lang w:eastAsia="zh-CN"/>
              </w:rPr>
            </w:pPr>
            <w:r>
              <w:rPr>
                <w:color w:val="auto"/>
                <w:sz w:val="28"/>
              </w:rPr>
              <w:t>（2）</w:t>
            </w:r>
            <w:r>
              <w:rPr>
                <w:rFonts w:hint="eastAsia"/>
                <w:i/>
                <w:iCs/>
                <w:color w:val="auto"/>
                <w:sz w:val="28"/>
                <w:lang w:eastAsia="zh-CN"/>
              </w:rPr>
              <w:t>环境风险潜势</w:t>
            </w:r>
          </w:p>
          <w:p w14:paraId="484E0EA8">
            <w:pPr>
              <w:ind w:firstLine="560"/>
              <w:rPr>
                <w:color w:val="auto"/>
                <w:sz w:val="28"/>
              </w:rPr>
            </w:pPr>
            <w:r>
              <w:rPr>
                <w:rFonts w:hint="eastAsia"/>
                <w:color w:val="auto"/>
                <w:sz w:val="28"/>
              </w:rPr>
              <w:t>根据《建设项目环境风险评价技术导则》（HJ169-2018）①当涉及一种危险物质时，计算该物质的总量与其临界量比值，即为Q；②当存在多种危险物质时，则按下式计算物质总量与其临界量比值Q：</w:t>
            </w:r>
          </w:p>
          <w:p w14:paraId="1A357551">
            <w:pPr>
              <w:ind w:firstLine="560"/>
              <w:jc w:val="center"/>
              <w:rPr>
                <w:color w:val="auto"/>
                <w:sz w:val="28"/>
              </w:rPr>
            </w:pPr>
            <w:r>
              <w:rPr>
                <w:rFonts w:hint="eastAsia"/>
                <w:color w:val="auto"/>
                <w:sz w:val="28"/>
              </w:rPr>
              <w:t>q</w:t>
            </w:r>
            <w:r>
              <w:rPr>
                <w:rFonts w:hint="eastAsia"/>
                <w:color w:val="auto"/>
                <w:sz w:val="28"/>
                <w:vertAlign w:val="subscript"/>
              </w:rPr>
              <w:t>1</w:t>
            </w:r>
            <w:r>
              <w:rPr>
                <w:rFonts w:hint="eastAsia"/>
                <w:color w:val="auto"/>
                <w:sz w:val="28"/>
              </w:rPr>
              <w:t>/Q</w:t>
            </w:r>
            <w:r>
              <w:rPr>
                <w:rFonts w:hint="eastAsia"/>
                <w:color w:val="auto"/>
                <w:sz w:val="28"/>
                <w:vertAlign w:val="subscript"/>
              </w:rPr>
              <w:t>1</w:t>
            </w:r>
            <w:r>
              <w:rPr>
                <w:rFonts w:hint="eastAsia"/>
                <w:color w:val="auto"/>
                <w:sz w:val="28"/>
              </w:rPr>
              <w:t>+q</w:t>
            </w:r>
            <w:r>
              <w:rPr>
                <w:rFonts w:hint="eastAsia"/>
                <w:color w:val="auto"/>
                <w:sz w:val="28"/>
                <w:vertAlign w:val="subscript"/>
              </w:rPr>
              <w:t>2</w:t>
            </w:r>
            <w:r>
              <w:rPr>
                <w:rFonts w:hint="eastAsia"/>
                <w:color w:val="auto"/>
                <w:sz w:val="28"/>
              </w:rPr>
              <w:t>/Q</w:t>
            </w:r>
            <w:r>
              <w:rPr>
                <w:rFonts w:hint="eastAsia"/>
                <w:color w:val="auto"/>
                <w:sz w:val="28"/>
                <w:vertAlign w:val="subscript"/>
              </w:rPr>
              <w:t>2</w:t>
            </w:r>
            <w:r>
              <w:rPr>
                <w:rFonts w:hint="eastAsia"/>
                <w:color w:val="auto"/>
                <w:sz w:val="28"/>
              </w:rPr>
              <w:t>+……+q</w:t>
            </w:r>
            <w:r>
              <w:rPr>
                <w:rFonts w:hint="eastAsia"/>
                <w:color w:val="auto"/>
                <w:sz w:val="28"/>
                <w:vertAlign w:val="subscript"/>
              </w:rPr>
              <w:t>n</w:t>
            </w:r>
            <w:r>
              <w:rPr>
                <w:rFonts w:hint="eastAsia"/>
                <w:color w:val="auto"/>
                <w:sz w:val="28"/>
              </w:rPr>
              <w:t>/Q</w:t>
            </w:r>
            <w:r>
              <w:rPr>
                <w:rFonts w:hint="eastAsia"/>
                <w:color w:val="auto"/>
                <w:sz w:val="28"/>
                <w:vertAlign w:val="subscript"/>
              </w:rPr>
              <w:t>N</w:t>
            </w:r>
            <w:r>
              <w:rPr>
                <w:rFonts w:hint="eastAsia"/>
                <w:color w:val="auto"/>
                <w:sz w:val="28"/>
              </w:rPr>
              <w:t>=Q1(a)</w:t>
            </w:r>
          </w:p>
          <w:p w14:paraId="084124DA">
            <w:pPr>
              <w:ind w:firstLine="560"/>
              <w:rPr>
                <w:color w:val="auto"/>
                <w:sz w:val="28"/>
              </w:rPr>
            </w:pPr>
            <w:r>
              <w:rPr>
                <w:rFonts w:hint="eastAsia"/>
                <w:color w:val="auto"/>
                <w:sz w:val="28"/>
              </w:rPr>
              <w:t>式中：q</w:t>
            </w:r>
            <w:r>
              <w:rPr>
                <w:rFonts w:hint="eastAsia"/>
                <w:color w:val="auto"/>
                <w:sz w:val="28"/>
                <w:vertAlign w:val="subscript"/>
              </w:rPr>
              <w:t>1</w:t>
            </w:r>
            <w:r>
              <w:rPr>
                <w:rFonts w:hint="eastAsia"/>
                <w:color w:val="auto"/>
                <w:sz w:val="28"/>
              </w:rPr>
              <w:t>，q</w:t>
            </w:r>
            <w:r>
              <w:rPr>
                <w:rFonts w:hint="eastAsia"/>
                <w:color w:val="auto"/>
                <w:sz w:val="28"/>
                <w:vertAlign w:val="subscript"/>
              </w:rPr>
              <w:t>2</w:t>
            </w:r>
            <w:r>
              <w:rPr>
                <w:rFonts w:hint="eastAsia"/>
                <w:color w:val="auto"/>
                <w:sz w:val="28"/>
              </w:rPr>
              <w:t>，…q</w:t>
            </w:r>
            <w:r>
              <w:rPr>
                <w:rFonts w:hint="eastAsia"/>
                <w:color w:val="auto"/>
                <w:sz w:val="28"/>
                <w:vertAlign w:val="subscript"/>
              </w:rPr>
              <w:t>n</w:t>
            </w:r>
            <w:r>
              <w:rPr>
                <w:rFonts w:hint="eastAsia"/>
                <w:color w:val="auto"/>
                <w:sz w:val="28"/>
              </w:rPr>
              <w:t>——每种危险化学品实际存在量，单位为吨(t)；</w:t>
            </w:r>
          </w:p>
          <w:p w14:paraId="6E54B240">
            <w:pPr>
              <w:ind w:firstLine="1400" w:firstLineChars="500"/>
              <w:rPr>
                <w:color w:val="auto"/>
                <w:sz w:val="28"/>
              </w:rPr>
            </w:pPr>
            <w:r>
              <w:rPr>
                <w:rFonts w:hint="eastAsia"/>
                <w:color w:val="auto"/>
                <w:sz w:val="28"/>
              </w:rPr>
              <w:t>Q</w:t>
            </w:r>
            <w:r>
              <w:rPr>
                <w:rFonts w:hint="eastAsia"/>
                <w:color w:val="auto"/>
                <w:sz w:val="28"/>
                <w:vertAlign w:val="subscript"/>
              </w:rPr>
              <w:t>1</w:t>
            </w:r>
            <w:r>
              <w:rPr>
                <w:rFonts w:hint="eastAsia"/>
                <w:color w:val="auto"/>
                <w:sz w:val="28"/>
              </w:rPr>
              <w:t>，Q</w:t>
            </w:r>
            <w:r>
              <w:rPr>
                <w:rFonts w:hint="eastAsia"/>
                <w:color w:val="auto"/>
                <w:sz w:val="28"/>
                <w:vertAlign w:val="subscript"/>
              </w:rPr>
              <w:t>2</w:t>
            </w:r>
            <w:r>
              <w:rPr>
                <w:rFonts w:hint="eastAsia"/>
                <w:color w:val="auto"/>
                <w:sz w:val="28"/>
              </w:rPr>
              <w:t>，…Q</w:t>
            </w:r>
            <w:r>
              <w:rPr>
                <w:rFonts w:hint="eastAsia"/>
                <w:color w:val="auto"/>
                <w:sz w:val="28"/>
                <w:vertAlign w:val="subscript"/>
              </w:rPr>
              <w:t>N</w:t>
            </w:r>
            <w:r>
              <w:rPr>
                <w:rFonts w:hint="eastAsia"/>
                <w:color w:val="auto"/>
                <w:sz w:val="28"/>
              </w:rPr>
              <w:t>——与各危险化学品相对应的临界量，单位为吨(t)。</w:t>
            </w:r>
          </w:p>
          <w:p w14:paraId="68807910">
            <w:pPr>
              <w:ind w:firstLine="1120" w:firstLineChars="400"/>
              <w:rPr>
                <w:color w:val="auto"/>
                <w:sz w:val="28"/>
              </w:rPr>
            </w:pPr>
            <w:r>
              <w:rPr>
                <w:rFonts w:hint="eastAsia"/>
                <w:color w:val="auto"/>
                <w:sz w:val="28"/>
              </w:rPr>
              <w:t>当</w:t>
            </w:r>
            <w:r>
              <w:rPr>
                <w:color w:val="auto"/>
                <w:sz w:val="28"/>
              </w:rPr>
              <w:t>Q&lt;1</w:t>
            </w:r>
            <w:r>
              <w:rPr>
                <w:rFonts w:hint="eastAsia"/>
                <w:color w:val="auto"/>
                <w:sz w:val="28"/>
              </w:rPr>
              <w:t>，该项目环境风险潜势为</w:t>
            </w:r>
            <w:r>
              <w:rPr>
                <w:rFonts w:ascii="Calibri" w:hAnsi="Calibri" w:cs="Calibri"/>
                <w:color w:val="auto"/>
                <w:sz w:val="28"/>
              </w:rPr>
              <w:t>І</w:t>
            </w:r>
            <w:r>
              <w:rPr>
                <w:rFonts w:hint="eastAsia"/>
                <w:color w:val="auto"/>
                <w:sz w:val="28"/>
              </w:rPr>
              <w:t>；</w:t>
            </w:r>
          </w:p>
          <w:p w14:paraId="6BDCB5C7">
            <w:pPr>
              <w:ind w:firstLine="1106" w:firstLineChars="395"/>
              <w:rPr>
                <w:color w:val="auto"/>
                <w:sz w:val="28"/>
              </w:rPr>
            </w:pPr>
            <w:r>
              <w:rPr>
                <w:rFonts w:hint="eastAsia"/>
                <w:color w:val="auto"/>
                <w:sz w:val="28"/>
              </w:rPr>
              <w:t>当Q≥1时，将Q值划分为：（1）1≤Q&lt;10；（2）10≤Q&lt;100；（3）Q≥100。</w:t>
            </w:r>
          </w:p>
          <w:p w14:paraId="710AE997">
            <w:pPr>
              <w:ind w:firstLine="560"/>
              <w:rPr>
                <w:color w:val="auto"/>
                <w:sz w:val="24"/>
              </w:rPr>
            </w:pPr>
            <w:r>
              <w:rPr>
                <w:rFonts w:hint="eastAsia"/>
                <w:color w:val="auto"/>
                <w:sz w:val="28"/>
              </w:rPr>
              <w:t>根据《建设项目环境风险评价技术导则》（HJ169-2018）附录B表B.1中“突发环境事件风险物质及临界量”。项目危险物质数量与临界量比值（Q）计算见下表4-17。</w:t>
            </w:r>
          </w:p>
          <w:p w14:paraId="29BE9E56">
            <w:pPr>
              <w:pStyle w:val="75"/>
              <w:rPr>
                <w:color w:val="auto"/>
              </w:rPr>
            </w:pPr>
            <w:r>
              <w:rPr>
                <w:rFonts w:hint="eastAsia"/>
                <w:color w:val="auto"/>
                <w:sz w:val="24"/>
              </w:rPr>
              <w:t>表4-1</w:t>
            </w:r>
            <w:r>
              <w:rPr>
                <w:rFonts w:hint="eastAsia"/>
                <w:color w:val="auto"/>
                <w:sz w:val="24"/>
                <w:lang w:val="en-US"/>
              </w:rPr>
              <w:t>7</w:t>
            </w:r>
            <w:r>
              <w:rPr>
                <w:rFonts w:hint="eastAsia"/>
                <w:color w:val="auto"/>
                <w:sz w:val="24"/>
              </w:rPr>
              <w:t>项目Q值计算表</w:t>
            </w:r>
          </w:p>
          <w:tbl>
            <w:tblPr>
              <w:tblStyle w:val="31"/>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520"/>
              <w:gridCol w:w="1217"/>
              <w:gridCol w:w="2105"/>
              <w:gridCol w:w="2183"/>
            </w:tblGrid>
            <w:tr w14:paraId="715B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36C736AF">
                  <w:pPr>
                    <w:pStyle w:val="49"/>
                    <w:rPr>
                      <w:rFonts w:hint="default" w:ascii="Times New Roman" w:hAnsi="Times New Roman" w:cs="Times New Roman"/>
                      <w:color w:val="auto"/>
                      <w:sz w:val="24"/>
                    </w:rPr>
                  </w:pPr>
                  <w:r>
                    <w:rPr>
                      <w:rFonts w:hint="default" w:ascii="Times New Roman" w:hAnsi="Times New Roman" w:cs="Times New Roman"/>
                      <w:color w:val="auto"/>
                      <w:sz w:val="24"/>
                    </w:rPr>
                    <w:t>序号</w:t>
                  </w:r>
                </w:p>
              </w:tc>
              <w:tc>
                <w:tcPr>
                  <w:tcW w:w="1520" w:type="dxa"/>
                  <w:vAlign w:val="center"/>
                </w:tcPr>
                <w:p w14:paraId="4D126E25">
                  <w:pPr>
                    <w:pStyle w:val="49"/>
                    <w:rPr>
                      <w:rFonts w:hint="default" w:ascii="Times New Roman" w:hAnsi="Times New Roman" w:cs="Times New Roman"/>
                      <w:color w:val="auto"/>
                      <w:sz w:val="24"/>
                    </w:rPr>
                  </w:pPr>
                  <w:r>
                    <w:rPr>
                      <w:rFonts w:hint="default" w:ascii="Times New Roman" w:hAnsi="Times New Roman" w:cs="Times New Roman"/>
                      <w:color w:val="auto"/>
                      <w:sz w:val="24"/>
                    </w:rPr>
                    <w:t>物质名称</w:t>
                  </w:r>
                </w:p>
              </w:tc>
              <w:tc>
                <w:tcPr>
                  <w:tcW w:w="1217" w:type="dxa"/>
                  <w:vAlign w:val="center"/>
                </w:tcPr>
                <w:p w14:paraId="5D04FB86">
                  <w:pPr>
                    <w:pStyle w:val="49"/>
                    <w:rPr>
                      <w:rFonts w:hint="default" w:ascii="Times New Roman" w:hAnsi="Times New Roman" w:cs="Times New Roman"/>
                      <w:color w:val="auto"/>
                      <w:sz w:val="24"/>
                    </w:rPr>
                  </w:pPr>
                  <w:r>
                    <w:rPr>
                      <w:rFonts w:hint="default" w:ascii="Times New Roman" w:hAnsi="Times New Roman" w:cs="Times New Roman"/>
                      <w:color w:val="auto"/>
                      <w:sz w:val="24"/>
                    </w:rPr>
                    <w:t>临界量(t)</w:t>
                  </w:r>
                </w:p>
              </w:tc>
              <w:tc>
                <w:tcPr>
                  <w:tcW w:w="2105" w:type="dxa"/>
                  <w:vAlign w:val="center"/>
                </w:tcPr>
                <w:p w14:paraId="66698D42">
                  <w:pPr>
                    <w:pStyle w:val="49"/>
                    <w:rPr>
                      <w:rFonts w:hint="default" w:ascii="Times New Roman" w:hAnsi="Times New Roman" w:cs="Times New Roman"/>
                      <w:color w:val="auto"/>
                      <w:sz w:val="24"/>
                    </w:rPr>
                  </w:pPr>
                  <w:r>
                    <w:rPr>
                      <w:rFonts w:hint="default" w:ascii="Times New Roman" w:hAnsi="Times New Roman" w:cs="Times New Roman"/>
                      <w:color w:val="auto"/>
                      <w:sz w:val="24"/>
                    </w:rPr>
                    <w:t>本项目最大储存量(t)</w:t>
                  </w:r>
                </w:p>
              </w:tc>
              <w:tc>
                <w:tcPr>
                  <w:tcW w:w="2183" w:type="dxa"/>
                  <w:vAlign w:val="center"/>
                </w:tcPr>
                <w:p w14:paraId="203CA3E1">
                  <w:pPr>
                    <w:pStyle w:val="49"/>
                    <w:rPr>
                      <w:rFonts w:hint="default" w:ascii="Times New Roman" w:hAnsi="Times New Roman" w:cs="Times New Roman"/>
                      <w:color w:val="auto"/>
                      <w:sz w:val="24"/>
                    </w:rPr>
                  </w:pPr>
                  <w:r>
                    <w:rPr>
                      <w:rFonts w:hint="default" w:ascii="Times New Roman" w:hAnsi="Times New Roman" w:cs="Times New Roman"/>
                      <w:color w:val="auto"/>
                      <w:sz w:val="24"/>
                    </w:rPr>
                    <w:t>q/Q</w:t>
                  </w:r>
                </w:p>
              </w:tc>
            </w:tr>
            <w:tr w14:paraId="3AF8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716B3268">
                  <w:pPr>
                    <w:pStyle w:val="49"/>
                    <w:rPr>
                      <w:rFonts w:hint="default" w:ascii="Times New Roman" w:hAnsi="Times New Roman" w:cs="Times New Roman"/>
                      <w:color w:val="auto"/>
                      <w:sz w:val="24"/>
                    </w:rPr>
                  </w:pPr>
                  <w:r>
                    <w:rPr>
                      <w:rFonts w:hint="default" w:ascii="Times New Roman" w:hAnsi="Times New Roman" w:cs="Times New Roman"/>
                      <w:color w:val="auto"/>
                      <w:sz w:val="24"/>
                    </w:rPr>
                    <w:t>1</w:t>
                  </w:r>
                </w:p>
              </w:tc>
              <w:tc>
                <w:tcPr>
                  <w:tcW w:w="1520" w:type="dxa"/>
                  <w:vAlign w:val="center"/>
                </w:tcPr>
                <w:p w14:paraId="3E985890">
                  <w:pPr>
                    <w:pStyle w:val="49"/>
                    <w:rPr>
                      <w:rFonts w:hint="default" w:ascii="Times New Roman" w:hAnsi="Times New Roman" w:eastAsia="仿宋" w:cs="Times New Roman"/>
                      <w:color w:val="auto"/>
                      <w:sz w:val="24"/>
                      <w:lang w:eastAsia="zh-CN"/>
                    </w:rPr>
                  </w:pPr>
                  <w:r>
                    <w:rPr>
                      <w:rFonts w:hint="default" w:ascii="Times New Roman" w:hAnsi="Times New Roman" w:cs="Times New Roman"/>
                      <w:color w:val="auto"/>
                      <w:sz w:val="24"/>
                      <w:lang w:eastAsia="zh-CN"/>
                    </w:rPr>
                    <w:t>空压机油</w:t>
                  </w:r>
                </w:p>
              </w:tc>
              <w:tc>
                <w:tcPr>
                  <w:tcW w:w="1217" w:type="dxa"/>
                  <w:vAlign w:val="center"/>
                </w:tcPr>
                <w:p w14:paraId="5BCA9CD1">
                  <w:pPr>
                    <w:pStyle w:val="49"/>
                    <w:rPr>
                      <w:rFonts w:hint="default" w:ascii="Times New Roman" w:hAnsi="Times New Roman" w:eastAsia="仿宋" w:cs="Times New Roman"/>
                      <w:color w:val="auto"/>
                      <w:sz w:val="24"/>
                      <w:lang w:val="en-US" w:eastAsia="zh-CN"/>
                    </w:rPr>
                  </w:pPr>
                  <w:r>
                    <w:rPr>
                      <w:rFonts w:hint="default" w:ascii="Times New Roman" w:hAnsi="Times New Roman" w:cs="Times New Roman"/>
                      <w:color w:val="auto"/>
                      <w:sz w:val="24"/>
                      <w:lang w:val="en-US" w:eastAsia="zh-CN"/>
                    </w:rPr>
                    <w:t>2500</w:t>
                  </w:r>
                </w:p>
              </w:tc>
              <w:tc>
                <w:tcPr>
                  <w:tcW w:w="2105" w:type="dxa"/>
                  <w:vAlign w:val="center"/>
                </w:tcPr>
                <w:p w14:paraId="4FB2E33D">
                  <w:pPr>
                    <w:pStyle w:val="49"/>
                    <w:rPr>
                      <w:rFonts w:hint="default" w:ascii="Times New Roman" w:hAnsi="Times New Roman" w:eastAsia="仿宋"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0.1</w:t>
                  </w:r>
                </w:p>
              </w:tc>
              <w:tc>
                <w:tcPr>
                  <w:tcW w:w="2183" w:type="dxa"/>
                  <w:vAlign w:val="center"/>
                </w:tcPr>
                <w:p w14:paraId="6B63A4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eastAsia="仿宋" w:cs="Times New Roman"/>
                      <w:i w:val="0"/>
                      <w:iCs w:val="0"/>
                      <w:color w:val="auto"/>
                      <w:kern w:val="0"/>
                      <w:sz w:val="24"/>
                      <w:szCs w:val="24"/>
                      <w:u w:val="none"/>
                      <w:lang w:val="en-US" w:eastAsia="zh-CN" w:bidi="ar"/>
                    </w:rPr>
                    <w:t>0.00004</w:t>
                  </w:r>
                </w:p>
              </w:tc>
            </w:tr>
            <w:tr w14:paraId="26D2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04160F94">
                  <w:pPr>
                    <w:pStyle w:val="49"/>
                    <w:rPr>
                      <w:rFonts w:hint="default" w:ascii="Times New Roman" w:hAnsi="Times New Roman" w:cs="Times New Roman"/>
                      <w:color w:val="auto"/>
                      <w:sz w:val="24"/>
                    </w:rPr>
                  </w:pPr>
                  <w:r>
                    <w:rPr>
                      <w:rFonts w:hint="default" w:ascii="Times New Roman" w:hAnsi="Times New Roman" w:cs="Times New Roman"/>
                      <w:color w:val="auto"/>
                      <w:sz w:val="24"/>
                    </w:rPr>
                    <w:t>2</w:t>
                  </w:r>
                </w:p>
              </w:tc>
              <w:tc>
                <w:tcPr>
                  <w:tcW w:w="1520" w:type="dxa"/>
                  <w:vAlign w:val="center"/>
                </w:tcPr>
                <w:p w14:paraId="30D3043D">
                  <w:pPr>
                    <w:pStyle w:val="49"/>
                    <w:rPr>
                      <w:rFonts w:hint="default" w:ascii="Times New Roman" w:hAnsi="Times New Roman" w:cs="Times New Roman"/>
                      <w:color w:val="auto"/>
                      <w:sz w:val="24"/>
                    </w:rPr>
                  </w:pPr>
                  <w:r>
                    <w:rPr>
                      <w:rFonts w:hint="default" w:ascii="Times New Roman" w:hAnsi="Times New Roman" w:cs="Times New Roman"/>
                      <w:color w:val="auto"/>
                      <w:sz w:val="24"/>
                    </w:rPr>
                    <w:t>液压油</w:t>
                  </w:r>
                </w:p>
              </w:tc>
              <w:tc>
                <w:tcPr>
                  <w:tcW w:w="1217" w:type="dxa"/>
                  <w:vAlign w:val="center"/>
                </w:tcPr>
                <w:p w14:paraId="58F1BFB8">
                  <w:pPr>
                    <w:pStyle w:val="49"/>
                    <w:rPr>
                      <w:rFonts w:hint="default" w:ascii="Times New Roman" w:hAnsi="Times New Roman" w:cs="Times New Roman"/>
                      <w:color w:val="auto"/>
                      <w:sz w:val="24"/>
                    </w:rPr>
                  </w:pPr>
                  <w:r>
                    <w:rPr>
                      <w:rFonts w:hint="default" w:ascii="Times New Roman" w:hAnsi="Times New Roman" w:cs="Times New Roman"/>
                      <w:color w:val="auto"/>
                      <w:sz w:val="24"/>
                    </w:rPr>
                    <w:t>2500</w:t>
                  </w:r>
                </w:p>
              </w:tc>
              <w:tc>
                <w:tcPr>
                  <w:tcW w:w="2105" w:type="dxa"/>
                  <w:vAlign w:val="center"/>
                </w:tcPr>
                <w:p w14:paraId="03127CB3">
                  <w:pPr>
                    <w:pStyle w:val="49"/>
                    <w:rPr>
                      <w:rFonts w:hint="default" w:ascii="Times New Roman" w:hAnsi="Times New Roman" w:eastAsia="仿宋"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0.2</w:t>
                  </w:r>
                </w:p>
              </w:tc>
              <w:tc>
                <w:tcPr>
                  <w:tcW w:w="2183" w:type="dxa"/>
                  <w:vAlign w:val="center"/>
                </w:tcPr>
                <w:p w14:paraId="79C42F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4"/>
                    </w:rPr>
                  </w:pPr>
                  <w:r>
                    <w:rPr>
                      <w:rFonts w:hint="default" w:ascii="Times New Roman" w:hAnsi="Times New Roman" w:eastAsia="仿宋" w:cs="Times New Roman"/>
                      <w:i w:val="0"/>
                      <w:iCs w:val="0"/>
                      <w:color w:val="auto"/>
                      <w:kern w:val="0"/>
                      <w:sz w:val="24"/>
                      <w:szCs w:val="24"/>
                      <w:u w:val="none"/>
                      <w:lang w:val="en-US" w:eastAsia="zh-CN" w:bidi="ar"/>
                    </w:rPr>
                    <w:t>0.00008</w:t>
                  </w:r>
                </w:p>
              </w:tc>
            </w:tr>
            <w:tr w14:paraId="749E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15BE5FF3">
                  <w:pPr>
                    <w:pStyle w:val="49"/>
                    <w:rPr>
                      <w:rFonts w:hint="default" w:ascii="Times New Roman" w:hAnsi="Times New Roman" w:cs="Times New Roman"/>
                      <w:color w:val="auto"/>
                      <w:sz w:val="24"/>
                    </w:rPr>
                  </w:pPr>
                  <w:r>
                    <w:rPr>
                      <w:rFonts w:hint="default" w:ascii="Times New Roman" w:hAnsi="Times New Roman" w:cs="Times New Roman"/>
                      <w:color w:val="auto"/>
                      <w:sz w:val="24"/>
                    </w:rPr>
                    <w:t>3</w:t>
                  </w:r>
                </w:p>
              </w:tc>
              <w:tc>
                <w:tcPr>
                  <w:tcW w:w="1520" w:type="dxa"/>
                  <w:vAlign w:val="center"/>
                </w:tcPr>
                <w:p w14:paraId="13B0C3E6">
                  <w:pPr>
                    <w:pStyle w:val="49"/>
                    <w:rPr>
                      <w:rFonts w:hint="default" w:ascii="Times New Roman" w:hAnsi="Times New Roman" w:cs="Times New Roman"/>
                      <w:color w:val="auto"/>
                      <w:sz w:val="24"/>
                      <w:highlight w:val="yellow"/>
                    </w:rPr>
                  </w:pPr>
                  <w:r>
                    <w:rPr>
                      <w:rFonts w:hint="default" w:ascii="Times New Roman" w:hAnsi="Times New Roman" w:cs="Times New Roman"/>
                      <w:color w:val="auto"/>
                      <w:sz w:val="24"/>
                      <w:highlight w:val="none"/>
                    </w:rPr>
                    <w:t>危险废物（</w:t>
                  </w:r>
                  <w:r>
                    <w:rPr>
                      <w:rFonts w:hint="default" w:ascii="Times New Roman" w:hAnsi="Times New Roman" w:cs="Times New Roman"/>
                      <w:snapToGrid w:val="0"/>
                      <w:color w:val="auto"/>
                      <w:sz w:val="24"/>
                      <w:szCs w:val="18"/>
                      <w:highlight w:val="none"/>
                      <w:lang w:eastAsia="zh-CN"/>
                    </w:rPr>
                    <w:t>油水混合物废油</w:t>
                  </w:r>
                  <w:r>
                    <w:rPr>
                      <w:rFonts w:hint="default" w:ascii="Times New Roman" w:hAnsi="Times New Roman" w:cs="Times New Roman"/>
                      <w:color w:val="auto"/>
                      <w:sz w:val="24"/>
                      <w:highlight w:val="none"/>
                    </w:rPr>
                    <w:t>）</w:t>
                  </w:r>
                </w:p>
              </w:tc>
              <w:tc>
                <w:tcPr>
                  <w:tcW w:w="1217" w:type="dxa"/>
                  <w:vAlign w:val="center"/>
                </w:tcPr>
                <w:p w14:paraId="29A2F711">
                  <w:pPr>
                    <w:pStyle w:val="49"/>
                    <w:rPr>
                      <w:rFonts w:hint="default" w:ascii="Times New Roman" w:hAnsi="Times New Roman" w:cs="Times New Roman"/>
                      <w:i/>
                      <w:iCs/>
                      <w:color w:val="auto"/>
                      <w:sz w:val="24"/>
                    </w:rPr>
                  </w:pPr>
                  <w:r>
                    <w:rPr>
                      <w:rFonts w:hint="default" w:ascii="Times New Roman" w:hAnsi="Times New Roman" w:cs="Times New Roman"/>
                      <w:i/>
                      <w:iCs/>
                      <w:color w:val="auto"/>
                      <w:sz w:val="24"/>
                    </w:rPr>
                    <w:t>50</w:t>
                  </w:r>
                </w:p>
              </w:tc>
              <w:tc>
                <w:tcPr>
                  <w:tcW w:w="2105" w:type="dxa"/>
                  <w:vAlign w:val="center"/>
                </w:tcPr>
                <w:p w14:paraId="07E94016">
                  <w:pPr>
                    <w:pStyle w:val="49"/>
                    <w:rPr>
                      <w:rFonts w:hint="default" w:ascii="Times New Roman" w:hAnsi="Times New Roman" w:eastAsia="仿宋" w:cs="Times New Roman"/>
                      <w:i/>
                      <w:iCs/>
                      <w:color w:val="auto"/>
                      <w:sz w:val="24"/>
                      <w:highlight w:val="none"/>
                      <w:lang w:val="en-US" w:eastAsia="zh-CN"/>
                    </w:rPr>
                  </w:pPr>
                  <w:r>
                    <w:rPr>
                      <w:rFonts w:hint="default" w:ascii="Times New Roman" w:hAnsi="Times New Roman" w:cs="Times New Roman"/>
                      <w:i/>
                      <w:iCs/>
                      <w:color w:val="auto"/>
                      <w:sz w:val="24"/>
                      <w:highlight w:val="none"/>
                      <w:lang w:val="en-US" w:eastAsia="zh-CN"/>
                    </w:rPr>
                    <w:t>0.</w:t>
                  </w:r>
                  <w:r>
                    <w:rPr>
                      <w:rFonts w:hint="eastAsia" w:ascii="Times New Roman" w:hAnsi="Times New Roman" w:cs="Times New Roman"/>
                      <w:i/>
                      <w:iCs/>
                      <w:color w:val="auto"/>
                      <w:sz w:val="24"/>
                      <w:highlight w:val="none"/>
                      <w:lang w:val="en-US" w:eastAsia="zh-CN"/>
                    </w:rPr>
                    <w:t>16</w:t>
                  </w:r>
                </w:p>
              </w:tc>
              <w:tc>
                <w:tcPr>
                  <w:tcW w:w="2183" w:type="dxa"/>
                  <w:vAlign w:val="center"/>
                </w:tcPr>
                <w:p w14:paraId="5007F8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i/>
                      <w:iCs/>
                      <w:color w:val="auto"/>
                      <w:sz w:val="24"/>
                      <w:lang w:val="en-US" w:eastAsia="zh-CN"/>
                    </w:rPr>
                  </w:pPr>
                  <w:r>
                    <w:rPr>
                      <w:rFonts w:hint="default" w:ascii="Times New Roman" w:hAnsi="Times New Roman" w:cs="Times New Roman"/>
                      <w:i/>
                      <w:iCs/>
                      <w:color w:val="auto"/>
                      <w:sz w:val="24"/>
                      <w:lang w:val="en-US" w:eastAsia="zh-CN"/>
                    </w:rPr>
                    <w:t>0.00</w:t>
                  </w:r>
                  <w:r>
                    <w:rPr>
                      <w:rFonts w:hint="eastAsia" w:ascii="Times New Roman" w:hAnsi="Times New Roman" w:cs="Times New Roman"/>
                      <w:i/>
                      <w:iCs/>
                      <w:color w:val="auto"/>
                      <w:sz w:val="24"/>
                      <w:lang w:val="en-US" w:eastAsia="zh-CN"/>
                    </w:rPr>
                    <w:t>32</w:t>
                  </w:r>
                </w:p>
              </w:tc>
            </w:tr>
            <w:tr w14:paraId="2338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3106C579">
                  <w:pPr>
                    <w:pStyle w:val="49"/>
                    <w:rPr>
                      <w:rFonts w:hint="default" w:ascii="Times New Roman" w:hAnsi="Times New Roman" w:eastAsia="仿宋" w:cs="Times New Roman"/>
                      <w:color w:val="auto"/>
                      <w:sz w:val="24"/>
                      <w:lang w:val="en-US" w:eastAsia="zh-CN"/>
                    </w:rPr>
                  </w:pPr>
                  <w:r>
                    <w:rPr>
                      <w:rFonts w:hint="default" w:ascii="Times New Roman" w:hAnsi="Times New Roman" w:cs="Times New Roman"/>
                      <w:color w:val="auto"/>
                      <w:sz w:val="24"/>
                      <w:lang w:val="en-US" w:eastAsia="zh-CN"/>
                    </w:rPr>
                    <w:t>4</w:t>
                  </w:r>
                </w:p>
              </w:tc>
              <w:tc>
                <w:tcPr>
                  <w:tcW w:w="1520" w:type="dxa"/>
                  <w:vAlign w:val="center"/>
                </w:tcPr>
                <w:p w14:paraId="2E5EB622">
                  <w:pPr>
                    <w:pStyle w:val="49"/>
                    <w:rPr>
                      <w:rFonts w:hint="default" w:ascii="Times New Roman" w:hAnsi="Times New Roman" w:eastAsia="仿宋"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水性压敏胶</w:t>
                  </w:r>
                </w:p>
              </w:tc>
              <w:tc>
                <w:tcPr>
                  <w:tcW w:w="1217" w:type="dxa"/>
                  <w:vAlign w:val="center"/>
                </w:tcPr>
                <w:p w14:paraId="2D77C004">
                  <w:pPr>
                    <w:pStyle w:val="49"/>
                    <w:rPr>
                      <w:rFonts w:hint="default" w:ascii="Times New Roman" w:hAnsi="Times New Roman" w:eastAsia="仿宋" w:cs="Times New Roman"/>
                      <w:color w:val="auto"/>
                      <w:sz w:val="24"/>
                      <w:lang w:val="en-US" w:eastAsia="zh-CN"/>
                    </w:rPr>
                  </w:pPr>
                  <w:r>
                    <w:rPr>
                      <w:rFonts w:hint="default" w:ascii="Times New Roman" w:hAnsi="Times New Roman" w:cs="Times New Roman"/>
                      <w:color w:val="auto"/>
                      <w:sz w:val="24"/>
                      <w:lang w:val="en-US" w:eastAsia="zh-CN"/>
                    </w:rPr>
                    <w:t>50</w:t>
                  </w:r>
                </w:p>
              </w:tc>
              <w:tc>
                <w:tcPr>
                  <w:tcW w:w="2105" w:type="dxa"/>
                  <w:vAlign w:val="center"/>
                </w:tcPr>
                <w:p w14:paraId="1623D65D">
                  <w:pPr>
                    <w:pStyle w:val="4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5</w:t>
                  </w:r>
                </w:p>
              </w:tc>
              <w:tc>
                <w:tcPr>
                  <w:tcW w:w="2183" w:type="dxa"/>
                  <w:vAlign w:val="center"/>
                </w:tcPr>
                <w:p w14:paraId="109674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4"/>
                      <w:lang w:val="en-US" w:eastAsia="zh-CN"/>
                    </w:rPr>
                  </w:pPr>
                  <w:r>
                    <w:rPr>
                      <w:rFonts w:hint="default" w:ascii="Times New Roman" w:hAnsi="Times New Roman" w:eastAsia="仿宋" w:cs="Times New Roman"/>
                      <w:i w:val="0"/>
                      <w:iCs w:val="0"/>
                      <w:color w:val="auto"/>
                      <w:kern w:val="0"/>
                      <w:sz w:val="24"/>
                      <w:szCs w:val="24"/>
                      <w:u w:val="none"/>
                      <w:lang w:val="en-US" w:eastAsia="zh-CN" w:bidi="ar"/>
                    </w:rPr>
                    <w:t>0.1</w:t>
                  </w:r>
                </w:p>
              </w:tc>
            </w:tr>
            <w:tr w14:paraId="153D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5" w:type="dxa"/>
                  <w:gridSpan w:val="4"/>
                  <w:vAlign w:val="center"/>
                </w:tcPr>
                <w:p w14:paraId="7FFAFAB9">
                  <w:pPr>
                    <w:pStyle w:val="49"/>
                    <w:rPr>
                      <w:rFonts w:hint="default" w:ascii="Times New Roman" w:hAnsi="Times New Roman" w:cs="Times New Roman"/>
                      <w:color w:val="auto"/>
                      <w:sz w:val="24"/>
                    </w:rPr>
                  </w:pPr>
                  <w:r>
                    <w:rPr>
                      <w:rFonts w:hint="default" w:ascii="Times New Roman" w:hAnsi="Times New Roman" w:cs="Times New Roman"/>
                      <w:color w:val="auto"/>
                      <w:sz w:val="24"/>
                    </w:rPr>
                    <w:t>Q值合计</w:t>
                  </w:r>
                </w:p>
              </w:tc>
              <w:tc>
                <w:tcPr>
                  <w:tcW w:w="2183" w:type="dxa"/>
                  <w:vAlign w:val="center"/>
                </w:tcPr>
                <w:p w14:paraId="5CF7F569">
                  <w:pPr>
                    <w:pStyle w:val="49"/>
                    <w:rPr>
                      <w:rFonts w:hint="default" w:ascii="Times New Roman" w:hAnsi="Times New Roman" w:eastAsia="仿宋" w:cs="Times New Roman"/>
                      <w:color w:val="auto"/>
                      <w:sz w:val="24"/>
                      <w:lang w:val="en-US" w:eastAsia="zh-CN"/>
                    </w:rPr>
                  </w:pPr>
                  <w:r>
                    <w:rPr>
                      <w:rFonts w:hint="default" w:ascii="Times New Roman" w:hAnsi="Times New Roman" w:cs="Times New Roman"/>
                      <w:color w:val="auto"/>
                      <w:sz w:val="24"/>
                      <w:highlight w:val="none"/>
                      <w:lang w:val="en-US" w:eastAsia="zh-CN"/>
                    </w:rPr>
                    <w:t>0.10</w:t>
                  </w:r>
                  <w:r>
                    <w:rPr>
                      <w:rFonts w:hint="eastAsia" w:ascii="Times New Roman" w:hAnsi="Times New Roman" w:cs="Times New Roman"/>
                      <w:color w:val="auto"/>
                      <w:sz w:val="24"/>
                      <w:highlight w:val="none"/>
                      <w:lang w:val="en-US" w:eastAsia="zh-CN"/>
                    </w:rPr>
                    <w:t>33</w:t>
                  </w:r>
                </w:p>
              </w:tc>
            </w:tr>
          </w:tbl>
          <w:p w14:paraId="1A3CBC29">
            <w:pPr>
              <w:keepNext w:val="0"/>
              <w:keepLines w:val="0"/>
              <w:pageBreakBefore w:val="0"/>
              <w:widowControl w:val="0"/>
              <w:kinsoku/>
              <w:wordWrap/>
              <w:overflowPunct/>
              <w:topLinePunct w:val="0"/>
              <w:autoSpaceDE/>
              <w:autoSpaceDN/>
              <w:bidi w:val="0"/>
              <w:adjustRightInd w:val="0"/>
              <w:snapToGrid w:val="0"/>
              <w:spacing w:line="240" w:lineRule="auto"/>
              <w:ind w:firstLine="560"/>
              <w:textAlignment w:val="auto"/>
              <w:rPr>
                <w:rFonts w:hint="eastAsia"/>
                <w:color w:val="auto"/>
                <w:sz w:val="24"/>
                <w:szCs w:val="24"/>
              </w:rPr>
            </w:pPr>
            <w:r>
              <w:rPr>
                <w:rFonts w:hint="eastAsia"/>
                <w:color w:val="auto"/>
                <w:sz w:val="24"/>
                <w:szCs w:val="22"/>
                <w:lang w:eastAsia="zh-CN"/>
              </w:rPr>
              <w:t>注</w:t>
            </w:r>
            <w:r>
              <w:rPr>
                <w:color w:val="auto"/>
                <w:sz w:val="24"/>
                <w:szCs w:val="24"/>
              </w:rPr>
              <w:t>：</w:t>
            </w:r>
            <w:r>
              <w:rPr>
                <w:rFonts w:hint="eastAsia"/>
                <w:color w:val="auto"/>
                <w:sz w:val="24"/>
                <w:szCs w:val="24"/>
                <w:lang w:val="en-US" w:eastAsia="zh-CN"/>
              </w:rPr>
              <w:t>胶</w:t>
            </w:r>
            <w:r>
              <w:rPr>
                <w:color w:val="auto"/>
                <w:sz w:val="24"/>
                <w:szCs w:val="24"/>
              </w:rPr>
              <w:t>类物质参照附录B.2健康危险急性毒性物质（类别2，类别3）中的50t。</w:t>
            </w:r>
          </w:p>
          <w:p w14:paraId="4050EEC2">
            <w:pPr>
              <w:spacing w:before="120" w:beforeLines="50"/>
              <w:ind w:firstLine="560"/>
              <w:rPr>
                <w:color w:val="auto"/>
                <w:sz w:val="28"/>
              </w:rPr>
            </w:pPr>
            <w:r>
              <w:rPr>
                <w:rFonts w:hint="eastAsia"/>
                <w:color w:val="auto"/>
                <w:sz w:val="28"/>
              </w:rPr>
              <w:t>由表4-17可知</w:t>
            </w:r>
            <w:r>
              <w:rPr>
                <w:rFonts w:hint="eastAsia"/>
                <w:i/>
                <w:iCs/>
                <w:color w:val="auto"/>
                <w:sz w:val="28"/>
              </w:rPr>
              <w:t>，</w:t>
            </w:r>
            <w:r>
              <w:rPr>
                <w:rFonts w:hint="eastAsia"/>
                <w:i/>
                <w:iCs/>
                <w:color w:val="auto"/>
                <w:sz w:val="28"/>
                <w:highlight w:val="none"/>
              </w:rPr>
              <w:t>Q=0.</w:t>
            </w:r>
            <w:r>
              <w:rPr>
                <w:rFonts w:hint="eastAsia"/>
                <w:i/>
                <w:iCs/>
                <w:color w:val="auto"/>
                <w:sz w:val="28"/>
                <w:highlight w:val="none"/>
                <w:lang w:val="en-US" w:eastAsia="zh-CN"/>
              </w:rPr>
              <w:t>1033</w:t>
            </w:r>
            <w:r>
              <w:rPr>
                <w:rFonts w:hint="eastAsia"/>
                <w:i/>
                <w:iCs/>
                <w:color w:val="auto"/>
                <w:sz w:val="28"/>
              </w:rPr>
              <w:t>&lt;1，</w:t>
            </w:r>
            <w:r>
              <w:rPr>
                <w:rFonts w:hint="eastAsia"/>
                <w:color w:val="auto"/>
                <w:sz w:val="28"/>
              </w:rPr>
              <w:t>则项目环境风险潜势为I，环境风险评价仅需进行简单分析。</w:t>
            </w:r>
          </w:p>
          <w:p w14:paraId="24BB17B0">
            <w:pPr>
              <w:pStyle w:val="53"/>
              <w:spacing w:before="120"/>
              <w:rPr>
                <w:rFonts w:ascii="仿宋" w:hAnsi="仿宋"/>
                <w:color w:val="auto"/>
                <w:sz w:val="28"/>
              </w:rPr>
            </w:pPr>
            <w:r>
              <w:rPr>
                <w:rFonts w:hint="eastAsia" w:ascii="仿宋" w:hAnsi="仿宋"/>
                <w:color w:val="auto"/>
                <w:sz w:val="28"/>
                <w:lang w:val="en-US"/>
              </w:rPr>
              <w:t>4.7</w:t>
            </w:r>
            <w:r>
              <w:rPr>
                <w:rFonts w:ascii="仿宋" w:hAnsi="仿宋"/>
                <w:color w:val="auto"/>
                <w:sz w:val="28"/>
              </w:rPr>
              <w:t>.2</w:t>
            </w:r>
            <w:r>
              <w:rPr>
                <w:rFonts w:hint="eastAsia" w:ascii="仿宋" w:hAnsi="仿宋"/>
                <w:color w:val="auto"/>
                <w:sz w:val="28"/>
              </w:rPr>
              <w:t>环境风险分析</w:t>
            </w:r>
          </w:p>
          <w:p w14:paraId="364801E4">
            <w:pPr>
              <w:ind w:firstLine="560"/>
              <w:rPr>
                <w:color w:val="auto"/>
                <w:sz w:val="28"/>
                <w:lang w:val="zh-CN"/>
              </w:rPr>
            </w:pPr>
            <w:r>
              <w:rPr>
                <w:rFonts w:hint="eastAsia"/>
                <w:color w:val="auto"/>
                <w:sz w:val="28"/>
                <w:lang w:val="zh-CN"/>
              </w:rPr>
              <w:t>项目使用的化学品由供货商按照实际使用情况定期供应，在厂区存放较少。在生产过程中化学品全部泄漏的情况几乎为零，即使泄漏，量也很少，其环境影响范围仅局限在车间内，对外部不会产生影响。</w:t>
            </w:r>
          </w:p>
          <w:p w14:paraId="65CD145F">
            <w:pPr>
              <w:ind w:firstLine="560"/>
              <w:rPr>
                <w:color w:val="auto"/>
                <w:sz w:val="28"/>
              </w:rPr>
            </w:pPr>
            <w:r>
              <w:rPr>
                <w:rFonts w:hint="eastAsia"/>
                <w:color w:val="auto"/>
                <w:sz w:val="28"/>
                <w:lang w:val="zh-CN"/>
              </w:rPr>
              <w:t>（1）</w:t>
            </w:r>
            <w:r>
              <w:rPr>
                <w:rFonts w:hint="eastAsia"/>
                <w:color w:val="auto"/>
                <w:sz w:val="28"/>
              </w:rPr>
              <w:t>生产过程中的风险分析</w:t>
            </w:r>
          </w:p>
          <w:p w14:paraId="0F8E0A4D">
            <w:pPr>
              <w:ind w:firstLine="560"/>
              <w:rPr>
                <w:rFonts w:hint="eastAsia" w:eastAsia="仿宋"/>
                <w:color w:val="auto"/>
                <w:sz w:val="28"/>
                <w:lang w:eastAsia="zh-CN"/>
              </w:rPr>
            </w:pPr>
            <w:r>
              <w:rPr>
                <w:rFonts w:hint="eastAsia"/>
                <w:color w:val="auto"/>
                <w:sz w:val="28"/>
                <w:lang w:eastAsia="zh-CN"/>
              </w:rPr>
              <w:t>设备维修</w:t>
            </w:r>
            <w:r>
              <w:rPr>
                <w:rFonts w:hint="eastAsia"/>
                <w:color w:val="auto"/>
                <w:sz w:val="28"/>
              </w:rPr>
              <w:t>过程中发生泄漏事故，造成油品泄漏，可能通过地表径流污染地表水环境；</w:t>
            </w:r>
            <w:r>
              <w:rPr>
                <w:rFonts w:hint="eastAsia"/>
                <w:color w:val="auto"/>
                <w:sz w:val="28"/>
                <w:lang w:eastAsia="zh-CN"/>
              </w:rPr>
              <w:t>涂胶过程胶水泄漏到地面，</w:t>
            </w:r>
            <w:r>
              <w:rPr>
                <w:rFonts w:hint="eastAsia"/>
                <w:color w:val="auto"/>
                <w:sz w:val="28"/>
              </w:rPr>
              <w:t>可能通过地表径流污染地表水环境</w:t>
            </w:r>
            <w:r>
              <w:rPr>
                <w:rFonts w:hint="eastAsia"/>
                <w:color w:val="auto"/>
                <w:sz w:val="28"/>
                <w:lang w:eastAsia="zh-CN"/>
              </w:rPr>
              <w:t>或土壤环境；</w:t>
            </w:r>
          </w:p>
          <w:p w14:paraId="5ED1DBE7">
            <w:pPr>
              <w:ind w:firstLine="560"/>
              <w:rPr>
                <w:color w:val="auto"/>
                <w:sz w:val="28"/>
              </w:rPr>
            </w:pPr>
            <w:r>
              <w:rPr>
                <w:rFonts w:hint="eastAsia"/>
                <w:color w:val="auto"/>
                <w:sz w:val="28"/>
              </w:rPr>
              <w:t>生产区油品泄漏引发火灾造成工人和财物伤害问题以及进入水体引出的污染问题，遇明火或高热源等还可能引发火灾事故。</w:t>
            </w:r>
          </w:p>
          <w:p w14:paraId="23D93E34">
            <w:pPr>
              <w:ind w:firstLine="560"/>
              <w:rPr>
                <w:color w:val="auto"/>
                <w:sz w:val="28"/>
              </w:rPr>
            </w:pPr>
            <w:r>
              <w:rPr>
                <w:rFonts w:hint="eastAsia"/>
                <w:color w:val="auto"/>
                <w:sz w:val="28"/>
              </w:rPr>
              <w:t>（2）储存风险分析</w:t>
            </w:r>
          </w:p>
          <w:p w14:paraId="2996F254">
            <w:pPr>
              <w:ind w:firstLine="560"/>
              <w:rPr>
                <w:color w:val="auto"/>
                <w:sz w:val="28"/>
              </w:rPr>
            </w:pPr>
            <w:r>
              <w:rPr>
                <w:rFonts w:hint="eastAsia"/>
                <w:color w:val="auto"/>
                <w:sz w:val="28"/>
                <w:highlight w:val="none"/>
                <w:lang w:eastAsia="zh-CN"/>
              </w:rPr>
              <w:t>矿物油、胶水</w:t>
            </w:r>
            <w:r>
              <w:rPr>
                <w:rFonts w:hint="eastAsia"/>
                <w:color w:val="auto"/>
                <w:sz w:val="28"/>
              </w:rPr>
              <w:t>等采用专用包装桶密封装存后暂存于</w:t>
            </w:r>
            <w:r>
              <w:rPr>
                <w:rFonts w:hint="eastAsia"/>
                <w:color w:val="auto"/>
                <w:sz w:val="28"/>
                <w:lang w:eastAsia="zh-CN"/>
              </w:rPr>
              <w:t>化学品</w:t>
            </w:r>
            <w:r>
              <w:rPr>
                <w:rFonts w:hint="eastAsia"/>
                <w:color w:val="auto"/>
                <w:sz w:val="28"/>
                <w:szCs w:val="18"/>
                <w:lang w:eastAsia="zh-CN"/>
              </w:rPr>
              <w:t>暂存区</w:t>
            </w:r>
            <w:r>
              <w:rPr>
                <w:rFonts w:hint="eastAsia"/>
                <w:color w:val="auto"/>
                <w:sz w:val="28"/>
                <w:szCs w:val="18"/>
              </w:rPr>
              <w:t>，废油</w:t>
            </w:r>
            <w:r>
              <w:rPr>
                <w:rFonts w:hint="eastAsia"/>
                <w:color w:val="auto"/>
                <w:sz w:val="28"/>
              </w:rPr>
              <w:t>采用专用包装桶密封装存后暂存于</w:t>
            </w:r>
            <w:r>
              <w:rPr>
                <w:rFonts w:hint="eastAsia"/>
                <w:color w:val="auto"/>
                <w:sz w:val="28"/>
                <w:lang w:eastAsia="zh-CN"/>
              </w:rPr>
              <w:t>危废贮存点</w:t>
            </w:r>
            <w:r>
              <w:rPr>
                <w:rFonts w:hint="eastAsia"/>
                <w:color w:val="auto"/>
                <w:sz w:val="28"/>
              </w:rPr>
              <w:t>，若储桶损坏、管理不善，造成物料泄漏，也可能导致泄漏引发火灾造成工人和财物伤害问题以及进入水体引出的污染问题。</w:t>
            </w:r>
          </w:p>
          <w:p w14:paraId="19841367">
            <w:pPr>
              <w:ind w:firstLine="560"/>
              <w:rPr>
                <w:color w:val="auto"/>
                <w:sz w:val="28"/>
              </w:rPr>
            </w:pPr>
            <w:r>
              <w:rPr>
                <w:rFonts w:hint="eastAsia"/>
                <w:color w:val="auto"/>
                <w:sz w:val="28"/>
              </w:rPr>
              <w:t>（3）伴生/次伴生风险识别</w:t>
            </w:r>
          </w:p>
          <w:p w14:paraId="5E175F7B">
            <w:pPr>
              <w:ind w:firstLine="560"/>
              <w:rPr>
                <w:rFonts w:hint="eastAsia" w:eastAsia="仿宋"/>
                <w:color w:val="auto"/>
                <w:sz w:val="28"/>
                <w:lang w:eastAsia="zh-CN"/>
              </w:rPr>
            </w:pPr>
            <w:r>
              <w:rPr>
                <w:rFonts w:hint="eastAsia"/>
                <w:color w:val="auto"/>
                <w:sz w:val="28"/>
              </w:rPr>
              <w:t>项目</w:t>
            </w:r>
            <w:r>
              <w:rPr>
                <w:rFonts w:hint="eastAsia"/>
                <w:color w:val="auto"/>
                <w:sz w:val="28"/>
                <w:lang w:eastAsia="zh-CN"/>
              </w:rPr>
              <w:t>矿物油</w:t>
            </w:r>
            <w:r>
              <w:rPr>
                <w:rFonts w:hint="eastAsia"/>
                <w:color w:val="auto"/>
                <w:sz w:val="28"/>
              </w:rPr>
              <w:t>和废油属于可燃物质，在遇明火、高热时易发生火灾、爆炸事故，一旦泄漏物质接触明火或遇高热就会起火，根据物质成分，燃烧可能产生CO、CO</w:t>
            </w:r>
            <w:r>
              <w:rPr>
                <w:rFonts w:hint="eastAsia"/>
                <w:color w:val="auto"/>
                <w:sz w:val="28"/>
                <w:vertAlign w:val="subscript"/>
              </w:rPr>
              <w:t>2</w:t>
            </w:r>
            <w:r>
              <w:rPr>
                <w:rFonts w:hint="eastAsia"/>
                <w:color w:val="auto"/>
                <w:sz w:val="28"/>
              </w:rPr>
              <w:t>、NOx等有毒有害物质。另外，项目若发生火灾，在事故应急救援中产生的消防灭火水可能伴有一定的物料和未完全燃烧的产物，同时在灭火过程中可能产生少量的干粉、沙土等固体废物，以及泄漏时收集物料的废吸收材料，若事故排放后随意丢弃、排放，将对环境产生二次污染。</w:t>
            </w:r>
            <w:r>
              <w:rPr>
                <w:rFonts w:hint="eastAsia"/>
                <w:color w:val="auto"/>
                <w:sz w:val="28"/>
                <w:lang w:eastAsia="zh-CN"/>
              </w:rPr>
              <w:t>项目胶水一旦泄漏，若渗入土壤或随雨水进入水体，将对土壤及地表水环境造成影响。</w:t>
            </w:r>
          </w:p>
          <w:p w14:paraId="51B1A0EF">
            <w:pPr>
              <w:pStyle w:val="53"/>
              <w:spacing w:before="120"/>
              <w:rPr>
                <w:rFonts w:ascii="仿宋" w:hAnsi="仿宋"/>
                <w:color w:val="auto"/>
                <w:sz w:val="28"/>
              </w:rPr>
            </w:pPr>
            <w:r>
              <w:rPr>
                <w:rFonts w:hint="eastAsia" w:ascii="仿宋" w:hAnsi="仿宋"/>
                <w:color w:val="auto"/>
                <w:sz w:val="28"/>
                <w:lang w:val="en-US"/>
              </w:rPr>
              <w:t>4.7</w:t>
            </w:r>
            <w:r>
              <w:rPr>
                <w:rFonts w:ascii="仿宋" w:hAnsi="仿宋"/>
                <w:color w:val="auto"/>
                <w:sz w:val="28"/>
              </w:rPr>
              <w:t>.3</w:t>
            </w:r>
            <w:r>
              <w:rPr>
                <w:rFonts w:hint="eastAsia" w:ascii="仿宋" w:hAnsi="仿宋"/>
                <w:color w:val="auto"/>
                <w:sz w:val="28"/>
              </w:rPr>
              <w:t>风险防范及减缓措施分析</w:t>
            </w:r>
          </w:p>
          <w:p w14:paraId="1CA3802F">
            <w:pPr>
              <w:ind w:firstLine="560"/>
              <w:rPr>
                <w:color w:val="auto"/>
                <w:sz w:val="28"/>
                <w:lang w:val="zh-CN"/>
              </w:rPr>
            </w:pPr>
            <w:r>
              <w:rPr>
                <w:rFonts w:hint="eastAsia"/>
                <w:color w:val="auto"/>
                <w:sz w:val="28"/>
                <w:lang w:val="zh-CN"/>
              </w:rPr>
              <w:t>（1）生产过程中的风险防范措施分析</w:t>
            </w:r>
          </w:p>
          <w:p w14:paraId="502DEA3B">
            <w:pPr>
              <w:ind w:firstLine="560"/>
              <w:rPr>
                <w:color w:val="auto"/>
                <w:sz w:val="28"/>
                <w:lang w:val="zh-CN"/>
              </w:rPr>
            </w:pPr>
            <w:r>
              <w:rPr>
                <w:rFonts w:hint="eastAsia"/>
                <w:color w:val="auto"/>
                <w:sz w:val="28"/>
                <w:lang w:val="zh-CN"/>
              </w:rPr>
              <w:t>建立安全生产岗位责任制，制定安全生产规章制度、安全操作规程。</w:t>
            </w:r>
            <w:r>
              <w:rPr>
                <w:rFonts w:hint="eastAsia"/>
                <w:color w:val="auto"/>
                <w:sz w:val="28"/>
                <w:lang w:eastAsia="zh-CN"/>
              </w:rPr>
              <w:t>化学品</w:t>
            </w:r>
            <w:r>
              <w:rPr>
                <w:rFonts w:hint="eastAsia"/>
                <w:color w:val="auto"/>
                <w:sz w:val="28"/>
                <w:szCs w:val="18"/>
                <w:lang w:eastAsia="zh-CN"/>
              </w:rPr>
              <w:t>暂存区</w:t>
            </w:r>
            <w:r>
              <w:rPr>
                <w:rFonts w:hint="eastAsia"/>
                <w:color w:val="auto"/>
                <w:sz w:val="28"/>
                <w:lang w:val="zh-CN"/>
              </w:rPr>
              <w:t>和危废贮存点等有易燃物质的区域严禁明火，同时配备相应的吸油棉用于吸附发生泄漏事故的化学品；厂房内配备充分的通风系统；生产车间配备相应品种和数量的消防器材及泄漏应急处理设备；倒空的容器可能残留危险物质，严禁乱堆放。</w:t>
            </w:r>
          </w:p>
          <w:p w14:paraId="7D046DBA">
            <w:pPr>
              <w:ind w:firstLine="560"/>
              <w:rPr>
                <w:color w:val="auto"/>
                <w:sz w:val="28"/>
                <w:lang w:val="zh-CN"/>
              </w:rPr>
            </w:pPr>
            <w:r>
              <w:rPr>
                <w:rFonts w:hint="eastAsia"/>
                <w:color w:val="auto"/>
                <w:sz w:val="28"/>
                <w:lang w:val="zh-CN"/>
              </w:rPr>
              <w:t>（2）储存风险防范措施分析</w:t>
            </w:r>
          </w:p>
          <w:p w14:paraId="55CB9571">
            <w:pPr>
              <w:ind w:firstLine="560"/>
              <w:rPr>
                <w:color w:val="auto"/>
                <w:sz w:val="28"/>
                <w:lang w:val="zh-CN"/>
              </w:rPr>
            </w:pPr>
            <w:r>
              <w:rPr>
                <w:rFonts w:hint="eastAsia"/>
                <w:color w:val="auto"/>
                <w:sz w:val="28"/>
                <w:lang w:val="zh-CN"/>
              </w:rPr>
              <w:t>本评价要求库房必须阴凉、干燥、通风良好；矿物油和废油存放点必须远离火种、热源，避免阳光直射。矿物油、胶水存放点周围应配备吸附材料、托盘等；并对地面进行防渗硬化处理，防渗层的防渗性能不应低于6.0m厚渗透系数为1.0*10</w:t>
            </w:r>
            <w:r>
              <w:rPr>
                <w:rFonts w:hint="eastAsia"/>
                <w:color w:val="auto"/>
                <w:sz w:val="28"/>
                <w:vertAlign w:val="superscript"/>
                <w:lang w:val="zh-CN"/>
              </w:rPr>
              <w:t>-7</w:t>
            </w:r>
            <w:r>
              <w:rPr>
                <w:rFonts w:hint="eastAsia"/>
                <w:color w:val="auto"/>
                <w:sz w:val="28"/>
                <w:lang w:val="zh-CN"/>
              </w:rPr>
              <w:t>cm/s的黏土层的防渗性能；预留空桶，方便泄漏时及时转桶。</w:t>
            </w:r>
          </w:p>
          <w:p w14:paraId="06FCAC8C">
            <w:pPr>
              <w:ind w:firstLine="560"/>
              <w:rPr>
                <w:color w:val="auto"/>
                <w:sz w:val="28"/>
                <w:lang w:val="zh-CN"/>
              </w:rPr>
            </w:pPr>
            <w:r>
              <w:rPr>
                <w:rFonts w:hint="eastAsia"/>
                <w:color w:val="auto"/>
                <w:sz w:val="28"/>
                <w:lang w:val="zh-CN"/>
              </w:rPr>
              <w:t>（3）次/伴生污染防治措施</w:t>
            </w:r>
          </w:p>
          <w:p w14:paraId="4B817837">
            <w:pPr>
              <w:ind w:firstLine="560"/>
              <w:rPr>
                <w:color w:val="auto"/>
                <w:sz w:val="28"/>
                <w:lang w:val="zh-CN"/>
              </w:rPr>
            </w:pPr>
            <w:r>
              <w:rPr>
                <w:rFonts w:hint="eastAsia"/>
                <w:color w:val="auto"/>
                <w:sz w:val="28"/>
                <w:lang w:val="zh-CN"/>
              </w:rPr>
              <w:t>在灭火过程中产生少量的干粉、沙土等固体废物，以及泄漏时收集泄漏物料的废吸收材料，在事故得到控制后统一收集、分类暂存：吸附了矿物油和废油等含有危险物质物料的废吸附材料按照危险废物处置要求进行处理；吸附其他不含危险物质物料的废吸附材料按照一般工业固废处置要求处理。</w:t>
            </w:r>
          </w:p>
          <w:p w14:paraId="1C1FBD1A">
            <w:pPr>
              <w:ind w:firstLine="560"/>
              <w:rPr>
                <w:color w:val="auto"/>
                <w:sz w:val="28"/>
                <w:lang w:val="zh-CN"/>
              </w:rPr>
            </w:pPr>
            <w:r>
              <w:rPr>
                <w:rFonts w:hint="eastAsia"/>
                <w:color w:val="auto"/>
                <w:sz w:val="28"/>
                <w:lang w:val="zh-CN"/>
              </w:rPr>
              <w:t>综上所述，本项目无重大危险源，可能发生的风险事故单一，一旦发生风险事故，只要严格采取上述风险防范措施，能有效减轻对周围环境及人群造成的伤害和环境危害，其环境风险水平在可接受范围内。</w:t>
            </w:r>
          </w:p>
          <w:p w14:paraId="56A7EDF5">
            <w:pPr>
              <w:ind w:firstLine="560"/>
              <w:rPr>
                <w:color w:val="auto"/>
                <w:sz w:val="28"/>
                <w:lang w:val="zh-CN"/>
              </w:rPr>
            </w:pPr>
          </w:p>
          <w:p w14:paraId="5652AC50">
            <w:pPr>
              <w:ind w:firstLine="560"/>
              <w:rPr>
                <w:color w:val="auto"/>
                <w:sz w:val="28"/>
                <w:lang w:val="zh-CN"/>
              </w:rPr>
            </w:pPr>
          </w:p>
          <w:p w14:paraId="575A21A7">
            <w:pPr>
              <w:ind w:firstLine="560"/>
              <w:rPr>
                <w:color w:val="auto"/>
                <w:sz w:val="28"/>
                <w:lang w:val="zh-CN"/>
              </w:rPr>
            </w:pPr>
          </w:p>
          <w:p w14:paraId="4E28BD3C">
            <w:pPr>
              <w:ind w:firstLine="560"/>
              <w:rPr>
                <w:color w:val="auto"/>
                <w:sz w:val="28"/>
                <w:lang w:val="zh-CN"/>
              </w:rPr>
            </w:pPr>
          </w:p>
          <w:p w14:paraId="69277C12">
            <w:pPr>
              <w:ind w:firstLine="560"/>
              <w:rPr>
                <w:color w:val="auto"/>
                <w:sz w:val="28"/>
                <w:lang w:val="zh-CN"/>
              </w:rPr>
            </w:pPr>
          </w:p>
          <w:p w14:paraId="036B50BE">
            <w:pPr>
              <w:ind w:firstLine="560"/>
              <w:rPr>
                <w:color w:val="auto"/>
                <w:sz w:val="28"/>
                <w:lang w:val="zh-CN"/>
              </w:rPr>
            </w:pPr>
          </w:p>
          <w:p w14:paraId="399E5E28">
            <w:pPr>
              <w:ind w:firstLine="560"/>
              <w:rPr>
                <w:color w:val="auto"/>
                <w:sz w:val="28"/>
                <w:lang w:val="zh-CN"/>
              </w:rPr>
            </w:pPr>
          </w:p>
          <w:p w14:paraId="0C650624">
            <w:pPr>
              <w:ind w:firstLine="560"/>
              <w:rPr>
                <w:color w:val="auto"/>
                <w:sz w:val="28"/>
                <w:lang w:val="zh-CN"/>
              </w:rPr>
            </w:pPr>
          </w:p>
          <w:p w14:paraId="611E8290">
            <w:pPr>
              <w:ind w:firstLine="560"/>
              <w:rPr>
                <w:color w:val="auto"/>
                <w:sz w:val="28"/>
                <w:lang w:val="zh-CN"/>
              </w:rPr>
            </w:pPr>
          </w:p>
          <w:p w14:paraId="27D6DBA5">
            <w:pPr>
              <w:ind w:firstLine="560"/>
              <w:rPr>
                <w:color w:val="auto"/>
                <w:sz w:val="28"/>
                <w:lang w:val="zh-CN"/>
              </w:rPr>
            </w:pPr>
          </w:p>
          <w:p w14:paraId="018DDF45">
            <w:pPr>
              <w:ind w:firstLine="560"/>
              <w:rPr>
                <w:color w:val="auto"/>
                <w:sz w:val="28"/>
                <w:lang w:val="zh-CN"/>
              </w:rPr>
            </w:pPr>
          </w:p>
          <w:p w14:paraId="1EC9F126">
            <w:pPr>
              <w:ind w:firstLine="0" w:firstLineChars="0"/>
              <w:rPr>
                <w:color w:val="auto"/>
                <w:sz w:val="28"/>
                <w:lang w:val="zh-CN"/>
              </w:rPr>
            </w:pPr>
          </w:p>
          <w:p w14:paraId="5A2356EA">
            <w:pPr>
              <w:pStyle w:val="46"/>
              <w:ind w:firstLine="0" w:firstLineChars="0"/>
              <w:rPr>
                <w:color w:val="auto"/>
                <w:lang w:val="zh-CN"/>
              </w:rPr>
            </w:pPr>
          </w:p>
        </w:tc>
      </w:tr>
    </w:tbl>
    <w:p w14:paraId="10265CCE">
      <w:pPr>
        <w:ind w:firstLine="420"/>
        <w:rPr>
          <w:color w:val="auto"/>
        </w:rPr>
      </w:pPr>
    </w:p>
    <w:p w14:paraId="45CE8802">
      <w:pPr>
        <w:ind w:firstLine="420"/>
        <w:rPr>
          <w:color w:val="auto"/>
        </w:rPr>
        <w:sectPr>
          <w:pgSz w:w="11906" w:h="16838"/>
          <w:pgMar w:top="1701" w:right="1531" w:bottom="1701" w:left="1531" w:header="851" w:footer="851" w:gutter="0"/>
          <w:cols w:space="720" w:num="1"/>
          <w:docGrid w:linePitch="312" w:charSpace="0"/>
        </w:sectPr>
      </w:pPr>
    </w:p>
    <w:p w14:paraId="7D16AFB6">
      <w:pPr>
        <w:pStyle w:val="28"/>
        <w:ind w:firstLine="600"/>
        <w:rPr>
          <w:rFonts w:eastAsia="仿宋"/>
          <w:snapToGrid w:val="0"/>
          <w:color w:val="auto"/>
        </w:rPr>
      </w:pPr>
      <w:r>
        <w:rPr>
          <w:rFonts w:hint="eastAsia" w:eastAsia="仿宋"/>
          <w:snapToGrid w:val="0"/>
          <w:color w:val="auto"/>
        </w:rPr>
        <w:t>五、</w:t>
      </w:r>
      <w:bookmarkStart w:id="10" w:name="_Hlk54167917"/>
      <w:r>
        <w:rPr>
          <w:rFonts w:hint="eastAsia" w:eastAsia="仿宋"/>
          <w:snapToGrid w:val="0"/>
          <w:color w:val="auto"/>
        </w:rPr>
        <w:t>环境保护措施监督检查清单</w:t>
      </w:r>
      <w:bookmarkEnd w:id="10"/>
    </w:p>
    <w:tbl>
      <w:tblPr>
        <w:tblStyle w:val="31"/>
        <w:tblW w:w="89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870"/>
        <w:gridCol w:w="1075"/>
        <w:gridCol w:w="1620"/>
        <w:gridCol w:w="1877"/>
        <w:gridCol w:w="2376"/>
      </w:tblGrid>
      <w:tr w14:paraId="60E47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tcBorders>
              <w:tl2br w:val="single" w:color="auto" w:sz="4" w:space="0"/>
            </w:tcBorders>
            <w:vAlign w:val="center"/>
          </w:tcPr>
          <w:p w14:paraId="0D984971">
            <w:pPr>
              <w:pStyle w:val="48"/>
              <w:jc w:val="right"/>
              <w:rPr>
                <w:color w:val="auto"/>
                <w:sz w:val="24"/>
              </w:rPr>
            </w:pPr>
            <w:r>
              <w:rPr>
                <w:rFonts w:hint="eastAsia"/>
                <w:color w:val="auto"/>
                <w:sz w:val="24"/>
              </w:rPr>
              <w:t>内容</w:t>
            </w:r>
          </w:p>
          <w:p w14:paraId="7995A73B">
            <w:pPr>
              <w:pStyle w:val="48"/>
              <w:jc w:val="left"/>
              <w:rPr>
                <w:rFonts w:hint="eastAsia" w:eastAsia="仿宋"/>
                <w:color w:val="auto"/>
                <w:lang w:eastAsia="zh-CN"/>
              </w:rPr>
            </w:pPr>
            <w:r>
              <w:rPr>
                <w:rFonts w:hint="eastAsia"/>
                <w:color w:val="auto"/>
                <w:sz w:val="24"/>
              </w:rPr>
              <w:t>要素</w:t>
            </w:r>
          </w:p>
        </w:tc>
        <w:tc>
          <w:tcPr>
            <w:tcW w:w="1945" w:type="dxa"/>
            <w:gridSpan w:val="2"/>
            <w:vAlign w:val="center"/>
          </w:tcPr>
          <w:p w14:paraId="2685A5AE">
            <w:pPr>
              <w:pStyle w:val="48"/>
              <w:rPr>
                <w:color w:val="auto"/>
              </w:rPr>
            </w:pPr>
            <w:r>
              <w:rPr>
                <w:rFonts w:hint="eastAsia"/>
                <w:color w:val="auto"/>
                <w:sz w:val="24"/>
              </w:rPr>
              <w:t>排放口(编号、名称)/污染源</w:t>
            </w:r>
          </w:p>
        </w:tc>
        <w:tc>
          <w:tcPr>
            <w:tcW w:w="1620" w:type="dxa"/>
            <w:vAlign w:val="center"/>
          </w:tcPr>
          <w:p w14:paraId="3BA1A044">
            <w:pPr>
              <w:pStyle w:val="48"/>
              <w:rPr>
                <w:color w:val="auto"/>
              </w:rPr>
            </w:pPr>
            <w:r>
              <w:rPr>
                <w:rFonts w:hint="eastAsia"/>
                <w:color w:val="auto"/>
                <w:sz w:val="24"/>
              </w:rPr>
              <w:t>污染物项目</w:t>
            </w:r>
          </w:p>
        </w:tc>
        <w:tc>
          <w:tcPr>
            <w:tcW w:w="1877" w:type="dxa"/>
            <w:vAlign w:val="center"/>
          </w:tcPr>
          <w:p w14:paraId="6D728B2D">
            <w:pPr>
              <w:pStyle w:val="48"/>
              <w:rPr>
                <w:color w:val="auto"/>
              </w:rPr>
            </w:pPr>
            <w:r>
              <w:rPr>
                <w:rFonts w:hint="eastAsia"/>
                <w:color w:val="auto"/>
                <w:sz w:val="24"/>
              </w:rPr>
              <w:t>环境保护措施</w:t>
            </w:r>
          </w:p>
        </w:tc>
        <w:tc>
          <w:tcPr>
            <w:tcW w:w="2376" w:type="dxa"/>
            <w:vAlign w:val="center"/>
          </w:tcPr>
          <w:p w14:paraId="0E015D79">
            <w:pPr>
              <w:pStyle w:val="48"/>
              <w:rPr>
                <w:color w:val="auto"/>
              </w:rPr>
            </w:pPr>
            <w:r>
              <w:rPr>
                <w:rFonts w:hint="eastAsia"/>
                <w:color w:val="auto"/>
                <w:sz w:val="24"/>
              </w:rPr>
              <w:t>执行标准</w:t>
            </w:r>
          </w:p>
        </w:tc>
      </w:tr>
      <w:tr w14:paraId="543FC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Merge w:val="restart"/>
            <w:vAlign w:val="center"/>
          </w:tcPr>
          <w:p w14:paraId="720E0DF5">
            <w:pPr>
              <w:pStyle w:val="48"/>
              <w:rPr>
                <w:color w:val="auto"/>
              </w:rPr>
            </w:pPr>
            <w:r>
              <w:rPr>
                <w:rFonts w:hint="eastAsia"/>
                <w:color w:val="auto"/>
                <w:sz w:val="24"/>
              </w:rPr>
              <w:t>大气环境</w:t>
            </w:r>
          </w:p>
        </w:tc>
        <w:tc>
          <w:tcPr>
            <w:tcW w:w="870" w:type="dxa"/>
            <w:vAlign w:val="center"/>
          </w:tcPr>
          <w:p w14:paraId="4C618E79">
            <w:pPr>
              <w:pStyle w:val="48"/>
              <w:rPr>
                <w:color w:val="auto"/>
              </w:rPr>
            </w:pPr>
            <w:r>
              <w:rPr>
                <w:rFonts w:hint="eastAsia"/>
                <w:color w:val="auto"/>
                <w:sz w:val="24"/>
              </w:rPr>
              <w:t>DA001</w:t>
            </w:r>
          </w:p>
        </w:tc>
        <w:tc>
          <w:tcPr>
            <w:tcW w:w="1075" w:type="dxa"/>
            <w:vAlign w:val="center"/>
          </w:tcPr>
          <w:p w14:paraId="43602DEB">
            <w:pPr>
              <w:pStyle w:val="48"/>
              <w:rPr>
                <w:color w:val="auto"/>
              </w:rPr>
            </w:pPr>
            <w:r>
              <w:rPr>
                <w:rFonts w:hint="eastAsia"/>
                <w:color w:val="auto"/>
                <w:sz w:val="24"/>
                <w:szCs w:val="40"/>
                <w:lang w:eastAsia="zh-CN"/>
              </w:rPr>
              <w:t>涂布、烘烤</w:t>
            </w:r>
            <w:r>
              <w:rPr>
                <w:rFonts w:hint="eastAsia"/>
                <w:color w:val="auto"/>
                <w:sz w:val="24"/>
                <w:szCs w:val="40"/>
              </w:rPr>
              <w:t>有机废气</w:t>
            </w:r>
          </w:p>
        </w:tc>
        <w:tc>
          <w:tcPr>
            <w:tcW w:w="1620" w:type="dxa"/>
            <w:vAlign w:val="center"/>
          </w:tcPr>
          <w:p w14:paraId="654D9E0C">
            <w:pPr>
              <w:pStyle w:val="48"/>
              <w:rPr>
                <w:rFonts w:hint="eastAsia" w:eastAsia="仿宋"/>
                <w:color w:val="auto"/>
                <w:lang w:eastAsia="zh-CN"/>
              </w:rPr>
            </w:pPr>
            <w:r>
              <w:rPr>
                <w:rFonts w:hint="eastAsia"/>
                <w:color w:val="auto"/>
                <w:sz w:val="24"/>
                <w:szCs w:val="40"/>
              </w:rPr>
              <w:t>非甲烷总烃</w:t>
            </w:r>
            <w:r>
              <w:rPr>
                <w:rFonts w:hint="eastAsia"/>
                <w:color w:val="auto"/>
                <w:sz w:val="24"/>
                <w:szCs w:val="40"/>
                <w:lang w:eastAsia="zh-CN"/>
              </w:rPr>
              <w:t>、</w:t>
            </w:r>
            <w:r>
              <w:rPr>
                <w:rFonts w:hint="eastAsia"/>
                <w:i/>
                <w:iCs/>
                <w:color w:val="auto"/>
                <w:sz w:val="24"/>
                <w:szCs w:val="40"/>
                <w:lang w:eastAsia="zh-CN"/>
              </w:rPr>
              <w:t>颗粒物、臭气浓度</w:t>
            </w:r>
          </w:p>
        </w:tc>
        <w:tc>
          <w:tcPr>
            <w:tcW w:w="1877" w:type="dxa"/>
            <w:vAlign w:val="center"/>
          </w:tcPr>
          <w:p w14:paraId="01E35D7B">
            <w:pPr>
              <w:pStyle w:val="48"/>
              <w:jc w:val="both"/>
              <w:rPr>
                <w:color w:val="auto"/>
              </w:rPr>
            </w:pPr>
            <w:r>
              <w:rPr>
                <w:rFonts w:hint="eastAsia"/>
                <w:color w:val="auto"/>
                <w:sz w:val="24"/>
              </w:rPr>
              <w:t>由集气罩收集经过</w:t>
            </w:r>
            <w:r>
              <w:rPr>
                <w:rFonts w:hint="eastAsia"/>
                <w:color w:val="auto"/>
                <w:sz w:val="24"/>
                <w:lang w:eastAsia="zh-CN"/>
              </w:rPr>
              <w:t>过滤棉</w:t>
            </w:r>
            <w:r>
              <w:rPr>
                <w:rFonts w:hint="eastAsia"/>
                <w:color w:val="auto"/>
                <w:sz w:val="24"/>
                <w:lang w:val="en-US" w:eastAsia="zh-CN"/>
              </w:rPr>
              <w:t>+</w:t>
            </w:r>
            <w:r>
              <w:rPr>
                <w:rFonts w:hint="eastAsia"/>
                <w:color w:val="auto"/>
                <w:sz w:val="24"/>
                <w:lang w:eastAsia="zh-CN"/>
              </w:rPr>
              <w:t>二级活性炭</w:t>
            </w:r>
            <w:r>
              <w:rPr>
                <w:rFonts w:hint="eastAsia"/>
                <w:color w:val="auto"/>
                <w:sz w:val="24"/>
              </w:rPr>
              <w:t>处理后通过排气筒达标排放</w:t>
            </w:r>
          </w:p>
        </w:tc>
        <w:tc>
          <w:tcPr>
            <w:tcW w:w="2376" w:type="dxa"/>
            <w:vAlign w:val="center"/>
          </w:tcPr>
          <w:p w14:paraId="48C0722C">
            <w:pPr>
              <w:pStyle w:val="48"/>
              <w:jc w:val="both"/>
              <w:rPr>
                <w:color w:val="auto"/>
              </w:rPr>
            </w:pPr>
            <w:r>
              <w:rPr>
                <w:rFonts w:hint="eastAsia"/>
                <w:i/>
                <w:iCs/>
                <w:color w:val="auto"/>
                <w:sz w:val="24"/>
                <w:szCs w:val="40"/>
                <w:lang w:val="en-US" w:eastAsia="zh-CN"/>
              </w:rPr>
              <w:t>《合成树脂工业污染物排放标准》（GB31572-2015，含2024年修改单）</w:t>
            </w:r>
            <w:r>
              <w:rPr>
                <w:rFonts w:hint="eastAsia"/>
                <w:i/>
                <w:iCs/>
                <w:color w:val="auto"/>
                <w:sz w:val="24"/>
                <w:szCs w:val="40"/>
                <w:lang w:eastAsia="zh-CN"/>
              </w:rPr>
              <w:t>，</w:t>
            </w:r>
            <w:r>
              <w:rPr>
                <w:rFonts w:hint="eastAsia"/>
                <w:i/>
                <w:iCs/>
                <w:color w:val="auto"/>
                <w:sz w:val="24"/>
              </w:rPr>
              <w:t>《恶臭污染物排放标准》（GB14554-1993）</w:t>
            </w:r>
          </w:p>
        </w:tc>
      </w:tr>
      <w:tr w14:paraId="69DDCF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Merge w:val="continue"/>
            <w:vAlign w:val="center"/>
          </w:tcPr>
          <w:p w14:paraId="74213E8D">
            <w:pPr>
              <w:pStyle w:val="48"/>
              <w:rPr>
                <w:color w:val="auto"/>
              </w:rPr>
            </w:pPr>
          </w:p>
        </w:tc>
        <w:tc>
          <w:tcPr>
            <w:tcW w:w="870" w:type="dxa"/>
            <w:vAlign w:val="center"/>
          </w:tcPr>
          <w:p w14:paraId="5AEF8EF2">
            <w:pPr>
              <w:pStyle w:val="48"/>
              <w:rPr>
                <w:color w:val="auto"/>
              </w:rPr>
            </w:pPr>
            <w:r>
              <w:rPr>
                <w:rFonts w:hint="eastAsia"/>
                <w:color w:val="auto"/>
                <w:sz w:val="24"/>
              </w:rPr>
              <w:t>无组织</w:t>
            </w:r>
          </w:p>
        </w:tc>
        <w:tc>
          <w:tcPr>
            <w:tcW w:w="1075" w:type="dxa"/>
            <w:vAlign w:val="center"/>
          </w:tcPr>
          <w:p w14:paraId="0B774046">
            <w:pPr>
              <w:pStyle w:val="48"/>
              <w:rPr>
                <w:color w:val="auto"/>
              </w:rPr>
            </w:pPr>
            <w:r>
              <w:rPr>
                <w:rFonts w:hint="eastAsia"/>
                <w:color w:val="auto"/>
                <w:sz w:val="24"/>
              </w:rPr>
              <w:t>厂界</w:t>
            </w:r>
          </w:p>
        </w:tc>
        <w:tc>
          <w:tcPr>
            <w:tcW w:w="1620" w:type="dxa"/>
            <w:vAlign w:val="center"/>
          </w:tcPr>
          <w:p w14:paraId="12EDAFF0">
            <w:pPr>
              <w:pStyle w:val="48"/>
              <w:rPr>
                <w:rFonts w:hint="eastAsia" w:eastAsia="仿宋"/>
                <w:color w:val="auto"/>
                <w:lang w:eastAsia="zh-CN"/>
              </w:rPr>
            </w:pPr>
            <w:r>
              <w:rPr>
                <w:rFonts w:hint="eastAsia"/>
                <w:color w:val="auto"/>
                <w:sz w:val="24"/>
              </w:rPr>
              <w:t>非甲烷总烃、</w:t>
            </w:r>
            <w:r>
              <w:rPr>
                <w:rFonts w:hint="eastAsia"/>
                <w:color w:val="auto"/>
                <w:sz w:val="24"/>
                <w:lang w:eastAsia="zh-CN"/>
              </w:rPr>
              <w:t>颗粒物、</w:t>
            </w:r>
            <w:r>
              <w:rPr>
                <w:rFonts w:hint="eastAsia"/>
                <w:color w:val="auto"/>
                <w:sz w:val="24"/>
              </w:rPr>
              <w:t>臭气浓度</w:t>
            </w:r>
          </w:p>
        </w:tc>
        <w:tc>
          <w:tcPr>
            <w:tcW w:w="1877" w:type="dxa"/>
            <w:vAlign w:val="center"/>
          </w:tcPr>
          <w:p w14:paraId="727D864A">
            <w:pPr>
              <w:pStyle w:val="48"/>
              <w:rPr>
                <w:color w:val="auto"/>
              </w:rPr>
            </w:pPr>
            <w:r>
              <w:rPr>
                <w:rFonts w:hint="eastAsia"/>
                <w:color w:val="auto"/>
                <w:sz w:val="24"/>
              </w:rPr>
              <w:t>加强机械通风</w:t>
            </w:r>
          </w:p>
        </w:tc>
        <w:tc>
          <w:tcPr>
            <w:tcW w:w="2376" w:type="dxa"/>
            <w:vAlign w:val="center"/>
          </w:tcPr>
          <w:p w14:paraId="4F02DC43">
            <w:pPr>
              <w:pStyle w:val="48"/>
              <w:jc w:val="both"/>
              <w:rPr>
                <w:color w:val="auto"/>
              </w:rPr>
            </w:pPr>
            <w:r>
              <w:rPr>
                <w:rFonts w:hint="eastAsia"/>
                <w:color w:val="auto"/>
                <w:sz w:val="24"/>
              </w:rPr>
              <w:t>《恶臭污染物排放标准》（GB14554-1993），</w:t>
            </w:r>
            <w:r>
              <w:rPr>
                <w:rFonts w:hint="eastAsia"/>
                <w:i/>
                <w:iCs/>
                <w:color w:val="auto"/>
                <w:sz w:val="24"/>
                <w:szCs w:val="40"/>
                <w:lang w:val="en-US" w:eastAsia="zh-CN"/>
              </w:rPr>
              <w:t>《合成树脂工业污染物排放标准》（GB31572-2015，含2024年修改单）</w:t>
            </w:r>
          </w:p>
        </w:tc>
      </w:tr>
      <w:tr w14:paraId="6F635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Merge w:val="continue"/>
            <w:vAlign w:val="center"/>
          </w:tcPr>
          <w:p w14:paraId="20BFB849">
            <w:pPr>
              <w:pStyle w:val="48"/>
              <w:rPr>
                <w:color w:val="auto"/>
              </w:rPr>
            </w:pPr>
          </w:p>
        </w:tc>
        <w:tc>
          <w:tcPr>
            <w:tcW w:w="870" w:type="dxa"/>
            <w:shd w:val="clear" w:color="auto" w:fill="auto"/>
            <w:vAlign w:val="center"/>
          </w:tcPr>
          <w:p w14:paraId="533A0AF3">
            <w:pPr>
              <w:pStyle w:val="48"/>
              <w:ind w:firstLine="0" w:firstLineChars="0"/>
              <w:rPr>
                <w:rFonts w:hint="eastAsia" w:ascii="仿宋" w:hAnsi="仿宋" w:eastAsia="仿宋" w:cs="Times New Roman"/>
                <w:color w:val="auto"/>
                <w:kern w:val="2"/>
                <w:sz w:val="18"/>
                <w:szCs w:val="24"/>
                <w:lang w:val="en-US" w:eastAsia="zh-CN" w:bidi="ar-SA"/>
              </w:rPr>
            </w:pPr>
            <w:r>
              <w:rPr>
                <w:rFonts w:hint="eastAsia"/>
                <w:color w:val="auto"/>
                <w:sz w:val="24"/>
              </w:rPr>
              <w:t>无组织</w:t>
            </w:r>
          </w:p>
        </w:tc>
        <w:tc>
          <w:tcPr>
            <w:tcW w:w="1075" w:type="dxa"/>
            <w:shd w:val="clear" w:color="auto" w:fill="auto"/>
            <w:vAlign w:val="center"/>
          </w:tcPr>
          <w:p w14:paraId="783B5B7B">
            <w:pPr>
              <w:pStyle w:val="48"/>
              <w:ind w:firstLine="0" w:firstLineChars="0"/>
              <w:rPr>
                <w:rFonts w:hint="eastAsia" w:ascii="仿宋" w:hAnsi="仿宋" w:eastAsia="仿宋" w:cs="Times New Roman"/>
                <w:color w:val="auto"/>
                <w:kern w:val="2"/>
                <w:sz w:val="18"/>
                <w:szCs w:val="24"/>
                <w:lang w:val="en-US" w:eastAsia="zh-CN" w:bidi="ar-SA"/>
              </w:rPr>
            </w:pPr>
            <w:r>
              <w:rPr>
                <w:rFonts w:hint="eastAsia"/>
                <w:color w:val="auto"/>
                <w:sz w:val="24"/>
              </w:rPr>
              <w:t>厂</w:t>
            </w:r>
            <w:r>
              <w:rPr>
                <w:rFonts w:hint="eastAsia"/>
                <w:color w:val="auto"/>
                <w:sz w:val="24"/>
                <w:lang w:eastAsia="zh-CN"/>
              </w:rPr>
              <w:t>房外</w:t>
            </w:r>
          </w:p>
        </w:tc>
        <w:tc>
          <w:tcPr>
            <w:tcW w:w="1620" w:type="dxa"/>
            <w:shd w:val="clear" w:color="auto" w:fill="auto"/>
            <w:vAlign w:val="center"/>
          </w:tcPr>
          <w:p w14:paraId="30C29829">
            <w:pPr>
              <w:pStyle w:val="48"/>
              <w:ind w:firstLine="0" w:firstLineChars="0"/>
              <w:rPr>
                <w:rFonts w:hint="eastAsia" w:ascii="仿宋" w:hAnsi="仿宋" w:eastAsia="仿宋" w:cs="Times New Roman"/>
                <w:color w:val="auto"/>
                <w:kern w:val="2"/>
                <w:sz w:val="18"/>
                <w:szCs w:val="24"/>
                <w:lang w:val="en-US" w:eastAsia="zh-CN" w:bidi="ar-SA"/>
              </w:rPr>
            </w:pPr>
            <w:r>
              <w:rPr>
                <w:rFonts w:hint="eastAsia"/>
                <w:color w:val="auto"/>
                <w:sz w:val="24"/>
              </w:rPr>
              <w:t>非甲烷总烃</w:t>
            </w:r>
          </w:p>
        </w:tc>
        <w:tc>
          <w:tcPr>
            <w:tcW w:w="1877" w:type="dxa"/>
            <w:shd w:val="clear" w:color="auto" w:fill="auto"/>
            <w:vAlign w:val="center"/>
          </w:tcPr>
          <w:p w14:paraId="54F55843">
            <w:pPr>
              <w:pStyle w:val="48"/>
              <w:ind w:firstLine="0" w:firstLineChars="0"/>
              <w:rPr>
                <w:rFonts w:hint="eastAsia" w:ascii="仿宋" w:hAnsi="仿宋" w:eastAsia="仿宋" w:cs="Times New Roman"/>
                <w:color w:val="auto"/>
                <w:kern w:val="2"/>
                <w:sz w:val="18"/>
                <w:szCs w:val="24"/>
                <w:lang w:val="en-US" w:eastAsia="zh-CN" w:bidi="ar-SA"/>
              </w:rPr>
            </w:pPr>
            <w:r>
              <w:rPr>
                <w:rFonts w:hint="eastAsia"/>
                <w:color w:val="auto"/>
                <w:sz w:val="24"/>
              </w:rPr>
              <w:t>加强机械通风</w:t>
            </w:r>
          </w:p>
        </w:tc>
        <w:tc>
          <w:tcPr>
            <w:tcW w:w="2376" w:type="dxa"/>
            <w:shd w:val="clear" w:color="auto" w:fill="auto"/>
            <w:vAlign w:val="center"/>
          </w:tcPr>
          <w:p w14:paraId="435C934A">
            <w:pPr>
              <w:pStyle w:val="48"/>
              <w:ind w:firstLine="0" w:firstLineChars="0"/>
              <w:jc w:val="both"/>
              <w:rPr>
                <w:rFonts w:hint="eastAsia" w:ascii="仿宋" w:hAnsi="仿宋" w:eastAsia="仿宋" w:cs="Times New Roman"/>
                <w:color w:val="auto"/>
                <w:kern w:val="2"/>
                <w:sz w:val="18"/>
                <w:szCs w:val="24"/>
                <w:lang w:val="en-US" w:eastAsia="zh-CN" w:bidi="ar-SA"/>
              </w:rPr>
            </w:pPr>
            <w:r>
              <w:rPr>
                <w:rFonts w:hint="eastAsia" w:ascii="仿宋" w:hAnsi="仿宋" w:eastAsia="仿宋" w:cs="Times New Roman"/>
                <w:color w:val="auto"/>
                <w:kern w:val="2"/>
                <w:sz w:val="24"/>
                <w:szCs w:val="40"/>
                <w:lang w:val="en-US" w:eastAsia="zh-CN" w:bidi="ar-SA"/>
              </w:rPr>
              <w:t>《挥发性有机物无组织排放控制标准》（GB37822-2019）</w:t>
            </w:r>
          </w:p>
        </w:tc>
      </w:tr>
      <w:tr w14:paraId="49FC9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84" w:type="dxa"/>
            <w:vMerge w:val="restart"/>
            <w:vAlign w:val="center"/>
          </w:tcPr>
          <w:p w14:paraId="06CD9FFF">
            <w:pPr>
              <w:pStyle w:val="48"/>
              <w:rPr>
                <w:color w:val="auto"/>
                <w:sz w:val="24"/>
              </w:rPr>
            </w:pPr>
            <w:r>
              <w:rPr>
                <w:rFonts w:hint="eastAsia"/>
                <w:color w:val="auto"/>
                <w:sz w:val="24"/>
              </w:rPr>
              <w:t>地表水</w:t>
            </w:r>
          </w:p>
          <w:p w14:paraId="461CF0C5">
            <w:pPr>
              <w:pStyle w:val="48"/>
              <w:rPr>
                <w:color w:val="auto"/>
              </w:rPr>
            </w:pPr>
            <w:r>
              <w:rPr>
                <w:rFonts w:hint="eastAsia"/>
                <w:color w:val="auto"/>
                <w:sz w:val="24"/>
              </w:rPr>
              <w:t>环境</w:t>
            </w:r>
          </w:p>
        </w:tc>
        <w:tc>
          <w:tcPr>
            <w:tcW w:w="1945" w:type="dxa"/>
            <w:gridSpan w:val="2"/>
            <w:vMerge w:val="restart"/>
            <w:vAlign w:val="center"/>
          </w:tcPr>
          <w:p w14:paraId="34BA5029">
            <w:pPr>
              <w:pStyle w:val="48"/>
              <w:rPr>
                <w:rFonts w:hint="eastAsia" w:eastAsia="仿宋"/>
                <w:color w:val="auto"/>
                <w:lang w:eastAsia="zh-CN"/>
              </w:rPr>
            </w:pPr>
            <w:r>
              <w:rPr>
                <w:rFonts w:hint="eastAsia"/>
                <w:color w:val="auto"/>
                <w:sz w:val="24"/>
              </w:rPr>
              <w:t>生活污水</w:t>
            </w:r>
          </w:p>
        </w:tc>
        <w:tc>
          <w:tcPr>
            <w:tcW w:w="1620" w:type="dxa"/>
            <w:vAlign w:val="center"/>
          </w:tcPr>
          <w:p w14:paraId="70FF9B67">
            <w:pPr>
              <w:pStyle w:val="48"/>
              <w:rPr>
                <w:rFonts w:ascii="Times New Roman" w:hAnsi="Times New Roman"/>
                <w:color w:val="auto"/>
              </w:rPr>
            </w:pPr>
            <w:r>
              <w:rPr>
                <w:rFonts w:ascii="Times New Roman" w:hAnsi="Times New Roman"/>
                <w:color w:val="auto"/>
                <w:sz w:val="24"/>
              </w:rPr>
              <w:t>COD</w:t>
            </w:r>
          </w:p>
        </w:tc>
        <w:tc>
          <w:tcPr>
            <w:tcW w:w="1877" w:type="dxa"/>
            <w:vMerge w:val="restart"/>
            <w:vAlign w:val="center"/>
          </w:tcPr>
          <w:p w14:paraId="042AA91D">
            <w:pPr>
              <w:pStyle w:val="48"/>
              <w:rPr>
                <w:color w:val="auto"/>
              </w:rPr>
            </w:pPr>
            <w:r>
              <w:rPr>
                <w:rFonts w:hint="eastAsia"/>
                <w:color w:val="auto"/>
                <w:sz w:val="24"/>
              </w:rPr>
              <w:t>地面清洁废水</w:t>
            </w:r>
            <w:r>
              <w:rPr>
                <w:rFonts w:hint="eastAsia"/>
                <w:color w:val="auto"/>
                <w:sz w:val="24"/>
                <w:lang w:eastAsia="zh-CN"/>
              </w:rPr>
              <w:t>、员工</w:t>
            </w:r>
            <w:r>
              <w:rPr>
                <w:rFonts w:hint="eastAsia"/>
                <w:color w:val="auto"/>
                <w:sz w:val="24"/>
              </w:rPr>
              <w:t>生活污水</w:t>
            </w:r>
            <w:r>
              <w:rPr>
                <w:rFonts w:hint="eastAsia"/>
                <w:color w:val="auto"/>
                <w:sz w:val="24"/>
                <w:lang w:eastAsia="zh-CN"/>
              </w:rPr>
              <w:t>一起进入</w:t>
            </w:r>
            <w:r>
              <w:rPr>
                <w:rFonts w:hint="eastAsia"/>
                <w:color w:val="auto"/>
                <w:sz w:val="24"/>
              </w:rPr>
              <w:t>厂区生化池，经生化池处理后市政污水管网，排入</w:t>
            </w:r>
            <w:r>
              <w:rPr>
                <w:rFonts w:hint="eastAsia"/>
                <w:color w:val="auto"/>
                <w:sz w:val="24"/>
                <w:lang w:eastAsia="zh-CN"/>
              </w:rPr>
              <w:t>园区</w:t>
            </w:r>
            <w:r>
              <w:rPr>
                <w:rFonts w:hint="eastAsia"/>
                <w:color w:val="auto"/>
                <w:sz w:val="24"/>
              </w:rPr>
              <w:t>污水处理厂</w:t>
            </w:r>
          </w:p>
        </w:tc>
        <w:tc>
          <w:tcPr>
            <w:tcW w:w="2376" w:type="dxa"/>
            <w:vMerge w:val="restart"/>
            <w:vAlign w:val="center"/>
          </w:tcPr>
          <w:p w14:paraId="678D7A9A">
            <w:pPr>
              <w:pStyle w:val="48"/>
              <w:rPr>
                <w:color w:val="auto"/>
              </w:rPr>
            </w:pPr>
            <w:r>
              <w:rPr>
                <w:rFonts w:hint="eastAsia"/>
                <w:color w:val="auto"/>
                <w:sz w:val="24"/>
              </w:rPr>
              <w:t>生化池处理达到《污水综合排放标准》（GB8978-1996）三级标准后排入市政污水管网，进入</w:t>
            </w:r>
            <w:r>
              <w:rPr>
                <w:rFonts w:hint="eastAsia"/>
                <w:color w:val="auto"/>
                <w:sz w:val="24"/>
                <w:lang w:eastAsia="zh-CN"/>
              </w:rPr>
              <w:t>园区</w:t>
            </w:r>
            <w:r>
              <w:rPr>
                <w:rFonts w:hint="eastAsia"/>
                <w:color w:val="auto"/>
                <w:sz w:val="24"/>
              </w:rPr>
              <w:t>污水处理厂处理排放的尾水达《城镇污水处理厂污染物排放标准》（GB18918-2002）（含2006年、2025年修改单）一级A标准（COD、NH3-N、TP执行《地表水环境质量标准》（GB3838-2002）IV类标准）后尾水排入桥头河</w:t>
            </w:r>
          </w:p>
        </w:tc>
      </w:tr>
      <w:tr w14:paraId="55E40C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84" w:type="dxa"/>
            <w:vMerge w:val="continue"/>
            <w:vAlign w:val="center"/>
          </w:tcPr>
          <w:p w14:paraId="5ABECBDB">
            <w:pPr>
              <w:pStyle w:val="48"/>
              <w:rPr>
                <w:color w:val="auto"/>
              </w:rPr>
            </w:pPr>
          </w:p>
        </w:tc>
        <w:tc>
          <w:tcPr>
            <w:tcW w:w="1945" w:type="dxa"/>
            <w:gridSpan w:val="2"/>
            <w:vMerge w:val="continue"/>
            <w:vAlign w:val="center"/>
          </w:tcPr>
          <w:p w14:paraId="725053DF">
            <w:pPr>
              <w:pStyle w:val="48"/>
              <w:rPr>
                <w:color w:val="auto"/>
              </w:rPr>
            </w:pPr>
          </w:p>
        </w:tc>
        <w:tc>
          <w:tcPr>
            <w:tcW w:w="1620" w:type="dxa"/>
            <w:vAlign w:val="center"/>
          </w:tcPr>
          <w:p w14:paraId="6B199E3D">
            <w:pPr>
              <w:pStyle w:val="48"/>
              <w:rPr>
                <w:rFonts w:ascii="Times New Roman" w:hAnsi="Times New Roman"/>
                <w:color w:val="auto"/>
              </w:rPr>
            </w:pPr>
            <w:r>
              <w:rPr>
                <w:rFonts w:ascii="Times New Roman" w:hAnsi="Times New Roman"/>
                <w:color w:val="auto"/>
                <w:sz w:val="24"/>
              </w:rPr>
              <w:t>BOD</w:t>
            </w:r>
            <w:r>
              <w:rPr>
                <w:rFonts w:ascii="Times New Roman" w:hAnsi="Times New Roman"/>
                <w:color w:val="auto"/>
                <w:sz w:val="24"/>
                <w:vertAlign w:val="subscript"/>
              </w:rPr>
              <w:t>5</w:t>
            </w:r>
          </w:p>
        </w:tc>
        <w:tc>
          <w:tcPr>
            <w:tcW w:w="1877" w:type="dxa"/>
            <w:vMerge w:val="continue"/>
            <w:vAlign w:val="center"/>
          </w:tcPr>
          <w:p w14:paraId="7FE3BBD6">
            <w:pPr>
              <w:pStyle w:val="48"/>
              <w:rPr>
                <w:color w:val="auto"/>
              </w:rPr>
            </w:pPr>
          </w:p>
        </w:tc>
        <w:tc>
          <w:tcPr>
            <w:tcW w:w="2376" w:type="dxa"/>
            <w:vMerge w:val="continue"/>
            <w:vAlign w:val="center"/>
          </w:tcPr>
          <w:p w14:paraId="7D36B52B">
            <w:pPr>
              <w:pStyle w:val="48"/>
              <w:rPr>
                <w:color w:val="auto"/>
              </w:rPr>
            </w:pPr>
          </w:p>
        </w:tc>
      </w:tr>
      <w:tr w14:paraId="0ED1F1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84" w:type="dxa"/>
            <w:vMerge w:val="continue"/>
            <w:vAlign w:val="center"/>
          </w:tcPr>
          <w:p w14:paraId="42F2C46D">
            <w:pPr>
              <w:pStyle w:val="48"/>
              <w:rPr>
                <w:color w:val="auto"/>
              </w:rPr>
            </w:pPr>
          </w:p>
        </w:tc>
        <w:tc>
          <w:tcPr>
            <w:tcW w:w="1945" w:type="dxa"/>
            <w:gridSpan w:val="2"/>
            <w:vMerge w:val="continue"/>
            <w:vAlign w:val="center"/>
          </w:tcPr>
          <w:p w14:paraId="6163F0E6">
            <w:pPr>
              <w:pStyle w:val="48"/>
              <w:rPr>
                <w:color w:val="auto"/>
              </w:rPr>
            </w:pPr>
          </w:p>
        </w:tc>
        <w:tc>
          <w:tcPr>
            <w:tcW w:w="1620" w:type="dxa"/>
            <w:vAlign w:val="center"/>
          </w:tcPr>
          <w:p w14:paraId="216A859B">
            <w:pPr>
              <w:pStyle w:val="48"/>
              <w:rPr>
                <w:rFonts w:ascii="Times New Roman" w:hAnsi="Times New Roman"/>
                <w:color w:val="auto"/>
              </w:rPr>
            </w:pPr>
            <w:r>
              <w:rPr>
                <w:rFonts w:ascii="Times New Roman" w:hAnsi="Times New Roman"/>
                <w:color w:val="auto"/>
                <w:sz w:val="24"/>
              </w:rPr>
              <w:t>SS</w:t>
            </w:r>
          </w:p>
        </w:tc>
        <w:tc>
          <w:tcPr>
            <w:tcW w:w="1877" w:type="dxa"/>
            <w:vMerge w:val="continue"/>
            <w:vAlign w:val="center"/>
          </w:tcPr>
          <w:p w14:paraId="55818863">
            <w:pPr>
              <w:pStyle w:val="48"/>
              <w:rPr>
                <w:color w:val="auto"/>
              </w:rPr>
            </w:pPr>
          </w:p>
        </w:tc>
        <w:tc>
          <w:tcPr>
            <w:tcW w:w="2376" w:type="dxa"/>
            <w:vMerge w:val="continue"/>
            <w:vAlign w:val="center"/>
          </w:tcPr>
          <w:p w14:paraId="5FC9DF46">
            <w:pPr>
              <w:pStyle w:val="48"/>
              <w:rPr>
                <w:color w:val="auto"/>
              </w:rPr>
            </w:pPr>
          </w:p>
        </w:tc>
      </w:tr>
      <w:tr w14:paraId="78ED5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1084" w:type="dxa"/>
            <w:vMerge w:val="continue"/>
            <w:vAlign w:val="center"/>
          </w:tcPr>
          <w:p w14:paraId="55C7DA27">
            <w:pPr>
              <w:pStyle w:val="48"/>
              <w:rPr>
                <w:color w:val="auto"/>
              </w:rPr>
            </w:pPr>
          </w:p>
        </w:tc>
        <w:tc>
          <w:tcPr>
            <w:tcW w:w="1945" w:type="dxa"/>
            <w:gridSpan w:val="2"/>
            <w:vMerge w:val="continue"/>
            <w:vAlign w:val="center"/>
          </w:tcPr>
          <w:p w14:paraId="578C5B50">
            <w:pPr>
              <w:pStyle w:val="48"/>
              <w:rPr>
                <w:color w:val="auto"/>
              </w:rPr>
            </w:pPr>
          </w:p>
        </w:tc>
        <w:tc>
          <w:tcPr>
            <w:tcW w:w="1620" w:type="dxa"/>
            <w:vAlign w:val="center"/>
          </w:tcPr>
          <w:p w14:paraId="7224249D">
            <w:pPr>
              <w:pStyle w:val="48"/>
              <w:rPr>
                <w:rFonts w:ascii="Times New Roman" w:hAnsi="Times New Roman"/>
                <w:color w:val="auto"/>
              </w:rPr>
            </w:pPr>
            <w:r>
              <w:rPr>
                <w:rFonts w:ascii="Times New Roman" w:hAnsi="Times New Roman"/>
                <w:color w:val="auto"/>
                <w:sz w:val="24"/>
              </w:rPr>
              <w:t>NH</w:t>
            </w:r>
            <w:r>
              <w:rPr>
                <w:rFonts w:ascii="Times New Roman" w:hAnsi="Times New Roman"/>
                <w:color w:val="auto"/>
                <w:sz w:val="24"/>
                <w:vertAlign w:val="subscript"/>
              </w:rPr>
              <w:t>3</w:t>
            </w:r>
            <w:r>
              <w:rPr>
                <w:rFonts w:ascii="Times New Roman" w:hAnsi="Times New Roman"/>
                <w:color w:val="auto"/>
                <w:sz w:val="24"/>
              </w:rPr>
              <w:t>-N</w:t>
            </w:r>
          </w:p>
        </w:tc>
        <w:tc>
          <w:tcPr>
            <w:tcW w:w="1877" w:type="dxa"/>
            <w:vMerge w:val="continue"/>
            <w:vAlign w:val="center"/>
          </w:tcPr>
          <w:p w14:paraId="5778612A">
            <w:pPr>
              <w:pStyle w:val="48"/>
              <w:rPr>
                <w:color w:val="auto"/>
              </w:rPr>
            </w:pPr>
          </w:p>
        </w:tc>
        <w:tc>
          <w:tcPr>
            <w:tcW w:w="2376" w:type="dxa"/>
            <w:vMerge w:val="continue"/>
            <w:vAlign w:val="center"/>
          </w:tcPr>
          <w:p w14:paraId="79D28A47">
            <w:pPr>
              <w:pStyle w:val="48"/>
              <w:rPr>
                <w:color w:val="auto"/>
              </w:rPr>
            </w:pPr>
          </w:p>
        </w:tc>
      </w:tr>
      <w:tr w14:paraId="7109FD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4" w:type="dxa"/>
            <w:vMerge w:val="continue"/>
            <w:vAlign w:val="center"/>
          </w:tcPr>
          <w:p w14:paraId="42164FEC">
            <w:pPr>
              <w:pStyle w:val="48"/>
              <w:rPr>
                <w:color w:val="auto"/>
              </w:rPr>
            </w:pPr>
          </w:p>
        </w:tc>
        <w:tc>
          <w:tcPr>
            <w:tcW w:w="1945" w:type="dxa"/>
            <w:gridSpan w:val="2"/>
            <w:vMerge w:val="continue"/>
            <w:vAlign w:val="center"/>
          </w:tcPr>
          <w:p w14:paraId="6B8B1852">
            <w:pPr>
              <w:pStyle w:val="48"/>
              <w:rPr>
                <w:color w:val="auto"/>
              </w:rPr>
            </w:pPr>
          </w:p>
        </w:tc>
        <w:tc>
          <w:tcPr>
            <w:tcW w:w="1620" w:type="dxa"/>
            <w:vAlign w:val="center"/>
          </w:tcPr>
          <w:p w14:paraId="0A072FC5">
            <w:pPr>
              <w:pStyle w:val="48"/>
              <w:rPr>
                <w:color w:val="auto"/>
                <w:sz w:val="24"/>
              </w:rPr>
            </w:pPr>
            <w:r>
              <w:rPr>
                <w:rFonts w:hint="eastAsia"/>
                <w:color w:val="auto"/>
                <w:sz w:val="24"/>
              </w:rPr>
              <w:t>石油类</w:t>
            </w:r>
          </w:p>
        </w:tc>
        <w:tc>
          <w:tcPr>
            <w:tcW w:w="1877" w:type="dxa"/>
            <w:vMerge w:val="continue"/>
            <w:vAlign w:val="center"/>
          </w:tcPr>
          <w:p w14:paraId="59374953">
            <w:pPr>
              <w:pStyle w:val="48"/>
              <w:rPr>
                <w:color w:val="auto"/>
                <w:sz w:val="24"/>
              </w:rPr>
            </w:pPr>
          </w:p>
        </w:tc>
        <w:tc>
          <w:tcPr>
            <w:tcW w:w="2376" w:type="dxa"/>
            <w:vMerge w:val="continue"/>
            <w:vAlign w:val="center"/>
          </w:tcPr>
          <w:p w14:paraId="050DABB5">
            <w:pPr>
              <w:pStyle w:val="48"/>
              <w:rPr>
                <w:color w:val="auto"/>
                <w:sz w:val="24"/>
              </w:rPr>
            </w:pPr>
          </w:p>
        </w:tc>
      </w:tr>
      <w:tr w14:paraId="0A3DA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4" w:type="dxa"/>
            <w:vMerge w:val="continue"/>
            <w:vAlign w:val="center"/>
          </w:tcPr>
          <w:p w14:paraId="52BD953F">
            <w:pPr>
              <w:pStyle w:val="48"/>
              <w:rPr>
                <w:color w:val="auto"/>
              </w:rPr>
            </w:pPr>
          </w:p>
        </w:tc>
        <w:tc>
          <w:tcPr>
            <w:tcW w:w="1945" w:type="dxa"/>
            <w:gridSpan w:val="2"/>
            <w:vMerge w:val="continue"/>
            <w:vAlign w:val="center"/>
          </w:tcPr>
          <w:p w14:paraId="20A8A295">
            <w:pPr>
              <w:pStyle w:val="48"/>
              <w:rPr>
                <w:color w:val="auto"/>
              </w:rPr>
            </w:pPr>
          </w:p>
        </w:tc>
        <w:tc>
          <w:tcPr>
            <w:tcW w:w="1620" w:type="dxa"/>
            <w:vAlign w:val="center"/>
          </w:tcPr>
          <w:p w14:paraId="2F257CAC">
            <w:pPr>
              <w:pStyle w:val="48"/>
              <w:rPr>
                <w:rFonts w:hint="default" w:eastAsia="仿宋"/>
                <w:color w:val="auto"/>
                <w:sz w:val="24"/>
                <w:lang w:val="en-US" w:eastAsia="zh-CN"/>
              </w:rPr>
            </w:pPr>
            <w:r>
              <w:rPr>
                <w:rFonts w:hint="eastAsia"/>
                <w:color w:val="auto"/>
                <w:sz w:val="24"/>
                <w:lang w:val="en-US" w:eastAsia="zh-CN"/>
              </w:rPr>
              <w:t>TP</w:t>
            </w:r>
          </w:p>
        </w:tc>
        <w:tc>
          <w:tcPr>
            <w:tcW w:w="1877" w:type="dxa"/>
            <w:vMerge w:val="continue"/>
            <w:vAlign w:val="center"/>
          </w:tcPr>
          <w:p w14:paraId="5199599C">
            <w:pPr>
              <w:pStyle w:val="48"/>
              <w:rPr>
                <w:rFonts w:hint="eastAsia"/>
                <w:color w:val="auto"/>
                <w:sz w:val="24"/>
              </w:rPr>
            </w:pPr>
          </w:p>
        </w:tc>
        <w:tc>
          <w:tcPr>
            <w:tcW w:w="2376" w:type="dxa"/>
            <w:vMerge w:val="continue"/>
            <w:vAlign w:val="center"/>
          </w:tcPr>
          <w:p w14:paraId="25659031">
            <w:pPr>
              <w:pStyle w:val="48"/>
              <w:rPr>
                <w:rFonts w:hint="eastAsia"/>
                <w:color w:val="auto"/>
                <w:sz w:val="24"/>
              </w:rPr>
            </w:pPr>
          </w:p>
        </w:tc>
      </w:tr>
      <w:tr w14:paraId="3EC568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14:paraId="5A5E3BEF">
            <w:pPr>
              <w:pStyle w:val="48"/>
              <w:rPr>
                <w:color w:val="auto"/>
              </w:rPr>
            </w:pPr>
            <w:r>
              <w:rPr>
                <w:rFonts w:hint="eastAsia"/>
                <w:color w:val="auto"/>
                <w:sz w:val="24"/>
              </w:rPr>
              <w:t>声环境</w:t>
            </w:r>
          </w:p>
        </w:tc>
        <w:tc>
          <w:tcPr>
            <w:tcW w:w="1945" w:type="dxa"/>
            <w:gridSpan w:val="2"/>
            <w:vAlign w:val="center"/>
          </w:tcPr>
          <w:p w14:paraId="725AD3F8">
            <w:pPr>
              <w:pStyle w:val="48"/>
              <w:rPr>
                <w:bCs/>
                <w:color w:val="auto"/>
                <w:spacing w:val="-10"/>
              </w:rPr>
            </w:pPr>
            <w:r>
              <w:rPr>
                <w:rFonts w:hint="eastAsia"/>
                <w:bCs/>
                <w:color w:val="auto"/>
                <w:spacing w:val="-10"/>
                <w:sz w:val="24"/>
              </w:rPr>
              <w:t>生产设备</w:t>
            </w:r>
          </w:p>
        </w:tc>
        <w:tc>
          <w:tcPr>
            <w:tcW w:w="1620" w:type="dxa"/>
            <w:vAlign w:val="center"/>
          </w:tcPr>
          <w:p w14:paraId="38CED996">
            <w:pPr>
              <w:pStyle w:val="48"/>
              <w:rPr>
                <w:bCs/>
                <w:color w:val="auto"/>
                <w:spacing w:val="-10"/>
              </w:rPr>
            </w:pPr>
            <w:r>
              <w:rPr>
                <w:rFonts w:hint="eastAsia"/>
                <w:bCs/>
                <w:color w:val="auto"/>
                <w:spacing w:val="-10"/>
                <w:sz w:val="24"/>
              </w:rPr>
              <w:t>噪声</w:t>
            </w:r>
          </w:p>
        </w:tc>
        <w:tc>
          <w:tcPr>
            <w:tcW w:w="1877" w:type="dxa"/>
            <w:vAlign w:val="center"/>
          </w:tcPr>
          <w:p w14:paraId="17FC517A">
            <w:pPr>
              <w:pStyle w:val="48"/>
              <w:rPr>
                <w:bCs/>
                <w:color w:val="auto"/>
                <w:spacing w:val="-10"/>
              </w:rPr>
            </w:pPr>
            <w:r>
              <w:rPr>
                <w:bCs/>
                <w:color w:val="auto"/>
                <w:spacing w:val="-10"/>
                <w:sz w:val="24"/>
              </w:rPr>
              <w:t>基础减振、</w:t>
            </w:r>
            <w:r>
              <w:rPr>
                <w:rFonts w:hint="eastAsia"/>
                <w:bCs/>
                <w:color w:val="auto"/>
                <w:spacing w:val="-10"/>
                <w:sz w:val="24"/>
              </w:rPr>
              <w:t>合理布局、厂房隔声</w:t>
            </w:r>
          </w:p>
        </w:tc>
        <w:tc>
          <w:tcPr>
            <w:tcW w:w="2376" w:type="dxa"/>
            <w:vAlign w:val="center"/>
          </w:tcPr>
          <w:p w14:paraId="5EEA7943">
            <w:pPr>
              <w:pStyle w:val="48"/>
              <w:rPr>
                <w:bCs/>
                <w:color w:val="auto"/>
                <w:spacing w:val="-10"/>
              </w:rPr>
            </w:pPr>
            <w:r>
              <w:rPr>
                <w:bCs/>
                <w:color w:val="auto"/>
                <w:spacing w:val="-10"/>
                <w:sz w:val="24"/>
              </w:rPr>
              <w:t>《工业企业厂界环境噪声排放标准》（GB12348-2008）中3类标准</w:t>
            </w:r>
          </w:p>
        </w:tc>
      </w:tr>
      <w:tr w14:paraId="0FF61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14:paraId="5E704100">
            <w:pPr>
              <w:pStyle w:val="48"/>
              <w:rPr>
                <w:color w:val="auto"/>
              </w:rPr>
            </w:pPr>
            <w:r>
              <w:rPr>
                <w:rFonts w:hint="eastAsia"/>
                <w:color w:val="auto"/>
                <w:sz w:val="24"/>
              </w:rPr>
              <w:t>电磁辐射</w:t>
            </w:r>
          </w:p>
        </w:tc>
        <w:tc>
          <w:tcPr>
            <w:tcW w:w="1945" w:type="dxa"/>
            <w:gridSpan w:val="2"/>
            <w:vAlign w:val="center"/>
          </w:tcPr>
          <w:p w14:paraId="771077C7">
            <w:pPr>
              <w:pStyle w:val="48"/>
              <w:rPr>
                <w:color w:val="auto"/>
              </w:rPr>
            </w:pPr>
            <w:r>
              <w:rPr>
                <w:rFonts w:hint="eastAsia"/>
                <w:color w:val="auto"/>
                <w:sz w:val="24"/>
              </w:rPr>
              <w:t>/</w:t>
            </w:r>
          </w:p>
        </w:tc>
        <w:tc>
          <w:tcPr>
            <w:tcW w:w="1620" w:type="dxa"/>
            <w:vAlign w:val="center"/>
          </w:tcPr>
          <w:p w14:paraId="2B66F59F">
            <w:pPr>
              <w:pStyle w:val="48"/>
              <w:rPr>
                <w:color w:val="auto"/>
              </w:rPr>
            </w:pPr>
            <w:r>
              <w:rPr>
                <w:rFonts w:hint="eastAsia"/>
                <w:color w:val="auto"/>
                <w:sz w:val="24"/>
              </w:rPr>
              <w:t>/</w:t>
            </w:r>
          </w:p>
        </w:tc>
        <w:tc>
          <w:tcPr>
            <w:tcW w:w="1877" w:type="dxa"/>
            <w:vAlign w:val="center"/>
          </w:tcPr>
          <w:p w14:paraId="6D966861">
            <w:pPr>
              <w:pStyle w:val="48"/>
              <w:rPr>
                <w:color w:val="auto"/>
              </w:rPr>
            </w:pPr>
            <w:r>
              <w:rPr>
                <w:rFonts w:hint="eastAsia"/>
                <w:color w:val="auto"/>
                <w:sz w:val="24"/>
              </w:rPr>
              <w:t>/</w:t>
            </w:r>
          </w:p>
        </w:tc>
        <w:tc>
          <w:tcPr>
            <w:tcW w:w="2376" w:type="dxa"/>
            <w:vAlign w:val="center"/>
          </w:tcPr>
          <w:p w14:paraId="6EDA9F8C">
            <w:pPr>
              <w:pStyle w:val="48"/>
              <w:rPr>
                <w:color w:val="auto"/>
              </w:rPr>
            </w:pPr>
            <w:r>
              <w:rPr>
                <w:rFonts w:hint="eastAsia"/>
                <w:color w:val="auto"/>
                <w:sz w:val="24"/>
              </w:rPr>
              <w:t>/</w:t>
            </w:r>
          </w:p>
        </w:tc>
      </w:tr>
      <w:tr w14:paraId="2AF56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14:paraId="3C9B03A2">
            <w:pPr>
              <w:pStyle w:val="48"/>
              <w:rPr>
                <w:color w:val="auto"/>
              </w:rPr>
            </w:pPr>
            <w:r>
              <w:rPr>
                <w:rFonts w:hint="eastAsia"/>
                <w:color w:val="auto"/>
                <w:sz w:val="24"/>
              </w:rPr>
              <w:t>固体废物</w:t>
            </w:r>
          </w:p>
        </w:tc>
        <w:tc>
          <w:tcPr>
            <w:tcW w:w="7818" w:type="dxa"/>
            <w:gridSpan w:val="5"/>
            <w:vAlign w:val="center"/>
          </w:tcPr>
          <w:p w14:paraId="0E213B42">
            <w:pPr>
              <w:spacing w:line="400" w:lineRule="exact"/>
              <w:ind w:firstLine="562"/>
              <w:rPr>
                <w:color w:val="auto"/>
                <w:sz w:val="24"/>
                <w:szCs w:val="24"/>
              </w:rPr>
            </w:pPr>
            <w:r>
              <w:rPr>
                <w:rFonts w:hint="eastAsia"/>
                <w:b/>
                <w:color w:val="auto"/>
                <w:sz w:val="24"/>
                <w:szCs w:val="24"/>
              </w:rPr>
              <w:t>一般工业固体废物：</w:t>
            </w:r>
            <w:r>
              <w:rPr>
                <w:rFonts w:hint="eastAsia"/>
                <w:color w:val="auto"/>
                <w:sz w:val="24"/>
                <w:szCs w:val="24"/>
              </w:rPr>
              <w:t>本项目设置</w:t>
            </w:r>
            <w:r>
              <w:rPr>
                <w:rFonts w:hint="eastAsia"/>
                <w:color w:val="auto"/>
                <w:sz w:val="24"/>
                <w:szCs w:val="24"/>
                <w:lang w:val="en-US" w:eastAsia="zh-CN"/>
              </w:rPr>
              <w:t>2</w:t>
            </w:r>
            <w:r>
              <w:rPr>
                <w:rFonts w:hint="eastAsia"/>
                <w:color w:val="auto"/>
                <w:sz w:val="24"/>
                <w:szCs w:val="24"/>
              </w:rPr>
              <w:t>处一般固废</w:t>
            </w:r>
            <w:r>
              <w:rPr>
                <w:rFonts w:hint="eastAsia"/>
                <w:color w:val="auto"/>
                <w:sz w:val="24"/>
                <w:szCs w:val="24"/>
                <w:lang w:eastAsia="zh-CN"/>
              </w:rPr>
              <w:t>点</w:t>
            </w:r>
            <w:r>
              <w:rPr>
                <w:rFonts w:hint="eastAsia"/>
                <w:color w:val="auto"/>
                <w:sz w:val="24"/>
                <w:szCs w:val="24"/>
              </w:rPr>
              <w:t>，位于厂房</w:t>
            </w:r>
            <w:r>
              <w:rPr>
                <w:rFonts w:hint="eastAsia"/>
                <w:color w:val="auto"/>
                <w:sz w:val="24"/>
                <w:lang w:val="en-US" w:eastAsia="zh-CN"/>
              </w:rPr>
              <w:t>2</w:t>
            </w:r>
            <w:r>
              <w:rPr>
                <w:rFonts w:hint="eastAsia"/>
                <w:color w:val="auto"/>
                <w:sz w:val="24"/>
              </w:rPr>
              <w:t>F生产车间西</w:t>
            </w:r>
            <w:r>
              <w:rPr>
                <w:rFonts w:hint="eastAsia"/>
                <w:color w:val="auto"/>
                <w:sz w:val="24"/>
                <w:lang w:eastAsia="zh-CN"/>
              </w:rPr>
              <w:t>南</w:t>
            </w:r>
            <w:r>
              <w:rPr>
                <w:rFonts w:hint="eastAsia"/>
                <w:color w:val="auto"/>
                <w:sz w:val="24"/>
              </w:rPr>
              <w:t>侧</w:t>
            </w:r>
            <w:r>
              <w:rPr>
                <w:rFonts w:hint="eastAsia"/>
                <w:color w:val="auto"/>
                <w:sz w:val="24"/>
                <w:szCs w:val="24"/>
              </w:rPr>
              <w:t>，</w:t>
            </w:r>
            <w:r>
              <w:rPr>
                <w:rFonts w:hint="eastAsia"/>
                <w:color w:val="auto"/>
                <w:sz w:val="24"/>
                <w:lang w:val="en-US" w:eastAsia="zh-CN"/>
              </w:rPr>
              <w:t>3</w:t>
            </w:r>
            <w:r>
              <w:rPr>
                <w:rFonts w:hint="eastAsia"/>
                <w:color w:val="auto"/>
                <w:sz w:val="24"/>
              </w:rPr>
              <w:t>F生产车间</w:t>
            </w:r>
            <w:r>
              <w:rPr>
                <w:rFonts w:hint="eastAsia"/>
                <w:color w:val="auto"/>
                <w:sz w:val="24"/>
                <w:lang w:eastAsia="zh-CN"/>
              </w:rPr>
              <w:t>东南</w:t>
            </w:r>
            <w:r>
              <w:rPr>
                <w:rFonts w:hint="eastAsia"/>
                <w:color w:val="auto"/>
                <w:sz w:val="24"/>
              </w:rPr>
              <w:t>侧，面积</w:t>
            </w:r>
            <w:r>
              <w:rPr>
                <w:rFonts w:hint="eastAsia"/>
                <w:color w:val="auto"/>
                <w:sz w:val="24"/>
                <w:lang w:eastAsia="zh-CN"/>
              </w:rPr>
              <w:t>分别</w:t>
            </w:r>
            <w:r>
              <w:rPr>
                <w:rFonts w:hint="eastAsia"/>
                <w:color w:val="auto"/>
                <w:sz w:val="24"/>
              </w:rPr>
              <w:t>约</w:t>
            </w:r>
            <w:r>
              <w:rPr>
                <w:rFonts w:hint="eastAsia"/>
                <w:color w:val="auto"/>
                <w:sz w:val="24"/>
                <w:lang w:val="en-US" w:eastAsia="zh-CN"/>
              </w:rPr>
              <w:t>5</w:t>
            </w:r>
            <w:r>
              <w:rPr>
                <w:rFonts w:hint="eastAsia"/>
                <w:color w:val="auto"/>
                <w:sz w:val="24"/>
              </w:rPr>
              <w:t>0m</w:t>
            </w:r>
            <w:r>
              <w:rPr>
                <w:rFonts w:hint="eastAsia"/>
                <w:color w:val="auto"/>
                <w:sz w:val="24"/>
                <w:vertAlign w:val="superscript"/>
              </w:rPr>
              <w:t>2</w:t>
            </w:r>
            <w:r>
              <w:rPr>
                <w:rFonts w:hint="eastAsia"/>
                <w:color w:val="auto"/>
                <w:sz w:val="24"/>
                <w:szCs w:val="24"/>
              </w:rPr>
              <w:t>，产生的一般废物分类暂存，最后交废品回收站回收利用。</w:t>
            </w:r>
          </w:p>
          <w:p w14:paraId="71E00895">
            <w:pPr>
              <w:spacing w:line="400" w:lineRule="exact"/>
              <w:ind w:firstLine="562"/>
              <w:rPr>
                <w:bCs/>
                <w:color w:val="auto"/>
                <w:spacing w:val="-10"/>
                <w:sz w:val="24"/>
                <w:szCs w:val="24"/>
              </w:rPr>
            </w:pPr>
            <w:r>
              <w:rPr>
                <w:rFonts w:hint="eastAsia"/>
                <w:b/>
                <w:color w:val="auto"/>
                <w:sz w:val="24"/>
                <w:szCs w:val="24"/>
              </w:rPr>
              <w:t>危险废物：</w:t>
            </w:r>
            <w:r>
              <w:rPr>
                <w:rFonts w:hint="eastAsia"/>
                <w:color w:val="auto"/>
                <w:sz w:val="24"/>
                <w:szCs w:val="24"/>
              </w:rPr>
              <w:t>本项目设置一处</w:t>
            </w:r>
            <w:r>
              <w:rPr>
                <w:rFonts w:hint="eastAsia"/>
                <w:color w:val="auto"/>
                <w:sz w:val="24"/>
                <w:szCs w:val="24"/>
                <w:lang w:eastAsia="zh-CN"/>
              </w:rPr>
              <w:t>危废贮存点</w:t>
            </w:r>
            <w:r>
              <w:rPr>
                <w:rFonts w:hint="eastAsia"/>
                <w:color w:val="auto"/>
                <w:sz w:val="24"/>
                <w:szCs w:val="24"/>
              </w:rPr>
              <w:t>，</w:t>
            </w:r>
            <w:r>
              <w:rPr>
                <w:rFonts w:hint="eastAsia"/>
                <w:bCs/>
                <w:color w:val="auto"/>
                <w:sz w:val="24"/>
                <w:szCs w:val="24"/>
              </w:rPr>
              <w:t>位于</w:t>
            </w:r>
            <w:r>
              <w:rPr>
                <w:rFonts w:hint="eastAsia"/>
                <w:color w:val="auto"/>
                <w:sz w:val="24"/>
              </w:rPr>
              <w:t>厂房</w:t>
            </w:r>
            <w:r>
              <w:rPr>
                <w:rFonts w:hint="eastAsia"/>
                <w:color w:val="auto"/>
                <w:sz w:val="24"/>
                <w:lang w:val="en-US" w:eastAsia="zh-CN"/>
              </w:rPr>
              <w:t>2</w:t>
            </w:r>
            <w:r>
              <w:rPr>
                <w:rFonts w:hint="eastAsia"/>
                <w:color w:val="auto"/>
                <w:sz w:val="24"/>
              </w:rPr>
              <w:t>F</w:t>
            </w:r>
            <w:r>
              <w:rPr>
                <w:rFonts w:hint="eastAsia"/>
                <w:color w:val="auto"/>
                <w:sz w:val="24"/>
                <w:lang w:eastAsia="zh-CN"/>
              </w:rPr>
              <w:t>西</w:t>
            </w:r>
            <w:r>
              <w:rPr>
                <w:rFonts w:hint="eastAsia"/>
                <w:color w:val="auto"/>
                <w:sz w:val="24"/>
              </w:rPr>
              <w:t>侧，</w:t>
            </w:r>
            <w:r>
              <w:rPr>
                <w:rFonts w:hint="eastAsia"/>
                <w:color w:val="auto"/>
                <w:sz w:val="24"/>
                <w:lang w:eastAsia="zh-CN"/>
              </w:rPr>
              <w:t>面积约</w:t>
            </w:r>
            <w:r>
              <w:rPr>
                <w:rFonts w:hint="eastAsia"/>
                <w:color w:val="auto"/>
                <w:sz w:val="24"/>
                <w:lang w:val="en-US" w:eastAsia="zh-CN"/>
              </w:rPr>
              <w:t>10m</w:t>
            </w:r>
            <w:r>
              <w:rPr>
                <w:rFonts w:hint="eastAsia"/>
                <w:color w:val="auto"/>
                <w:sz w:val="24"/>
                <w:vertAlign w:val="superscript"/>
                <w:lang w:val="en-US" w:eastAsia="zh-CN"/>
              </w:rPr>
              <w:t>2</w:t>
            </w:r>
            <w:r>
              <w:rPr>
                <w:rFonts w:hint="eastAsia"/>
                <w:bCs/>
                <w:color w:val="auto"/>
                <w:sz w:val="24"/>
                <w:szCs w:val="24"/>
              </w:rPr>
              <w:t>，采取“六防”措施，危险废物定期交具有危废处理资质的单位处理</w:t>
            </w:r>
            <w:r>
              <w:rPr>
                <w:rFonts w:hint="eastAsia"/>
                <w:color w:val="auto"/>
                <w:sz w:val="24"/>
                <w:szCs w:val="24"/>
              </w:rPr>
              <w:t>。</w:t>
            </w:r>
          </w:p>
          <w:p w14:paraId="53157958">
            <w:pPr>
              <w:spacing w:line="400" w:lineRule="exact"/>
              <w:ind w:firstLine="562"/>
              <w:rPr>
                <w:color w:val="auto"/>
                <w:sz w:val="24"/>
                <w:szCs w:val="24"/>
              </w:rPr>
            </w:pPr>
            <w:r>
              <w:rPr>
                <w:rFonts w:hint="eastAsia"/>
                <w:b/>
                <w:color w:val="auto"/>
                <w:sz w:val="24"/>
                <w:szCs w:val="24"/>
              </w:rPr>
              <w:t>生活垃圾：</w:t>
            </w:r>
            <w:r>
              <w:rPr>
                <w:color w:val="auto"/>
                <w:sz w:val="24"/>
                <w:szCs w:val="24"/>
              </w:rPr>
              <w:t>集中收集后交由环卫部门统一收集处理</w:t>
            </w:r>
            <w:r>
              <w:rPr>
                <w:rFonts w:hint="eastAsia"/>
                <w:color w:val="auto"/>
                <w:sz w:val="24"/>
                <w:szCs w:val="24"/>
              </w:rPr>
              <w:t>。</w:t>
            </w:r>
          </w:p>
        </w:tc>
      </w:tr>
      <w:tr w14:paraId="5C12E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14:paraId="68E638E0">
            <w:pPr>
              <w:pStyle w:val="48"/>
              <w:rPr>
                <w:color w:val="auto"/>
              </w:rPr>
            </w:pPr>
            <w:r>
              <w:rPr>
                <w:rFonts w:hint="eastAsia"/>
                <w:color w:val="auto"/>
                <w:sz w:val="24"/>
              </w:rPr>
              <w:t>土壤及地下水污染防治措施</w:t>
            </w:r>
          </w:p>
        </w:tc>
        <w:tc>
          <w:tcPr>
            <w:tcW w:w="7818" w:type="dxa"/>
            <w:gridSpan w:val="5"/>
            <w:vAlign w:val="center"/>
          </w:tcPr>
          <w:p w14:paraId="317EBC66">
            <w:pPr>
              <w:spacing w:line="400" w:lineRule="exact"/>
              <w:ind w:firstLine="560"/>
              <w:rPr>
                <w:color w:val="auto"/>
                <w:sz w:val="24"/>
                <w:szCs w:val="24"/>
              </w:rPr>
            </w:pPr>
            <w:r>
              <w:rPr>
                <w:rFonts w:hint="eastAsia"/>
                <w:color w:val="auto"/>
                <w:sz w:val="24"/>
                <w:szCs w:val="24"/>
                <w:lang w:eastAsia="zh-CN"/>
              </w:rPr>
              <w:t>危废贮存点</w:t>
            </w:r>
            <w:r>
              <w:rPr>
                <w:rFonts w:hint="eastAsia"/>
                <w:color w:val="auto"/>
                <w:sz w:val="24"/>
                <w:szCs w:val="24"/>
              </w:rPr>
              <w:t>、</w:t>
            </w:r>
            <w:r>
              <w:rPr>
                <w:rFonts w:hint="eastAsia"/>
                <w:color w:val="auto"/>
                <w:sz w:val="24"/>
                <w:szCs w:val="24"/>
                <w:lang w:eastAsia="zh-CN"/>
              </w:rPr>
              <w:t>化学品存放区、涂胶区</w:t>
            </w:r>
            <w:r>
              <w:rPr>
                <w:rFonts w:hint="eastAsia"/>
                <w:color w:val="auto"/>
                <w:sz w:val="24"/>
                <w:szCs w:val="24"/>
              </w:rPr>
              <w:t>为重点防渗区，按照《危险废物贮存污染控制标准》（GB/T18597-2023）执行，</w:t>
            </w:r>
            <w:r>
              <w:rPr>
                <w:rFonts w:hint="eastAsia"/>
                <w:color w:val="auto"/>
                <w:sz w:val="24"/>
                <w:szCs w:val="24"/>
                <w:lang w:eastAsia="zh-CN"/>
              </w:rPr>
              <w:t>危废贮存点</w:t>
            </w:r>
            <w:r>
              <w:rPr>
                <w:rFonts w:hint="eastAsia"/>
                <w:color w:val="auto"/>
                <w:sz w:val="24"/>
                <w:szCs w:val="24"/>
              </w:rPr>
              <w:t>采取防风、防雨、防晒、防腐、防渗、防漏等措施；库房储油点采取防腐、防渗、防泄漏等工程措施。</w:t>
            </w:r>
          </w:p>
        </w:tc>
      </w:tr>
      <w:tr w14:paraId="675F0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14:paraId="14FAC5AA">
            <w:pPr>
              <w:pStyle w:val="48"/>
              <w:rPr>
                <w:color w:val="auto"/>
              </w:rPr>
            </w:pPr>
            <w:r>
              <w:rPr>
                <w:rFonts w:hint="eastAsia"/>
                <w:color w:val="auto"/>
                <w:sz w:val="24"/>
              </w:rPr>
              <w:t>生态保护措施</w:t>
            </w:r>
          </w:p>
        </w:tc>
        <w:tc>
          <w:tcPr>
            <w:tcW w:w="7818" w:type="dxa"/>
            <w:gridSpan w:val="5"/>
            <w:vAlign w:val="center"/>
          </w:tcPr>
          <w:p w14:paraId="42EFC485">
            <w:pPr>
              <w:pStyle w:val="48"/>
              <w:rPr>
                <w:color w:val="auto"/>
                <w:szCs w:val="18"/>
              </w:rPr>
            </w:pPr>
            <w:r>
              <w:rPr>
                <w:rFonts w:hint="eastAsia"/>
                <w:color w:val="auto"/>
                <w:sz w:val="24"/>
                <w:szCs w:val="18"/>
              </w:rPr>
              <w:t>/</w:t>
            </w:r>
          </w:p>
        </w:tc>
      </w:tr>
      <w:tr w14:paraId="02DEE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14:paraId="338CAF67">
            <w:pPr>
              <w:pStyle w:val="48"/>
              <w:rPr>
                <w:color w:val="auto"/>
                <w:spacing w:val="-8"/>
                <w:sz w:val="24"/>
              </w:rPr>
            </w:pPr>
            <w:r>
              <w:rPr>
                <w:rFonts w:hint="eastAsia"/>
                <w:color w:val="auto"/>
                <w:spacing w:val="-8"/>
                <w:sz w:val="24"/>
              </w:rPr>
              <w:t>环境风险</w:t>
            </w:r>
          </w:p>
          <w:p w14:paraId="75E73B02">
            <w:pPr>
              <w:pStyle w:val="48"/>
              <w:rPr>
                <w:color w:val="auto"/>
                <w:spacing w:val="-8"/>
              </w:rPr>
            </w:pPr>
            <w:r>
              <w:rPr>
                <w:rFonts w:hint="eastAsia"/>
                <w:color w:val="auto"/>
                <w:spacing w:val="-8"/>
                <w:sz w:val="24"/>
              </w:rPr>
              <w:t>防范措施</w:t>
            </w:r>
          </w:p>
        </w:tc>
        <w:tc>
          <w:tcPr>
            <w:tcW w:w="7818" w:type="dxa"/>
            <w:gridSpan w:val="5"/>
            <w:vAlign w:val="center"/>
          </w:tcPr>
          <w:p w14:paraId="3013A9A3">
            <w:pPr>
              <w:spacing w:line="400" w:lineRule="exact"/>
              <w:ind w:firstLine="562"/>
              <w:rPr>
                <w:color w:val="auto"/>
                <w:sz w:val="24"/>
                <w:szCs w:val="24"/>
              </w:rPr>
            </w:pPr>
            <w:r>
              <w:rPr>
                <w:rFonts w:hint="eastAsia"/>
                <w:b/>
                <w:color w:val="auto"/>
                <w:sz w:val="24"/>
                <w:szCs w:val="24"/>
                <w:highlight w:val="none"/>
                <w:lang w:eastAsia="zh-CN"/>
              </w:rPr>
              <w:t>化学品暂存点</w:t>
            </w:r>
            <w:r>
              <w:rPr>
                <w:rFonts w:hint="eastAsia"/>
                <w:color w:val="auto"/>
                <w:sz w:val="24"/>
                <w:szCs w:val="24"/>
              </w:rPr>
              <w:t>：</w:t>
            </w:r>
            <w:r>
              <w:rPr>
                <w:rFonts w:hint="eastAsia"/>
                <w:color w:val="auto"/>
                <w:sz w:val="24"/>
                <w:szCs w:val="24"/>
                <w:lang w:eastAsia="zh-CN"/>
              </w:rPr>
              <w:t>储存胶水、油品等区域</w:t>
            </w:r>
            <w:r>
              <w:rPr>
                <w:rFonts w:hint="eastAsia"/>
                <w:color w:val="auto"/>
                <w:sz w:val="24"/>
                <w:szCs w:val="24"/>
              </w:rPr>
              <w:t>地面做防腐、防渗、防泄漏处理，各类风险物质进行分区存放，并设置托盘，配备风险防范物质（如吸附棉、消防沙等）。</w:t>
            </w:r>
          </w:p>
          <w:p w14:paraId="514AE733">
            <w:pPr>
              <w:spacing w:line="400" w:lineRule="exact"/>
              <w:ind w:firstLine="562"/>
              <w:rPr>
                <w:b/>
                <w:color w:val="auto"/>
                <w:sz w:val="24"/>
                <w:szCs w:val="24"/>
              </w:rPr>
            </w:pPr>
            <w:r>
              <w:rPr>
                <w:rFonts w:hint="eastAsia"/>
                <w:b/>
                <w:color w:val="auto"/>
                <w:sz w:val="24"/>
                <w:szCs w:val="24"/>
                <w:lang w:eastAsia="zh-CN"/>
              </w:rPr>
              <w:t>危废贮存点</w:t>
            </w:r>
            <w:r>
              <w:rPr>
                <w:rFonts w:hint="eastAsia"/>
                <w:b/>
                <w:color w:val="auto"/>
                <w:sz w:val="24"/>
                <w:szCs w:val="24"/>
              </w:rPr>
              <w:t>：</w:t>
            </w:r>
            <w:r>
              <w:rPr>
                <w:rFonts w:hint="eastAsia"/>
                <w:color w:val="auto"/>
                <w:sz w:val="24"/>
                <w:szCs w:val="24"/>
              </w:rPr>
              <w:t>地面做防腐、防渗、防泄漏处理，各类危险废物进行分区存放，并设置托盘，配备风险防范物资（如吸附棉、消防沙等）。</w:t>
            </w:r>
          </w:p>
          <w:p w14:paraId="27B00AD4">
            <w:pPr>
              <w:spacing w:line="400" w:lineRule="exact"/>
              <w:ind w:firstLine="562"/>
              <w:rPr>
                <w:color w:val="auto"/>
                <w:sz w:val="24"/>
                <w:szCs w:val="24"/>
              </w:rPr>
            </w:pPr>
            <w:r>
              <w:rPr>
                <w:rFonts w:hint="eastAsia"/>
                <w:b/>
                <w:color w:val="auto"/>
                <w:sz w:val="24"/>
                <w:szCs w:val="24"/>
              </w:rPr>
              <w:t>厂区</w:t>
            </w:r>
            <w:r>
              <w:rPr>
                <w:rFonts w:hint="eastAsia"/>
                <w:color w:val="auto"/>
                <w:sz w:val="24"/>
                <w:szCs w:val="24"/>
              </w:rPr>
              <w:t>：设置环境应急管理机构，建立环境应急管理制度，加强人员培训，预防突发环境事故发生。</w:t>
            </w:r>
          </w:p>
        </w:tc>
      </w:tr>
      <w:tr w14:paraId="69E8A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4" w:type="dxa"/>
            <w:vAlign w:val="center"/>
          </w:tcPr>
          <w:p w14:paraId="7A1CE157">
            <w:pPr>
              <w:pStyle w:val="48"/>
              <w:rPr>
                <w:color w:val="auto"/>
                <w:spacing w:val="-8"/>
              </w:rPr>
            </w:pPr>
            <w:r>
              <w:rPr>
                <w:rFonts w:hint="eastAsia"/>
                <w:color w:val="auto"/>
                <w:spacing w:val="-8"/>
                <w:sz w:val="24"/>
              </w:rPr>
              <w:t>其他环境管理要求</w:t>
            </w:r>
          </w:p>
        </w:tc>
        <w:tc>
          <w:tcPr>
            <w:tcW w:w="7818" w:type="dxa"/>
            <w:gridSpan w:val="5"/>
            <w:vAlign w:val="center"/>
          </w:tcPr>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6483"/>
            </w:tblGrid>
            <w:tr w14:paraId="49DC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Align w:val="top"/>
                </w:tcPr>
                <w:p w14:paraId="198A71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4"/>
                      <w:szCs w:val="24"/>
                      <w:lang w:val="en-US" w:eastAsia="zh-CN"/>
                    </w:rPr>
                  </w:pPr>
                  <w:r>
                    <w:rPr>
                      <w:rFonts w:hint="eastAsia"/>
                      <w:color w:val="auto"/>
                      <w:sz w:val="24"/>
                      <w:szCs w:val="24"/>
                      <w:lang w:val="en-US" w:eastAsia="zh-CN"/>
                    </w:rPr>
                    <w:t>1</w:t>
                  </w:r>
                </w:p>
              </w:tc>
              <w:tc>
                <w:tcPr>
                  <w:tcW w:w="4270" w:type="pct"/>
                  <w:vAlign w:val="top"/>
                </w:tcPr>
                <w:p w14:paraId="4FA347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4"/>
                      <w:szCs w:val="24"/>
                      <w:vertAlign w:val="baseline"/>
                      <w:lang w:eastAsia="zh-CN"/>
                    </w:rPr>
                  </w:pPr>
                  <w:r>
                    <w:rPr>
                      <w:rFonts w:hint="eastAsia"/>
                      <w:color w:val="auto"/>
                      <w:sz w:val="24"/>
                      <w:szCs w:val="24"/>
                      <w:lang w:eastAsia="zh-CN"/>
                    </w:rPr>
                    <w:t>重污染天气防控</w:t>
                  </w:r>
                </w:p>
              </w:tc>
            </w:tr>
            <w:tr w14:paraId="539E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0EF8072A">
                  <w:pPr>
                    <w:ind w:firstLine="560"/>
                    <w:rPr>
                      <w:color w:val="auto"/>
                      <w:sz w:val="24"/>
                      <w:szCs w:val="24"/>
                    </w:rPr>
                  </w:pPr>
                  <w:r>
                    <w:rPr>
                      <w:rFonts w:hint="eastAsia"/>
                      <w:color w:val="auto"/>
                      <w:sz w:val="24"/>
                      <w:szCs w:val="24"/>
                    </w:rPr>
                    <w:t>严格落实《重庆市生态环境局办公室关于印发</w:t>
                  </w:r>
                  <w:r>
                    <w:rPr>
                      <w:rFonts w:hint="eastAsia"/>
                      <w:color w:val="auto"/>
                      <w:sz w:val="24"/>
                      <w:szCs w:val="24"/>
                      <w:lang w:eastAsia="zh-CN"/>
                    </w:rPr>
                    <w:t>重庆市生态环境局</w:t>
                  </w:r>
                  <w:r>
                    <w:rPr>
                      <w:rFonts w:hint="eastAsia"/>
                      <w:color w:val="auto"/>
                      <w:sz w:val="24"/>
                      <w:szCs w:val="24"/>
                    </w:rPr>
                    <w:t>重污染天气应急专项实施方案的通知》渝环办〔2023〕67号及《重庆市生态环境局办公室关于扎实推进重污染天气应急减排清单及“一厂一策”有关工作的通知》内重污染天气下的防控措施：</w:t>
                  </w:r>
                </w:p>
                <w:p w14:paraId="4AB7E791">
                  <w:pPr>
                    <w:ind w:left="0" w:leftChars="0" w:firstLine="0" w:firstLineChars="0"/>
                    <w:rPr>
                      <w:rFonts w:hint="eastAsia"/>
                      <w:color w:val="auto"/>
                      <w:sz w:val="24"/>
                      <w:szCs w:val="24"/>
                      <w:vertAlign w:val="baseline"/>
                      <w:lang w:eastAsia="zh-CN"/>
                    </w:rPr>
                  </w:pPr>
                  <w:r>
                    <w:rPr>
                      <w:rFonts w:hint="eastAsia" w:ascii="仿宋" w:hAnsi="仿宋" w:eastAsia="仿宋"/>
                      <w:color w:val="auto"/>
                      <w:sz w:val="24"/>
                      <w:szCs w:val="24"/>
                    </w:rPr>
                    <w:t>1.挥发性物料、油类危废等需全部密闭贮存；</w:t>
                  </w:r>
                  <w:r>
                    <w:rPr>
                      <w:rFonts w:hint="eastAsia" w:ascii="仿宋" w:hAnsi="仿宋" w:eastAsia="仿宋"/>
                      <w:color w:val="auto"/>
                      <w:sz w:val="24"/>
                      <w:szCs w:val="24"/>
                    </w:rPr>
                    <w:br w:type="textWrapping"/>
                  </w:r>
                  <w:r>
                    <w:rPr>
                      <w:rFonts w:hint="eastAsia" w:ascii="仿宋" w:hAnsi="仿宋" w:eastAsia="仿宋"/>
                      <w:color w:val="auto"/>
                      <w:sz w:val="24"/>
                      <w:szCs w:val="24"/>
                    </w:rPr>
                    <w:t>2.环保档案需齐全：①环评批复文件；②竣工验收文件；③一年内废气检测报告；</w:t>
                  </w:r>
                  <w:r>
                    <w:rPr>
                      <w:rFonts w:hint="eastAsia" w:ascii="仿宋" w:hAnsi="仿宋" w:eastAsia="仿宋"/>
                      <w:color w:val="auto"/>
                      <w:sz w:val="24"/>
                      <w:szCs w:val="24"/>
                    </w:rPr>
                    <w:br w:type="textWrapping"/>
                  </w:r>
                  <w:r>
                    <w:rPr>
                      <w:rFonts w:hint="eastAsia" w:ascii="仿宋" w:hAnsi="仿宋" w:eastAsia="仿宋"/>
                      <w:color w:val="auto"/>
                      <w:sz w:val="24"/>
                      <w:szCs w:val="24"/>
                    </w:rPr>
                    <w:t>3.台账记录需齐全：①完整生产管理台账(包括生产设备运行台账，原辅材料燃料使用量，产品产量等)；②运输管理电</w:t>
                  </w:r>
                  <w:r>
                    <w:rPr>
                      <w:rFonts w:hint="eastAsia" w:ascii="仿宋" w:hAnsi="仿宋" w:eastAsia="仿宋"/>
                      <w:color w:val="auto"/>
                      <w:sz w:val="24"/>
                      <w:szCs w:val="24"/>
                    </w:rPr>
                    <w:br w:type="textWrapping"/>
                  </w:r>
                  <w:r>
                    <w:rPr>
                      <w:rFonts w:hint="eastAsia" w:ascii="仿宋" w:hAnsi="仿宋" w:eastAsia="仿宋"/>
                      <w:color w:val="auto"/>
                      <w:sz w:val="24"/>
                      <w:szCs w:val="24"/>
                    </w:rPr>
                    <w:t>子台账(包括车辆出入厂记录、车牌号、VIN号、发动机编号和排放标准等)；③设备维护记录；</w:t>
                  </w:r>
                  <w:r>
                    <w:rPr>
                      <w:rFonts w:hint="eastAsia" w:ascii="仿宋" w:hAnsi="仿宋" w:eastAsia="仿宋"/>
                      <w:color w:val="auto"/>
                      <w:sz w:val="24"/>
                      <w:szCs w:val="24"/>
                    </w:rPr>
                    <w:br w:type="textWrapping"/>
                  </w:r>
                  <w:r>
                    <w:rPr>
                      <w:rFonts w:hint="eastAsia" w:ascii="仿宋" w:hAnsi="仿宋" w:eastAsia="仿宋"/>
                      <w:color w:val="auto"/>
                      <w:sz w:val="24"/>
                      <w:szCs w:val="24"/>
                    </w:rPr>
                    <w:t>4.管理制度需健全：①有专兼职环保人员；</w:t>
                  </w:r>
                  <w:r>
                    <w:rPr>
                      <w:rFonts w:hint="eastAsia" w:ascii="仿宋" w:hAnsi="仿宋" w:eastAsia="仿宋"/>
                      <w:color w:val="auto"/>
                      <w:sz w:val="24"/>
                      <w:szCs w:val="24"/>
                    </w:rPr>
                    <w:br w:type="textWrapping"/>
                  </w:r>
                  <w:r>
                    <w:rPr>
                      <w:rFonts w:hint="eastAsia" w:ascii="仿宋" w:hAnsi="仿宋" w:eastAsia="仿宋"/>
                      <w:color w:val="auto"/>
                      <w:sz w:val="24"/>
                      <w:szCs w:val="24"/>
                    </w:rPr>
                    <w:t>5.物料(除水泥罐式货车外)公路运输需全部使用达到国五及以上排放标准重型载货车辆(含燃气)或新能源车辆；</w:t>
                  </w:r>
                  <w:r>
                    <w:rPr>
                      <w:rFonts w:hint="eastAsia" w:ascii="仿宋" w:hAnsi="仿宋" w:eastAsia="仿宋"/>
                      <w:color w:val="auto"/>
                      <w:sz w:val="24"/>
                      <w:szCs w:val="24"/>
                    </w:rPr>
                    <w:br w:type="textWrapping"/>
                  </w:r>
                  <w:r>
                    <w:rPr>
                      <w:rFonts w:hint="eastAsia" w:ascii="仿宋" w:hAnsi="仿宋" w:eastAsia="仿宋"/>
                      <w:color w:val="auto"/>
                      <w:sz w:val="24"/>
                      <w:szCs w:val="24"/>
                    </w:rPr>
                    <w:t>6.厂内运输车辆需全部达到国五及以上排放标准(含燃气)或使用新能源车；</w:t>
                  </w:r>
                  <w:r>
                    <w:rPr>
                      <w:rFonts w:hint="eastAsia" w:ascii="仿宋" w:hAnsi="仿宋" w:eastAsia="仿宋"/>
                      <w:color w:val="auto"/>
                      <w:sz w:val="24"/>
                      <w:szCs w:val="24"/>
                    </w:rPr>
                    <w:br w:type="textWrapping"/>
                  </w:r>
                  <w:r>
                    <w:rPr>
                      <w:rFonts w:hint="eastAsia" w:ascii="仿宋" w:hAnsi="仿宋" w:eastAsia="仿宋"/>
                      <w:color w:val="auto"/>
                      <w:sz w:val="24"/>
                      <w:szCs w:val="24"/>
                    </w:rPr>
                    <w:t>7.厂内非道路移动机械需全部达到国三及以上排放标准或使用新能源机械；</w:t>
                  </w:r>
                  <w:r>
                    <w:rPr>
                      <w:rFonts w:hint="eastAsia" w:ascii="仿宋" w:hAnsi="仿宋" w:eastAsia="仿宋"/>
                      <w:color w:val="auto"/>
                      <w:sz w:val="24"/>
                      <w:szCs w:val="24"/>
                    </w:rPr>
                    <w:br w:type="textWrapping"/>
                  </w:r>
                </w:p>
              </w:tc>
            </w:tr>
            <w:tr w14:paraId="72F3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Align w:val="top"/>
                </w:tcPr>
                <w:p w14:paraId="0E9377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olor w:val="auto"/>
                      <w:sz w:val="24"/>
                      <w:szCs w:val="24"/>
                      <w:lang w:val="en-US" w:eastAsia="zh-CN"/>
                    </w:rPr>
                  </w:pPr>
                  <w:r>
                    <w:rPr>
                      <w:rFonts w:hint="eastAsia"/>
                      <w:color w:val="auto"/>
                      <w:sz w:val="24"/>
                      <w:szCs w:val="24"/>
                      <w:lang w:val="en-US" w:eastAsia="zh-CN"/>
                    </w:rPr>
                    <w:t>2</w:t>
                  </w:r>
                </w:p>
              </w:tc>
              <w:tc>
                <w:tcPr>
                  <w:tcW w:w="4270" w:type="pct"/>
                  <w:vAlign w:val="top"/>
                </w:tcPr>
                <w:p w14:paraId="426712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olor w:val="auto"/>
                      <w:sz w:val="24"/>
                      <w:szCs w:val="24"/>
                    </w:rPr>
                  </w:pPr>
                  <w:r>
                    <w:rPr>
                      <w:rFonts w:hint="eastAsia" w:ascii="仿宋" w:hAnsi="仿宋" w:eastAsia="仿宋" w:cs="仿宋"/>
                      <w:color w:val="auto"/>
                      <w:sz w:val="24"/>
                      <w:szCs w:val="24"/>
                      <w:lang w:eastAsia="zh-CN"/>
                    </w:rPr>
                    <w:t>非道路移动机械管理</w:t>
                  </w:r>
                </w:p>
              </w:tc>
            </w:tr>
            <w:tr w14:paraId="07C8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3CD01A7B">
                  <w:pPr>
                    <w:rPr>
                      <w:rFonts w:hint="eastAsia" w:ascii="仿宋" w:hAnsi="仿宋" w:eastAsia="仿宋"/>
                      <w:color w:val="auto"/>
                      <w:sz w:val="24"/>
                      <w:szCs w:val="24"/>
                      <w:lang w:eastAsia="zh-CN"/>
                    </w:rPr>
                  </w:pPr>
                  <w:r>
                    <w:rPr>
                      <w:rFonts w:hint="eastAsia" w:ascii="仿宋" w:hAnsi="仿宋" w:eastAsia="仿宋" w:cs="仿宋"/>
                      <w:color w:val="auto"/>
                      <w:sz w:val="24"/>
                      <w:szCs w:val="24"/>
                    </w:rPr>
                    <w:t>根据《重庆市生态环境局等9部门关于加强非道路移动机械排放监管工作的通知》（渝环规〔2024〕1号），“非道路移动机械环保编码登记全覆盖。全市范围内使用的非道路移动机械，均应由非道路移动机械所有者通过“重庆市非道路移动机械监管平台”微信小程序向生态环境部门申请环保编码登记，获得环保编码。新购置或转入我市使用且尚未申请环保编码登记的，机械所有者应自购置及转入之日起30日内在我市申请机械编码登记。已在全国其他省市(自治区)申请环保编码登记的，不需在我市重复申请。”本项目所用叉车属于非道路移动机械，评价要求建设单位按要求进行相应的环保编码登记</w:t>
                  </w:r>
                  <w:r>
                    <w:rPr>
                      <w:rFonts w:hint="eastAsia" w:cs="仿宋"/>
                      <w:color w:val="auto"/>
                      <w:sz w:val="24"/>
                      <w:szCs w:val="24"/>
                      <w:lang w:eastAsia="zh-CN"/>
                    </w:rPr>
                    <w:t>。</w:t>
                  </w:r>
                </w:p>
              </w:tc>
            </w:tr>
          </w:tbl>
          <w:p w14:paraId="7EAECDB0">
            <w:pPr>
              <w:pStyle w:val="46"/>
              <w:ind w:firstLine="480"/>
              <w:rPr>
                <w:color w:val="auto"/>
                <w:sz w:val="24"/>
                <w:szCs w:val="24"/>
              </w:rPr>
            </w:pPr>
          </w:p>
        </w:tc>
      </w:tr>
    </w:tbl>
    <w:p w14:paraId="73A4D0B9">
      <w:pPr>
        <w:pStyle w:val="28"/>
        <w:ind w:firstLine="600"/>
        <w:rPr>
          <w:rFonts w:eastAsia="仿宋"/>
          <w:snapToGrid w:val="0"/>
          <w:color w:val="auto"/>
        </w:rPr>
      </w:pPr>
      <w:r>
        <w:rPr>
          <w:rFonts w:eastAsia="仿宋"/>
          <w:snapToGrid w:val="0"/>
          <w:color w:val="auto"/>
        </w:rPr>
        <w:br w:type="page"/>
      </w:r>
      <w:r>
        <w:rPr>
          <w:rFonts w:hint="eastAsia" w:eastAsia="仿宋"/>
          <w:snapToGrid w:val="0"/>
          <w:color w:val="auto"/>
        </w:rPr>
        <w:t>六、结论</w:t>
      </w:r>
    </w:p>
    <w:tbl>
      <w:tblPr>
        <w:tblStyle w:val="31"/>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B198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319420B0">
            <w:pPr>
              <w:spacing w:before="120" w:beforeLines="50"/>
              <w:ind w:firstLine="560"/>
              <w:rPr>
                <w:color w:val="auto"/>
                <w:sz w:val="28"/>
              </w:rPr>
            </w:pPr>
            <w:r>
              <w:rPr>
                <w:color w:val="auto"/>
                <w:sz w:val="28"/>
              </w:rPr>
              <w:t>综上所述，本项目符合国家产业政策和用地规划。在采取相应有效的污染治理措施后，能实现污染物达标排放，对周边环境影响在可接受范围内。因此，从</w:t>
            </w:r>
            <w:r>
              <w:rPr>
                <w:rFonts w:hint="eastAsia"/>
                <w:color w:val="auto"/>
                <w:sz w:val="28"/>
              </w:rPr>
              <w:t>环境保护</w:t>
            </w:r>
            <w:r>
              <w:rPr>
                <w:color w:val="auto"/>
                <w:sz w:val="28"/>
              </w:rPr>
              <w:t>角度分析，本项目</w:t>
            </w:r>
            <w:r>
              <w:rPr>
                <w:rFonts w:hint="eastAsia"/>
                <w:color w:val="auto"/>
                <w:sz w:val="28"/>
              </w:rPr>
              <w:t>的环境影响</w:t>
            </w:r>
            <w:r>
              <w:rPr>
                <w:color w:val="auto"/>
                <w:sz w:val="28"/>
              </w:rPr>
              <w:t>是可行的。</w:t>
            </w:r>
          </w:p>
          <w:p w14:paraId="01466E16">
            <w:pPr>
              <w:ind w:firstLine="560"/>
              <w:rPr>
                <w:color w:val="auto"/>
                <w:sz w:val="28"/>
              </w:rPr>
            </w:pPr>
          </w:p>
          <w:p w14:paraId="4D58975A">
            <w:pPr>
              <w:ind w:firstLine="560"/>
              <w:rPr>
                <w:color w:val="auto"/>
                <w:sz w:val="28"/>
              </w:rPr>
            </w:pPr>
          </w:p>
          <w:p w14:paraId="1172C79F">
            <w:pPr>
              <w:ind w:firstLine="560"/>
              <w:rPr>
                <w:color w:val="auto"/>
                <w:sz w:val="28"/>
              </w:rPr>
            </w:pPr>
          </w:p>
          <w:p w14:paraId="5B50B607">
            <w:pPr>
              <w:ind w:firstLine="560"/>
              <w:rPr>
                <w:color w:val="auto"/>
                <w:sz w:val="28"/>
              </w:rPr>
            </w:pPr>
          </w:p>
          <w:p w14:paraId="261BDAEF">
            <w:pPr>
              <w:ind w:firstLine="560"/>
              <w:rPr>
                <w:color w:val="auto"/>
                <w:sz w:val="28"/>
              </w:rPr>
            </w:pPr>
          </w:p>
          <w:p w14:paraId="6CF7F332">
            <w:pPr>
              <w:ind w:firstLine="560"/>
              <w:rPr>
                <w:color w:val="auto"/>
                <w:sz w:val="28"/>
              </w:rPr>
            </w:pPr>
          </w:p>
          <w:p w14:paraId="275CE3B0">
            <w:pPr>
              <w:ind w:firstLine="560"/>
              <w:rPr>
                <w:color w:val="auto"/>
                <w:sz w:val="28"/>
              </w:rPr>
            </w:pPr>
          </w:p>
          <w:p w14:paraId="235E3684">
            <w:pPr>
              <w:ind w:firstLine="560"/>
              <w:rPr>
                <w:color w:val="auto"/>
                <w:sz w:val="28"/>
              </w:rPr>
            </w:pPr>
          </w:p>
          <w:p w14:paraId="76598B33">
            <w:pPr>
              <w:ind w:firstLine="560"/>
              <w:rPr>
                <w:color w:val="auto"/>
                <w:sz w:val="28"/>
              </w:rPr>
            </w:pPr>
          </w:p>
          <w:p w14:paraId="0D133CA2">
            <w:pPr>
              <w:ind w:firstLine="560"/>
              <w:rPr>
                <w:color w:val="auto"/>
                <w:sz w:val="28"/>
              </w:rPr>
            </w:pPr>
          </w:p>
          <w:p w14:paraId="71F3A23F">
            <w:pPr>
              <w:ind w:firstLine="560"/>
              <w:rPr>
                <w:color w:val="auto"/>
                <w:sz w:val="28"/>
              </w:rPr>
            </w:pPr>
          </w:p>
          <w:p w14:paraId="3899A09D">
            <w:pPr>
              <w:ind w:firstLine="560"/>
              <w:rPr>
                <w:color w:val="auto"/>
                <w:sz w:val="28"/>
              </w:rPr>
            </w:pPr>
          </w:p>
          <w:p w14:paraId="582BE7CB">
            <w:pPr>
              <w:ind w:firstLine="560"/>
              <w:rPr>
                <w:color w:val="auto"/>
                <w:sz w:val="28"/>
              </w:rPr>
            </w:pPr>
          </w:p>
          <w:p w14:paraId="3DA3840A">
            <w:pPr>
              <w:ind w:firstLine="560"/>
              <w:rPr>
                <w:color w:val="auto"/>
                <w:sz w:val="28"/>
              </w:rPr>
            </w:pPr>
          </w:p>
          <w:p w14:paraId="5574DCB7">
            <w:pPr>
              <w:ind w:firstLine="560"/>
              <w:rPr>
                <w:color w:val="auto"/>
                <w:sz w:val="28"/>
              </w:rPr>
            </w:pPr>
          </w:p>
          <w:p w14:paraId="535D8028">
            <w:pPr>
              <w:ind w:firstLine="560"/>
              <w:rPr>
                <w:color w:val="auto"/>
                <w:sz w:val="28"/>
              </w:rPr>
            </w:pPr>
          </w:p>
          <w:p w14:paraId="3F911A7C">
            <w:pPr>
              <w:ind w:firstLine="560"/>
              <w:rPr>
                <w:color w:val="auto"/>
                <w:sz w:val="28"/>
              </w:rPr>
            </w:pPr>
          </w:p>
          <w:p w14:paraId="1A51002A">
            <w:pPr>
              <w:ind w:firstLine="560"/>
              <w:rPr>
                <w:color w:val="auto"/>
                <w:sz w:val="28"/>
              </w:rPr>
            </w:pPr>
          </w:p>
          <w:p w14:paraId="128EDF46">
            <w:pPr>
              <w:ind w:firstLine="560"/>
              <w:rPr>
                <w:color w:val="auto"/>
                <w:sz w:val="28"/>
              </w:rPr>
            </w:pPr>
          </w:p>
          <w:p w14:paraId="6126FA9E">
            <w:pPr>
              <w:ind w:firstLine="0" w:firstLineChars="0"/>
              <w:rPr>
                <w:color w:val="auto"/>
                <w:sz w:val="24"/>
              </w:rPr>
            </w:pPr>
          </w:p>
        </w:tc>
      </w:tr>
    </w:tbl>
    <w:p w14:paraId="32D93C35">
      <w:pPr>
        <w:ind w:firstLine="560"/>
        <w:rPr>
          <w:color w:val="auto"/>
          <w:sz w:val="28"/>
        </w:rPr>
        <w:sectPr>
          <w:pgSz w:w="11906" w:h="16838"/>
          <w:pgMar w:top="1701" w:right="1531" w:bottom="1701" w:left="1531" w:header="851" w:footer="851" w:gutter="0"/>
          <w:cols w:space="720" w:num="1"/>
          <w:docGrid w:linePitch="312" w:charSpace="0"/>
        </w:sectPr>
      </w:pPr>
    </w:p>
    <w:p w14:paraId="0AC672B1">
      <w:pPr>
        <w:pStyle w:val="27"/>
        <w:spacing w:before="0" w:beforeAutospacing="0" w:after="0" w:afterAutospacing="0"/>
        <w:ind w:firstLine="560"/>
        <w:rPr>
          <w:rFonts w:ascii="仿宋" w:hAnsi="仿宋"/>
          <w:snapToGrid w:val="0"/>
          <w:color w:val="auto"/>
          <w:sz w:val="28"/>
          <w:szCs w:val="32"/>
        </w:rPr>
      </w:pPr>
      <w:r>
        <w:rPr>
          <w:rFonts w:hint="eastAsia" w:ascii="仿宋" w:hAnsi="仿宋"/>
          <w:snapToGrid w:val="0"/>
          <w:color w:val="auto"/>
          <w:sz w:val="28"/>
          <w:szCs w:val="32"/>
        </w:rPr>
        <w:t>附表</w:t>
      </w:r>
    </w:p>
    <w:p w14:paraId="667CC1DC">
      <w:pPr>
        <w:pStyle w:val="28"/>
        <w:spacing w:before="0"/>
        <w:ind w:firstLine="560"/>
        <w:rPr>
          <w:rFonts w:eastAsia="仿宋"/>
          <w:snapToGrid w:val="0"/>
          <w:color w:val="auto"/>
          <w:sz w:val="28"/>
          <w:szCs w:val="28"/>
        </w:rPr>
      </w:pPr>
      <w:r>
        <w:rPr>
          <w:rFonts w:hint="eastAsia" w:eastAsia="仿宋"/>
          <w:snapToGrid w:val="0"/>
          <w:color w:val="auto"/>
          <w:sz w:val="28"/>
          <w:szCs w:val="28"/>
        </w:rPr>
        <w:t>建设项目污染物排放量汇总表</w:t>
      </w:r>
    </w:p>
    <w:tbl>
      <w:tblPr>
        <w:tblStyle w:val="31"/>
        <w:tblW w:w="147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747"/>
        <w:gridCol w:w="1650"/>
        <w:gridCol w:w="1786"/>
        <w:gridCol w:w="1787"/>
        <w:gridCol w:w="1650"/>
        <w:gridCol w:w="1787"/>
        <w:gridCol w:w="1513"/>
        <w:gridCol w:w="1414"/>
      </w:tblGrid>
      <w:tr w14:paraId="4F8A5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08" w:type="dxa"/>
            <w:tcBorders>
              <w:tl2br w:val="single" w:color="auto" w:sz="4" w:space="0"/>
            </w:tcBorders>
            <w:tcMar>
              <w:left w:w="28" w:type="dxa"/>
              <w:right w:w="28" w:type="dxa"/>
            </w:tcMar>
            <w:vAlign w:val="center"/>
          </w:tcPr>
          <w:p w14:paraId="1A1218C6">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项目</w:t>
            </w:r>
          </w:p>
          <w:p w14:paraId="3DD40F52">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分类</w:t>
            </w:r>
          </w:p>
        </w:tc>
        <w:tc>
          <w:tcPr>
            <w:tcW w:w="1747" w:type="dxa"/>
            <w:tcMar>
              <w:left w:w="28" w:type="dxa"/>
              <w:right w:w="28" w:type="dxa"/>
            </w:tcMar>
            <w:vAlign w:val="center"/>
          </w:tcPr>
          <w:p w14:paraId="713ACCC8">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污染物名称</w:t>
            </w:r>
          </w:p>
        </w:tc>
        <w:tc>
          <w:tcPr>
            <w:tcW w:w="1650" w:type="dxa"/>
            <w:tcMar>
              <w:left w:w="28" w:type="dxa"/>
              <w:right w:w="28" w:type="dxa"/>
            </w:tcMar>
            <w:vAlign w:val="center"/>
          </w:tcPr>
          <w:p w14:paraId="294CB6AD">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现有工程</w:t>
            </w:r>
          </w:p>
          <w:p w14:paraId="255EA6B4">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排放量（固体废物产生量）</w:t>
            </w:r>
            <w:r>
              <w:rPr>
                <w:rFonts w:hint="default" w:ascii="Times New Roman" w:hAnsi="Times New Roman" w:cs="Times New Roman"/>
                <w:i/>
                <w:iCs/>
                <w:snapToGrid w:val="0"/>
                <w:color w:val="auto"/>
                <w:sz w:val="24"/>
                <w:szCs w:val="18"/>
              </w:rPr>
              <w:fldChar w:fldCharType="begin"/>
            </w:r>
            <w:r>
              <w:rPr>
                <w:rFonts w:hint="default" w:ascii="Times New Roman" w:hAnsi="Times New Roman" w:cs="Times New Roman"/>
                <w:i/>
                <w:iCs/>
                <w:snapToGrid w:val="0"/>
                <w:color w:val="auto"/>
                <w:sz w:val="24"/>
                <w:szCs w:val="18"/>
              </w:rPr>
              <w:instrText xml:space="preserve"> = 1 \* GB3 \* MERGEFORMAT </w:instrText>
            </w:r>
            <w:r>
              <w:rPr>
                <w:rFonts w:hint="default" w:ascii="Times New Roman" w:hAnsi="Times New Roman" w:cs="Times New Roman"/>
                <w:i/>
                <w:iCs/>
                <w:snapToGrid w:val="0"/>
                <w:color w:val="auto"/>
                <w:sz w:val="24"/>
                <w:szCs w:val="18"/>
              </w:rPr>
              <w:fldChar w:fldCharType="separate"/>
            </w:r>
            <w:r>
              <w:rPr>
                <w:rFonts w:hint="default" w:ascii="Times New Roman" w:hAnsi="Times New Roman" w:cs="Times New Roman"/>
                <w:i/>
                <w:iCs/>
                <w:color w:val="auto"/>
                <w:sz w:val="24"/>
                <w:szCs w:val="18"/>
              </w:rPr>
              <w:t>①</w:t>
            </w:r>
            <w:r>
              <w:rPr>
                <w:rFonts w:hint="default" w:ascii="Times New Roman" w:hAnsi="Times New Roman" w:cs="Times New Roman"/>
                <w:i/>
                <w:iCs/>
                <w:snapToGrid w:val="0"/>
                <w:color w:val="auto"/>
                <w:sz w:val="24"/>
                <w:szCs w:val="18"/>
              </w:rPr>
              <w:fldChar w:fldCharType="end"/>
            </w:r>
          </w:p>
        </w:tc>
        <w:tc>
          <w:tcPr>
            <w:tcW w:w="1786" w:type="dxa"/>
            <w:tcMar>
              <w:left w:w="28" w:type="dxa"/>
              <w:right w:w="28" w:type="dxa"/>
            </w:tcMar>
            <w:vAlign w:val="center"/>
          </w:tcPr>
          <w:p w14:paraId="6D925FBA">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现有工程</w:t>
            </w:r>
          </w:p>
          <w:p w14:paraId="16595463">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许可排放量</w:t>
            </w:r>
            <w:r>
              <w:rPr>
                <w:rFonts w:hint="default" w:ascii="Times New Roman" w:hAnsi="Times New Roman" w:cs="Times New Roman"/>
                <w:i/>
                <w:iCs/>
                <w:snapToGrid w:val="0"/>
                <w:color w:val="auto"/>
                <w:sz w:val="24"/>
                <w:szCs w:val="18"/>
              </w:rPr>
              <w:fldChar w:fldCharType="begin"/>
            </w:r>
            <w:r>
              <w:rPr>
                <w:rFonts w:hint="default" w:ascii="Times New Roman" w:hAnsi="Times New Roman" w:cs="Times New Roman"/>
                <w:i/>
                <w:iCs/>
                <w:snapToGrid w:val="0"/>
                <w:color w:val="auto"/>
                <w:sz w:val="24"/>
                <w:szCs w:val="18"/>
              </w:rPr>
              <w:instrText xml:space="preserve"> = 2 \* GB3 \* MERGEFORMAT </w:instrText>
            </w:r>
            <w:r>
              <w:rPr>
                <w:rFonts w:hint="default" w:ascii="Times New Roman" w:hAnsi="Times New Roman" w:cs="Times New Roman"/>
                <w:i/>
                <w:iCs/>
                <w:snapToGrid w:val="0"/>
                <w:color w:val="auto"/>
                <w:sz w:val="24"/>
                <w:szCs w:val="18"/>
              </w:rPr>
              <w:fldChar w:fldCharType="separate"/>
            </w:r>
            <w:r>
              <w:rPr>
                <w:rFonts w:hint="default" w:ascii="Times New Roman" w:hAnsi="Times New Roman" w:cs="Times New Roman"/>
                <w:i/>
                <w:iCs/>
                <w:snapToGrid w:val="0"/>
                <w:color w:val="auto"/>
                <w:sz w:val="24"/>
                <w:szCs w:val="18"/>
              </w:rPr>
              <w:t>②</w:t>
            </w:r>
            <w:r>
              <w:rPr>
                <w:rFonts w:hint="default" w:ascii="Times New Roman" w:hAnsi="Times New Roman" w:cs="Times New Roman"/>
                <w:i/>
                <w:iCs/>
                <w:snapToGrid w:val="0"/>
                <w:color w:val="auto"/>
                <w:sz w:val="24"/>
                <w:szCs w:val="18"/>
              </w:rPr>
              <w:fldChar w:fldCharType="end"/>
            </w:r>
          </w:p>
        </w:tc>
        <w:tc>
          <w:tcPr>
            <w:tcW w:w="1787" w:type="dxa"/>
            <w:tcMar>
              <w:left w:w="28" w:type="dxa"/>
              <w:right w:w="28" w:type="dxa"/>
            </w:tcMar>
            <w:vAlign w:val="center"/>
          </w:tcPr>
          <w:p w14:paraId="0D80BC59">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在建工程</w:t>
            </w:r>
          </w:p>
          <w:p w14:paraId="57E264CE">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排放量（固体废物产生量）</w:t>
            </w:r>
            <w:r>
              <w:rPr>
                <w:rFonts w:hint="default" w:ascii="Times New Roman" w:hAnsi="Times New Roman" w:cs="Times New Roman"/>
                <w:i/>
                <w:iCs/>
                <w:snapToGrid w:val="0"/>
                <w:color w:val="auto"/>
                <w:sz w:val="24"/>
                <w:szCs w:val="18"/>
              </w:rPr>
              <w:fldChar w:fldCharType="begin"/>
            </w:r>
            <w:r>
              <w:rPr>
                <w:rFonts w:hint="default" w:ascii="Times New Roman" w:hAnsi="Times New Roman" w:cs="Times New Roman"/>
                <w:i/>
                <w:iCs/>
                <w:snapToGrid w:val="0"/>
                <w:color w:val="auto"/>
                <w:sz w:val="24"/>
                <w:szCs w:val="18"/>
              </w:rPr>
              <w:instrText xml:space="preserve"> = 3 \* GB3 \* MERGEFORMAT </w:instrText>
            </w:r>
            <w:r>
              <w:rPr>
                <w:rFonts w:hint="default" w:ascii="Times New Roman" w:hAnsi="Times New Roman" w:cs="Times New Roman"/>
                <w:i/>
                <w:iCs/>
                <w:snapToGrid w:val="0"/>
                <w:color w:val="auto"/>
                <w:sz w:val="24"/>
                <w:szCs w:val="18"/>
              </w:rPr>
              <w:fldChar w:fldCharType="separate"/>
            </w:r>
            <w:r>
              <w:rPr>
                <w:rFonts w:hint="default" w:ascii="Times New Roman" w:hAnsi="Times New Roman" w:cs="Times New Roman"/>
                <w:i/>
                <w:iCs/>
                <w:color w:val="auto"/>
                <w:sz w:val="24"/>
                <w:szCs w:val="18"/>
              </w:rPr>
              <w:t>③</w:t>
            </w:r>
            <w:r>
              <w:rPr>
                <w:rFonts w:hint="default" w:ascii="Times New Roman" w:hAnsi="Times New Roman" w:cs="Times New Roman"/>
                <w:i/>
                <w:iCs/>
                <w:snapToGrid w:val="0"/>
                <w:color w:val="auto"/>
                <w:sz w:val="24"/>
                <w:szCs w:val="18"/>
              </w:rPr>
              <w:fldChar w:fldCharType="end"/>
            </w:r>
          </w:p>
        </w:tc>
        <w:tc>
          <w:tcPr>
            <w:tcW w:w="1650" w:type="dxa"/>
            <w:tcMar>
              <w:left w:w="28" w:type="dxa"/>
              <w:right w:w="28" w:type="dxa"/>
            </w:tcMar>
            <w:vAlign w:val="center"/>
          </w:tcPr>
          <w:p w14:paraId="767C102C">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本项目</w:t>
            </w:r>
          </w:p>
          <w:p w14:paraId="37A5C01A">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排放量（固体废物产生量）</w:t>
            </w:r>
            <w:r>
              <w:rPr>
                <w:rFonts w:hint="default" w:ascii="Times New Roman" w:hAnsi="Times New Roman" w:cs="Times New Roman"/>
                <w:i/>
                <w:iCs/>
                <w:snapToGrid w:val="0"/>
                <w:color w:val="auto"/>
                <w:sz w:val="24"/>
                <w:szCs w:val="18"/>
              </w:rPr>
              <w:fldChar w:fldCharType="begin"/>
            </w:r>
            <w:r>
              <w:rPr>
                <w:rFonts w:hint="default" w:ascii="Times New Roman" w:hAnsi="Times New Roman" w:cs="Times New Roman"/>
                <w:i/>
                <w:iCs/>
                <w:snapToGrid w:val="0"/>
                <w:color w:val="auto"/>
                <w:sz w:val="24"/>
                <w:szCs w:val="18"/>
              </w:rPr>
              <w:instrText xml:space="preserve"> = 4 \* GB3 \* MERGEFORMAT </w:instrText>
            </w:r>
            <w:r>
              <w:rPr>
                <w:rFonts w:hint="default" w:ascii="Times New Roman" w:hAnsi="Times New Roman" w:cs="Times New Roman"/>
                <w:i/>
                <w:iCs/>
                <w:snapToGrid w:val="0"/>
                <w:color w:val="auto"/>
                <w:sz w:val="24"/>
                <w:szCs w:val="18"/>
              </w:rPr>
              <w:fldChar w:fldCharType="separate"/>
            </w:r>
            <w:r>
              <w:rPr>
                <w:rFonts w:hint="default" w:ascii="Times New Roman" w:hAnsi="Times New Roman" w:cs="Times New Roman"/>
                <w:i/>
                <w:iCs/>
                <w:color w:val="auto"/>
                <w:sz w:val="24"/>
                <w:szCs w:val="18"/>
              </w:rPr>
              <w:t>④</w:t>
            </w:r>
            <w:r>
              <w:rPr>
                <w:rFonts w:hint="default" w:ascii="Times New Roman" w:hAnsi="Times New Roman" w:cs="Times New Roman"/>
                <w:i/>
                <w:iCs/>
                <w:snapToGrid w:val="0"/>
                <w:color w:val="auto"/>
                <w:sz w:val="24"/>
                <w:szCs w:val="18"/>
              </w:rPr>
              <w:fldChar w:fldCharType="end"/>
            </w:r>
          </w:p>
        </w:tc>
        <w:tc>
          <w:tcPr>
            <w:tcW w:w="1787" w:type="dxa"/>
            <w:tcMar>
              <w:left w:w="28" w:type="dxa"/>
              <w:right w:w="28" w:type="dxa"/>
            </w:tcMar>
            <w:vAlign w:val="center"/>
          </w:tcPr>
          <w:p w14:paraId="3AF96257">
            <w:pPr>
              <w:pStyle w:val="48"/>
              <w:spacing w:line="240" w:lineRule="auto"/>
              <w:rPr>
                <w:rFonts w:hint="default" w:ascii="Times New Roman" w:hAnsi="Times New Roman" w:cs="Times New Roman"/>
                <w:i/>
                <w:iCs/>
                <w:snapToGrid w:val="0"/>
                <w:color w:val="auto"/>
                <w:spacing w:val="-16"/>
                <w:sz w:val="24"/>
                <w:szCs w:val="18"/>
              </w:rPr>
            </w:pPr>
            <w:r>
              <w:rPr>
                <w:rFonts w:hint="default" w:ascii="Times New Roman" w:hAnsi="Times New Roman" w:cs="Times New Roman"/>
                <w:i/>
                <w:iCs/>
                <w:snapToGrid w:val="0"/>
                <w:color w:val="auto"/>
                <w:spacing w:val="-16"/>
                <w:sz w:val="24"/>
                <w:szCs w:val="18"/>
              </w:rPr>
              <w:t>以新带老削减量</w:t>
            </w:r>
          </w:p>
          <w:p w14:paraId="0C8CDAA7">
            <w:pPr>
              <w:pStyle w:val="48"/>
              <w:spacing w:line="240" w:lineRule="auto"/>
              <w:rPr>
                <w:rFonts w:hint="default" w:ascii="Times New Roman" w:hAnsi="Times New Roman" w:cs="Times New Roman"/>
                <w:i/>
                <w:iCs/>
                <w:snapToGrid w:val="0"/>
                <w:color w:val="auto"/>
                <w:spacing w:val="-16"/>
                <w:szCs w:val="18"/>
              </w:rPr>
            </w:pPr>
            <w:r>
              <w:rPr>
                <w:rFonts w:hint="default" w:ascii="Times New Roman" w:hAnsi="Times New Roman" w:cs="Times New Roman"/>
                <w:i/>
                <w:iCs/>
                <w:snapToGrid w:val="0"/>
                <w:color w:val="auto"/>
                <w:spacing w:val="-16"/>
                <w:sz w:val="24"/>
                <w:szCs w:val="18"/>
              </w:rPr>
              <w:t>（新建项目不填）</w:t>
            </w:r>
            <w:r>
              <w:rPr>
                <w:rFonts w:hint="default" w:ascii="Times New Roman" w:hAnsi="Times New Roman" w:cs="Times New Roman"/>
                <w:i/>
                <w:iCs/>
                <w:snapToGrid w:val="0"/>
                <w:color w:val="auto"/>
                <w:spacing w:val="-16"/>
                <w:sz w:val="24"/>
                <w:szCs w:val="18"/>
              </w:rPr>
              <w:fldChar w:fldCharType="begin"/>
            </w:r>
            <w:r>
              <w:rPr>
                <w:rFonts w:hint="default" w:ascii="Times New Roman" w:hAnsi="Times New Roman" w:cs="Times New Roman"/>
                <w:i/>
                <w:iCs/>
                <w:snapToGrid w:val="0"/>
                <w:color w:val="auto"/>
                <w:spacing w:val="-16"/>
                <w:sz w:val="24"/>
                <w:szCs w:val="18"/>
              </w:rPr>
              <w:instrText xml:space="preserve"> = 5 \* GB3 \* MERGEFORMAT </w:instrText>
            </w:r>
            <w:r>
              <w:rPr>
                <w:rFonts w:hint="default" w:ascii="Times New Roman" w:hAnsi="Times New Roman" w:cs="Times New Roman"/>
                <w:i/>
                <w:iCs/>
                <w:snapToGrid w:val="0"/>
                <w:color w:val="auto"/>
                <w:spacing w:val="-16"/>
                <w:sz w:val="24"/>
                <w:szCs w:val="18"/>
              </w:rPr>
              <w:fldChar w:fldCharType="separate"/>
            </w:r>
            <w:r>
              <w:rPr>
                <w:rFonts w:hint="default" w:ascii="Times New Roman" w:hAnsi="Times New Roman" w:cs="Times New Roman"/>
                <w:i/>
                <w:iCs/>
                <w:color w:val="auto"/>
                <w:sz w:val="24"/>
                <w:szCs w:val="18"/>
              </w:rPr>
              <w:t>⑤</w:t>
            </w:r>
            <w:r>
              <w:rPr>
                <w:rFonts w:hint="default" w:ascii="Times New Roman" w:hAnsi="Times New Roman" w:cs="Times New Roman"/>
                <w:i/>
                <w:iCs/>
                <w:snapToGrid w:val="0"/>
                <w:color w:val="auto"/>
                <w:spacing w:val="-16"/>
                <w:sz w:val="24"/>
                <w:szCs w:val="18"/>
              </w:rPr>
              <w:fldChar w:fldCharType="end"/>
            </w:r>
          </w:p>
        </w:tc>
        <w:tc>
          <w:tcPr>
            <w:tcW w:w="1513" w:type="dxa"/>
            <w:tcMar>
              <w:left w:w="28" w:type="dxa"/>
              <w:right w:w="28" w:type="dxa"/>
            </w:tcMar>
            <w:vAlign w:val="center"/>
          </w:tcPr>
          <w:p w14:paraId="00A986E7">
            <w:pPr>
              <w:pStyle w:val="48"/>
              <w:spacing w:line="240" w:lineRule="auto"/>
              <w:rPr>
                <w:rFonts w:hint="default" w:ascii="Times New Roman" w:hAnsi="Times New Roman" w:cs="Times New Roman"/>
                <w:i/>
                <w:iCs/>
                <w:snapToGrid w:val="0"/>
                <w:color w:val="auto"/>
                <w:spacing w:val="-16"/>
                <w:sz w:val="24"/>
                <w:szCs w:val="18"/>
              </w:rPr>
            </w:pPr>
            <w:r>
              <w:rPr>
                <w:rFonts w:hint="default" w:ascii="Times New Roman" w:hAnsi="Times New Roman" w:cs="Times New Roman"/>
                <w:i/>
                <w:iCs/>
                <w:snapToGrid w:val="0"/>
                <w:color w:val="auto"/>
                <w:spacing w:val="-16"/>
                <w:sz w:val="24"/>
                <w:szCs w:val="18"/>
              </w:rPr>
              <w:t>本项目建成后</w:t>
            </w:r>
          </w:p>
          <w:p w14:paraId="563A1829">
            <w:pPr>
              <w:pStyle w:val="48"/>
              <w:spacing w:line="240" w:lineRule="auto"/>
              <w:rPr>
                <w:rFonts w:hint="default" w:ascii="Times New Roman" w:hAnsi="Times New Roman" w:cs="Times New Roman"/>
                <w:i/>
                <w:iCs/>
                <w:snapToGrid w:val="0"/>
                <w:color w:val="auto"/>
                <w:spacing w:val="-16"/>
                <w:szCs w:val="18"/>
              </w:rPr>
            </w:pPr>
            <w:r>
              <w:rPr>
                <w:rFonts w:hint="default" w:ascii="Times New Roman" w:hAnsi="Times New Roman" w:cs="Times New Roman"/>
                <w:i/>
                <w:iCs/>
                <w:snapToGrid w:val="0"/>
                <w:color w:val="auto"/>
                <w:spacing w:val="-16"/>
                <w:sz w:val="24"/>
                <w:szCs w:val="18"/>
              </w:rPr>
              <w:t>全厂排放量（固体废物产生量）</w:t>
            </w:r>
            <w:r>
              <w:rPr>
                <w:rFonts w:hint="default" w:ascii="Times New Roman" w:hAnsi="Times New Roman" w:cs="Times New Roman"/>
                <w:i/>
                <w:iCs/>
                <w:snapToGrid w:val="0"/>
                <w:color w:val="auto"/>
                <w:spacing w:val="-16"/>
                <w:sz w:val="24"/>
                <w:szCs w:val="18"/>
              </w:rPr>
              <w:fldChar w:fldCharType="begin"/>
            </w:r>
            <w:r>
              <w:rPr>
                <w:rFonts w:hint="default" w:ascii="Times New Roman" w:hAnsi="Times New Roman" w:cs="Times New Roman"/>
                <w:i/>
                <w:iCs/>
                <w:snapToGrid w:val="0"/>
                <w:color w:val="auto"/>
                <w:spacing w:val="-16"/>
                <w:sz w:val="24"/>
                <w:szCs w:val="18"/>
              </w:rPr>
              <w:instrText xml:space="preserve"> = 6 \* GB3 \* MERGEFORMAT </w:instrText>
            </w:r>
            <w:r>
              <w:rPr>
                <w:rFonts w:hint="default" w:ascii="Times New Roman" w:hAnsi="Times New Roman" w:cs="Times New Roman"/>
                <w:i/>
                <w:iCs/>
                <w:snapToGrid w:val="0"/>
                <w:color w:val="auto"/>
                <w:spacing w:val="-16"/>
                <w:sz w:val="24"/>
                <w:szCs w:val="18"/>
              </w:rPr>
              <w:fldChar w:fldCharType="separate"/>
            </w:r>
            <w:r>
              <w:rPr>
                <w:rFonts w:hint="default" w:ascii="Times New Roman" w:hAnsi="Times New Roman" w:cs="Times New Roman"/>
                <w:i/>
                <w:iCs/>
                <w:color w:val="auto"/>
                <w:sz w:val="24"/>
                <w:szCs w:val="18"/>
              </w:rPr>
              <w:t>⑥</w:t>
            </w:r>
            <w:r>
              <w:rPr>
                <w:rFonts w:hint="default" w:ascii="Times New Roman" w:hAnsi="Times New Roman" w:cs="Times New Roman"/>
                <w:i/>
                <w:iCs/>
                <w:snapToGrid w:val="0"/>
                <w:color w:val="auto"/>
                <w:spacing w:val="-16"/>
                <w:sz w:val="24"/>
                <w:szCs w:val="18"/>
              </w:rPr>
              <w:fldChar w:fldCharType="end"/>
            </w:r>
          </w:p>
        </w:tc>
        <w:tc>
          <w:tcPr>
            <w:tcW w:w="1414" w:type="dxa"/>
            <w:tcMar>
              <w:left w:w="28" w:type="dxa"/>
              <w:right w:w="28" w:type="dxa"/>
            </w:tcMar>
            <w:vAlign w:val="center"/>
          </w:tcPr>
          <w:p w14:paraId="5D634009">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变化量</w:t>
            </w:r>
          </w:p>
          <w:p w14:paraId="66C313D9">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fldChar w:fldCharType="begin"/>
            </w:r>
            <w:r>
              <w:rPr>
                <w:rFonts w:hint="default" w:ascii="Times New Roman" w:hAnsi="Times New Roman" w:cs="Times New Roman"/>
                <w:i/>
                <w:iCs/>
                <w:snapToGrid w:val="0"/>
                <w:color w:val="auto"/>
                <w:sz w:val="24"/>
                <w:szCs w:val="18"/>
              </w:rPr>
              <w:instrText xml:space="preserve"> = 7 \* GB3 \* MERGEFORMAT </w:instrText>
            </w:r>
            <w:r>
              <w:rPr>
                <w:rFonts w:hint="default" w:ascii="Times New Roman" w:hAnsi="Times New Roman" w:cs="Times New Roman"/>
                <w:i/>
                <w:iCs/>
                <w:snapToGrid w:val="0"/>
                <w:color w:val="auto"/>
                <w:sz w:val="24"/>
                <w:szCs w:val="18"/>
              </w:rPr>
              <w:fldChar w:fldCharType="separate"/>
            </w:r>
            <w:r>
              <w:rPr>
                <w:rFonts w:hint="default" w:ascii="Times New Roman" w:hAnsi="Times New Roman" w:cs="Times New Roman"/>
                <w:i/>
                <w:iCs/>
                <w:color w:val="auto"/>
                <w:sz w:val="24"/>
                <w:szCs w:val="18"/>
              </w:rPr>
              <w:t>⑦</w:t>
            </w:r>
            <w:r>
              <w:rPr>
                <w:rFonts w:hint="default" w:ascii="Times New Roman" w:hAnsi="Times New Roman" w:cs="Times New Roman"/>
                <w:i/>
                <w:iCs/>
                <w:snapToGrid w:val="0"/>
                <w:color w:val="auto"/>
                <w:sz w:val="24"/>
                <w:szCs w:val="18"/>
              </w:rPr>
              <w:fldChar w:fldCharType="end"/>
            </w:r>
          </w:p>
        </w:tc>
      </w:tr>
      <w:tr w14:paraId="65D87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08" w:type="dxa"/>
            <w:vAlign w:val="center"/>
          </w:tcPr>
          <w:p w14:paraId="60F21187">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废气</w:t>
            </w:r>
          </w:p>
        </w:tc>
        <w:tc>
          <w:tcPr>
            <w:tcW w:w="1747" w:type="dxa"/>
            <w:vAlign w:val="center"/>
          </w:tcPr>
          <w:p w14:paraId="19FE2F05">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非甲烷总烃</w:t>
            </w:r>
          </w:p>
        </w:tc>
        <w:tc>
          <w:tcPr>
            <w:tcW w:w="1650" w:type="dxa"/>
            <w:vAlign w:val="center"/>
          </w:tcPr>
          <w:p w14:paraId="76846DB6">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6" w:type="dxa"/>
            <w:vAlign w:val="center"/>
          </w:tcPr>
          <w:p w14:paraId="44ED8AD7">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7" w:type="dxa"/>
            <w:vAlign w:val="center"/>
          </w:tcPr>
          <w:p w14:paraId="3C0F4EAB">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650" w:type="dxa"/>
            <w:vAlign w:val="center"/>
          </w:tcPr>
          <w:p w14:paraId="1AF93ED7">
            <w:pPr>
              <w:pStyle w:val="48"/>
              <w:spacing w:line="240" w:lineRule="auto"/>
              <w:rPr>
                <w:rFonts w:hint="default" w:ascii="Times New Roman" w:hAnsi="Times New Roman" w:eastAsia="仿宋" w:cs="Times New Roman"/>
                <w:i/>
                <w:iCs/>
                <w:color w:val="auto"/>
                <w:szCs w:val="18"/>
                <w:lang w:val="en-US" w:eastAsia="zh-CN"/>
              </w:rPr>
            </w:pPr>
            <w:r>
              <w:rPr>
                <w:rFonts w:hint="default" w:ascii="Times New Roman" w:hAnsi="Times New Roman" w:cs="Times New Roman"/>
                <w:i/>
                <w:iCs/>
                <w:color w:val="auto"/>
                <w:sz w:val="24"/>
                <w:szCs w:val="24"/>
                <w:lang w:val="en-US" w:eastAsia="zh-CN"/>
              </w:rPr>
              <w:t>0.</w:t>
            </w:r>
            <w:r>
              <w:rPr>
                <w:rFonts w:hint="eastAsia" w:ascii="Times New Roman" w:hAnsi="Times New Roman" w:cs="Times New Roman"/>
                <w:i/>
                <w:iCs/>
                <w:color w:val="auto"/>
                <w:sz w:val="24"/>
                <w:szCs w:val="24"/>
                <w:lang w:val="en-US" w:eastAsia="zh-CN"/>
              </w:rPr>
              <w:t>069</w:t>
            </w:r>
          </w:p>
        </w:tc>
        <w:tc>
          <w:tcPr>
            <w:tcW w:w="1787" w:type="dxa"/>
            <w:vAlign w:val="center"/>
          </w:tcPr>
          <w:p w14:paraId="73328921">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513" w:type="dxa"/>
            <w:vAlign w:val="center"/>
          </w:tcPr>
          <w:p w14:paraId="3E26E9FC">
            <w:pPr>
              <w:pStyle w:val="48"/>
              <w:spacing w:line="240" w:lineRule="auto"/>
              <w:rPr>
                <w:rFonts w:hint="default" w:ascii="Times New Roman" w:hAnsi="Times New Roman" w:eastAsia="仿宋" w:cs="Times New Roman"/>
                <w:i/>
                <w:iCs/>
                <w:color w:val="auto"/>
                <w:szCs w:val="18"/>
                <w:lang w:val="en-US" w:eastAsia="zh-CN"/>
              </w:rPr>
            </w:pPr>
            <w:r>
              <w:rPr>
                <w:rFonts w:hint="default" w:ascii="Times New Roman" w:hAnsi="Times New Roman" w:cs="Times New Roman"/>
                <w:i/>
                <w:iCs/>
                <w:color w:val="auto"/>
                <w:sz w:val="24"/>
                <w:szCs w:val="24"/>
                <w:lang w:val="en-US" w:eastAsia="zh-CN"/>
              </w:rPr>
              <w:t>0.</w:t>
            </w:r>
            <w:r>
              <w:rPr>
                <w:rFonts w:hint="eastAsia" w:ascii="Times New Roman" w:hAnsi="Times New Roman" w:cs="Times New Roman"/>
                <w:i/>
                <w:iCs/>
                <w:color w:val="auto"/>
                <w:sz w:val="24"/>
                <w:szCs w:val="24"/>
                <w:lang w:val="en-US" w:eastAsia="zh-CN"/>
              </w:rPr>
              <w:t>069</w:t>
            </w:r>
          </w:p>
        </w:tc>
        <w:tc>
          <w:tcPr>
            <w:tcW w:w="1414" w:type="dxa"/>
            <w:vAlign w:val="center"/>
          </w:tcPr>
          <w:p w14:paraId="4F35C7D2">
            <w:pPr>
              <w:pStyle w:val="48"/>
              <w:spacing w:line="240" w:lineRule="auto"/>
              <w:rPr>
                <w:rFonts w:hint="default" w:ascii="Times New Roman" w:hAnsi="Times New Roman" w:eastAsia="仿宋" w:cs="Times New Roman"/>
                <w:i/>
                <w:iCs/>
                <w:color w:val="auto"/>
                <w:szCs w:val="18"/>
                <w:lang w:val="en-US" w:eastAsia="zh-CN"/>
              </w:rPr>
            </w:pPr>
            <w:r>
              <w:rPr>
                <w:rFonts w:hint="default" w:ascii="Times New Roman" w:hAnsi="Times New Roman" w:cs="Times New Roman"/>
                <w:i/>
                <w:iCs/>
                <w:color w:val="auto"/>
                <w:sz w:val="24"/>
                <w:szCs w:val="18"/>
              </w:rPr>
              <w:t>+</w:t>
            </w:r>
            <w:r>
              <w:rPr>
                <w:rFonts w:hint="default" w:ascii="Times New Roman" w:hAnsi="Times New Roman" w:cs="Times New Roman"/>
                <w:i/>
                <w:iCs/>
                <w:color w:val="auto"/>
                <w:sz w:val="24"/>
                <w:szCs w:val="24"/>
                <w:lang w:val="en-US" w:eastAsia="zh-CN"/>
              </w:rPr>
              <w:t>0.</w:t>
            </w:r>
            <w:r>
              <w:rPr>
                <w:rFonts w:hint="eastAsia" w:ascii="Times New Roman" w:hAnsi="Times New Roman" w:cs="Times New Roman"/>
                <w:i/>
                <w:iCs/>
                <w:color w:val="auto"/>
                <w:sz w:val="24"/>
                <w:szCs w:val="24"/>
                <w:lang w:val="en-US" w:eastAsia="zh-CN"/>
              </w:rPr>
              <w:t>069</w:t>
            </w:r>
          </w:p>
        </w:tc>
      </w:tr>
      <w:tr w14:paraId="0EFFC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08" w:type="dxa"/>
            <w:vMerge w:val="restart"/>
            <w:vAlign w:val="center"/>
          </w:tcPr>
          <w:p w14:paraId="1CD45411">
            <w:pPr>
              <w:pStyle w:val="48"/>
              <w:spacing w:line="240" w:lineRule="auto"/>
              <w:rPr>
                <w:rFonts w:hint="default" w:ascii="Times New Roman" w:hAnsi="Times New Roman" w:cs="Times New Roman"/>
                <w:i/>
                <w:iCs/>
                <w:snapToGrid w:val="0"/>
                <w:color w:val="auto"/>
                <w:szCs w:val="18"/>
                <w:highlight w:val="yellow"/>
              </w:rPr>
            </w:pPr>
            <w:r>
              <w:rPr>
                <w:rFonts w:hint="default" w:ascii="Times New Roman" w:hAnsi="Times New Roman" w:cs="Times New Roman"/>
                <w:i/>
                <w:iCs/>
                <w:snapToGrid w:val="0"/>
                <w:color w:val="auto"/>
                <w:sz w:val="24"/>
                <w:szCs w:val="18"/>
              </w:rPr>
              <w:t>废水</w:t>
            </w:r>
          </w:p>
        </w:tc>
        <w:tc>
          <w:tcPr>
            <w:tcW w:w="1747" w:type="dxa"/>
            <w:vAlign w:val="center"/>
          </w:tcPr>
          <w:p w14:paraId="5D85C66A">
            <w:pPr>
              <w:pStyle w:val="48"/>
              <w:spacing w:line="240" w:lineRule="auto"/>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COD</w:t>
            </w:r>
          </w:p>
        </w:tc>
        <w:tc>
          <w:tcPr>
            <w:tcW w:w="1650" w:type="dxa"/>
            <w:vAlign w:val="center"/>
          </w:tcPr>
          <w:p w14:paraId="15922796">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6" w:type="dxa"/>
            <w:vAlign w:val="center"/>
          </w:tcPr>
          <w:p w14:paraId="3184FE8C">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7" w:type="dxa"/>
            <w:vAlign w:val="center"/>
          </w:tcPr>
          <w:p w14:paraId="1D7E9AC5">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650" w:type="dxa"/>
            <w:tcBorders>
              <w:top w:val="single" w:color="auto" w:sz="4" w:space="0"/>
              <w:left w:val="single" w:color="auto" w:sz="4" w:space="0"/>
              <w:bottom w:val="single" w:color="auto" w:sz="4" w:space="0"/>
              <w:right w:val="single" w:color="auto" w:sz="4" w:space="0"/>
            </w:tcBorders>
            <w:vAlign w:val="center"/>
          </w:tcPr>
          <w:p w14:paraId="3DE951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snapToGrid w:val="0"/>
                <w:color w:val="auto"/>
                <w:sz w:val="24"/>
                <w:lang w:val="en-US"/>
              </w:rPr>
            </w:pPr>
            <w:r>
              <w:rPr>
                <w:rFonts w:hint="default" w:ascii="Times New Roman" w:hAnsi="Times New Roman" w:eastAsia="宋体" w:cs="Times New Roman"/>
                <w:i/>
                <w:iCs/>
                <w:color w:val="auto"/>
                <w:kern w:val="0"/>
                <w:sz w:val="24"/>
                <w:szCs w:val="24"/>
                <w:u w:val="none"/>
                <w:lang w:val="en-US" w:eastAsia="zh-CN" w:bidi="ar"/>
              </w:rPr>
              <w:t>0.015</w:t>
            </w:r>
            <w:r>
              <w:rPr>
                <w:rFonts w:hint="eastAsia" w:ascii="Times New Roman" w:hAnsi="Times New Roman" w:eastAsia="宋体" w:cs="Times New Roman"/>
                <w:i/>
                <w:iCs/>
                <w:color w:val="auto"/>
                <w:kern w:val="0"/>
                <w:sz w:val="24"/>
                <w:szCs w:val="24"/>
                <w:u w:val="none"/>
                <w:lang w:val="en-US" w:eastAsia="zh-CN" w:bidi="ar"/>
              </w:rPr>
              <w:t>0</w:t>
            </w:r>
          </w:p>
        </w:tc>
        <w:tc>
          <w:tcPr>
            <w:tcW w:w="1787" w:type="dxa"/>
            <w:vAlign w:val="center"/>
          </w:tcPr>
          <w:p w14:paraId="57A38987">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513" w:type="dxa"/>
            <w:vAlign w:val="center"/>
          </w:tcPr>
          <w:p w14:paraId="67D3DE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lang w:val="en-US"/>
              </w:rPr>
            </w:pPr>
            <w:r>
              <w:rPr>
                <w:rFonts w:hint="default" w:ascii="Times New Roman" w:hAnsi="Times New Roman" w:eastAsia="宋体" w:cs="Times New Roman"/>
                <w:i/>
                <w:iCs/>
                <w:color w:val="auto"/>
                <w:kern w:val="0"/>
                <w:sz w:val="24"/>
                <w:szCs w:val="24"/>
                <w:u w:val="none"/>
                <w:lang w:val="en-US" w:eastAsia="zh-CN" w:bidi="ar"/>
              </w:rPr>
              <w:t>0.015</w:t>
            </w:r>
            <w:r>
              <w:rPr>
                <w:rFonts w:hint="eastAsia" w:ascii="Times New Roman" w:hAnsi="Times New Roman" w:eastAsia="宋体" w:cs="Times New Roman"/>
                <w:i/>
                <w:iCs/>
                <w:color w:val="auto"/>
                <w:kern w:val="0"/>
                <w:sz w:val="24"/>
                <w:szCs w:val="24"/>
                <w:u w:val="none"/>
                <w:lang w:val="en-US" w:eastAsia="zh-CN" w:bidi="ar"/>
              </w:rPr>
              <w:t>0</w:t>
            </w:r>
          </w:p>
        </w:tc>
        <w:tc>
          <w:tcPr>
            <w:tcW w:w="1414" w:type="dxa"/>
            <w:vAlign w:val="center"/>
          </w:tcPr>
          <w:p w14:paraId="5F6DBFA7">
            <w:pPr>
              <w:pStyle w:val="48"/>
              <w:spacing w:line="240" w:lineRule="auto"/>
              <w:rPr>
                <w:rFonts w:hint="default" w:ascii="Times New Roman" w:hAnsi="Times New Roman" w:eastAsia="宋体" w:cs="Times New Roman"/>
                <w:i/>
                <w:iCs/>
                <w:color w:val="auto"/>
                <w:szCs w:val="18"/>
                <w:lang w:val="en-US" w:eastAsia="zh-CN"/>
              </w:rPr>
            </w:pPr>
            <w:r>
              <w:rPr>
                <w:rFonts w:hint="default" w:ascii="Times New Roman" w:hAnsi="Times New Roman" w:cs="Times New Roman"/>
                <w:i/>
                <w:iCs/>
                <w:snapToGrid w:val="0"/>
                <w:color w:val="auto"/>
                <w:sz w:val="24"/>
                <w:szCs w:val="18"/>
              </w:rPr>
              <w:t>+</w:t>
            </w:r>
            <w:r>
              <w:rPr>
                <w:rFonts w:hint="default" w:ascii="Times New Roman" w:hAnsi="Times New Roman" w:eastAsia="宋体" w:cs="Times New Roman"/>
                <w:i/>
                <w:iCs/>
                <w:color w:val="auto"/>
                <w:kern w:val="0"/>
                <w:sz w:val="24"/>
                <w:lang w:bidi="ar"/>
              </w:rPr>
              <w:t>0.</w:t>
            </w:r>
            <w:r>
              <w:rPr>
                <w:rFonts w:hint="default" w:ascii="Times New Roman" w:hAnsi="Times New Roman" w:eastAsia="宋体" w:cs="Times New Roman"/>
                <w:i/>
                <w:iCs/>
                <w:color w:val="auto"/>
                <w:kern w:val="0"/>
                <w:sz w:val="24"/>
                <w:lang w:val="en-US" w:eastAsia="zh-CN" w:bidi="ar"/>
              </w:rPr>
              <w:t>015</w:t>
            </w:r>
            <w:r>
              <w:rPr>
                <w:rFonts w:hint="eastAsia" w:ascii="Times New Roman" w:hAnsi="Times New Roman" w:eastAsia="宋体" w:cs="Times New Roman"/>
                <w:i/>
                <w:iCs/>
                <w:color w:val="auto"/>
                <w:kern w:val="0"/>
                <w:sz w:val="24"/>
                <w:lang w:val="en-US" w:eastAsia="zh-CN" w:bidi="ar"/>
              </w:rPr>
              <w:t>0</w:t>
            </w:r>
          </w:p>
        </w:tc>
      </w:tr>
      <w:tr w14:paraId="49D2C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408" w:type="dxa"/>
            <w:vMerge w:val="continue"/>
            <w:vAlign w:val="center"/>
          </w:tcPr>
          <w:p w14:paraId="1A2EB256">
            <w:pPr>
              <w:pStyle w:val="48"/>
              <w:spacing w:line="240" w:lineRule="auto"/>
              <w:rPr>
                <w:rFonts w:hint="default" w:ascii="Times New Roman" w:hAnsi="Times New Roman" w:cs="Times New Roman"/>
                <w:i/>
                <w:iCs/>
                <w:snapToGrid w:val="0"/>
                <w:color w:val="auto"/>
                <w:szCs w:val="18"/>
                <w:highlight w:val="yellow"/>
              </w:rPr>
            </w:pPr>
          </w:p>
        </w:tc>
        <w:tc>
          <w:tcPr>
            <w:tcW w:w="1747" w:type="dxa"/>
            <w:vAlign w:val="center"/>
          </w:tcPr>
          <w:p w14:paraId="03D5F5A8">
            <w:pPr>
              <w:pStyle w:val="48"/>
              <w:spacing w:line="240" w:lineRule="auto"/>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BOD</w:t>
            </w:r>
            <w:r>
              <w:rPr>
                <w:rFonts w:hint="default" w:ascii="Times New Roman" w:hAnsi="Times New Roman" w:cs="Times New Roman"/>
                <w:i/>
                <w:iCs/>
                <w:color w:val="auto"/>
                <w:sz w:val="24"/>
                <w:szCs w:val="18"/>
                <w:vertAlign w:val="subscript"/>
              </w:rPr>
              <w:t>5</w:t>
            </w:r>
          </w:p>
        </w:tc>
        <w:tc>
          <w:tcPr>
            <w:tcW w:w="1650" w:type="dxa"/>
            <w:vAlign w:val="center"/>
          </w:tcPr>
          <w:p w14:paraId="005EBB6B">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6" w:type="dxa"/>
            <w:vAlign w:val="center"/>
          </w:tcPr>
          <w:p w14:paraId="53923C1E">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7" w:type="dxa"/>
            <w:vAlign w:val="center"/>
          </w:tcPr>
          <w:p w14:paraId="2AA7E5DF">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650" w:type="dxa"/>
            <w:tcBorders>
              <w:top w:val="single" w:color="auto" w:sz="4" w:space="0"/>
              <w:left w:val="single" w:color="auto" w:sz="4" w:space="0"/>
              <w:bottom w:val="single" w:color="auto" w:sz="4" w:space="0"/>
              <w:right w:val="single" w:color="auto" w:sz="4" w:space="0"/>
            </w:tcBorders>
            <w:vAlign w:val="center"/>
          </w:tcPr>
          <w:p w14:paraId="5A31F1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snapToGrid w:val="0"/>
                <w:color w:val="auto"/>
                <w:sz w:val="24"/>
                <w:lang w:val="en-US"/>
              </w:rPr>
            </w:pPr>
            <w:r>
              <w:rPr>
                <w:rFonts w:hint="default" w:ascii="Times New Roman" w:hAnsi="Times New Roman" w:eastAsia="宋体" w:cs="Times New Roman"/>
                <w:i/>
                <w:iCs/>
                <w:color w:val="auto"/>
                <w:kern w:val="0"/>
                <w:sz w:val="24"/>
                <w:szCs w:val="24"/>
                <w:u w:val="none"/>
                <w:lang w:val="en-US" w:eastAsia="zh-CN" w:bidi="ar"/>
              </w:rPr>
              <w:t>0.005</w:t>
            </w:r>
            <w:r>
              <w:rPr>
                <w:rFonts w:hint="eastAsia" w:ascii="Times New Roman" w:hAnsi="Times New Roman" w:eastAsia="宋体" w:cs="Times New Roman"/>
                <w:i/>
                <w:iCs/>
                <w:color w:val="auto"/>
                <w:kern w:val="0"/>
                <w:sz w:val="24"/>
                <w:szCs w:val="24"/>
                <w:u w:val="none"/>
                <w:lang w:val="en-US" w:eastAsia="zh-CN" w:bidi="ar"/>
              </w:rPr>
              <w:t>0</w:t>
            </w:r>
          </w:p>
        </w:tc>
        <w:tc>
          <w:tcPr>
            <w:tcW w:w="1787" w:type="dxa"/>
            <w:vAlign w:val="center"/>
          </w:tcPr>
          <w:p w14:paraId="099A3EEB">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513" w:type="dxa"/>
            <w:vAlign w:val="center"/>
          </w:tcPr>
          <w:p w14:paraId="31AB5C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rPr>
            </w:pPr>
            <w:r>
              <w:rPr>
                <w:rFonts w:hint="default" w:ascii="Times New Roman" w:hAnsi="Times New Roman" w:eastAsia="宋体" w:cs="Times New Roman"/>
                <w:i/>
                <w:iCs/>
                <w:color w:val="auto"/>
                <w:kern w:val="0"/>
                <w:sz w:val="24"/>
                <w:szCs w:val="24"/>
                <w:u w:val="none"/>
                <w:lang w:val="en-US" w:eastAsia="zh-CN" w:bidi="ar"/>
              </w:rPr>
              <w:t>0.005</w:t>
            </w:r>
            <w:r>
              <w:rPr>
                <w:rFonts w:hint="eastAsia" w:ascii="Times New Roman" w:hAnsi="Times New Roman" w:eastAsia="宋体" w:cs="Times New Roman"/>
                <w:i/>
                <w:iCs/>
                <w:color w:val="auto"/>
                <w:kern w:val="0"/>
                <w:sz w:val="24"/>
                <w:szCs w:val="24"/>
                <w:u w:val="none"/>
                <w:lang w:val="en-US" w:eastAsia="zh-CN" w:bidi="ar"/>
              </w:rPr>
              <w:t>0</w:t>
            </w:r>
          </w:p>
        </w:tc>
        <w:tc>
          <w:tcPr>
            <w:tcW w:w="1414" w:type="dxa"/>
            <w:vAlign w:val="center"/>
          </w:tcPr>
          <w:p w14:paraId="06D3E465">
            <w:pPr>
              <w:pStyle w:val="48"/>
              <w:spacing w:line="240" w:lineRule="auto"/>
              <w:rPr>
                <w:rFonts w:hint="default" w:ascii="Times New Roman" w:hAnsi="Times New Roman" w:eastAsia="宋体" w:cs="Times New Roman"/>
                <w:i/>
                <w:iCs/>
                <w:color w:val="auto"/>
                <w:szCs w:val="18"/>
                <w:lang w:val="en-US" w:eastAsia="zh-CN"/>
              </w:rPr>
            </w:pPr>
            <w:r>
              <w:rPr>
                <w:rFonts w:hint="default" w:ascii="Times New Roman" w:hAnsi="Times New Roman" w:cs="Times New Roman"/>
                <w:i/>
                <w:iCs/>
                <w:snapToGrid w:val="0"/>
                <w:color w:val="auto"/>
                <w:sz w:val="24"/>
                <w:szCs w:val="18"/>
              </w:rPr>
              <w:t>+</w:t>
            </w:r>
            <w:r>
              <w:rPr>
                <w:rFonts w:hint="default" w:ascii="Times New Roman" w:hAnsi="Times New Roman" w:eastAsia="宋体" w:cs="Times New Roman"/>
                <w:i/>
                <w:iCs/>
                <w:color w:val="auto"/>
                <w:kern w:val="0"/>
                <w:sz w:val="24"/>
                <w:lang w:bidi="ar"/>
              </w:rPr>
              <w:t>0.</w:t>
            </w:r>
            <w:r>
              <w:rPr>
                <w:rFonts w:hint="default" w:ascii="Times New Roman" w:hAnsi="Times New Roman" w:eastAsia="宋体" w:cs="Times New Roman"/>
                <w:i/>
                <w:iCs/>
                <w:color w:val="auto"/>
                <w:kern w:val="0"/>
                <w:sz w:val="24"/>
                <w:lang w:val="en-US" w:eastAsia="zh-CN" w:bidi="ar"/>
              </w:rPr>
              <w:t>005</w:t>
            </w:r>
            <w:r>
              <w:rPr>
                <w:rFonts w:hint="eastAsia" w:ascii="Times New Roman" w:hAnsi="Times New Roman" w:eastAsia="宋体" w:cs="Times New Roman"/>
                <w:i/>
                <w:iCs/>
                <w:color w:val="auto"/>
                <w:kern w:val="0"/>
                <w:sz w:val="24"/>
                <w:lang w:val="en-US" w:eastAsia="zh-CN" w:bidi="ar"/>
              </w:rPr>
              <w:t>0</w:t>
            </w:r>
          </w:p>
        </w:tc>
      </w:tr>
      <w:tr w14:paraId="774246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408" w:type="dxa"/>
            <w:vMerge w:val="continue"/>
            <w:vAlign w:val="center"/>
          </w:tcPr>
          <w:p w14:paraId="6F36B17A">
            <w:pPr>
              <w:pStyle w:val="48"/>
              <w:spacing w:line="240" w:lineRule="auto"/>
              <w:rPr>
                <w:rFonts w:hint="default" w:ascii="Times New Roman" w:hAnsi="Times New Roman" w:cs="Times New Roman"/>
                <w:i/>
                <w:iCs/>
                <w:snapToGrid w:val="0"/>
                <w:color w:val="auto"/>
                <w:szCs w:val="18"/>
                <w:highlight w:val="yellow"/>
              </w:rPr>
            </w:pPr>
          </w:p>
        </w:tc>
        <w:tc>
          <w:tcPr>
            <w:tcW w:w="1747" w:type="dxa"/>
            <w:vAlign w:val="center"/>
          </w:tcPr>
          <w:p w14:paraId="571492E1">
            <w:pPr>
              <w:pStyle w:val="48"/>
              <w:spacing w:line="240" w:lineRule="auto"/>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SS</w:t>
            </w:r>
          </w:p>
        </w:tc>
        <w:tc>
          <w:tcPr>
            <w:tcW w:w="1650" w:type="dxa"/>
            <w:vAlign w:val="center"/>
          </w:tcPr>
          <w:p w14:paraId="34989B33">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6" w:type="dxa"/>
            <w:vAlign w:val="center"/>
          </w:tcPr>
          <w:p w14:paraId="58BC7EB1">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7" w:type="dxa"/>
            <w:vAlign w:val="center"/>
          </w:tcPr>
          <w:p w14:paraId="442DABA4">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650" w:type="dxa"/>
            <w:tcBorders>
              <w:top w:val="single" w:color="auto" w:sz="4" w:space="0"/>
              <w:left w:val="single" w:color="auto" w:sz="4" w:space="0"/>
              <w:bottom w:val="single" w:color="auto" w:sz="4" w:space="0"/>
              <w:right w:val="single" w:color="auto" w:sz="4" w:space="0"/>
            </w:tcBorders>
            <w:vAlign w:val="center"/>
          </w:tcPr>
          <w:p w14:paraId="43C797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snapToGrid w:val="0"/>
                <w:color w:val="auto"/>
                <w:sz w:val="24"/>
                <w:lang w:val="en-US"/>
              </w:rPr>
            </w:pPr>
            <w:r>
              <w:rPr>
                <w:rFonts w:hint="default" w:ascii="Times New Roman" w:hAnsi="Times New Roman" w:eastAsia="宋体" w:cs="Times New Roman"/>
                <w:i/>
                <w:iCs/>
                <w:color w:val="auto"/>
                <w:kern w:val="0"/>
                <w:sz w:val="24"/>
                <w:szCs w:val="24"/>
                <w:u w:val="none"/>
                <w:lang w:val="en-US" w:eastAsia="zh-CN" w:bidi="ar"/>
              </w:rPr>
              <w:t>0.005</w:t>
            </w:r>
            <w:r>
              <w:rPr>
                <w:rFonts w:hint="eastAsia" w:ascii="Times New Roman" w:hAnsi="Times New Roman" w:eastAsia="宋体" w:cs="Times New Roman"/>
                <w:i/>
                <w:iCs/>
                <w:color w:val="auto"/>
                <w:kern w:val="0"/>
                <w:sz w:val="24"/>
                <w:szCs w:val="24"/>
                <w:u w:val="none"/>
                <w:lang w:val="en-US" w:eastAsia="zh-CN" w:bidi="ar"/>
              </w:rPr>
              <w:t>0</w:t>
            </w:r>
          </w:p>
        </w:tc>
        <w:tc>
          <w:tcPr>
            <w:tcW w:w="1787" w:type="dxa"/>
            <w:vAlign w:val="center"/>
          </w:tcPr>
          <w:p w14:paraId="56749ADF">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513" w:type="dxa"/>
            <w:vAlign w:val="center"/>
          </w:tcPr>
          <w:p w14:paraId="4DD16B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rPr>
            </w:pPr>
            <w:r>
              <w:rPr>
                <w:rFonts w:hint="default" w:ascii="Times New Roman" w:hAnsi="Times New Roman" w:eastAsia="宋体" w:cs="Times New Roman"/>
                <w:i/>
                <w:iCs/>
                <w:color w:val="auto"/>
                <w:kern w:val="0"/>
                <w:sz w:val="24"/>
                <w:szCs w:val="24"/>
                <w:u w:val="none"/>
                <w:lang w:val="en-US" w:eastAsia="zh-CN" w:bidi="ar"/>
              </w:rPr>
              <w:t>0.005</w:t>
            </w:r>
            <w:r>
              <w:rPr>
                <w:rFonts w:hint="eastAsia" w:ascii="Times New Roman" w:hAnsi="Times New Roman" w:eastAsia="宋体" w:cs="Times New Roman"/>
                <w:i/>
                <w:iCs/>
                <w:color w:val="auto"/>
                <w:kern w:val="0"/>
                <w:sz w:val="24"/>
                <w:szCs w:val="24"/>
                <w:u w:val="none"/>
                <w:lang w:val="en-US" w:eastAsia="zh-CN" w:bidi="ar"/>
              </w:rPr>
              <w:t>0</w:t>
            </w:r>
          </w:p>
        </w:tc>
        <w:tc>
          <w:tcPr>
            <w:tcW w:w="1414" w:type="dxa"/>
            <w:vAlign w:val="center"/>
          </w:tcPr>
          <w:p w14:paraId="2DE626BE">
            <w:pPr>
              <w:pStyle w:val="48"/>
              <w:spacing w:line="240" w:lineRule="auto"/>
              <w:rPr>
                <w:rFonts w:hint="default" w:ascii="Times New Roman" w:hAnsi="Times New Roman" w:eastAsia="宋体" w:cs="Times New Roman"/>
                <w:i/>
                <w:iCs/>
                <w:color w:val="auto"/>
                <w:szCs w:val="18"/>
                <w:lang w:val="en-US" w:eastAsia="zh-CN"/>
              </w:rPr>
            </w:pPr>
            <w:r>
              <w:rPr>
                <w:rFonts w:hint="default" w:ascii="Times New Roman" w:hAnsi="Times New Roman" w:cs="Times New Roman"/>
                <w:i/>
                <w:iCs/>
                <w:snapToGrid w:val="0"/>
                <w:color w:val="auto"/>
                <w:sz w:val="24"/>
                <w:szCs w:val="18"/>
              </w:rPr>
              <w:t>+</w:t>
            </w:r>
            <w:r>
              <w:rPr>
                <w:rFonts w:hint="default" w:ascii="Times New Roman" w:hAnsi="Times New Roman" w:eastAsia="宋体" w:cs="Times New Roman"/>
                <w:i/>
                <w:iCs/>
                <w:color w:val="auto"/>
                <w:kern w:val="0"/>
                <w:sz w:val="24"/>
                <w:lang w:bidi="ar"/>
              </w:rPr>
              <w:t>0.</w:t>
            </w:r>
            <w:r>
              <w:rPr>
                <w:rFonts w:hint="default" w:ascii="Times New Roman" w:hAnsi="Times New Roman" w:eastAsia="宋体" w:cs="Times New Roman"/>
                <w:i/>
                <w:iCs/>
                <w:color w:val="auto"/>
                <w:kern w:val="0"/>
                <w:sz w:val="24"/>
                <w:lang w:val="en-US" w:eastAsia="zh-CN" w:bidi="ar"/>
              </w:rPr>
              <w:t>005</w:t>
            </w:r>
            <w:r>
              <w:rPr>
                <w:rFonts w:hint="eastAsia" w:ascii="Times New Roman" w:hAnsi="Times New Roman" w:eastAsia="宋体" w:cs="Times New Roman"/>
                <w:i/>
                <w:iCs/>
                <w:color w:val="auto"/>
                <w:kern w:val="0"/>
                <w:sz w:val="24"/>
                <w:lang w:val="en-US" w:eastAsia="zh-CN" w:bidi="ar"/>
              </w:rPr>
              <w:t>0</w:t>
            </w:r>
          </w:p>
        </w:tc>
      </w:tr>
      <w:tr w14:paraId="69B403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408" w:type="dxa"/>
            <w:vMerge w:val="continue"/>
            <w:vAlign w:val="center"/>
          </w:tcPr>
          <w:p w14:paraId="7D712D02">
            <w:pPr>
              <w:pStyle w:val="48"/>
              <w:spacing w:line="240" w:lineRule="auto"/>
              <w:rPr>
                <w:rFonts w:hint="default" w:ascii="Times New Roman" w:hAnsi="Times New Roman" w:cs="Times New Roman"/>
                <w:i/>
                <w:iCs/>
                <w:snapToGrid w:val="0"/>
                <w:color w:val="auto"/>
                <w:szCs w:val="18"/>
                <w:highlight w:val="yellow"/>
              </w:rPr>
            </w:pPr>
          </w:p>
        </w:tc>
        <w:tc>
          <w:tcPr>
            <w:tcW w:w="1747" w:type="dxa"/>
            <w:vAlign w:val="center"/>
          </w:tcPr>
          <w:p w14:paraId="1EEEED63">
            <w:pPr>
              <w:pStyle w:val="48"/>
              <w:spacing w:line="240" w:lineRule="auto"/>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氨氮</w:t>
            </w:r>
          </w:p>
        </w:tc>
        <w:tc>
          <w:tcPr>
            <w:tcW w:w="1650" w:type="dxa"/>
            <w:vAlign w:val="center"/>
          </w:tcPr>
          <w:p w14:paraId="5D658DEF">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6" w:type="dxa"/>
            <w:vAlign w:val="center"/>
          </w:tcPr>
          <w:p w14:paraId="2B09500B">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7" w:type="dxa"/>
            <w:vAlign w:val="center"/>
          </w:tcPr>
          <w:p w14:paraId="528D5A7B">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650" w:type="dxa"/>
            <w:tcBorders>
              <w:top w:val="single" w:color="auto" w:sz="4" w:space="0"/>
              <w:left w:val="single" w:color="auto" w:sz="4" w:space="0"/>
              <w:bottom w:val="single" w:color="auto" w:sz="4" w:space="0"/>
              <w:right w:val="single" w:color="auto" w:sz="4" w:space="0"/>
            </w:tcBorders>
            <w:vAlign w:val="center"/>
          </w:tcPr>
          <w:p w14:paraId="65E440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snapToGrid w:val="0"/>
                <w:color w:val="auto"/>
                <w:sz w:val="24"/>
              </w:rPr>
            </w:pPr>
            <w:r>
              <w:rPr>
                <w:rFonts w:hint="default" w:ascii="Times New Roman" w:hAnsi="Times New Roman" w:eastAsia="宋体" w:cs="Times New Roman"/>
                <w:i/>
                <w:iCs/>
                <w:color w:val="auto"/>
                <w:kern w:val="0"/>
                <w:sz w:val="24"/>
                <w:szCs w:val="24"/>
                <w:u w:val="none"/>
                <w:lang w:val="en-US" w:eastAsia="zh-CN" w:bidi="ar"/>
              </w:rPr>
              <w:t>0.000</w:t>
            </w:r>
            <w:r>
              <w:rPr>
                <w:rFonts w:hint="eastAsia" w:ascii="Times New Roman" w:hAnsi="Times New Roman" w:eastAsia="宋体" w:cs="Times New Roman"/>
                <w:i/>
                <w:iCs/>
                <w:color w:val="auto"/>
                <w:kern w:val="0"/>
                <w:sz w:val="24"/>
                <w:szCs w:val="24"/>
                <w:u w:val="none"/>
                <w:lang w:val="en-US" w:eastAsia="zh-CN" w:bidi="ar"/>
              </w:rPr>
              <w:t>7</w:t>
            </w:r>
          </w:p>
        </w:tc>
        <w:tc>
          <w:tcPr>
            <w:tcW w:w="1787" w:type="dxa"/>
            <w:vAlign w:val="center"/>
          </w:tcPr>
          <w:p w14:paraId="54BA164B">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513" w:type="dxa"/>
            <w:vAlign w:val="center"/>
          </w:tcPr>
          <w:p w14:paraId="794E0D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color w:val="auto"/>
                <w:sz w:val="24"/>
              </w:rPr>
            </w:pPr>
            <w:r>
              <w:rPr>
                <w:rFonts w:hint="default" w:ascii="Times New Roman" w:hAnsi="Times New Roman" w:eastAsia="宋体" w:cs="Times New Roman"/>
                <w:i/>
                <w:iCs/>
                <w:color w:val="auto"/>
                <w:kern w:val="0"/>
                <w:sz w:val="24"/>
                <w:szCs w:val="24"/>
                <w:u w:val="none"/>
                <w:lang w:val="en-US" w:eastAsia="zh-CN" w:bidi="ar"/>
              </w:rPr>
              <w:t>0.000</w:t>
            </w:r>
            <w:r>
              <w:rPr>
                <w:rFonts w:hint="eastAsia" w:ascii="Times New Roman" w:hAnsi="Times New Roman" w:eastAsia="宋体" w:cs="Times New Roman"/>
                <w:i/>
                <w:iCs/>
                <w:color w:val="auto"/>
                <w:kern w:val="0"/>
                <w:sz w:val="24"/>
                <w:szCs w:val="24"/>
                <w:u w:val="none"/>
                <w:lang w:val="en-US" w:eastAsia="zh-CN" w:bidi="ar"/>
              </w:rPr>
              <w:t>7</w:t>
            </w:r>
          </w:p>
        </w:tc>
        <w:tc>
          <w:tcPr>
            <w:tcW w:w="1414" w:type="dxa"/>
            <w:vAlign w:val="center"/>
          </w:tcPr>
          <w:p w14:paraId="61847EF1">
            <w:pPr>
              <w:pStyle w:val="48"/>
              <w:spacing w:line="240" w:lineRule="auto"/>
              <w:rPr>
                <w:rFonts w:hint="default" w:ascii="Times New Roman" w:hAnsi="Times New Roman" w:eastAsia="宋体" w:cs="Times New Roman"/>
                <w:i/>
                <w:iCs/>
                <w:color w:val="auto"/>
                <w:szCs w:val="18"/>
                <w:lang w:val="en-US" w:eastAsia="zh-CN"/>
              </w:rPr>
            </w:pPr>
            <w:r>
              <w:rPr>
                <w:rFonts w:hint="default" w:ascii="Times New Roman" w:hAnsi="Times New Roman" w:cs="Times New Roman"/>
                <w:i/>
                <w:iCs/>
                <w:snapToGrid w:val="0"/>
                <w:color w:val="auto"/>
                <w:sz w:val="24"/>
                <w:szCs w:val="18"/>
              </w:rPr>
              <w:t>+</w:t>
            </w:r>
            <w:r>
              <w:rPr>
                <w:rFonts w:hint="default" w:ascii="Times New Roman" w:hAnsi="Times New Roman" w:eastAsia="宋体" w:cs="Times New Roman"/>
                <w:i/>
                <w:iCs/>
                <w:color w:val="auto"/>
                <w:kern w:val="0"/>
                <w:sz w:val="24"/>
                <w:lang w:bidi="ar"/>
              </w:rPr>
              <w:t>0.0</w:t>
            </w:r>
            <w:r>
              <w:rPr>
                <w:rFonts w:hint="default" w:ascii="Times New Roman" w:hAnsi="Times New Roman" w:eastAsia="宋体" w:cs="Times New Roman"/>
                <w:i/>
                <w:iCs/>
                <w:color w:val="auto"/>
                <w:kern w:val="0"/>
                <w:sz w:val="24"/>
                <w:lang w:val="en-US" w:eastAsia="zh-CN" w:bidi="ar"/>
              </w:rPr>
              <w:t>0</w:t>
            </w:r>
            <w:r>
              <w:rPr>
                <w:rFonts w:hint="eastAsia" w:ascii="Times New Roman" w:hAnsi="Times New Roman" w:eastAsia="宋体" w:cs="Times New Roman"/>
                <w:i/>
                <w:iCs/>
                <w:color w:val="auto"/>
                <w:kern w:val="0"/>
                <w:sz w:val="24"/>
                <w:lang w:val="en-US" w:eastAsia="zh-CN" w:bidi="ar"/>
              </w:rPr>
              <w:t>07</w:t>
            </w:r>
          </w:p>
        </w:tc>
      </w:tr>
      <w:tr w14:paraId="5F69F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408" w:type="dxa"/>
            <w:vMerge w:val="continue"/>
            <w:vAlign w:val="center"/>
          </w:tcPr>
          <w:p w14:paraId="53F4D9DC">
            <w:pPr>
              <w:pStyle w:val="48"/>
              <w:spacing w:line="240" w:lineRule="auto"/>
              <w:rPr>
                <w:rFonts w:hint="default" w:ascii="Times New Roman" w:hAnsi="Times New Roman" w:cs="Times New Roman"/>
                <w:i/>
                <w:iCs/>
                <w:snapToGrid w:val="0"/>
                <w:color w:val="auto"/>
                <w:szCs w:val="18"/>
                <w:highlight w:val="yellow"/>
              </w:rPr>
            </w:pPr>
          </w:p>
        </w:tc>
        <w:tc>
          <w:tcPr>
            <w:tcW w:w="1747" w:type="dxa"/>
            <w:vAlign w:val="center"/>
          </w:tcPr>
          <w:p w14:paraId="29C56361">
            <w:pPr>
              <w:pStyle w:val="48"/>
              <w:spacing w:line="240" w:lineRule="auto"/>
              <w:rPr>
                <w:rFonts w:hint="default" w:ascii="Times New Roman" w:hAnsi="Times New Roman" w:cs="Times New Roman"/>
                <w:i/>
                <w:iCs/>
                <w:color w:val="auto"/>
                <w:sz w:val="24"/>
                <w:szCs w:val="18"/>
              </w:rPr>
            </w:pPr>
            <w:r>
              <w:rPr>
                <w:rFonts w:hint="default" w:ascii="Times New Roman" w:hAnsi="Times New Roman" w:cs="Times New Roman"/>
                <w:i/>
                <w:iCs/>
                <w:color w:val="auto"/>
                <w:sz w:val="24"/>
                <w:szCs w:val="18"/>
              </w:rPr>
              <w:t>石油类</w:t>
            </w:r>
          </w:p>
        </w:tc>
        <w:tc>
          <w:tcPr>
            <w:tcW w:w="1650" w:type="dxa"/>
            <w:vAlign w:val="center"/>
          </w:tcPr>
          <w:p w14:paraId="2ED5C1CF">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786" w:type="dxa"/>
            <w:vAlign w:val="center"/>
          </w:tcPr>
          <w:p w14:paraId="2B7C899F">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787" w:type="dxa"/>
            <w:vAlign w:val="center"/>
          </w:tcPr>
          <w:p w14:paraId="0D4EC02D">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650" w:type="dxa"/>
            <w:tcBorders>
              <w:top w:val="single" w:color="auto" w:sz="4" w:space="0"/>
              <w:left w:val="single" w:color="auto" w:sz="4" w:space="0"/>
              <w:bottom w:val="single" w:color="auto" w:sz="4" w:space="0"/>
              <w:right w:val="single" w:color="auto" w:sz="4" w:space="0"/>
            </w:tcBorders>
            <w:vAlign w:val="center"/>
          </w:tcPr>
          <w:p w14:paraId="1A77E0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snapToGrid w:val="0"/>
                <w:color w:val="auto"/>
                <w:sz w:val="24"/>
              </w:rPr>
            </w:pPr>
            <w:r>
              <w:rPr>
                <w:rFonts w:hint="default" w:ascii="Times New Roman" w:hAnsi="Times New Roman" w:eastAsia="宋体" w:cs="Times New Roman"/>
                <w:i/>
                <w:iCs/>
                <w:color w:val="auto"/>
                <w:kern w:val="0"/>
                <w:sz w:val="24"/>
                <w:szCs w:val="24"/>
                <w:u w:val="none"/>
                <w:lang w:val="en-US" w:eastAsia="zh-CN" w:bidi="ar"/>
              </w:rPr>
              <w:t>0.0005</w:t>
            </w:r>
          </w:p>
        </w:tc>
        <w:tc>
          <w:tcPr>
            <w:tcW w:w="1787" w:type="dxa"/>
            <w:vAlign w:val="center"/>
          </w:tcPr>
          <w:p w14:paraId="5DBEC894">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513" w:type="dxa"/>
            <w:vAlign w:val="center"/>
          </w:tcPr>
          <w:p w14:paraId="198388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i/>
                <w:iCs/>
                <w:snapToGrid w:val="0"/>
                <w:color w:val="auto"/>
                <w:sz w:val="24"/>
              </w:rPr>
            </w:pPr>
            <w:r>
              <w:rPr>
                <w:rFonts w:hint="default" w:ascii="Times New Roman" w:hAnsi="Times New Roman" w:eastAsia="宋体" w:cs="Times New Roman"/>
                <w:i/>
                <w:iCs/>
                <w:color w:val="auto"/>
                <w:kern w:val="0"/>
                <w:sz w:val="24"/>
                <w:szCs w:val="24"/>
                <w:u w:val="none"/>
                <w:lang w:val="en-US" w:eastAsia="zh-CN" w:bidi="ar"/>
              </w:rPr>
              <w:t>0.0005</w:t>
            </w:r>
          </w:p>
        </w:tc>
        <w:tc>
          <w:tcPr>
            <w:tcW w:w="1414" w:type="dxa"/>
            <w:vAlign w:val="center"/>
          </w:tcPr>
          <w:p w14:paraId="7D9BFE61">
            <w:pPr>
              <w:pStyle w:val="48"/>
              <w:spacing w:line="240" w:lineRule="auto"/>
              <w:rPr>
                <w:rFonts w:hint="default" w:ascii="Times New Roman" w:hAnsi="Times New Roman" w:eastAsia="宋体" w:cs="Times New Roman"/>
                <w:i/>
                <w:iCs/>
                <w:snapToGrid w:val="0"/>
                <w:color w:val="auto"/>
                <w:sz w:val="24"/>
                <w:szCs w:val="18"/>
                <w:lang w:val="en-US" w:eastAsia="zh-CN"/>
              </w:rPr>
            </w:pPr>
            <w:r>
              <w:rPr>
                <w:rFonts w:hint="default" w:ascii="Times New Roman" w:hAnsi="Times New Roman" w:cs="Times New Roman"/>
                <w:i/>
                <w:iCs/>
                <w:snapToGrid w:val="0"/>
                <w:color w:val="auto"/>
                <w:sz w:val="24"/>
                <w:szCs w:val="18"/>
              </w:rPr>
              <w:t>+</w:t>
            </w:r>
            <w:r>
              <w:rPr>
                <w:rFonts w:hint="default" w:ascii="Times New Roman" w:hAnsi="Times New Roman" w:eastAsia="宋体" w:cs="Times New Roman"/>
                <w:i/>
                <w:iCs/>
                <w:color w:val="auto"/>
                <w:kern w:val="0"/>
                <w:sz w:val="24"/>
                <w:lang w:bidi="ar"/>
              </w:rPr>
              <w:t>0.0</w:t>
            </w:r>
            <w:r>
              <w:rPr>
                <w:rFonts w:hint="default" w:ascii="Times New Roman" w:hAnsi="Times New Roman" w:eastAsia="宋体" w:cs="Times New Roman"/>
                <w:i/>
                <w:iCs/>
                <w:color w:val="auto"/>
                <w:kern w:val="0"/>
                <w:sz w:val="24"/>
                <w:lang w:val="en-US" w:eastAsia="zh-CN" w:bidi="ar"/>
              </w:rPr>
              <w:t>005</w:t>
            </w:r>
          </w:p>
        </w:tc>
      </w:tr>
      <w:tr w14:paraId="40CC0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408" w:type="dxa"/>
            <w:vMerge w:val="continue"/>
            <w:vAlign w:val="center"/>
          </w:tcPr>
          <w:p w14:paraId="7DAD892F">
            <w:pPr>
              <w:pStyle w:val="48"/>
              <w:spacing w:line="240" w:lineRule="auto"/>
              <w:rPr>
                <w:rFonts w:hint="default" w:ascii="Times New Roman" w:hAnsi="Times New Roman" w:cs="Times New Roman"/>
                <w:i/>
                <w:iCs/>
                <w:snapToGrid w:val="0"/>
                <w:color w:val="auto"/>
                <w:szCs w:val="18"/>
                <w:highlight w:val="yellow"/>
              </w:rPr>
            </w:pPr>
          </w:p>
        </w:tc>
        <w:tc>
          <w:tcPr>
            <w:tcW w:w="1747" w:type="dxa"/>
            <w:vAlign w:val="center"/>
          </w:tcPr>
          <w:p w14:paraId="4D4DC88F">
            <w:pPr>
              <w:pStyle w:val="48"/>
              <w:spacing w:line="240" w:lineRule="auto"/>
              <w:rPr>
                <w:rFonts w:hint="default" w:ascii="Times New Roman" w:hAnsi="Times New Roman" w:eastAsia="仿宋" w:cs="Times New Roman"/>
                <w:i/>
                <w:iCs/>
                <w:color w:val="auto"/>
                <w:sz w:val="24"/>
                <w:szCs w:val="18"/>
                <w:lang w:val="en-US" w:eastAsia="zh-CN"/>
              </w:rPr>
            </w:pPr>
            <w:r>
              <w:rPr>
                <w:rFonts w:hint="eastAsia" w:ascii="Times New Roman" w:hAnsi="Times New Roman" w:cs="Times New Roman"/>
                <w:i/>
                <w:iCs/>
                <w:color w:val="auto"/>
                <w:sz w:val="24"/>
                <w:szCs w:val="18"/>
                <w:lang w:val="en-US" w:eastAsia="zh-CN"/>
              </w:rPr>
              <w:t>TP</w:t>
            </w:r>
          </w:p>
        </w:tc>
        <w:tc>
          <w:tcPr>
            <w:tcW w:w="1650" w:type="dxa"/>
            <w:vAlign w:val="center"/>
          </w:tcPr>
          <w:p w14:paraId="5DA53BBF">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786" w:type="dxa"/>
            <w:vAlign w:val="center"/>
          </w:tcPr>
          <w:p w14:paraId="00054560">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787" w:type="dxa"/>
            <w:vAlign w:val="center"/>
          </w:tcPr>
          <w:p w14:paraId="198AF2FF">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650" w:type="dxa"/>
            <w:tcBorders>
              <w:top w:val="single" w:color="auto" w:sz="4" w:space="0"/>
              <w:left w:val="single" w:color="auto" w:sz="4" w:space="0"/>
              <w:bottom w:val="single" w:color="auto" w:sz="4" w:space="0"/>
              <w:right w:val="single" w:color="auto" w:sz="4" w:space="0"/>
            </w:tcBorders>
            <w:vAlign w:val="center"/>
          </w:tcPr>
          <w:p w14:paraId="5FD56A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iCs/>
                <w:color w:val="auto"/>
                <w:kern w:val="0"/>
                <w:sz w:val="24"/>
                <w:szCs w:val="24"/>
                <w:u w:val="none"/>
                <w:lang w:val="en-US" w:eastAsia="zh-CN" w:bidi="ar"/>
              </w:rPr>
            </w:pPr>
            <w:r>
              <w:rPr>
                <w:rFonts w:hint="eastAsia" w:ascii="Times New Roman" w:hAnsi="Times New Roman" w:eastAsia="宋体" w:cs="Times New Roman"/>
                <w:i/>
                <w:iCs/>
                <w:color w:val="auto"/>
                <w:kern w:val="0"/>
                <w:sz w:val="24"/>
                <w:szCs w:val="24"/>
                <w:u w:val="none"/>
                <w:lang w:val="en-US" w:eastAsia="zh-CN" w:bidi="ar"/>
              </w:rPr>
              <w:t>0.0001</w:t>
            </w:r>
          </w:p>
        </w:tc>
        <w:tc>
          <w:tcPr>
            <w:tcW w:w="1787" w:type="dxa"/>
            <w:vAlign w:val="center"/>
          </w:tcPr>
          <w:p w14:paraId="67243AE3">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513" w:type="dxa"/>
            <w:vAlign w:val="center"/>
          </w:tcPr>
          <w:p w14:paraId="0C6528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iCs/>
                <w:color w:val="auto"/>
                <w:kern w:val="0"/>
                <w:sz w:val="24"/>
                <w:szCs w:val="24"/>
                <w:u w:val="none"/>
                <w:lang w:val="en-US" w:eastAsia="zh-CN" w:bidi="ar"/>
              </w:rPr>
            </w:pPr>
            <w:r>
              <w:rPr>
                <w:rFonts w:hint="eastAsia" w:ascii="Times New Roman" w:hAnsi="Times New Roman" w:eastAsia="宋体" w:cs="Times New Roman"/>
                <w:i/>
                <w:iCs/>
                <w:color w:val="auto"/>
                <w:kern w:val="0"/>
                <w:sz w:val="24"/>
                <w:szCs w:val="24"/>
                <w:u w:val="none"/>
                <w:lang w:val="en-US" w:eastAsia="zh-CN" w:bidi="ar"/>
              </w:rPr>
              <w:t>0.0001</w:t>
            </w:r>
          </w:p>
        </w:tc>
        <w:tc>
          <w:tcPr>
            <w:tcW w:w="1414" w:type="dxa"/>
            <w:vAlign w:val="center"/>
          </w:tcPr>
          <w:p w14:paraId="36732B18">
            <w:pPr>
              <w:pStyle w:val="48"/>
              <w:spacing w:line="240" w:lineRule="auto"/>
              <w:rPr>
                <w:rFonts w:hint="default" w:ascii="Times New Roman" w:hAnsi="Times New Roman" w:cs="Times New Roman"/>
                <w:i/>
                <w:iCs/>
                <w:snapToGrid w:val="0"/>
                <w:color w:val="auto"/>
                <w:sz w:val="24"/>
                <w:szCs w:val="18"/>
              </w:rPr>
            </w:pPr>
            <w:r>
              <w:rPr>
                <w:rFonts w:hint="eastAsia" w:ascii="Times New Roman" w:hAnsi="Times New Roman" w:eastAsia="宋体" w:cs="Times New Roman"/>
                <w:i/>
                <w:iCs/>
                <w:color w:val="auto"/>
                <w:kern w:val="0"/>
                <w:sz w:val="24"/>
                <w:szCs w:val="24"/>
                <w:u w:val="none"/>
                <w:lang w:val="en-US" w:eastAsia="zh-CN" w:bidi="ar"/>
              </w:rPr>
              <w:t>+0.0001</w:t>
            </w:r>
          </w:p>
        </w:tc>
      </w:tr>
      <w:tr w14:paraId="77E30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408" w:type="dxa"/>
            <w:vMerge w:val="restart"/>
            <w:vAlign w:val="center"/>
          </w:tcPr>
          <w:p w14:paraId="3D85E306">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一般工业</w:t>
            </w:r>
          </w:p>
          <w:p w14:paraId="72923306">
            <w:pPr>
              <w:pStyle w:val="48"/>
              <w:spacing w:line="240" w:lineRule="auto"/>
              <w:rPr>
                <w:rFonts w:hint="default" w:ascii="Times New Roman" w:hAnsi="Times New Roman" w:cs="Times New Roman"/>
                <w:i/>
                <w:iCs/>
                <w:snapToGrid w:val="0"/>
                <w:color w:val="auto"/>
                <w:szCs w:val="18"/>
                <w:highlight w:val="yellow"/>
              </w:rPr>
            </w:pPr>
            <w:r>
              <w:rPr>
                <w:rFonts w:hint="default" w:ascii="Times New Roman" w:hAnsi="Times New Roman" w:cs="Times New Roman"/>
                <w:i/>
                <w:iCs/>
                <w:snapToGrid w:val="0"/>
                <w:color w:val="auto"/>
                <w:sz w:val="24"/>
                <w:szCs w:val="18"/>
              </w:rPr>
              <w:t>固体废物</w:t>
            </w:r>
          </w:p>
        </w:tc>
        <w:tc>
          <w:tcPr>
            <w:tcW w:w="1747" w:type="dxa"/>
            <w:vAlign w:val="center"/>
          </w:tcPr>
          <w:p w14:paraId="6D5ECA1E">
            <w:pPr>
              <w:pStyle w:val="48"/>
              <w:spacing w:line="240" w:lineRule="auto"/>
              <w:rPr>
                <w:rFonts w:hint="default" w:ascii="Times New Roman" w:hAnsi="Times New Roman" w:cs="Times New Roman"/>
                <w:i/>
                <w:iCs/>
                <w:color w:val="auto"/>
                <w:szCs w:val="18"/>
                <w:highlight w:val="yellow"/>
              </w:rPr>
            </w:pPr>
            <w:r>
              <w:rPr>
                <w:rFonts w:hint="default" w:ascii="Times New Roman" w:hAnsi="Times New Roman" w:cs="Times New Roman"/>
                <w:i/>
                <w:iCs/>
                <w:color w:val="auto"/>
                <w:sz w:val="24"/>
                <w:szCs w:val="18"/>
              </w:rPr>
              <w:t>废边角料</w:t>
            </w:r>
          </w:p>
        </w:tc>
        <w:tc>
          <w:tcPr>
            <w:tcW w:w="1650" w:type="dxa"/>
            <w:vAlign w:val="center"/>
          </w:tcPr>
          <w:p w14:paraId="483A1CA4">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6" w:type="dxa"/>
            <w:vAlign w:val="center"/>
          </w:tcPr>
          <w:p w14:paraId="26BA26A1">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7" w:type="dxa"/>
            <w:vAlign w:val="center"/>
          </w:tcPr>
          <w:p w14:paraId="45BF7F48">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650" w:type="dxa"/>
            <w:vAlign w:val="center"/>
          </w:tcPr>
          <w:p w14:paraId="1CC328B3">
            <w:pPr>
              <w:pStyle w:val="48"/>
              <w:spacing w:line="240" w:lineRule="auto"/>
              <w:ind w:firstLine="0" w:firstLineChars="0"/>
              <w:rPr>
                <w:rFonts w:hint="default" w:ascii="Times New Roman" w:hAnsi="Times New Roman" w:cs="Times New Roman"/>
                <w:i/>
                <w:iCs/>
                <w:color w:val="auto"/>
                <w:sz w:val="24"/>
                <w:lang w:val="en-US"/>
              </w:rPr>
            </w:pPr>
            <w:r>
              <w:rPr>
                <w:rFonts w:hint="eastAsia" w:ascii="Times New Roman" w:hAnsi="Times New Roman" w:cs="Times New Roman"/>
                <w:i/>
                <w:iCs/>
                <w:snapToGrid w:val="0"/>
                <w:color w:val="auto"/>
                <w:sz w:val="24"/>
                <w:szCs w:val="24"/>
                <w:lang w:val="en-US" w:eastAsia="zh-CN"/>
              </w:rPr>
              <w:t>5.64</w:t>
            </w:r>
          </w:p>
        </w:tc>
        <w:tc>
          <w:tcPr>
            <w:tcW w:w="1787" w:type="dxa"/>
            <w:vAlign w:val="center"/>
          </w:tcPr>
          <w:p w14:paraId="4F2F799F">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513" w:type="dxa"/>
            <w:vAlign w:val="center"/>
          </w:tcPr>
          <w:p w14:paraId="4C8B7515">
            <w:pPr>
              <w:pStyle w:val="48"/>
              <w:spacing w:line="240" w:lineRule="auto"/>
              <w:ind w:firstLine="0" w:firstLineChars="0"/>
              <w:rPr>
                <w:rFonts w:hint="default" w:ascii="Times New Roman" w:hAnsi="Times New Roman" w:cs="Times New Roman"/>
                <w:i/>
                <w:iCs/>
                <w:color w:val="auto"/>
                <w:szCs w:val="18"/>
              </w:rPr>
            </w:pPr>
            <w:r>
              <w:rPr>
                <w:rFonts w:hint="eastAsia" w:ascii="Times New Roman" w:hAnsi="Times New Roman" w:cs="Times New Roman"/>
                <w:i/>
                <w:iCs/>
                <w:snapToGrid w:val="0"/>
                <w:color w:val="auto"/>
                <w:sz w:val="24"/>
                <w:szCs w:val="24"/>
                <w:lang w:val="en-US" w:eastAsia="zh-CN"/>
              </w:rPr>
              <w:t>5.64</w:t>
            </w:r>
          </w:p>
        </w:tc>
        <w:tc>
          <w:tcPr>
            <w:tcW w:w="1414" w:type="dxa"/>
            <w:vAlign w:val="center"/>
          </w:tcPr>
          <w:p w14:paraId="7F10A3D1">
            <w:pPr>
              <w:pStyle w:val="48"/>
              <w:spacing w:line="240" w:lineRule="auto"/>
              <w:rPr>
                <w:rFonts w:hint="default" w:ascii="Times New Roman" w:hAnsi="Times New Roman" w:eastAsia="仿宋" w:cs="Times New Roman"/>
                <w:i/>
                <w:iCs/>
                <w:color w:val="auto"/>
                <w:szCs w:val="18"/>
                <w:lang w:val="en-US" w:eastAsia="zh-CN"/>
              </w:rPr>
            </w:pPr>
            <w:r>
              <w:rPr>
                <w:rFonts w:hint="default" w:ascii="Times New Roman" w:hAnsi="Times New Roman" w:cs="Times New Roman"/>
                <w:i/>
                <w:iCs/>
                <w:color w:val="auto"/>
                <w:sz w:val="24"/>
                <w:szCs w:val="18"/>
              </w:rPr>
              <w:t>+</w:t>
            </w:r>
            <w:r>
              <w:rPr>
                <w:rFonts w:hint="eastAsia" w:ascii="Times New Roman" w:hAnsi="Times New Roman" w:cs="Times New Roman"/>
                <w:i/>
                <w:iCs/>
                <w:snapToGrid w:val="0"/>
                <w:color w:val="auto"/>
                <w:sz w:val="24"/>
                <w:szCs w:val="24"/>
                <w:lang w:val="en-US" w:eastAsia="zh-CN"/>
              </w:rPr>
              <w:t>5.64</w:t>
            </w:r>
          </w:p>
        </w:tc>
      </w:tr>
      <w:tr w14:paraId="28896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408" w:type="dxa"/>
            <w:vMerge w:val="continue"/>
            <w:vAlign w:val="center"/>
          </w:tcPr>
          <w:p w14:paraId="79393F0F">
            <w:pPr>
              <w:pStyle w:val="48"/>
              <w:spacing w:line="240" w:lineRule="auto"/>
              <w:rPr>
                <w:rFonts w:hint="default" w:ascii="Times New Roman" w:hAnsi="Times New Roman" w:cs="Times New Roman"/>
                <w:i/>
                <w:iCs/>
                <w:snapToGrid w:val="0"/>
                <w:color w:val="auto"/>
                <w:szCs w:val="18"/>
                <w:highlight w:val="yellow"/>
              </w:rPr>
            </w:pPr>
          </w:p>
        </w:tc>
        <w:tc>
          <w:tcPr>
            <w:tcW w:w="1747" w:type="dxa"/>
            <w:vAlign w:val="center"/>
          </w:tcPr>
          <w:p w14:paraId="6CE3BE7C">
            <w:pPr>
              <w:pStyle w:val="48"/>
              <w:spacing w:line="240" w:lineRule="auto"/>
              <w:rPr>
                <w:rFonts w:hint="default" w:ascii="Times New Roman" w:hAnsi="Times New Roman" w:cs="Times New Roman"/>
                <w:i/>
                <w:iCs/>
                <w:color w:val="auto"/>
                <w:szCs w:val="18"/>
                <w:highlight w:val="yellow"/>
              </w:rPr>
            </w:pPr>
            <w:r>
              <w:rPr>
                <w:rFonts w:hint="default" w:ascii="Times New Roman" w:hAnsi="Times New Roman" w:cs="Times New Roman"/>
                <w:i/>
                <w:iCs/>
                <w:color w:val="auto"/>
                <w:sz w:val="24"/>
                <w:szCs w:val="18"/>
              </w:rPr>
              <w:t>废包装材料</w:t>
            </w:r>
          </w:p>
        </w:tc>
        <w:tc>
          <w:tcPr>
            <w:tcW w:w="1650" w:type="dxa"/>
            <w:vAlign w:val="center"/>
          </w:tcPr>
          <w:p w14:paraId="4B67F997">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6" w:type="dxa"/>
            <w:vAlign w:val="center"/>
          </w:tcPr>
          <w:p w14:paraId="40A8CFC9">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7" w:type="dxa"/>
            <w:vAlign w:val="center"/>
          </w:tcPr>
          <w:p w14:paraId="6266CFCE">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650" w:type="dxa"/>
            <w:vAlign w:val="center"/>
          </w:tcPr>
          <w:p w14:paraId="259BFD6A">
            <w:pPr>
              <w:pStyle w:val="48"/>
              <w:spacing w:line="240" w:lineRule="auto"/>
              <w:ind w:firstLine="0" w:firstLineChars="0"/>
              <w:rPr>
                <w:rFonts w:hint="default" w:ascii="Times New Roman" w:hAnsi="Times New Roman" w:cs="Times New Roman"/>
                <w:i/>
                <w:iCs/>
                <w:color w:val="auto"/>
                <w:sz w:val="24"/>
              </w:rPr>
            </w:pPr>
            <w:r>
              <w:rPr>
                <w:rFonts w:hint="default" w:ascii="Times New Roman" w:hAnsi="Times New Roman" w:cs="Times New Roman"/>
                <w:i/>
                <w:iCs/>
                <w:snapToGrid w:val="0"/>
                <w:color w:val="auto"/>
                <w:sz w:val="24"/>
                <w:szCs w:val="24"/>
                <w:lang w:val="en-US" w:eastAsia="zh-CN"/>
              </w:rPr>
              <w:t>0.5</w:t>
            </w:r>
          </w:p>
        </w:tc>
        <w:tc>
          <w:tcPr>
            <w:tcW w:w="1787" w:type="dxa"/>
            <w:vAlign w:val="center"/>
          </w:tcPr>
          <w:p w14:paraId="7B21B365">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513" w:type="dxa"/>
            <w:vAlign w:val="center"/>
          </w:tcPr>
          <w:p w14:paraId="1480F2E6">
            <w:pPr>
              <w:pStyle w:val="48"/>
              <w:spacing w:line="240" w:lineRule="auto"/>
              <w:ind w:firstLine="0" w:firstLineChars="0"/>
              <w:rPr>
                <w:rFonts w:hint="default" w:ascii="Times New Roman" w:hAnsi="Times New Roman" w:cs="Times New Roman"/>
                <w:i/>
                <w:iCs/>
                <w:color w:val="auto"/>
                <w:sz w:val="24"/>
              </w:rPr>
            </w:pPr>
            <w:r>
              <w:rPr>
                <w:rFonts w:hint="default" w:ascii="Times New Roman" w:hAnsi="Times New Roman" w:cs="Times New Roman"/>
                <w:i/>
                <w:iCs/>
                <w:snapToGrid w:val="0"/>
                <w:color w:val="auto"/>
                <w:sz w:val="24"/>
                <w:szCs w:val="24"/>
                <w:lang w:val="en-US" w:eastAsia="zh-CN"/>
              </w:rPr>
              <w:t>0.5</w:t>
            </w:r>
          </w:p>
        </w:tc>
        <w:tc>
          <w:tcPr>
            <w:tcW w:w="1414" w:type="dxa"/>
            <w:vAlign w:val="center"/>
          </w:tcPr>
          <w:p w14:paraId="64130BB3">
            <w:pPr>
              <w:pStyle w:val="48"/>
              <w:spacing w:line="240" w:lineRule="auto"/>
              <w:rPr>
                <w:rFonts w:hint="default" w:ascii="Times New Roman" w:hAnsi="Times New Roman" w:eastAsia="仿宋" w:cs="Times New Roman"/>
                <w:i/>
                <w:iCs/>
                <w:color w:val="auto"/>
                <w:sz w:val="24"/>
                <w:lang w:val="en-US" w:eastAsia="zh-CN"/>
              </w:rPr>
            </w:pPr>
            <w:r>
              <w:rPr>
                <w:rFonts w:hint="default" w:ascii="Times New Roman" w:hAnsi="Times New Roman" w:cs="Times New Roman"/>
                <w:i/>
                <w:iCs/>
                <w:color w:val="auto"/>
                <w:sz w:val="24"/>
              </w:rPr>
              <w:t>+</w:t>
            </w:r>
            <w:r>
              <w:rPr>
                <w:rFonts w:hint="default" w:ascii="Times New Roman" w:hAnsi="Times New Roman" w:cs="Times New Roman"/>
                <w:i/>
                <w:iCs/>
                <w:color w:val="auto"/>
                <w:sz w:val="24"/>
                <w:lang w:val="en-US" w:eastAsia="zh-CN"/>
              </w:rPr>
              <w:t>0.5</w:t>
            </w:r>
          </w:p>
        </w:tc>
      </w:tr>
      <w:tr w14:paraId="7E5AAF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408" w:type="dxa"/>
            <w:vMerge w:val="continue"/>
            <w:vAlign w:val="center"/>
          </w:tcPr>
          <w:p w14:paraId="5D47BA30">
            <w:pPr>
              <w:pStyle w:val="48"/>
              <w:spacing w:line="240" w:lineRule="auto"/>
              <w:rPr>
                <w:rFonts w:hint="default" w:ascii="Times New Roman" w:hAnsi="Times New Roman" w:cs="Times New Roman"/>
                <w:i/>
                <w:iCs/>
                <w:snapToGrid w:val="0"/>
                <w:color w:val="auto"/>
                <w:szCs w:val="18"/>
                <w:highlight w:val="yellow"/>
              </w:rPr>
            </w:pPr>
          </w:p>
        </w:tc>
        <w:tc>
          <w:tcPr>
            <w:tcW w:w="1747" w:type="dxa"/>
            <w:vAlign w:val="center"/>
          </w:tcPr>
          <w:p w14:paraId="5F8A1611">
            <w:pPr>
              <w:pStyle w:val="48"/>
              <w:spacing w:line="240" w:lineRule="auto"/>
              <w:rPr>
                <w:rFonts w:hint="default" w:ascii="Times New Roman" w:hAnsi="Times New Roman" w:cs="Times New Roman"/>
                <w:i/>
                <w:iCs/>
                <w:color w:val="auto"/>
                <w:sz w:val="24"/>
                <w:szCs w:val="18"/>
              </w:rPr>
            </w:pPr>
            <w:r>
              <w:rPr>
                <w:rFonts w:hint="default" w:ascii="Times New Roman" w:hAnsi="Times New Roman" w:cs="Times New Roman"/>
                <w:i/>
                <w:iCs/>
                <w:color w:val="auto"/>
                <w:sz w:val="24"/>
                <w:szCs w:val="18"/>
              </w:rPr>
              <w:t>不合格品</w:t>
            </w:r>
          </w:p>
        </w:tc>
        <w:tc>
          <w:tcPr>
            <w:tcW w:w="1650" w:type="dxa"/>
            <w:vAlign w:val="center"/>
          </w:tcPr>
          <w:p w14:paraId="104029BE">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786" w:type="dxa"/>
            <w:vAlign w:val="center"/>
          </w:tcPr>
          <w:p w14:paraId="70ABA345">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787" w:type="dxa"/>
            <w:vAlign w:val="center"/>
          </w:tcPr>
          <w:p w14:paraId="7EA50D8E">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650" w:type="dxa"/>
            <w:vAlign w:val="center"/>
          </w:tcPr>
          <w:p w14:paraId="0E366D6B">
            <w:pPr>
              <w:pStyle w:val="48"/>
              <w:spacing w:line="240" w:lineRule="auto"/>
              <w:ind w:firstLine="0" w:firstLineChars="0"/>
              <w:rPr>
                <w:rFonts w:hint="default" w:ascii="Times New Roman" w:hAnsi="Times New Roman" w:eastAsia="仿宋" w:cs="Times New Roman"/>
                <w:i/>
                <w:iCs/>
                <w:color w:val="auto"/>
                <w:sz w:val="24"/>
                <w:lang w:val="en-US" w:eastAsia="zh-CN"/>
              </w:rPr>
            </w:pPr>
            <w:r>
              <w:rPr>
                <w:rFonts w:hint="eastAsia" w:ascii="Times New Roman" w:hAnsi="Times New Roman" w:cs="Times New Roman"/>
                <w:i/>
                <w:iCs/>
                <w:snapToGrid w:val="0"/>
                <w:color w:val="auto"/>
                <w:sz w:val="24"/>
                <w:szCs w:val="24"/>
                <w:lang w:val="en-US" w:eastAsia="zh-CN"/>
              </w:rPr>
              <w:t>0.188</w:t>
            </w:r>
          </w:p>
        </w:tc>
        <w:tc>
          <w:tcPr>
            <w:tcW w:w="1787" w:type="dxa"/>
            <w:vAlign w:val="center"/>
          </w:tcPr>
          <w:p w14:paraId="6A8080DB">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513" w:type="dxa"/>
            <w:vAlign w:val="center"/>
          </w:tcPr>
          <w:p w14:paraId="30C963E1">
            <w:pPr>
              <w:pStyle w:val="48"/>
              <w:spacing w:line="240" w:lineRule="auto"/>
              <w:ind w:firstLine="0" w:firstLineChars="0"/>
              <w:rPr>
                <w:rFonts w:hint="default" w:ascii="Times New Roman" w:hAnsi="Times New Roman" w:eastAsia="仿宋" w:cs="Times New Roman"/>
                <w:i/>
                <w:iCs/>
                <w:color w:val="auto"/>
                <w:sz w:val="24"/>
                <w:lang w:val="en-US" w:eastAsia="zh-CN"/>
              </w:rPr>
            </w:pPr>
            <w:r>
              <w:rPr>
                <w:rFonts w:hint="eastAsia" w:ascii="Times New Roman" w:hAnsi="Times New Roman" w:cs="Times New Roman"/>
                <w:i/>
                <w:iCs/>
                <w:snapToGrid w:val="0"/>
                <w:color w:val="auto"/>
                <w:sz w:val="24"/>
                <w:szCs w:val="24"/>
                <w:lang w:val="en-US" w:eastAsia="zh-CN"/>
              </w:rPr>
              <w:t>0.188</w:t>
            </w:r>
          </w:p>
        </w:tc>
        <w:tc>
          <w:tcPr>
            <w:tcW w:w="1414" w:type="dxa"/>
            <w:vAlign w:val="center"/>
          </w:tcPr>
          <w:p w14:paraId="0394B73F">
            <w:pPr>
              <w:pStyle w:val="48"/>
              <w:spacing w:line="240" w:lineRule="auto"/>
              <w:rPr>
                <w:rFonts w:hint="default" w:ascii="Times New Roman" w:hAnsi="Times New Roman" w:eastAsia="仿宋" w:cs="Times New Roman"/>
                <w:i/>
                <w:iCs/>
                <w:color w:val="auto"/>
                <w:sz w:val="24"/>
                <w:lang w:val="en-US" w:eastAsia="zh-CN"/>
              </w:rPr>
            </w:pPr>
            <w:r>
              <w:rPr>
                <w:rFonts w:hint="default" w:ascii="Times New Roman" w:hAnsi="Times New Roman" w:cs="Times New Roman"/>
                <w:i/>
                <w:iCs/>
                <w:color w:val="auto"/>
                <w:sz w:val="24"/>
              </w:rPr>
              <w:t>+</w:t>
            </w:r>
            <w:r>
              <w:rPr>
                <w:rFonts w:hint="eastAsia" w:ascii="Times New Roman" w:hAnsi="Times New Roman" w:cs="Times New Roman"/>
                <w:i/>
                <w:iCs/>
                <w:snapToGrid w:val="0"/>
                <w:color w:val="auto"/>
                <w:sz w:val="24"/>
                <w:szCs w:val="24"/>
                <w:lang w:val="en-US" w:eastAsia="zh-CN"/>
              </w:rPr>
              <w:t>0.188</w:t>
            </w:r>
          </w:p>
        </w:tc>
      </w:tr>
      <w:tr w14:paraId="4FE99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408" w:type="dxa"/>
            <w:vMerge w:val="continue"/>
            <w:vAlign w:val="center"/>
          </w:tcPr>
          <w:p w14:paraId="4A0F186E">
            <w:pPr>
              <w:pStyle w:val="48"/>
              <w:spacing w:line="240" w:lineRule="auto"/>
              <w:rPr>
                <w:rFonts w:hint="default" w:ascii="Times New Roman" w:hAnsi="Times New Roman" w:cs="Times New Roman"/>
                <w:i/>
                <w:iCs/>
                <w:snapToGrid w:val="0"/>
                <w:color w:val="auto"/>
                <w:szCs w:val="18"/>
                <w:highlight w:val="yellow"/>
              </w:rPr>
            </w:pPr>
          </w:p>
        </w:tc>
        <w:tc>
          <w:tcPr>
            <w:tcW w:w="1747" w:type="dxa"/>
            <w:vAlign w:val="center"/>
          </w:tcPr>
          <w:p w14:paraId="78276B22">
            <w:pPr>
              <w:pStyle w:val="48"/>
              <w:spacing w:line="240" w:lineRule="auto"/>
              <w:rPr>
                <w:rFonts w:hint="default" w:ascii="Times New Roman" w:hAnsi="Times New Roman" w:eastAsia="仿宋" w:cs="Times New Roman"/>
                <w:i/>
                <w:iCs/>
                <w:color w:val="auto"/>
                <w:sz w:val="24"/>
                <w:szCs w:val="18"/>
                <w:lang w:eastAsia="zh-CN"/>
              </w:rPr>
            </w:pPr>
            <w:r>
              <w:rPr>
                <w:rFonts w:hint="default" w:ascii="Times New Roman" w:hAnsi="Times New Roman" w:cs="Times New Roman"/>
                <w:i/>
                <w:iCs/>
                <w:color w:val="auto"/>
                <w:sz w:val="24"/>
                <w:szCs w:val="18"/>
                <w:lang w:eastAsia="zh-CN"/>
              </w:rPr>
              <w:t>废纸</w:t>
            </w:r>
          </w:p>
        </w:tc>
        <w:tc>
          <w:tcPr>
            <w:tcW w:w="1650" w:type="dxa"/>
            <w:vAlign w:val="center"/>
          </w:tcPr>
          <w:p w14:paraId="3DF56531">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786" w:type="dxa"/>
            <w:vAlign w:val="center"/>
          </w:tcPr>
          <w:p w14:paraId="6E2E8548">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787" w:type="dxa"/>
            <w:vAlign w:val="center"/>
          </w:tcPr>
          <w:p w14:paraId="54B08B55">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650" w:type="dxa"/>
            <w:vAlign w:val="center"/>
          </w:tcPr>
          <w:p w14:paraId="4D1EECF5">
            <w:pPr>
              <w:pStyle w:val="48"/>
              <w:spacing w:line="240" w:lineRule="auto"/>
              <w:ind w:firstLine="0" w:firstLineChars="0"/>
              <w:rPr>
                <w:rFonts w:hint="default" w:ascii="Times New Roman" w:hAnsi="Times New Roman" w:cs="Times New Roman"/>
                <w:i/>
                <w:iCs/>
                <w:snapToGrid w:val="0"/>
                <w:color w:val="auto"/>
                <w:sz w:val="24"/>
                <w:lang w:val="en-US" w:eastAsia="zh-CN"/>
              </w:rPr>
            </w:pPr>
            <w:r>
              <w:rPr>
                <w:rFonts w:hint="default" w:ascii="Times New Roman" w:hAnsi="Times New Roman" w:cs="Times New Roman"/>
                <w:i/>
                <w:iCs/>
                <w:snapToGrid w:val="0"/>
                <w:color w:val="auto"/>
                <w:sz w:val="24"/>
                <w:szCs w:val="24"/>
                <w:lang w:val="en-US" w:eastAsia="zh-CN"/>
              </w:rPr>
              <w:t>0.</w:t>
            </w:r>
            <w:r>
              <w:rPr>
                <w:rFonts w:hint="eastAsia" w:ascii="Times New Roman" w:hAnsi="Times New Roman" w:cs="Times New Roman"/>
                <w:i/>
                <w:iCs/>
                <w:snapToGrid w:val="0"/>
                <w:color w:val="auto"/>
                <w:sz w:val="24"/>
                <w:szCs w:val="24"/>
                <w:lang w:val="en-US" w:eastAsia="zh-CN"/>
              </w:rPr>
              <w:t>4</w:t>
            </w:r>
          </w:p>
        </w:tc>
        <w:tc>
          <w:tcPr>
            <w:tcW w:w="1787" w:type="dxa"/>
            <w:vAlign w:val="center"/>
          </w:tcPr>
          <w:p w14:paraId="13575C0E">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513" w:type="dxa"/>
            <w:vAlign w:val="center"/>
          </w:tcPr>
          <w:p w14:paraId="125D66B7">
            <w:pPr>
              <w:pStyle w:val="48"/>
              <w:spacing w:line="240" w:lineRule="auto"/>
              <w:ind w:firstLine="0" w:firstLineChars="0"/>
              <w:rPr>
                <w:rFonts w:hint="default" w:ascii="Times New Roman" w:hAnsi="Times New Roman" w:cs="Times New Roman"/>
                <w:i/>
                <w:iCs/>
                <w:snapToGrid w:val="0"/>
                <w:color w:val="auto"/>
                <w:sz w:val="24"/>
                <w:lang w:val="en-US" w:eastAsia="zh-CN"/>
              </w:rPr>
            </w:pPr>
            <w:r>
              <w:rPr>
                <w:rFonts w:hint="default" w:ascii="Times New Roman" w:hAnsi="Times New Roman" w:cs="Times New Roman"/>
                <w:i/>
                <w:iCs/>
                <w:snapToGrid w:val="0"/>
                <w:color w:val="auto"/>
                <w:sz w:val="24"/>
                <w:szCs w:val="24"/>
                <w:lang w:val="en-US" w:eastAsia="zh-CN"/>
              </w:rPr>
              <w:t>0.</w:t>
            </w:r>
            <w:r>
              <w:rPr>
                <w:rFonts w:hint="eastAsia" w:ascii="Times New Roman" w:hAnsi="Times New Roman" w:cs="Times New Roman"/>
                <w:i/>
                <w:iCs/>
                <w:snapToGrid w:val="0"/>
                <w:color w:val="auto"/>
                <w:sz w:val="24"/>
                <w:szCs w:val="24"/>
                <w:lang w:val="en-US" w:eastAsia="zh-CN"/>
              </w:rPr>
              <w:t>4</w:t>
            </w:r>
          </w:p>
        </w:tc>
        <w:tc>
          <w:tcPr>
            <w:tcW w:w="1414" w:type="dxa"/>
            <w:vAlign w:val="center"/>
          </w:tcPr>
          <w:p w14:paraId="25E8B9CC">
            <w:pPr>
              <w:pStyle w:val="48"/>
              <w:spacing w:line="240" w:lineRule="auto"/>
              <w:rPr>
                <w:rFonts w:hint="default" w:ascii="Times New Roman" w:hAnsi="Times New Roman" w:cs="Times New Roman"/>
                <w:i/>
                <w:iCs/>
                <w:color w:val="auto"/>
                <w:sz w:val="24"/>
              </w:rPr>
            </w:pPr>
            <w:r>
              <w:rPr>
                <w:rFonts w:hint="default" w:ascii="Times New Roman" w:hAnsi="Times New Roman" w:cs="Times New Roman"/>
                <w:i/>
                <w:iCs/>
                <w:snapToGrid w:val="0"/>
                <w:color w:val="auto"/>
                <w:sz w:val="24"/>
                <w:lang w:val="en-US" w:eastAsia="zh-CN"/>
              </w:rPr>
              <w:t>+0.</w:t>
            </w:r>
            <w:r>
              <w:rPr>
                <w:rFonts w:hint="eastAsia" w:ascii="Times New Roman" w:hAnsi="Times New Roman" w:cs="Times New Roman"/>
                <w:i/>
                <w:iCs/>
                <w:snapToGrid w:val="0"/>
                <w:color w:val="auto"/>
                <w:sz w:val="24"/>
                <w:lang w:val="en-US" w:eastAsia="zh-CN"/>
              </w:rPr>
              <w:t>4</w:t>
            </w:r>
          </w:p>
        </w:tc>
      </w:tr>
      <w:tr w14:paraId="189C5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408" w:type="dxa"/>
            <w:vMerge w:val="restart"/>
            <w:tcBorders>
              <w:top w:val="single" w:color="auto" w:sz="4" w:space="0"/>
              <w:left w:val="single" w:color="auto" w:sz="8" w:space="0"/>
            </w:tcBorders>
            <w:vAlign w:val="center"/>
          </w:tcPr>
          <w:p w14:paraId="67E7EFEA">
            <w:pPr>
              <w:pStyle w:val="48"/>
              <w:spacing w:line="240" w:lineRule="auto"/>
              <w:rPr>
                <w:rFonts w:hint="default" w:ascii="Times New Roman" w:hAnsi="Times New Roman" w:cs="Times New Roman"/>
                <w:i/>
                <w:iCs/>
                <w:snapToGrid w:val="0"/>
                <w:color w:val="auto"/>
                <w:szCs w:val="18"/>
                <w:highlight w:val="yellow"/>
              </w:rPr>
            </w:pPr>
            <w:r>
              <w:rPr>
                <w:rFonts w:hint="default" w:ascii="Times New Roman" w:hAnsi="Times New Roman" w:cs="Times New Roman"/>
                <w:i/>
                <w:iCs/>
                <w:snapToGrid w:val="0"/>
                <w:color w:val="auto"/>
                <w:sz w:val="24"/>
                <w:szCs w:val="18"/>
              </w:rPr>
              <w:t>危险废物</w:t>
            </w:r>
          </w:p>
        </w:tc>
        <w:tc>
          <w:tcPr>
            <w:tcW w:w="1747" w:type="dxa"/>
            <w:vAlign w:val="center"/>
          </w:tcPr>
          <w:p w14:paraId="55609644">
            <w:pPr>
              <w:pStyle w:val="48"/>
              <w:spacing w:line="240" w:lineRule="auto"/>
              <w:rPr>
                <w:rFonts w:hint="default" w:ascii="Times New Roman" w:hAnsi="Times New Roman" w:cs="Times New Roman"/>
                <w:i/>
                <w:iCs/>
                <w:color w:val="auto"/>
                <w:szCs w:val="18"/>
              </w:rPr>
            </w:pPr>
            <w:r>
              <w:rPr>
                <w:rFonts w:hint="default" w:ascii="Times New Roman" w:hAnsi="Times New Roman" w:cs="Times New Roman"/>
                <w:i/>
                <w:iCs/>
                <w:snapToGrid w:val="0"/>
                <w:color w:val="auto"/>
                <w:sz w:val="24"/>
                <w:szCs w:val="18"/>
              </w:rPr>
              <w:t>废</w:t>
            </w:r>
            <w:r>
              <w:rPr>
                <w:rFonts w:hint="default" w:ascii="Times New Roman" w:hAnsi="Times New Roman" w:cs="Times New Roman"/>
                <w:i/>
                <w:iCs/>
                <w:snapToGrid w:val="0"/>
                <w:color w:val="auto"/>
                <w:sz w:val="24"/>
                <w:szCs w:val="18"/>
                <w:lang w:eastAsia="zh-CN"/>
              </w:rPr>
              <w:t>矿物</w:t>
            </w:r>
            <w:r>
              <w:rPr>
                <w:rFonts w:hint="default" w:ascii="Times New Roman" w:hAnsi="Times New Roman" w:cs="Times New Roman"/>
                <w:i/>
                <w:iCs/>
                <w:snapToGrid w:val="0"/>
                <w:color w:val="auto"/>
                <w:sz w:val="24"/>
                <w:szCs w:val="18"/>
              </w:rPr>
              <w:t>油</w:t>
            </w:r>
          </w:p>
        </w:tc>
        <w:tc>
          <w:tcPr>
            <w:tcW w:w="1650" w:type="dxa"/>
            <w:tcBorders>
              <w:top w:val="single" w:color="auto" w:sz="4" w:space="0"/>
              <w:bottom w:val="single" w:color="auto" w:sz="4" w:space="0"/>
            </w:tcBorders>
            <w:vAlign w:val="center"/>
          </w:tcPr>
          <w:p w14:paraId="0A76DCAD">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6" w:type="dxa"/>
            <w:tcBorders>
              <w:top w:val="single" w:color="auto" w:sz="4" w:space="0"/>
              <w:bottom w:val="single" w:color="auto" w:sz="4" w:space="0"/>
            </w:tcBorders>
            <w:vAlign w:val="center"/>
          </w:tcPr>
          <w:p w14:paraId="528C5702">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7" w:type="dxa"/>
            <w:vAlign w:val="center"/>
          </w:tcPr>
          <w:p w14:paraId="3917BE33">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650" w:type="dxa"/>
            <w:vAlign w:val="center"/>
          </w:tcPr>
          <w:p w14:paraId="364D1FF0">
            <w:pPr>
              <w:pStyle w:val="48"/>
              <w:spacing w:line="240" w:lineRule="auto"/>
              <w:ind w:firstLine="0" w:firstLineChars="0"/>
              <w:rPr>
                <w:rFonts w:hint="default" w:ascii="Times New Roman" w:hAnsi="Times New Roman" w:cs="Times New Roman"/>
                <w:i/>
                <w:iCs/>
                <w:color w:val="auto"/>
                <w:szCs w:val="18"/>
                <w:lang w:val="en-US"/>
              </w:rPr>
            </w:pPr>
            <w:r>
              <w:rPr>
                <w:rFonts w:hint="default" w:ascii="Times New Roman" w:hAnsi="Times New Roman" w:cs="Times New Roman"/>
                <w:i/>
                <w:iCs/>
                <w:snapToGrid w:val="0"/>
                <w:color w:val="auto"/>
                <w:sz w:val="24"/>
                <w:szCs w:val="24"/>
                <w:lang w:val="en-US" w:eastAsia="zh-CN"/>
              </w:rPr>
              <w:t>0.</w:t>
            </w:r>
            <w:r>
              <w:rPr>
                <w:rFonts w:hint="eastAsia" w:ascii="Times New Roman" w:hAnsi="Times New Roman" w:cs="Times New Roman"/>
                <w:i/>
                <w:iCs/>
                <w:snapToGrid w:val="0"/>
                <w:color w:val="auto"/>
                <w:sz w:val="24"/>
                <w:szCs w:val="24"/>
                <w:lang w:val="en-US" w:eastAsia="zh-CN"/>
              </w:rPr>
              <w:t>15</w:t>
            </w:r>
          </w:p>
        </w:tc>
        <w:tc>
          <w:tcPr>
            <w:tcW w:w="1787" w:type="dxa"/>
            <w:vAlign w:val="center"/>
          </w:tcPr>
          <w:p w14:paraId="025BEDBE">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513" w:type="dxa"/>
            <w:vAlign w:val="center"/>
          </w:tcPr>
          <w:p w14:paraId="3AB43516">
            <w:pPr>
              <w:pStyle w:val="48"/>
              <w:spacing w:line="240" w:lineRule="auto"/>
              <w:ind w:firstLine="0" w:firstLineChars="0"/>
              <w:rPr>
                <w:rFonts w:hint="default" w:ascii="Times New Roman" w:hAnsi="Times New Roman" w:cs="Times New Roman"/>
                <w:i/>
                <w:iCs/>
                <w:color w:val="auto"/>
                <w:szCs w:val="18"/>
                <w:lang w:val="en-US"/>
              </w:rPr>
            </w:pPr>
            <w:r>
              <w:rPr>
                <w:rFonts w:hint="default" w:ascii="Times New Roman" w:hAnsi="Times New Roman" w:cs="Times New Roman"/>
                <w:i/>
                <w:iCs/>
                <w:snapToGrid w:val="0"/>
                <w:color w:val="auto"/>
                <w:sz w:val="24"/>
                <w:szCs w:val="24"/>
                <w:lang w:val="en-US" w:eastAsia="zh-CN"/>
              </w:rPr>
              <w:t>0</w:t>
            </w:r>
            <w:r>
              <w:rPr>
                <w:rFonts w:hint="eastAsia" w:ascii="Times New Roman" w:hAnsi="Times New Roman" w:cs="Times New Roman"/>
                <w:i/>
                <w:iCs/>
                <w:snapToGrid w:val="0"/>
                <w:color w:val="auto"/>
                <w:sz w:val="24"/>
                <w:szCs w:val="24"/>
                <w:lang w:val="en-US" w:eastAsia="zh-CN"/>
              </w:rPr>
              <w:t>.15</w:t>
            </w:r>
          </w:p>
        </w:tc>
        <w:tc>
          <w:tcPr>
            <w:tcW w:w="1414" w:type="dxa"/>
            <w:vAlign w:val="center"/>
          </w:tcPr>
          <w:p w14:paraId="76E58A80">
            <w:pPr>
              <w:pStyle w:val="48"/>
              <w:spacing w:line="240" w:lineRule="auto"/>
              <w:rPr>
                <w:rFonts w:hint="default" w:ascii="Times New Roman" w:hAnsi="Times New Roman" w:eastAsia="仿宋" w:cs="Times New Roman"/>
                <w:i/>
                <w:iCs/>
                <w:color w:val="auto"/>
                <w:szCs w:val="18"/>
                <w:lang w:val="en-US" w:eastAsia="zh-CN"/>
              </w:rPr>
            </w:pPr>
            <w:r>
              <w:rPr>
                <w:rFonts w:hint="default" w:ascii="Times New Roman" w:hAnsi="Times New Roman" w:cs="Times New Roman"/>
                <w:i/>
                <w:iCs/>
                <w:color w:val="auto"/>
                <w:sz w:val="24"/>
                <w:szCs w:val="18"/>
              </w:rPr>
              <w:t>+0.</w:t>
            </w:r>
            <w:r>
              <w:rPr>
                <w:rFonts w:hint="eastAsia" w:ascii="Times New Roman" w:hAnsi="Times New Roman" w:cs="Times New Roman"/>
                <w:i/>
                <w:iCs/>
                <w:color w:val="auto"/>
                <w:sz w:val="24"/>
                <w:szCs w:val="18"/>
                <w:lang w:val="en-US" w:eastAsia="zh-CN"/>
              </w:rPr>
              <w:t>15</w:t>
            </w:r>
          </w:p>
        </w:tc>
      </w:tr>
      <w:tr w14:paraId="42A4F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408" w:type="dxa"/>
            <w:vMerge w:val="continue"/>
            <w:tcBorders>
              <w:left w:val="single" w:color="auto" w:sz="8" w:space="0"/>
            </w:tcBorders>
            <w:vAlign w:val="center"/>
          </w:tcPr>
          <w:p w14:paraId="0DFE4698">
            <w:pPr>
              <w:pStyle w:val="48"/>
              <w:spacing w:line="240" w:lineRule="auto"/>
              <w:rPr>
                <w:rFonts w:hint="default" w:ascii="Times New Roman" w:hAnsi="Times New Roman" w:cs="Times New Roman"/>
                <w:i/>
                <w:iCs/>
                <w:snapToGrid w:val="0"/>
                <w:color w:val="auto"/>
                <w:szCs w:val="18"/>
              </w:rPr>
            </w:pPr>
          </w:p>
        </w:tc>
        <w:tc>
          <w:tcPr>
            <w:tcW w:w="1747" w:type="dxa"/>
            <w:vAlign w:val="center"/>
          </w:tcPr>
          <w:p w14:paraId="374CE11A">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废活性炭</w:t>
            </w:r>
          </w:p>
        </w:tc>
        <w:tc>
          <w:tcPr>
            <w:tcW w:w="1650" w:type="dxa"/>
            <w:tcBorders>
              <w:top w:val="single" w:color="auto" w:sz="4" w:space="0"/>
              <w:bottom w:val="single" w:color="auto" w:sz="4" w:space="0"/>
            </w:tcBorders>
            <w:vAlign w:val="center"/>
          </w:tcPr>
          <w:p w14:paraId="6D4D4035">
            <w:pPr>
              <w:spacing w:line="240" w:lineRule="auto"/>
              <w:ind w:firstLine="0" w:firstLineChars="0"/>
              <w:jc w:val="center"/>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786" w:type="dxa"/>
            <w:tcBorders>
              <w:top w:val="single" w:color="auto" w:sz="4" w:space="0"/>
              <w:bottom w:val="single" w:color="auto" w:sz="4" w:space="0"/>
            </w:tcBorders>
            <w:vAlign w:val="center"/>
          </w:tcPr>
          <w:p w14:paraId="4E2F69E8">
            <w:pPr>
              <w:spacing w:line="240" w:lineRule="auto"/>
              <w:ind w:firstLine="0" w:firstLineChars="0"/>
              <w:jc w:val="center"/>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787" w:type="dxa"/>
            <w:vAlign w:val="center"/>
          </w:tcPr>
          <w:p w14:paraId="074EED7D">
            <w:pPr>
              <w:spacing w:line="240" w:lineRule="auto"/>
              <w:ind w:firstLine="0" w:firstLineChars="0"/>
              <w:jc w:val="center"/>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650" w:type="dxa"/>
            <w:vAlign w:val="center"/>
          </w:tcPr>
          <w:p w14:paraId="08AB658E">
            <w:pPr>
              <w:pStyle w:val="48"/>
              <w:spacing w:line="240" w:lineRule="auto"/>
              <w:ind w:firstLine="0" w:firstLineChars="0"/>
              <w:rPr>
                <w:rFonts w:hint="default" w:ascii="Times New Roman" w:hAnsi="Times New Roman" w:eastAsia="仿宋" w:cs="Times New Roman"/>
                <w:i/>
                <w:iCs/>
                <w:color w:val="auto"/>
                <w:szCs w:val="18"/>
                <w:lang w:val="en-US" w:eastAsia="zh-CN"/>
              </w:rPr>
            </w:pPr>
            <w:r>
              <w:rPr>
                <w:rFonts w:hint="eastAsia" w:ascii="Times New Roman" w:hAnsi="Times New Roman" w:cs="Times New Roman"/>
                <w:i/>
                <w:iCs/>
                <w:snapToGrid w:val="0"/>
                <w:color w:val="auto"/>
                <w:sz w:val="24"/>
                <w:szCs w:val="24"/>
                <w:lang w:val="en-US" w:eastAsia="zh-CN"/>
              </w:rPr>
              <w:t>1.184</w:t>
            </w:r>
          </w:p>
        </w:tc>
        <w:tc>
          <w:tcPr>
            <w:tcW w:w="1787" w:type="dxa"/>
            <w:vAlign w:val="center"/>
          </w:tcPr>
          <w:p w14:paraId="6C473D74">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513" w:type="dxa"/>
            <w:vAlign w:val="center"/>
          </w:tcPr>
          <w:p w14:paraId="67355660">
            <w:pPr>
              <w:pStyle w:val="48"/>
              <w:spacing w:line="240" w:lineRule="auto"/>
              <w:ind w:firstLine="0" w:firstLineChars="0"/>
              <w:rPr>
                <w:rFonts w:hint="default" w:ascii="Times New Roman" w:hAnsi="Times New Roman" w:cs="Times New Roman"/>
                <w:i/>
                <w:iCs/>
                <w:color w:val="auto"/>
                <w:sz w:val="24"/>
                <w:szCs w:val="18"/>
                <w:lang w:val="en-US"/>
              </w:rPr>
            </w:pPr>
            <w:r>
              <w:rPr>
                <w:rFonts w:hint="eastAsia" w:ascii="Times New Roman" w:hAnsi="Times New Roman" w:cs="Times New Roman"/>
                <w:i/>
                <w:iCs/>
                <w:snapToGrid w:val="0"/>
                <w:color w:val="auto"/>
                <w:sz w:val="24"/>
                <w:szCs w:val="24"/>
                <w:lang w:val="en-US" w:eastAsia="zh-CN"/>
              </w:rPr>
              <w:t>1.184</w:t>
            </w:r>
          </w:p>
        </w:tc>
        <w:tc>
          <w:tcPr>
            <w:tcW w:w="1414" w:type="dxa"/>
            <w:vAlign w:val="center"/>
          </w:tcPr>
          <w:p w14:paraId="4F8E08D1">
            <w:pPr>
              <w:pStyle w:val="48"/>
              <w:spacing w:line="240" w:lineRule="auto"/>
              <w:rPr>
                <w:rFonts w:hint="default" w:ascii="Times New Roman" w:hAnsi="Times New Roman" w:cs="Times New Roman"/>
                <w:i/>
                <w:iCs/>
                <w:color w:val="auto"/>
                <w:sz w:val="24"/>
                <w:szCs w:val="18"/>
                <w:lang w:val="en-US"/>
              </w:rPr>
            </w:pPr>
            <w:r>
              <w:rPr>
                <w:rFonts w:hint="default" w:ascii="Times New Roman" w:hAnsi="Times New Roman" w:cs="Times New Roman"/>
                <w:i/>
                <w:iCs/>
                <w:color w:val="auto"/>
                <w:sz w:val="24"/>
                <w:szCs w:val="18"/>
              </w:rPr>
              <w:t>+</w:t>
            </w:r>
            <w:r>
              <w:rPr>
                <w:rFonts w:hint="eastAsia" w:ascii="Times New Roman" w:hAnsi="Times New Roman" w:cs="Times New Roman"/>
                <w:i/>
                <w:iCs/>
                <w:snapToGrid w:val="0"/>
                <w:color w:val="auto"/>
                <w:sz w:val="24"/>
                <w:szCs w:val="24"/>
                <w:lang w:val="en-US" w:eastAsia="zh-CN"/>
              </w:rPr>
              <w:t>1.184</w:t>
            </w:r>
          </w:p>
        </w:tc>
      </w:tr>
      <w:tr w14:paraId="4B7CDA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408" w:type="dxa"/>
            <w:vMerge w:val="continue"/>
            <w:tcBorders>
              <w:left w:val="single" w:color="auto" w:sz="8" w:space="0"/>
            </w:tcBorders>
            <w:vAlign w:val="center"/>
          </w:tcPr>
          <w:p w14:paraId="69B35E59">
            <w:pPr>
              <w:pStyle w:val="48"/>
              <w:spacing w:line="240" w:lineRule="auto"/>
              <w:rPr>
                <w:rFonts w:hint="default" w:ascii="Times New Roman" w:hAnsi="Times New Roman" w:cs="Times New Roman"/>
                <w:i/>
                <w:iCs/>
                <w:snapToGrid w:val="0"/>
                <w:color w:val="auto"/>
                <w:szCs w:val="18"/>
              </w:rPr>
            </w:pPr>
          </w:p>
        </w:tc>
        <w:tc>
          <w:tcPr>
            <w:tcW w:w="1747" w:type="dxa"/>
            <w:vAlign w:val="center"/>
          </w:tcPr>
          <w:p w14:paraId="612078E8">
            <w:pPr>
              <w:pStyle w:val="48"/>
              <w:spacing w:line="240" w:lineRule="auto"/>
              <w:rPr>
                <w:rFonts w:hint="default" w:ascii="Times New Roman" w:hAnsi="Times New Roman" w:cs="Times New Roman"/>
                <w:i/>
                <w:iCs/>
                <w:color w:val="auto"/>
                <w:szCs w:val="18"/>
              </w:rPr>
            </w:pPr>
            <w:r>
              <w:rPr>
                <w:rFonts w:hint="default" w:ascii="Times New Roman" w:hAnsi="Times New Roman" w:cs="Times New Roman"/>
                <w:i/>
                <w:iCs/>
                <w:snapToGrid w:val="0"/>
                <w:color w:val="auto"/>
                <w:sz w:val="24"/>
                <w:szCs w:val="18"/>
              </w:rPr>
              <w:t>废油桶</w:t>
            </w:r>
          </w:p>
        </w:tc>
        <w:tc>
          <w:tcPr>
            <w:tcW w:w="1650" w:type="dxa"/>
            <w:tcBorders>
              <w:top w:val="single" w:color="auto" w:sz="4" w:space="0"/>
              <w:bottom w:val="single" w:color="auto" w:sz="4" w:space="0"/>
            </w:tcBorders>
            <w:vAlign w:val="center"/>
          </w:tcPr>
          <w:p w14:paraId="78F0573F">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6" w:type="dxa"/>
            <w:tcBorders>
              <w:top w:val="single" w:color="auto" w:sz="4" w:space="0"/>
              <w:bottom w:val="single" w:color="auto" w:sz="4" w:space="0"/>
            </w:tcBorders>
            <w:vAlign w:val="center"/>
          </w:tcPr>
          <w:p w14:paraId="443D27FD">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7" w:type="dxa"/>
            <w:vAlign w:val="center"/>
          </w:tcPr>
          <w:p w14:paraId="14BB1F43">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650" w:type="dxa"/>
            <w:vAlign w:val="center"/>
          </w:tcPr>
          <w:p w14:paraId="2B1BE5B5">
            <w:pPr>
              <w:pStyle w:val="48"/>
              <w:spacing w:line="240" w:lineRule="auto"/>
              <w:ind w:firstLine="0" w:firstLineChars="0"/>
              <w:rPr>
                <w:rFonts w:hint="default" w:ascii="Times New Roman" w:hAnsi="Times New Roman" w:cs="Times New Roman"/>
                <w:i/>
                <w:iCs/>
                <w:color w:val="auto"/>
                <w:szCs w:val="18"/>
              </w:rPr>
            </w:pPr>
            <w:r>
              <w:rPr>
                <w:rFonts w:hint="default" w:ascii="Times New Roman" w:hAnsi="Times New Roman" w:cs="Times New Roman"/>
                <w:i/>
                <w:iCs/>
                <w:snapToGrid w:val="0"/>
                <w:color w:val="auto"/>
                <w:sz w:val="24"/>
                <w:szCs w:val="24"/>
                <w:lang w:val="en-US" w:eastAsia="zh-CN"/>
              </w:rPr>
              <w:t>0.3</w:t>
            </w:r>
          </w:p>
        </w:tc>
        <w:tc>
          <w:tcPr>
            <w:tcW w:w="1787" w:type="dxa"/>
            <w:vAlign w:val="center"/>
          </w:tcPr>
          <w:p w14:paraId="0A168134">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513" w:type="dxa"/>
            <w:vAlign w:val="center"/>
          </w:tcPr>
          <w:p w14:paraId="75F99683">
            <w:pPr>
              <w:pStyle w:val="48"/>
              <w:spacing w:line="240" w:lineRule="auto"/>
              <w:ind w:firstLine="0" w:firstLineChars="0"/>
              <w:rPr>
                <w:rFonts w:hint="default" w:ascii="Times New Roman" w:hAnsi="Times New Roman" w:cs="Times New Roman"/>
                <w:i/>
                <w:iCs/>
                <w:color w:val="auto"/>
                <w:szCs w:val="18"/>
              </w:rPr>
            </w:pPr>
            <w:r>
              <w:rPr>
                <w:rFonts w:hint="default" w:ascii="Times New Roman" w:hAnsi="Times New Roman" w:cs="Times New Roman"/>
                <w:i/>
                <w:iCs/>
                <w:snapToGrid w:val="0"/>
                <w:color w:val="auto"/>
                <w:sz w:val="24"/>
                <w:szCs w:val="24"/>
                <w:lang w:val="en-US" w:eastAsia="zh-CN"/>
              </w:rPr>
              <w:t>0.3</w:t>
            </w:r>
          </w:p>
        </w:tc>
        <w:tc>
          <w:tcPr>
            <w:tcW w:w="1414" w:type="dxa"/>
            <w:vAlign w:val="center"/>
          </w:tcPr>
          <w:p w14:paraId="2C467573">
            <w:pPr>
              <w:pStyle w:val="48"/>
              <w:spacing w:line="240" w:lineRule="auto"/>
              <w:rPr>
                <w:rFonts w:hint="default" w:ascii="Times New Roman" w:hAnsi="Times New Roman" w:cs="Times New Roman"/>
                <w:i/>
                <w:iCs/>
                <w:color w:val="auto"/>
                <w:szCs w:val="18"/>
              </w:rPr>
            </w:pPr>
            <w:r>
              <w:rPr>
                <w:rFonts w:hint="default" w:ascii="Times New Roman" w:hAnsi="Times New Roman" w:cs="Times New Roman"/>
                <w:i/>
                <w:iCs/>
                <w:color w:val="auto"/>
                <w:sz w:val="24"/>
                <w:szCs w:val="18"/>
              </w:rPr>
              <w:t>+0.3</w:t>
            </w:r>
          </w:p>
        </w:tc>
      </w:tr>
      <w:tr w14:paraId="18E43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408" w:type="dxa"/>
            <w:vMerge w:val="continue"/>
            <w:tcBorders>
              <w:left w:val="single" w:color="auto" w:sz="8" w:space="0"/>
            </w:tcBorders>
            <w:vAlign w:val="center"/>
          </w:tcPr>
          <w:p w14:paraId="6DFD32EE">
            <w:pPr>
              <w:pStyle w:val="48"/>
              <w:spacing w:line="240" w:lineRule="auto"/>
              <w:rPr>
                <w:rFonts w:hint="default" w:ascii="Times New Roman" w:hAnsi="Times New Roman" w:cs="Times New Roman"/>
                <w:i/>
                <w:iCs/>
                <w:snapToGrid w:val="0"/>
                <w:color w:val="auto"/>
                <w:szCs w:val="18"/>
              </w:rPr>
            </w:pPr>
          </w:p>
        </w:tc>
        <w:tc>
          <w:tcPr>
            <w:tcW w:w="1747" w:type="dxa"/>
            <w:vAlign w:val="center"/>
          </w:tcPr>
          <w:p w14:paraId="6A1D716D">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废含油棉纱、手套</w:t>
            </w:r>
          </w:p>
        </w:tc>
        <w:tc>
          <w:tcPr>
            <w:tcW w:w="1650" w:type="dxa"/>
            <w:tcBorders>
              <w:top w:val="single" w:color="auto" w:sz="4" w:space="0"/>
              <w:bottom w:val="single" w:color="auto" w:sz="4" w:space="0"/>
            </w:tcBorders>
            <w:vAlign w:val="center"/>
          </w:tcPr>
          <w:p w14:paraId="69DE5531">
            <w:pPr>
              <w:spacing w:line="240" w:lineRule="auto"/>
              <w:ind w:firstLine="0" w:firstLineChars="0"/>
              <w:jc w:val="center"/>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786" w:type="dxa"/>
            <w:tcBorders>
              <w:top w:val="single" w:color="auto" w:sz="4" w:space="0"/>
              <w:bottom w:val="single" w:color="auto" w:sz="4" w:space="0"/>
            </w:tcBorders>
            <w:vAlign w:val="center"/>
          </w:tcPr>
          <w:p w14:paraId="5827BF2D">
            <w:pPr>
              <w:spacing w:line="240" w:lineRule="auto"/>
              <w:ind w:firstLine="0" w:firstLineChars="0"/>
              <w:jc w:val="center"/>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787" w:type="dxa"/>
            <w:vAlign w:val="center"/>
          </w:tcPr>
          <w:p w14:paraId="36DC53F5">
            <w:pPr>
              <w:spacing w:line="240" w:lineRule="auto"/>
              <w:ind w:firstLine="0" w:firstLineChars="0"/>
              <w:jc w:val="center"/>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650" w:type="dxa"/>
            <w:vAlign w:val="center"/>
          </w:tcPr>
          <w:p w14:paraId="1AC9A2D3">
            <w:pPr>
              <w:pStyle w:val="48"/>
              <w:spacing w:line="240" w:lineRule="auto"/>
              <w:ind w:firstLine="0" w:firstLineChars="0"/>
              <w:rPr>
                <w:rFonts w:hint="default" w:ascii="Times New Roman" w:hAnsi="Times New Roman" w:cs="Times New Roman"/>
                <w:i/>
                <w:iCs/>
                <w:color w:val="auto"/>
                <w:sz w:val="24"/>
                <w:szCs w:val="18"/>
              </w:rPr>
            </w:pPr>
            <w:r>
              <w:rPr>
                <w:rFonts w:hint="default" w:ascii="Times New Roman" w:hAnsi="Times New Roman" w:cs="Times New Roman"/>
                <w:i/>
                <w:iCs/>
                <w:snapToGrid w:val="0"/>
                <w:color w:val="auto"/>
                <w:sz w:val="24"/>
                <w:szCs w:val="24"/>
                <w:lang w:val="en-US" w:eastAsia="zh-CN"/>
              </w:rPr>
              <w:t>0.02</w:t>
            </w:r>
          </w:p>
        </w:tc>
        <w:tc>
          <w:tcPr>
            <w:tcW w:w="1787" w:type="dxa"/>
            <w:vAlign w:val="center"/>
          </w:tcPr>
          <w:p w14:paraId="33559AFF">
            <w:pPr>
              <w:pStyle w:val="48"/>
              <w:spacing w:line="240" w:lineRule="auto"/>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1513" w:type="dxa"/>
            <w:vAlign w:val="center"/>
          </w:tcPr>
          <w:p w14:paraId="22A3770C">
            <w:pPr>
              <w:pStyle w:val="48"/>
              <w:spacing w:line="240" w:lineRule="auto"/>
              <w:ind w:firstLine="0" w:firstLineChars="0"/>
              <w:rPr>
                <w:rFonts w:hint="default" w:ascii="Times New Roman" w:hAnsi="Times New Roman" w:cs="Times New Roman"/>
                <w:i/>
                <w:iCs/>
                <w:color w:val="auto"/>
                <w:sz w:val="24"/>
                <w:szCs w:val="18"/>
              </w:rPr>
            </w:pPr>
            <w:r>
              <w:rPr>
                <w:rFonts w:hint="default" w:ascii="Times New Roman" w:hAnsi="Times New Roman" w:cs="Times New Roman"/>
                <w:i/>
                <w:iCs/>
                <w:snapToGrid w:val="0"/>
                <w:color w:val="auto"/>
                <w:sz w:val="24"/>
                <w:szCs w:val="24"/>
                <w:lang w:val="en-US" w:eastAsia="zh-CN"/>
              </w:rPr>
              <w:t>0.02</w:t>
            </w:r>
          </w:p>
        </w:tc>
        <w:tc>
          <w:tcPr>
            <w:tcW w:w="1414" w:type="dxa"/>
            <w:vAlign w:val="center"/>
          </w:tcPr>
          <w:p w14:paraId="6905EA81">
            <w:pPr>
              <w:pStyle w:val="48"/>
              <w:spacing w:line="240" w:lineRule="auto"/>
              <w:rPr>
                <w:rFonts w:hint="default" w:ascii="Times New Roman" w:hAnsi="Times New Roman" w:cs="Times New Roman"/>
                <w:i/>
                <w:iCs/>
                <w:color w:val="auto"/>
                <w:sz w:val="24"/>
                <w:szCs w:val="18"/>
              </w:rPr>
            </w:pPr>
            <w:r>
              <w:rPr>
                <w:rFonts w:hint="default" w:ascii="Times New Roman" w:hAnsi="Times New Roman" w:cs="Times New Roman"/>
                <w:i/>
                <w:iCs/>
                <w:color w:val="auto"/>
                <w:sz w:val="24"/>
                <w:szCs w:val="18"/>
              </w:rPr>
              <w:t>+0.02</w:t>
            </w:r>
          </w:p>
        </w:tc>
      </w:tr>
      <w:tr w14:paraId="73F5CA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408" w:type="dxa"/>
            <w:vMerge w:val="continue"/>
            <w:tcBorders>
              <w:left w:val="single" w:color="auto" w:sz="8" w:space="0"/>
            </w:tcBorders>
            <w:vAlign w:val="center"/>
          </w:tcPr>
          <w:p w14:paraId="2E340E29">
            <w:pPr>
              <w:pStyle w:val="48"/>
              <w:spacing w:line="240" w:lineRule="auto"/>
              <w:rPr>
                <w:rFonts w:hint="default" w:ascii="Times New Roman" w:hAnsi="Times New Roman" w:cs="Times New Roman"/>
                <w:i/>
                <w:iCs/>
                <w:snapToGrid w:val="0"/>
                <w:color w:val="auto"/>
                <w:szCs w:val="18"/>
              </w:rPr>
            </w:pPr>
          </w:p>
        </w:tc>
        <w:tc>
          <w:tcPr>
            <w:tcW w:w="1747" w:type="dxa"/>
            <w:vAlign w:val="center"/>
          </w:tcPr>
          <w:p w14:paraId="645A4EE3">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油水混合物</w:t>
            </w:r>
          </w:p>
        </w:tc>
        <w:tc>
          <w:tcPr>
            <w:tcW w:w="1650" w:type="dxa"/>
            <w:tcBorders>
              <w:top w:val="single" w:color="auto" w:sz="4" w:space="0"/>
              <w:bottom w:val="single" w:color="auto" w:sz="4" w:space="0"/>
            </w:tcBorders>
            <w:vAlign w:val="center"/>
          </w:tcPr>
          <w:p w14:paraId="26741140">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6" w:type="dxa"/>
            <w:tcBorders>
              <w:top w:val="single" w:color="auto" w:sz="4" w:space="0"/>
              <w:bottom w:val="single" w:color="auto" w:sz="4" w:space="0"/>
            </w:tcBorders>
            <w:vAlign w:val="center"/>
          </w:tcPr>
          <w:p w14:paraId="45E4D40A">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787" w:type="dxa"/>
            <w:vAlign w:val="center"/>
          </w:tcPr>
          <w:p w14:paraId="1208BCF2">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650" w:type="dxa"/>
            <w:vAlign w:val="center"/>
          </w:tcPr>
          <w:p w14:paraId="682E0693">
            <w:pPr>
              <w:pStyle w:val="48"/>
              <w:spacing w:line="240" w:lineRule="auto"/>
              <w:ind w:firstLine="0" w:firstLineChars="0"/>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24"/>
              </w:rPr>
              <w:t>0.</w:t>
            </w:r>
            <w:r>
              <w:rPr>
                <w:rFonts w:hint="default" w:ascii="Times New Roman" w:hAnsi="Times New Roman" w:cs="Times New Roman"/>
                <w:i/>
                <w:iCs/>
                <w:snapToGrid w:val="0"/>
                <w:color w:val="auto"/>
                <w:sz w:val="24"/>
                <w:szCs w:val="24"/>
                <w:lang w:val="en-US" w:eastAsia="zh-CN"/>
              </w:rPr>
              <w:t>01</w:t>
            </w:r>
          </w:p>
        </w:tc>
        <w:tc>
          <w:tcPr>
            <w:tcW w:w="1787" w:type="dxa"/>
            <w:vAlign w:val="center"/>
          </w:tcPr>
          <w:p w14:paraId="57300A3F">
            <w:pPr>
              <w:pStyle w:val="48"/>
              <w:spacing w:line="240" w:lineRule="auto"/>
              <w:rPr>
                <w:rFonts w:hint="default" w:ascii="Times New Roman" w:hAnsi="Times New Roman" w:cs="Times New Roman"/>
                <w:i/>
                <w:iCs/>
                <w:snapToGrid w:val="0"/>
                <w:color w:val="auto"/>
                <w:szCs w:val="18"/>
              </w:rPr>
            </w:pPr>
            <w:r>
              <w:rPr>
                <w:rFonts w:hint="default" w:ascii="Times New Roman" w:hAnsi="Times New Roman" w:cs="Times New Roman"/>
                <w:i/>
                <w:iCs/>
                <w:snapToGrid w:val="0"/>
                <w:color w:val="auto"/>
                <w:sz w:val="24"/>
                <w:szCs w:val="18"/>
              </w:rPr>
              <w:t>/</w:t>
            </w:r>
          </w:p>
        </w:tc>
        <w:tc>
          <w:tcPr>
            <w:tcW w:w="1513" w:type="dxa"/>
            <w:vAlign w:val="center"/>
          </w:tcPr>
          <w:p w14:paraId="55D837E5">
            <w:pPr>
              <w:pStyle w:val="48"/>
              <w:spacing w:line="240" w:lineRule="auto"/>
              <w:ind w:firstLine="0" w:firstLineChars="0"/>
              <w:rPr>
                <w:rFonts w:hint="default" w:ascii="Times New Roman" w:hAnsi="Times New Roman" w:cs="Times New Roman"/>
                <w:i/>
                <w:iCs/>
                <w:color w:val="auto"/>
                <w:szCs w:val="18"/>
              </w:rPr>
            </w:pPr>
            <w:r>
              <w:rPr>
                <w:rFonts w:hint="default" w:ascii="Times New Roman" w:hAnsi="Times New Roman" w:cs="Times New Roman"/>
                <w:i/>
                <w:iCs/>
                <w:snapToGrid w:val="0"/>
                <w:color w:val="auto"/>
                <w:sz w:val="24"/>
                <w:szCs w:val="24"/>
              </w:rPr>
              <w:t>0.</w:t>
            </w:r>
            <w:r>
              <w:rPr>
                <w:rFonts w:hint="default" w:ascii="Times New Roman" w:hAnsi="Times New Roman" w:cs="Times New Roman"/>
                <w:i/>
                <w:iCs/>
                <w:snapToGrid w:val="0"/>
                <w:color w:val="auto"/>
                <w:sz w:val="24"/>
                <w:szCs w:val="24"/>
                <w:lang w:val="en-US" w:eastAsia="zh-CN"/>
              </w:rPr>
              <w:t>01</w:t>
            </w:r>
          </w:p>
        </w:tc>
        <w:tc>
          <w:tcPr>
            <w:tcW w:w="1414" w:type="dxa"/>
            <w:vAlign w:val="center"/>
          </w:tcPr>
          <w:p w14:paraId="22B07B9C">
            <w:pPr>
              <w:pStyle w:val="48"/>
              <w:spacing w:line="240" w:lineRule="auto"/>
              <w:rPr>
                <w:rFonts w:hint="default" w:ascii="Times New Roman" w:hAnsi="Times New Roman" w:eastAsia="仿宋" w:cs="Times New Roman"/>
                <w:i/>
                <w:iCs/>
                <w:color w:val="auto"/>
                <w:szCs w:val="18"/>
                <w:lang w:val="en-US" w:eastAsia="zh-CN"/>
              </w:rPr>
            </w:pPr>
            <w:r>
              <w:rPr>
                <w:rFonts w:hint="default" w:ascii="Times New Roman" w:hAnsi="Times New Roman" w:cs="Times New Roman"/>
                <w:i/>
                <w:iCs/>
                <w:snapToGrid w:val="0"/>
                <w:color w:val="auto"/>
                <w:sz w:val="24"/>
                <w:szCs w:val="18"/>
              </w:rPr>
              <w:t>+0.</w:t>
            </w:r>
            <w:r>
              <w:rPr>
                <w:rFonts w:hint="eastAsia" w:ascii="Times New Roman" w:hAnsi="Times New Roman" w:cs="Times New Roman"/>
                <w:i/>
                <w:iCs/>
                <w:snapToGrid w:val="0"/>
                <w:color w:val="auto"/>
                <w:sz w:val="24"/>
                <w:szCs w:val="18"/>
                <w:lang w:val="en-US" w:eastAsia="zh-CN"/>
              </w:rPr>
              <w:t>01</w:t>
            </w:r>
          </w:p>
        </w:tc>
      </w:tr>
      <w:tr w14:paraId="2D2DB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408" w:type="dxa"/>
            <w:vMerge w:val="continue"/>
            <w:tcBorders>
              <w:left w:val="single" w:color="auto" w:sz="8" w:space="0"/>
            </w:tcBorders>
            <w:vAlign w:val="center"/>
          </w:tcPr>
          <w:p w14:paraId="5AF1A002">
            <w:pPr>
              <w:pStyle w:val="48"/>
              <w:spacing w:line="240" w:lineRule="auto"/>
              <w:rPr>
                <w:rFonts w:hint="default" w:ascii="Times New Roman" w:hAnsi="Times New Roman" w:cs="Times New Roman"/>
                <w:i/>
                <w:iCs/>
                <w:snapToGrid w:val="0"/>
                <w:color w:val="auto"/>
                <w:szCs w:val="18"/>
              </w:rPr>
            </w:pPr>
          </w:p>
        </w:tc>
        <w:tc>
          <w:tcPr>
            <w:tcW w:w="1747" w:type="dxa"/>
            <w:shd w:val="clear" w:color="auto" w:fill="auto"/>
            <w:vAlign w:val="center"/>
          </w:tcPr>
          <w:p w14:paraId="5D9EC6E6">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废胶水包装桶</w:t>
            </w:r>
          </w:p>
        </w:tc>
        <w:tc>
          <w:tcPr>
            <w:tcW w:w="1650" w:type="dxa"/>
            <w:tcBorders>
              <w:top w:val="single" w:color="auto" w:sz="4" w:space="0"/>
              <w:bottom w:val="single" w:color="auto" w:sz="4" w:space="0"/>
            </w:tcBorders>
            <w:shd w:val="clear" w:color="auto" w:fill="auto"/>
            <w:vAlign w:val="center"/>
          </w:tcPr>
          <w:p w14:paraId="26723161">
            <w:pPr>
              <w:spacing w:line="240" w:lineRule="auto"/>
              <w:ind w:firstLine="0" w:firstLineChars="0"/>
              <w:jc w:val="center"/>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w:t>
            </w:r>
          </w:p>
        </w:tc>
        <w:tc>
          <w:tcPr>
            <w:tcW w:w="1786" w:type="dxa"/>
            <w:tcBorders>
              <w:top w:val="single" w:color="auto" w:sz="4" w:space="0"/>
              <w:bottom w:val="single" w:color="auto" w:sz="4" w:space="0"/>
            </w:tcBorders>
            <w:shd w:val="clear" w:color="auto" w:fill="auto"/>
            <w:vAlign w:val="center"/>
          </w:tcPr>
          <w:p w14:paraId="7D5242D6">
            <w:pPr>
              <w:spacing w:line="240" w:lineRule="auto"/>
              <w:ind w:firstLine="0" w:firstLineChars="0"/>
              <w:jc w:val="center"/>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w:t>
            </w:r>
          </w:p>
        </w:tc>
        <w:tc>
          <w:tcPr>
            <w:tcW w:w="1787" w:type="dxa"/>
            <w:shd w:val="clear" w:color="auto" w:fill="auto"/>
            <w:vAlign w:val="center"/>
          </w:tcPr>
          <w:p w14:paraId="0B9E45F3">
            <w:pPr>
              <w:spacing w:line="240" w:lineRule="auto"/>
              <w:ind w:firstLine="0" w:firstLineChars="0"/>
              <w:jc w:val="center"/>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w:t>
            </w:r>
          </w:p>
        </w:tc>
        <w:tc>
          <w:tcPr>
            <w:tcW w:w="1650" w:type="dxa"/>
            <w:shd w:val="clear" w:color="auto" w:fill="auto"/>
            <w:vAlign w:val="center"/>
          </w:tcPr>
          <w:p w14:paraId="3F1E046F">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eastAsia" w:ascii="Times New Roman" w:hAnsi="Times New Roman" w:cs="Times New Roman"/>
                <w:i/>
                <w:iCs/>
                <w:snapToGrid w:val="0"/>
                <w:color w:val="auto"/>
                <w:sz w:val="24"/>
                <w:szCs w:val="24"/>
                <w:lang w:val="en-US" w:eastAsia="zh-CN"/>
              </w:rPr>
              <w:t>4.895</w:t>
            </w:r>
          </w:p>
        </w:tc>
        <w:tc>
          <w:tcPr>
            <w:tcW w:w="1787" w:type="dxa"/>
            <w:shd w:val="clear" w:color="auto" w:fill="auto"/>
            <w:vAlign w:val="center"/>
          </w:tcPr>
          <w:p w14:paraId="41B13286">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w:t>
            </w:r>
          </w:p>
        </w:tc>
        <w:tc>
          <w:tcPr>
            <w:tcW w:w="1513" w:type="dxa"/>
            <w:shd w:val="clear" w:color="auto" w:fill="auto"/>
            <w:vAlign w:val="center"/>
          </w:tcPr>
          <w:p w14:paraId="4D0AFA46">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eastAsia" w:ascii="Times New Roman" w:hAnsi="Times New Roman" w:cs="Times New Roman"/>
                <w:i/>
                <w:iCs/>
                <w:snapToGrid w:val="0"/>
                <w:color w:val="auto"/>
                <w:sz w:val="24"/>
                <w:szCs w:val="24"/>
                <w:lang w:val="en-US" w:eastAsia="zh-CN"/>
              </w:rPr>
              <w:t>4.895</w:t>
            </w:r>
          </w:p>
        </w:tc>
        <w:tc>
          <w:tcPr>
            <w:tcW w:w="1414" w:type="dxa"/>
            <w:shd w:val="clear" w:color="auto" w:fill="auto"/>
            <w:vAlign w:val="center"/>
          </w:tcPr>
          <w:p w14:paraId="325C4C84">
            <w:pPr>
              <w:pStyle w:val="48"/>
              <w:spacing w:line="240" w:lineRule="auto"/>
              <w:ind w:firstLine="0" w:firstLineChars="0"/>
              <w:rPr>
                <w:rFonts w:hint="default" w:ascii="Times New Roman" w:hAnsi="Times New Roman" w:eastAsia="仿宋" w:cs="Times New Roman"/>
                <w:i/>
                <w:iCs/>
                <w:color w:val="auto"/>
                <w:kern w:val="2"/>
                <w:sz w:val="24"/>
                <w:szCs w:val="18"/>
                <w:lang w:val="en-US" w:eastAsia="zh-CN" w:bidi="ar-SA"/>
              </w:rPr>
            </w:pPr>
            <w:r>
              <w:rPr>
                <w:rFonts w:hint="default" w:ascii="Times New Roman" w:hAnsi="Times New Roman" w:cs="Times New Roman"/>
                <w:i/>
                <w:iCs/>
                <w:color w:val="auto"/>
                <w:sz w:val="24"/>
                <w:szCs w:val="18"/>
              </w:rPr>
              <w:t>+</w:t>
            </w:r>
            <w:r>
              <w:rPr>
                <w:rFonts w:hint="eastAsia" w:ascii="Times New Roman" w:hAnsi="Times New Roman" w:cs="Times New Roman"/>
                <w:i/>
                <w:iCs/>
                <w:snapToGrid w:val="0"/>
                <w:color w:val="auto"/>
                <w:sz w:val="24"/>
                <w:szCs w:val="24"/>
                <w:lang w:val="en-US" w:eastAsia="zh-CN"/>
              </w:rPr>
              <w:t>4.895</w:t>
            </w:r>
          </w:p>
        </w:tc>
      </w:tr>
      <w:tr w14:paraId="2E3F5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408" w:type="dxa"/>
            <w:vMerge w:val="continue"/>
            <w:tcBorders>
              <w:left w:val="single" w:color="auto" w:sz="8" w:space="0"/>
            </w:tcBorders>
            <w:vAlign w:val="center"/>
          </w:tcPr>
          <w:p w14:paraId="2CC5A506">
            <w:pPr>
              <w:pStyle w:val="48"/>
              <w:spacing w:line="240" w:lineRule="auto"/>
              <w:rPr>
                <w:rFonts w:hint="default" w:ascii="Times New Roman" w:hAnsi="Times New Roman" w:cs="Times New Roman"/>
                <w:i/>
                <w:iCs/>
                <w:snapToGrid w:val="0"/>
                <w:color w:val="auto"/>
                <w:szCs w:val="18"/>
              </w:rPr>
            </w:pPr>
          </w:p>
        </w:tc>
        <w:tc>
          <w:tcPr>
            <w:tcW w:w="1747" w:type="dxa"/>
            <w:shd w:val="clear" w:color="auto" w:fill="auto"/>
            <w:vAlign w:val="center"/>
          </w:tcPr>
          <w:p w14:paraId="15C8FE04">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eastAsia" w:ascii="Times New Roman" w:hAnsi="Times New Roman" w:cs="Times New Roman"/>
                <w:i/>
                <w:iCs/>
                <w:snapToGrid w:val="0"/>
                <w:color w:val="auto"/>
                <w:sz w:val="24"/>
                <w:szCs w:val="18"/>
                <w:lang w:eastAsia="zh-CN"/>
              </w:rPr>
              <w:t>废抹布</w:t>
            </w:r>
          </w:p>
        </w:tc>
        <w:tc>
          <w:tcPr>
            <w:tcW w:w="1650" w:type="dxa"/>
            <w:tcBorders>
              <w:top w:val="single" w:color="auto" w:sz="4" w:space="0"/>
              <w:bottom w:val="single" w:color="auto" w:sz="4" w:space="0"/>
            </w:tcBorders>
            <w:shd w:val="clear" w:color="auto" w:fill="auto"/>
            <w:vAlign w:val="center"/>
          </w:tcPr>
          <w:p w14:paraId="7F34FC52">
            <w:pPr>
              <w:spacing w:line="240" w:lineRule="auto"/>
              <w:ind w:firstLine="0" w:firstLineChars="0"/>
              <w:jc w:val="center"/>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w:t>
            </w:r>
          </w:p>
        </w:tc>
        <w:tc>
          <w:tcPr>
            <w:tcW w:w="1786" w:type="dxa"/>
            <w:tcBorders>
              <w:top w:val="single" w:color="auto" w:sz="4" w:space="0"/>
              <w:bottom w:val="single" w:color="auto" w:sz="4" w:space="0"/>
            </w:tcBorders>
            <w:shd w:val="clear" w:color="auto" w:fill="auto"/>
            <w:vAlign w:val="center"/>
          </w:tcPr>
          <w:p w14:paraId="3D682F2C">
            <w:pPr>
              <w:spacing w:line="240" w:lineRule="auto"/>
              <w:ind w:firstLine="0" w:firstLineChars="0"/>
              <w:jc w:val="center"/>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w:t>
            </w:r>
          </w:p>
        </w:tc>
        <w:tc>
          <w:tcPr>
            <w:tcW w:w="1787" w:type="dxa"/>
            <w:shd w:val="clear" w:color="auto" w:fill="auto"/>
            <w:vAlign w:val="center"/>
          </w:tcPr>
          <w:p w14:paraId="74EBEE26">
            <w:pPr>
              <w:spacing w:line="240" w:lineRule="auto"/>
              <w:ind w:firstLine="0" w:firstLineChars="0"/>
              <w:jc w:val="center"/>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w:t>
            </w:r>
          </w:p>
        </w:tc>
        <w:tc>
          <w:tcPr>
            <w:tcW w:w="1650" w:type="dxa"/>
            <w:shd w:val="clear" w:color="auto" w:fill="auto"/>
            <w:vAlign w:val="center"/>
          </w:tcPr>
          <w:p w14:paraId="29185B6F">
            <w:pPr>
              <w:pStyle w:val="48"/>
              <w:spacing w:line="240" w:lineRule="auto"/>
              <w:ind w:firstLine="0" w:firstLineChars="0"/>
              <w:rPr>
                <w:rFonts w:hint="eastAsia" w:ascii="Times New Roman" w:hAnsi="Times New Roman" w:eastAsia="仿宋" w:cs="Times New Roman"/>
                <w:i/>
                <w:iCs/>
                <w:snapToGrid w:val="0"/>
                <w:color w:val="auto"/>
                <w:kern w:val="2"/>
                <w:sz w:val="24"/>
                <w:szCs w:val="24"/>
                <w:lang w:val="en-US" w:eastAsia="zh-CN" w:bidi="ar-SA"/>
              </w:rPr>
            </w:pPr>
            <w:r>
              <w:rPr>
                <w:rFonts w:hint="eastAsia" w:ascii="Times New Roman" w:hAnsi="Times New Roman" w:cs="Times New Roman"/>
                <w:i/>
                <w:iCs/>
                <w:snapToGrid w:val="0"/>
                <w:color w:val="auto"/>
                <w:sz w:val="24"/>
                <w:szCs w:val="24"/>
                <w:lang w:val="en-US" w:eastAsia="zh-CN"/>
              </w:rPr>
              <w:t>0.1</w:t>
            </w:r>
          </w:p>
        </w:tc>
        <w:tc>
          <w:tcPr>
            <w:tcW w:w="1787" w:type="dxa"/>
            <w:shd w:val="clear" w:color="auto" w:fill="auto"/>
            <w:vAlign w:val="center"/>
          </w:tcPr>
          <w:p w14:paraId="13ADDFEA">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w:t>
            </w:r>
          </w:p>
        </w:tc>
        <w:tc>
          <w:tcPr>
            <w:tcW w:w="1513" w:type="dxa"/>
            <w:shd w:val="clear" w:color="auto" w:fill="auto"/>
            <w:vAlign w:val="center"/>
          </w:tcPr>
          <w:p w14:paraId="3E1819FC">
            <w:pPr>
              <w:pStyle w:val="48"/>
              <w:spacing w:line="240" w:lineRule="auto"/>
              <w:ind w:firstLine="0" w:firstLineChars="0"/>
              <w:rPr>
                <w:rFonts w:hint="eastAsia" w:ascii="Times New Roman" w:hAnsi="Times New Roman" w:eastAsia="仿宋" w:cs="Times New Roman"/>
                <w:i/>
                <w:iCs/>
                <w:snapToGrid w:val="0"/>
                <w:color w:val="auto"/>
                <w:kern w:val="2"/>
                <w:sz w:val="24"/>
                <w:szCs w:val="24"/>
                <w:lang w:val="en-US" w:eastAsia="zh-CN" w:bidi="ar-SA"/>
              </w:rPr>
            </w:pPr>
            <w:r>
              <w:rPr>
                <w:rFonts w:hint="eastAsia" w:ascii="Times New Roman" w:hAnsi="Times New Roman" w:cs="Times New Roman"/>
                <w:i/>
                <w:iCs/>
                <w:snapToGrid w:val="0"/>
                <w:color w:val="auto"/>
                <w:sz w:val="24"/>
                <w:szCs w:val="24"/>
                <w:lang w:val="en-US" w:eastAsia="zh-CN"/>
              </w:rPr>
              <w:t>0.1</w:t>
            </w:r>
          </w:p>
        </w:tc>
        <w:tc>
          <w:tcPr>
            <w:tcW w:w="1414" w:type="dxa"/>
            <w:shd w:val="clear" w:color="auto" w:fill="auto"/>
            <w:vAlign w:val="center"/>
          </w:tcPr>
          <w:p w14:paraId="055D8230">
            <w:pPr>
              <w:pStyle w:val="48"/>
              <w:spacing w:line="240" w:lineRule="auto"/>
              <w:ind w:firstLine="0" w:firstLineChars="0"/>
              <w:rPr>
                <w:rFonts w:hint="default" w:ascii="Times New Roman" w:hAnsi="Times New Roman" w:eastAsia="仿宋" w:cs="Times New Roman"/>
                <w:i/>
                <w:iCs/>
                <w:color w:val="auto"/>
                <w:kern w:val="2"/>
                <w:sz w:val="24"/>
                <w:szCs w:val="18"/>
                <w:lang w:val="en-US" w:eastAsia="zh-CN" w:bidi="ar-SA"/>
              </w:rPr>
            </w:pPr>
            <w:r>
              <w:rPr>
                <w:rFonts w:hint="eastAsia" w:ascii="Times New Roman" w:hAnsi="Times New Roman" w:cs="Times New Roman"/>
                <w:i/>
                <w:iCs/>
                <w:color w:val="auto"/>
                <w:sz w:val="24"/>
                <w:szCs w:val="18"/>
                <w:lang w:val="en-US" w:eastAsia="zh-CN"/>
              </w:rPr>
              <w:t>+0.1</w:t>
            </w:r>
          </w:p>
        </w:tc>
      </w:tr>
      <w:tr w14:paraId="379A33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408" w:type="dxa"/>
            <w:tcBorders>
              <w:left w:val="single" w:color="auto" w:sz="8" w:space="0"/>
            </w:tcBorders>
          </w:tcPr>
          <w:p w14:paraId="477D055D">
            <w:pPr>
              <w:pStyle w:val="48"/>
              <w:spacing w:line="240" w:lineRule="auto"/>
              <w:rPr>
                <w:rFonts w:hint="default" w:ascii="Times New Roman" w:hAnsi="Times New Roman" w:eastAsia="仿宋" w:cs="Times New Roman"/>
                <w:i/>
                <w:iCs/>
                <w:snapToGrid w:val="0"/>
                <w:color w:val="auto"/>
                <w:szCs w:val="18"/>
                <w:lang w:eastAsia="zh-CN"/>
              </w:rPr>
            </w:pPr>
            <w:r>
              <w:rPr>
                <w:rFonts w:hint="default" w:ascii="Times New Roman" w:hAnsi="Times New Roman" w:cs="Times New Roman"/>
                <w:i/>
                <w:iCs/>
                <w:snapToGrid w:val="0"/>
                <w:color w:val="auto"/>
                <w:sz w:val="24"/>
                <w:szCs w:val="24"/>
                <w:lang w:eastAsia="zh-CN"/>
              </w:rPr>
              <w:t>生活垃圾</w:t>
            </w:r>
          </w:p>
        </w:tc>
        <w:tc>
          <w:tcPr>
            <w:tcW w:w="0" w:type="auto"/>
            <w:shd w:val="clear" w:color="auto" w:fill="auto"/>
            <w:vAlign w:val="center"/>
          </w:tcPr>
          <w:p w14:paraId="49060AE1">
            <w:pPr>
              <w:pStyle w:val="48"/>
              <w:spacing w:line="240" w:lineRule="auto"/>
              <w:ind w:firstLine="0" w:firstLineChars="0"/>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24"/>
                <w:lang w:eastAsia="zh-CN"/>
              </w:rPr>
              <w:t>生活垃圾</w:t>
            </w:r>
          </w:p>
        </w:tc>
        <w:tc>
          <w:tcPr>
            <w:tcW w:w="0" w:type="auto"/>
            <w:shd w:val="clear" w:color="auto" w:fill="auto"/>
            <w:vAlign w:val="center"/>
          </w:tcPr>
          <w:p w14:paraId="3C9E05B5">
            <w:pPr>
              <w:spacing w:line="240" w:lineRule="auto"/>
              <w:ind w:firstLine="0" w:firstLineChars="0"/>
              <w:jc w:val="center"/>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0" w:type="auto"/>
            <w:shd w:val="clear" w:color="auto" w:fill="auto"/>
            <w:vAlign w:val="center"/>
          </w:tcPr>
          <w:p w14:paraId="6A2599C1">
            <w:pPr>
              <w:spacing w:line="240" w:lineRule="auto"/>
              <w:ind w:firstLine="0" w:firstLineChars="0"/>
              <w:jc w:val="center"/>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0" w:type="auto"/>
            <w:shd w:val="clear" w:color="auto" w:fill="auto"/>
            <w:vAlign w:val="center"/>
          </w:tcPr>
          <w:p w14:paraId="4C12648F">
            <w:pPr>
              <w:spacing w:line="240" w:lineRule="auto"/>
              <w:ind w:firstLine="0" w:firstLineChars="0"/>
              <w:jc w:val="center"/>
              <w:rPr>
                <w:rFonts w:hint="default" w:ascii="Times New Roman" w:hAnsi="Times New Roman" w:cs="Times New Roman"/>
                <w:i/>
                <w:iCs/>
                <w:snapToGrid w:val="0"/>
                <w:color w:val="auto"/>
                <w:sz w:val="24"/>
                <w:szCs w:val="18"/>
              </w:rPr>
            </w:pPr>
            <w:r>
              <w:rPr>
                <w:rFonts w:hint="default" w:ascii="Times New Roman" w:hAnsi="Times New Roman" w:cs="Times New Roman"/>
                <w:i/>
                <w:iCs/>
                <w:snapToGrid w:val="0"/>
                <w:color w:val="auto"/>
                <w:sz w:val="24"/>
                <w:szCs w:val="18"/>
              </w:rPr>
              <w:t>/</w:t>
            </w:r>
          </w:p>
        </w:tc>
        <w:tc>
          <w:tcPr>
            <w:tcW w:w="0" w:type="auto"/>
            <w:shd w:val="clear" w:color="auto" w:fill="auto"/>
            <w:vAlign w:val="center"/>
          </w:tcPr>
          <w:p w14:paraId="58C1D7CD">
            <w:pPr>
              <w:pStyle w:val="48"/>
              <w:spacing w:line="240" w:lineRule="auto"/>
              <w:ind w:firstLine="0" w:firstLineChars="0"/>
              <w:rPr>
                <w:rFonts w:hint="default" w:ascii="Times New Roman" w:hAnsi="Times New Roman" w:eastAsia="仿宋" w:cs="Times New Roman"/>
                <w:i/>
                <w:iCs/>
                <w:snapToGrid w:val="0"/>
                <w:color w:val="auto"/>
                <w:sz w:val="24"/>
                <w:szCs w:val="18"/>
                <w:lang w:val="en-US" w:eastAsia="zh-CN"/>
              </w:rPr>
            </w:pPr>
            <w:r>
              <w:rPr>
                <w:rFonts w:hint="default" w:ascii="Times New Roman" w:hAnsi="Times New Roman" w:cs="Times New Roman"/>
                <w:i/>
                <w:iCs/>
                <w:snapToGrid w:val="0"/>
                <w:color w:val="auto"/>
                <w:sz w:val="24"/>
                <w:szCs w:val="18"/>
                <w:lang w:val="en-US" w:eastAsia="zh-CN"/>
              </w:rPr>
              <w:t>3.</w:t>
            </w:r>
            <w:r>
              <w:rPr>
                <w:rFonts w:hint="eastAsia" w:ascii="Times New Roman" w:hAnsi="Times New Roman" w:cs="Times New Roman"/>
                <w:i/>
                <w:iCs/>
                <w:snapToGrid w:val="0"/>
                <w:color w:val="auto"/>
                <w:sz w:val="24"/>
                <w:szCs w:val="18"/>
                <w:lang w:val="en-US" w:eastAsia="zh-CN"/>
              </w:rPr>
              <w:t>7</w:t>
            </w:r>
            <w:r>
              <w:rPr>
                <w:rFonts w:hint="default" w:ascii="Times New Roman" w:hAnsi="Times New Roman" w:cs="Times New Roman"/>
                <w:i/>
                <w:iCs/>
                <w:snapToGrid w:val="0"/>
                <w:color w:val="auto"/>
                <w:sz w:val="24"/>
                <w:szCs w:val="18"/>
                <w:lang w:val="en-US" w:eastAsia="zh-CN"/>
              </w:rPr>
              <w:t>5</w:t>
            </w:r>
          </w:p>
        </w:tc>
        <w:tc>
          <w:tcPr>
            <w:tcW w:w="0" w:type="auto"/>
            <w:shd w:val="clear" w:color="auto" w:fill="auto"/>
            <w:vAlign w:val="center"/>
          </w:tcPr>
          <w:p w14:paraId="4477863C">
            <w:pPr>
              <w:pStyle w:val="48"/>
              <w:spacing w:line="240" w:lineRule="auto"/>
              <w:ind w:firstLine="0" w:firstLineChars="0"/>
              <w:rPr>
                <w:rFonts w:hint="default" w:ascii="Times New Roman" w:hAnsi="Times New Roman" w:eastAsia="仿宋" w:cs="Times New Roman"/>
                <w:i/>
                <w:iCs/>
                <w:snapToGrid w:val="0"/>
                <w:color w:val="auto"/>
                <w:kern w:val="2"/>
                <w:sz w:val="24"/>
                <w:szCs w:val="18"/>
                <w:lang w:val="en-US" w:eastAsia="zh-CN" w:bidi="ar-SA"/>
              </w:rPr>
            </w:pPr>
            <w:r>
              <w:rPr>
                <w:rFonts w:hint="default" w:ascii="Times New Roman" w:hAnsi="Times New Roman" w:cs="Times New Roman"/>
                <w:i/>
                <w:iCs/>
                <w:snapToGrid w:val="0"/>
                <w:color w:val="auto"/>
                <w:sz w:val="24"/>
                <w:szCs w:val="18"/>
              </w:rPr>
              <w:t>/</w:t>
            </w:r>
          </w:p>
        </w:tc>
        <w:tc>
          <w:tcPr>
            <w:tcW w:w="0" w:type="auto"/>
            <w:shd w:val="clear" w:color="auto" w:fill="auto"/>
            <w:vAlign w:val="center"/>
          </w:tcPr>
          <w:p w14:paraId="16067E62">
            <w:pPr>
              <w:pStyle w:val="48"/>
              <w:spacing w:line="240" w:lineRule="auto"/>
              <w:ind w:firstLine="0" w:firstLineChars="0"/>
              <w:rPr>
                <w:rFonts w:hint="default" w:ascii="Times New Roman" w:hAnsi="Times New Roman" w:eastAsia="仿宋" w:cs="Times New Roman"/>
                <w:i/>
                <w:iCs/>
                <w:snapToGrid w:val="0"/>
                <w:color w:val="auto"/>
                <w:sz w:val="24"/>
                <w:szCs w:val="18"/>
                <w:lang w:val="en-US" w:eastAsia="zh-CN"/>
              </w:rPr>
            </w:pPr>
            <w:r>
              <w:rPr>
                <w:rFonts w:hint="default" w:ascii="Times New Roman" w:hAnsi="Times New Roman" w:cs="Times New Roman"/>
                <w:i/>
                <w:iCs/>
                <w:snapToGrid w:val="0"/>
                <w:color w:val="auto"/>
                <w:sz w:val="24"/>
                <w:szCs w:val="18"/>
                <w:lang w:val="en-US" w:eastAsia="zh-CN"/>
              </w:rPr>
              <w:t>3.</w:t>
            </w:r>
            <w:r>
              <w:rPr>
                <w:rFonts w:hint="eastAsia" w:ascii="Times New Roman" w:hAnsi="Times New Roman" w:cs="Times New Roman"/>
                <w:i/>
                <w:iCs/>
                <w:snapToGrid w:val="0"/>
                <w:color w:val="auto"/>
                <w:sz w:val="24"/>
                <w:szCs w:val="18"/>
                <w:lang w:val="en-US" w:eastAsia="zh-CN"/>
              </w:rPr>
              <w:t>7</w:t>
            </w:r>
            <w:r>
              <w:rPr>
                <w:rFonts w:hint="default" w:ascii="Times New Roman" w:hAnsi="Times New Roman" w:cs="Times New Roman"/>
                <w:i/>
                <w:iCs/>
                <w:snapToGrid w:val="0"/>
                <w:color w:val="auto"/>
                <w:sz w:val="24"/>
                <w:szCs w:val="18"/>
                <w:lang w:val="en-US" w:eastAsia="zh-CN"/>
              </w:rPr>
              <w:t>5</w:t>
            </w:r>
          </w:p>
        </w:tc>
        <w:tc>
          <w:tcPr>
            <w:tcW w:w="0" w:type="auto"/>
            <w:shd w:val="clear" w:color="auto" w:fill="auto"/>
            <w:vAlign w:val="center"/>
          </w:tcPr>
          <w:p w14:paraId="113EF8CC">
            <w:pPr>
              <w:pStyle w:val="48"/>
              <w:spacing w:line="240" w:lineRule="auto"/>
              <w:ind w:firstLine="0" w:firstLineChars="0"/>
              <w:rPr>
                <w:rFonts w:hint="default" w:ascii="Times New Roman" w:hAnsi="Times New Roman" w:eastAsia="仿宋" w:cs="Times New Roman"/>
                <w:i/>
                <w:iCs/>
                <w:color w:val="auto"/>
                <w:sz w:val="24"/>
                <w:szCs w:val="18"/>
                <w:lang w:val="en-US" w:eastAsia="zh-CN"/>
              </w:rPr>
            </w:pPr>
            <w:r>
              <w:rPr>
                <w:rFonts w:hint="default" w:ascii="Times New Roman" w:hAnsi="Times New Roman" w:cs="Times New Roman"/>
                <w:i/>
                <w:iCs/>
                <w:color w:val="auto"/>
                <w:sz w:val="24"/>
                <w:szCs w:val="18"/>
                <w:lang w:val="en-US" w:eastAsia="zh-CN"/>
              </w:rPr>
              <w:t>+</w:t>
            </w:r>
            <w:r>
              <w:rPr>
                <w:rFonts w:hint="eastAsia" w:ascii="Times New Roman" w:hAnsi="Times New Roman" w:cs="Times New Roman"/>
                <w:i/>
                <w:iCs/>
                <w:color w:val="auto"/>
                <w:sz w:val="24"/>
                <w:szCs w:val="18"/>
                <w:lang w:val="en-US" w:eastAsia="zh-CN"/>
              </w:rPr>
              <w:t>3.75</w:t>
            </w:r>
          </w:p>
        </w:tc>
      </w:tr>
    </w:tbl>
    <w:p w14:paraId="357FD347">
      <w:pPr>
        <w:pStyle w:val="64"/>
        <w:spacing w:before="192" w:beforeLines="80" w:after="24"/>
        <w:jc w:val="left"/>
        <w:rPr>
          <w:rFonts w:ascii="Times New Roman" w:eastAsia="仿宋"/>
          <w:snapToGrid w:val="0"/>
          <w:color w:val="auto"/>
          <w:spacing w:val="-6"/>
          <w:kern w:val="21"/>
          <w:szCs w:val="21"/>
        </w:rPr>
      </w:pPr>
      <w:r>
        <w:rPr>
          <w:rFonts w:ascii="Times New Roman" w:hAnsi="仿宋" w:eastAsia="仿宋"/>
          <w:snapToGrid w:val="0"/>
          <w:color w:val="auto"/>
          <w:kern w:val="21"/>
          <w:szCs w:val="21"/>
        </w:rPr>
        <w:t>注：</w:t>
      </w:r>
      <w:r>
        <w:rPr>
          <w:rFonts w:ascii="Times New Roman" w:eastAsia="仿宋"/>
          <w:snapToGrid w:val="0"/>
          <w:color w:val="auto"/>
          <w:spacing w:val="-16"/>
          <w:kern w:val="21"/>
          <w:szCs w:val="21"/>
        </w:rPr>
        <w:fldChar w:fldCharType="begin"/>
      </w:r>
      <w:r>
        <w:rPr>
          <w:rFonts w:ascii="Times New Roman" w:eastAsia="仿宋"/>
          <w:snapToGrid w:val="0"/>
          <w:color w:val="auto"/>
          <w:spacing w:val="-16"/>
          <w:kern w:val="21"/>
          <w:szCs w:val="21"/>
        </w:rPr>
        <w:instrText xml:space="preserve"> = 6 \* GB3 \* MERGEFORMAT </w:instrText>
      </w:r>
      <w:r>
        <w:rPr>
          <w:rFonts w:ascii="Times New Roman" w:eastAsia="仿宋"/>
          <w:snapToGrid w:val="0"/>
          <w:color w:val="auto"/>
          <w:spacing w:val="-16"/>
          <w:kern w:val="21"/>
          <w:szCs w:val="21"/>
        </w:rPr>
        <w:fldChar w:fldCharType="separate"/>
      </w:r>
      <w:r>
        <w:rPr>
          <w:rFonts w:ascii="Times New Roman" w:hAnsi="仿宋" w:eastAsia="仿宋"/>
          <w:color w:val="auto"/>
          <w:szCs w:val="21"/>
        </w:rPr>
        <w:t>⑥</w:t>
      </w:r>
      <w:r>
        <w:rPr>
          <w:rFonts w:ascii="Times New Roman" w:eastAsia="仿宋"/>
          <w:snapToGrid w:val="0"/>
          <w:color w:val="auto"/>
          <w:spacing w:val="-16"/>
          <w:kern w:val="21"/>
          <w:szCs w:val="21"/>
        </w:rPr>
        <w:fldChar w:fldCharType="end"/>
      </w:r>
      <w:r>
        <w:rPr>
          <w:rFonts w:ascii="Times New Roman" w:eastAsia="仿宋"/>
          <w:snapToGrid w:val="0"/>
          <w:color w:val="auto"/>
          <w:spacing w:val="-16"/>
          <w:kern w:val="21"/>
          <w:szCs w:val="21"/>
        </w:rPr>
        <w:t>=</w:t>
      </w:r>
      <w:r>
        <w:rPr>
          <w:rFonts w:ascii="Times New Roman" w:eastAsia="仿宋"/>
          <w:snapToGrid w:val="0"/>
          <w:color w:val="auto"/>
          <w:spacing w:val="-6"/>
          <w:kern w:val="21"/>
          <w:szCs w:val="21"/>
        </w:rPr>
        <w:fldChar w:fldCharType="begin"/>
      </w:r>
      <w:r>
        <w:rPr>
          <w:rFonts w:ascii="Times New Roman" w:eastAsia="仿宋"/>
          <w:snapToGrid w:val="0"/>
          <w:color w:val="auto"/>
          <w:spacing w:val="-6"/>
          <w:kern w:val="21"/>
          <w:szCs w:val="21"/>
        </w:rPr>
        <w:instrText xml:space="preserve"> = 1 \* GB3 \* MERGEFORMAT </w:instrText>
      </w:r>
      <w:r>
        <w:rPr>
          <w:rFonts w:ascii="Times New Roman" w:eastAsia="仿宋"/>
          <w:snapToGrid w:val="0"/>
          <w:color w:val="auto"/>
          <w:spacing w:val="-6"/>
          <w:kern w:val="21"/>
          <w:szCs w:val="21"/>
        </w:rPr>
        <w:fldChar w:fldCharType="separate"/>
      </w:r>
      <w:r>
        <w:rPr>
          <w:rFonts w:ascii="Times New Roman" w:hAnsi="仿宋" w:eastAsia="仿宋"/>
          <w:color w:val="auto"/>
          <w:szCs w:val="21"/>
        </w:rPr>
        <w:t>①</w:t>
      </w:r>
      <w:r>
        <w:rPr>
          <w:rFonts w:ascii="Times New Roman" w:eastAsia="仿宋"/>
          <w:snapToGrid w:val="0"/>
          <w:color w:val="auto"/>
          <w:spacing w:val="-6"/>
          <w:kern w:val="21"/>
          <w:szCs w:val="21"/>
        </w:rPr>
        <w:fldChar w:fldCharType="end"/>
      </w:r>
      <w:r>
        <w:rPr>
          <w:rFonts w:ascii="Times New Roman" w:eastAsia="仿宋"/>
          <w:snapToGrid w:val="0"/>
          <w:color w:val="auto"/>
          <w:spacing w:val="-6"/>
          <w:kern w:val="21"/>
          <w:szCs w:val="21"/>
        </w:rPr>
        <w:t>+</w:t>
      </w:r>
      <w:r>
        <w:rPr>
          <w:rFonts w:ascii="Times New Roman" w:eastAsia="仿宋"/>
          <w:snapToGrid w:val="0"/>
          <w:color w:val="auto"/>
          <w:spacing w:val="-6"/>
          <w:kern w:val="21"/>
          <w:szCs w:val="21"/>
        </w:rPr>
        <w:fldChar w:fldCharType="begin"/>
      </w:r>
      <w:r>
        <w:rPr>
          <w:rFonts w:ascii="Times New Roman" w:eastAsia="仿宋"/>
          <w:snapToGrid w:val="0"/>
          <w:color w:val="auto"/>
          <w:spacing w:val="-6"/>
          <w:kern w:val="21"/>
          <w:szCs w:val="21"/>
        </w:rPr>
        <w:instrText xml:space="preserve"> = 3 \* GB3 \* MERGEFORMAT </w:instrText>
      </w:r>
      <w:r>
        <w:rPr>
          <w:rFonts w:ascii="Times New Roman" w:eastAsia="仿宋"/>
          <w:snapToGrid w:val="0"/>
          <w:color w:val="auto"/>
          <w:spacing w:val="-6"/>
          <w:kern w:val="21"/>
          <w:szCs w:val="21"/>
        </w:rPr>
        <w:fldChar w:fldCharType="separate"/>
      </w:r>
      <w:r>
        <w:rPr>
          <w:rFonts w:ascii="Times New Roman" w:hAnsi="仿宋" w:eastAsia="仿宋"/>
          <w:color w:val="auto"/>
          <w:szCs w:val="21"/>
        </w:rPr>
        <w:t>③</w:t>
      </w:r>
      <w:r>
        <w:rPr>
          <w:rFonts w:ascii="Times New Roman" w:eastAsia="仿宋"/>
          <w:snapToGrid w:val="0"/>
          <w:color w:val="auto"/>
          <w:spacing w:val="-6"/>
          <w:kern w:val="21"/>
          <w:szCs w:val="21"/>
        </w:rPr>
        <w:fldChar w:fldCharType="end"/>
      </w:r>
      <w:r>
        <w:rPr>
          <w:rFonts w:ascii="Times New Roman" w:eastAsia="仿宋"/>
          <w:snapToGrid w:val="0"/>
          <w:color w:val="auto"/>
          <w:spacing w:val="-6"/>
          <w:kern w:val="21"/>
          <w:szCs w:val="21"/>
        </w:rPr>
        <w:t>+</w:t>
      </w:r>
      <w:r>
        <w:rPr>
          <w:rFonts w:ascii="Times New Roman" w:eastAsia="仿宋"/>
          <w:snapToGrid w:val="0"/>
          <w:color w:val="auto"/>
          <w:spacing w:val="-6"/>
          <w:kern w:val="21"/>
          <w:szCs w:val="21"/>
        </w:rPr>
        <w:fldChar w:fldCharType="begin"/>
      </w:r>
      <w:r>
        <w:rPr>
          <w:rFonts w:ascii="Times New Roman" w:eastAsia="仿宋"/>
          <w:snapToGrid w:val="0"/>
          <w:color w:val="auto"/>
          <w:spacing w:val="-6"/>
          <w:kern w:val="21"/>
          <w:szCs w:val="21"/>
        </w:rPr>
        <w:instrText xml:space="preserve"> = 4 \* GB3 \* MERGEFORMAT </w:instrText>
      </w:r>
      <w:r>
        <w:rPr>
          <w:rFonts w:ascii="Times New Roman" w:eastAsia="仿宋"/>
          <w:snapToGrid w:val="0"/>
          <w:color w:val="auto"/>
          <w:spacing w:val="-6"/>
          <w:kern w:val="21"/>
          <w:szCs w:val="21"/>
        </w:rPr>
        <w:fldChar w:fldCharType="separate"/>
      </w:r>
      <w:r>
        <w:rPr>
          <w:rFonts w:ascii="Times New Roman" w:hAnsi="仿宋" w:eastAsia="仿宋"/>
          <w:color w:val="auto"/>
          <w:szCs w:val="21"/>
        </w:rPr>
        <w:t>④</w:t>
      </w:r>
      <w:r>
        <w:rPr>
          <w:rFonts w:ascii="Times New Roman" w:eastAsia="仿宋"/>
          <w:snapToGrid w:val="0"/>
          <w:color w:val="auto"/>
          <w:spacing w:val="-6"/>
          <w:kern w:val="21"/>
          <w:szCs w:val="21"/>
        </w:rPr>
        <w:fldChar w:fldCharType="end"/>
      </w:r>
      <w:r>
        <w:rPr>
          <w:rFonts w:ascii="Times New Roman" w:eastAsia="仿宋"/>
          <w:snapToGrid w:val="0"/>
          <w:color w:val="auto"/>
          <w:spacing w:val="-6"/>
          <w:kern w:val="21"/>
          <w:szCs w:val="21"/>
        </w:rPr>
        <w:t>-</w:t>
      </w:r>
      <w:r>
        <w:rPr>
          <w:rFonts w:ascii="Times New Roman" w:eastAsia="仿宋"/>
          <w:snapToGrid w:val="0"/>
          <w:color w:val="auto"/>
          <w:spacing w:val="-16"/>
          <w:kern w:val="21"/>
          <w:szCs w:val="21"/>
        </w:rPr>
        <w:fldChar w:fldCharType="begin"/>
      </w:r>
      <w:r>
        <w:rPr>
          <w:rFonts w:ascii="Times New Roman" w:eastAsia="仿宋"/>
          <w:snapToGrid w:val="0"/>
          <w:color w:val="auto"/>
          <w:spacing w:val="-16"/>
          <w:kern w:val="21"/>
          <w:szCs w:val="21"/>
        </w:rPr>
        <w:instrText xml:space="preserve"> = 5 \* GB3 \* MERGEFORMAT </w:instrText>
      </w:r>
      <w:r>
        <w:rPr>
          <w:rFonts w:ascii="Times New Roman" w:eastAsia="仿宋"/>
          <w:snapToGrid w:val="0"/>
          <w:color w:val="auto"/>
          <w:spacing w:val="-16"/>
          <w:kern w:val="21"/>
          <w:szCs w:val="21"/>
        </w:rPr>
        <w:fldChar w:fldCharType="separate"/>
      </w:r>
      <w:r>
        <w:rPr>
          <w:rFonts w:ascii="Times New Roman" w:hAnsi="仿宋" w:eastAsia="仿宋"/>
          <w:color w:val="auto"/>
          <w:szCs w:val="21"/>
        </w:rPr>
        <w:t>⑤</w:t>
      </w:r>
      <w:r>
        <w:rPr>
          <w:rFonts w:ascii="Times New Roman" w:eastAsia="仿宋"/>
          <w:snapToGrid w:val="0"/>
          <w:color w:val="auto"/>
          <w:spacing w:val="-16"/>
          <w:kern w:val="21"/>
          <w:szCs w:val="21"/>
        </w:rPr>
        <w:fldChar w:fldCharType="end"/>
      </w:r>
      <w:r>
        <w:rPr>
          <w:rFonts w:ascii="Times New Roman" w:hAnsi="仿宋" w:eastAsia="仿宋"/>
          <w:snapToGrid w:val="0"/>
          <w:color w:val="auto"/>
          <w:spacing w:val="-16"/>
          <w:kern w:val="21"/>
          <w:szCs w:val="21"/>
        </w:rPr>
        <w:t>；</w:t>
      </w:r>
      <w:r>
        <w:rPr>
          <w:rFonts w:ascii="Times New Roman" w:eastAsia="仿宋"/>
          <w:snapToGrid w:val="0"/>
          <w:color w:val="auto"/>
          <w:spacing w:val="-6"/>
          <w:kern w:val="21"/>
          <w:szCs w:val="21"/>
        </w:rPr>
        <w:fldChar w:fldCharType="begin"/>
      </w:r>
      <w:r>
        <w:rPr>
          <w:rFonts w:ascii="Times New Roman" w:eastAsia="仿宋"/>
          <w:snapToGrid w:val="0"/>
          <w:color w:val="auto"/>
          <w:spacing w:val="-6"/>
          <w:kern w:val="21"/>
          <w:szCs w:val="21"/>
        </w:rPr>
        <w:instrText xml:space="preserve"> = 7 \* GB3 \* MERGEFORMAT </w:instrText>
      </w:r>
      <w:r>
        <w:rPr>
          <w:rFonts w:ascii="Times New Roman" w:eastAsia="仿宋"/>
          <w:snapToGrid w:val="0"/>
          <w:color w:val="auto"/>
          <w:spacing w:val="-6"/>
          <w:kern w:val="21"/>
          <w:szCs w:val="21"/>
        </w:rPr>
        <w:fldChar w:fldCharType="separate"/>
      </w:r>
      <w:r>
        <w:rPr>
          <w:rFonts w:ascii="Times New Roman" w:hAnsi="仿宋" w:eastAsia="仿宋"/>
          <w:color w:val="auto"/>
          <w:szCs w:val="21"/>
        </w:rPr>
        <w:t>⑦</w:t>
      </w:r>
      <w:r>
        <w:rPr>
          <w:rFonts w:ascii="Times New Roman" w:eastAsia="仿宋"/>
          <w:snapToGrid w:val="0"/>
          <w:color w:val="auto"/>
          <w:spacing w:val="-6"/>
          <w:kern w:val="21"/>
          <w:szCs w:val="21"/>
        </w:rPr>
        <w:fldChar w:fldCharType="end"/>
      </w:r>
      <w:r>
        <w:rPr>
          <w:rFonts w:ascii="Times New Roman" w:eastAsia="仿宋"/>
          <w:snapToGrid w:val="0"/>
          <w:color w:val="auto"/>
          <w:spacing w:val="-6"/>
          <w:kern w:val="21"/>
          <w:szCs w:val="21"/>
        </w:rPr>
        <w:t>=</w:t>
      </w:r>
      <w:r>
        <w:rPr>
          <w:rFonts w:ascii="Times New Roman" w:eastAsia="仿宋"/>
          <w:snapToGrid w:val="0"/>
          <w:color w:val="auto"/>
          <w:spacing w:val="-16"/>
          <w:kern w:val="21"/>
          <w:szCs w:val="21"/>
        </w:rPr>
        <w:fldChar w:fldCharType="begin"/>
      </w:r>
      <w:r>
        <w:rPr>
          <w:rFonts w:ascii="Times New Roman" w:eastAsia="仿宋"/>
          <w:snapToGrid w:val="0"/>
          <w:color w:val="auto"/>
          <w:spacing w:val="-16"/>
          <w:kern w:val="21"/>
          <w:szCs w:val="21"/>
        </w:rPr>
        <w:instrText xml:space="preserve"> = 6 \* GB3 \* MERGEFORMAT </w:instrText>
      </w:r>
      <w:r>
        <w:rPr>
          <w:rFonts w:ascii="Times New Roman" w:eastAsia="仿宋"/>
          <w:snapToGrid w:val="0"/>
          <w:color w:val="auto"/>
          <w:spacing w:val="-16"/>
          <w:kern w:val="21"/>
          <w:szCs w:val="21"/>
        </w:rPr>
        <w:fldChar w:fldCharType="separate"/>
      </w:r>
      <w:r>
        <w:rPr>
          <w:rFonts w:ascii="Times New Roman" w:hAnsi="仿宋" w:eastAsia="仿宋"/>
          <w:color w:val="auto"/>
          <w:szCs w:val="21"/>
        </w:rPr>
        <w:t>⑥</w:t>
      </w:r>
      <w:r>
        <w:rPr>
          <w:rFonts w:ascii="Times New Roman" w:eastAsia="仿宋"/>
          <w:snapToGrid w:val="0"/>
          <w:color w:val="auto"/>
          <w:spacing w:val="-16"/>
          <w:kern w:val="21"/>
          <w:szCs w:val="21"/>
        </w:rPr>
        <w:fldChar w:fldCharType="end"/>
      </w:r>
      <w:r>
        <w:rPr>
          <w:rFonts w:ascii="Times New Roman" w:eastAsia="仿宋"/>
          <w:snapToGrid w:val="0"/>
          <w:color w:val="auto"/>
          <w:spacing w:val="-16"/>
          <w:kern w:val="21"/>
          <w:szCs w:val="21"/>
        </w:rPr>
        <w:t>-</w:t>
      </w:r>
      <w:r>
        <w:rPr>
          <w:rFonts w:ascii="Times New Roman" w:eastAsia="仿宋"/>
          <w:snapToGrid w:val="0"/>
          <w:color w:val="auto"/>
          <w:spacing w:val="-6"/>
          <w:kern w:val="21"/>
          <w:szCs w:val="21"/>
        </w:rPr>
        <w:fldChar w:fldCharType="begin"/>
      </w:r>
      <w:r>
        <w:rPr>
          <w:rFonts w:ascii="Times New Roman" w:eastAsia="仿宋"/>
          <w:snapToGrid w:val="0"/>
          <w:color w:val="auto"/>
          <w:spacing w:val="-6"/>
          <w:kern w:val="21"/>
          <w:szCs w:val="21"/>
        </w:rPr>
        <w:instrText xml:space="preserve"> = 1 \* GB3 \* MERGEFORMAT </w:instrText>
      </w:r>
      <w:r>
        <w:rPr>
          <w:rFonts w:ascii="Times New Roman" w:eastAsia="仿宋"/>
          <w:snapToGrid w:val="0"/>
          <w:color w:val="auto"/>
          <w:spacing w:val="-6"/>
          <w:kern w:val="21"/>
          <w:szCs w:val="21"/>
        </w:rPr>
        <w:fldChar w:fldCharType="separate"/>
      </w:r>
      <w:r>
        <w:rPr>
          <w:rFonts w:ascii="Times New Roman" w:hAnsi="仿宋" w:eastAsia="仿宋"/>
          <w:color w:val="auto"/>
          <w:szCs w:val="21"/>
        </w:rPr>
        <w:t>①</w:t>
      </w:r>
      <w:r>
        <w:rPr>
          <w:rFonts w:ascii="Times New Roman" w:eastAsia="仿宋"/>
          <w:snapToGrid w:val="0"/>
          <w:color w:val="auto"/>
          <w:spacing w:val="-6"/>
          <w:kern w:val="21"/>
          <w:szCs w:val="21"/>
        </w:rPr>
        <w:fldChar w:fldCharType="end"/>
      </w:r>
    </w:p>
    <w:p w14:paraId="32A5C9B7">
      <w:pPr>
        <w:pStyle w:val="64"/>
        <w:spacing w:before="192" w:beforeLines="80" w:after="24"/>
        <w:ind w:firstLine="360"/>
        <w:jc w:val="left"/>
        <w:rPr>
          <w:rFonts w:ascii="仿宋"/>
          <w:snapToGrid w:val="0"/>
          <w:color w:val="auto"/>
          <w:spacing w:val="-6"/>
          <w:kern w:val="21"/>
          <w:sz w:val="18"/>
          <w:szCs w:val="21"/>
        </w:rPr>
      </w:pPr>
    </w:p>
    <w:p w14:paraId="3E3285D6">
      <w:pPr>
        <w:pStyle w:val="64"/>
        <w:spacing w:before="192" w:beforeLines="80" w:after="24"/>
        <w:ind w:firstLine="336"/>
        <w:jc w:val="left"/>
        <w:rPr>
          <w:rFonts w:ascii="仿宋"/>
          <w:snapToGrid w:val="0"/>
          <w:color w:val="auto"/>
          <w:spacing w:val="-6"/>
          <w:kern w:val="21"/>
          <w:sz w:val="18"/>
          <w:szCs w:val="21"/>
        </w:rPr>
        <w:sectPr>
          <w:footerReference r:id="rId9" w:type="default"/>
          <w:pgSz w:w="16838" w:h="11906" w:orient="landscape"/>
          <w:pgMar w:top="1531" w:right="1701" w:bottom="1531" w:left="1701" w:header="851" w:footer="851" w:gutter="0"/>
          <w:cols w:space="720" w:num="1"/>
          <w:docGrid w:linePitch="312" w:charSpace="0"/>
        </w:sectPr>
      </w:pPr>
    </w:p>
    <w:p w14:paraId="6D803A4A">
      <w:pPr>
        <w:pStyle w:val="65"/>
        <w:ind w:left="0" w:leftChars="0" w:firstLine="0" w:firstLineChars="0"/>
      </w:pPr>
      <w:r>
        <w:drawing>
          <wp:inline distT="0" distB="0" distL="114300" distR="114300">
            <wp:extent cx="5754370" cy="7665720"/>
            <wp:effectExtent l="0" t="0" r="17780" b="1143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1"/>
                    <a:stretch>
                      <a:fillRect/>
                    </a:stretch>
                  </pic:blipFill>
                  <pic:spPr>
                    <a:xfrm>
                      <a:off x="0" y="0"/>
                      <a:ext cx="5754370" cy="7665720"/>
                    </a:xfrm>
                    <a:prstGeom prst="rect">
                      <a:avLst/>
                    </a:prstGeom>
                    <a:noFill/>
                    <a:ln>
                      <a:noFill/>
                    </a:ln>
                  </pic:spPr>
                </pic:pic>
              </a:graphicData>
            </a:graphic>
          </wp:inline>
        </w:drawing>
      </w:r>
    </w:p>
    <w:sectPr>
      <w:pgSz w:w="11906" w:h="16838"/>
      <w:pgMar w:top="1701" w:right="1531" w:bottom="1701" w:left="1531" w:header="851" w:footer="850" w:gutter="0"/>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Dutch801 Rm BT">
    <w:panose1 w:val="02020603060505020304"/>
    <w:charset w:val="00"/>
    <w:family w:val="roman"/>
    <w:pitch w:val="default"/>
    <w:sig w:usb0="00000000" w:usb1="00000000" w:usb2="00000000" w:usb3="00000000" w:csb0="00000000" w:csb1="00000000"/>
  </w:font>
  <w:font w:name="方正仿宋_GBK">
    <w:panose1 w:val="02000000000000000000"/>
    <w:charset w:val="86"/>
    <w:family w:val="script"/>
    <w:pitch w:val="default"/>
    <w:sig w:usb0="A00002BF" w:usb1="38CF7CFA" w:usb2="00082016" w:usb3="00000000" w:csb0="00040001"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幼圆">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64C000" w:usb3="00000002" w:csb0="00000001" w:csb1="4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0F46F">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96049">
    <w:pPr>
      <w:pStyle w:val="19"/>
      <w:framePr w:wrap="around" w:vAnchor="text" w:hAnchor="margin" w:xAlign="outside" w:y="1"/>
      <w:ind w:firstLine="560"/>
      <w:rPr>
        <w:rStyle w:val="35"/>
        <w:rFonts w:ascii="宋体" w:hAnsi="宋体"/>
        <w:sz w:val="28"/>
        <w:szCs w:val="28"/>
      </w:rPr>
    </w:pPr>
    <w:r>
      <w:rPr>
        <w:rStyle w:val="35"/>
        <w:rFonts w:hint="eastAsia" w:ascii="宋体" w:hAnsi="宋体"/>
        <w:sz w:val="28"/>
        <w:szCs w:val="28"/>
      </w:rPr>
      <w:t>—</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71</w:t>
    </w:r>
    <w:r>
      <w:rPr>
        <w:rFonts w:ascii="宋体" w:hAnsi="宋体"/>
        <w:sz w:val="26"/>
        <w:szCs w:val="26"/>
      </w:rPr>
      <w:fldChar w:fldCharType="end"/>
    </w:r>
    <w:r>
      <w:rPr>
        <w:rStyle w:val="35"/>
        <w:rFonts w:hint="eastAsia" w:ascii="宋体" w:hAnsi="宋体"/>
        <w:sz w:val="28"/>
        <w:szCs w:val="28"/>
      </w:rPr>
      <w:t>—</w:t>
    </w:r>
  </w:p>
  <w:p w14:paraId="021BBFFB">
    <w:pPr>
      <w:pStyle w:val="19"/>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4F11D">
    <w:pPr>
      <w:pStyle w:val="19"/>
      <w:framePr w:wrap="around" w:vAnchor="text" w:hAnchor="margin" w:xAlign="outside" w:y="1"/>
      <w:ind w:firstLine="560"/>
      <w:rPr>
        <w:rStyle w:val="35"/>
        <w:rFonts w:ascii="宋体" w:hAnsi="宋体"/>
        <w:sz w:val="28"/>
        <w:szCs w:val="28"/>
      </w:rPr>
    </w:pPr>
    <w:r>
      <w:rPr>
        <w:rStyle w:val="35"/>
        <w:rFonts w:hint="eastAsia" w:ascii="宋体" w:hAnsi="宋体"/>
        <w:sz w:val="28"/>
        <w:szCs w:val="28"/>
      </w:rPr>
      <w:t>—</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96</w:t>
    </w:r>
    <w:r>
      <w:rPr>
        <w:rFonts w:ascii="宋体" w:hAnsi="宋体"/>
        <w:sz w:val="26"/>
        <w:szCs w:val="26"/>
      </w:rPr>
      <w:fldChar w:fldCharType="end"/>
    </w:r>
    <w:r>
      <w:rPr>
        <w:rStyle w:val="35"/>
        <w:rFonts w:hint="eastAsia" w:ascii="宋体" w:hAnsi="宋体"/>
        <w:sz w:val="28"/>
        <w:szCs w:val="28"/>
      </w:rPr>
      <w:t>—</w:t>
    </w:r>
  </w:p>
  <w:p w14:paraId="3EB03DAF">
    <w:pPr>
      <w:pStyle w:val="19"/>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2CD29">
    <w:pPr>
      <w:pStyle w:val="2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882A4">
    <w:pPr>
      <w:pStyle w:val="20"/>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2C899"/>
    <w:multiLevelType w:val="singleLevel"/>
    <w:tmpl w:val="8102C899"/>
    <w:lvl w:ilvl="0" w:tentative="0">
      <w:start w:val="1"/>
      <w:numFmt w:val="decimal"/>
      <w:suff w:val="nothing"/>
      <w:lvlText w:val="%1）"/>
      <w:lvlJc w:val="left"/>
    </w:lvl>
  </w:abstractNum>
  <w:abstractNum w:abstractNumId="1">
    <w:nsid w:val="8F9D2D10"/>
    <w:multiLevelType w:val="singleLevel"/>
    <w:tmpl w:val="8F9D2D10"/>
    <w:lvl w:ilvl="0" w:tentative="0">
      <w:start w:val="1"/>
      <w:numFmt w:val="upperLetter"/>
      <w:suff w:val="nothing"/>
      <w:lvlText w:val="%1、"/>
      <w:lvlJc w:val="left"/>
    </w:lvl>
  </w:abstractNum>
  <w:abstractNum w:abstractNumId="2">
    <w:nsid w:val="9C3000B7"/>
    <w:multiLevelType w:val="singleLevel"/>
    <w:tmpl w:val="9C3000B7"/>
    <w:lvl w:ilvl="0" w:tentative="0">
      <w:start w:val="3"/>
      <w:numFmt w:val="decimal"/>
      <w:lvlText w:val="%1."/>
      <w:lvlJc w:val="left"/>
      <w:pPr>
        <w:tabs>
          <w:tab w:val="left" w:pos="312"/>
        </w:tabs>
      </w:pPr>
    </w:lvl>
  </w:abstractNum>
  <w:abstractNum w:abstractNumId="3">
    <w:nsid w:val="CAACD80B"/>
    <w:multiLevelType w:val="singleLevel"/>
    <w:tmpl w:val="CAACD80B"/>
    <w:lvl w:ilvl="0" w:tentative="0">
      <w:start w:val="1"/>
      <w:numFmt w:val="decimal"/>
      <w:suff w:val="nothing"/>
      <w:lvlText w:val="（%1）"/>
      <w:lvlJc w:val="left"/>
    </w:lvl>
  </w:abstractNum>
  <w:abstractNum w:abstractNumId="4">
    <w:nsid w:val="CE92705B"/>
    <w:multiLevelType w:val="singleLevel"/>
    <w:tmpl w:val="CE92705B"/>
    <w:lvl w:ilvl="0" w:tentative="0">
      <w:start w:val="9"/>
      <w:numFmt w:val="decimal"/>
      <w:lvlText w:val="%1."/>
      <w:lvlJc w:val="left"/>
      <w:pPr>
        <w:tabs>
          <w:tab w:val="left" w:pos="312"/>
        </w:tabs>
      </w:pPr>
    </w:lvl>
  </w:abstractNum>
  <w:abstractNum w:abstractNumId="5">
    <w:nsid w:val="DA04161C"/>
    <w:multiLevelType w:val="singleLevel"/>
    <w:tmpl w:val="DA04161C"/>
    <w:lvl w:ilvl="0" w:tentative="0">
      <w:start w:val="2"/>
      <w:numFmt w:val="decimal"/>
      <w:suff w:val="nothing"/>
      <w:lvlText w:val="（%1）"/>
      <w:lvlJc w:val="left"/>
    </w:lvl>
  </w:abstractNum>
  <w:abstractNum w:abstractNumId="6">
    <w:nsid w:val="DC45A593"/>
    <w:multiLevelType w:val="multilevel"/>
    <w:tmpl w:val="DC45A593"/>
    <w:lvl w:ilvl="0" w:tentative="0">
      <w:start w:val="1"/>
      <w:numFmt w:val="none"/>
      <w:suff w:val="nothing"/>
      <w:lvlText w:val="1"/>
      <w:lvlJc w:val="left"/>
      <w:pPr>
        <w:tabs>
          <w:tab w:val="left" w:pos="0"/>
        </w:tabs>
        <w:ind w:left="432" w:hanging="432"/>
      </w:pPr>
      <w:rPr>
        <w:rFonts w:hint="default" w:ascii="宋体" w:hAnsi="宋体" w:eastAsia="宋体" w:cs="宋体"/>
      </w:rPr>
    </w:lvl>
    <w:lvl w:ilvl="1" w:tentative="0">
      <w:start w:val="1"/>
      <w:numFmt w:val="none"/>
      <w:lvlText w:val="1.1"/>
      <w:lvlJc w:val="left"/>
      <w:pPr>
        <w:tabs>
          <w:tab w:val="left" w:pos="420"/>
        </w:tabs>
        <w:ind w:left="575" w:hanging="575"/>
      </w:pPr>
      <w:rPr>
        <w:rFonts w:hint="default" w:ascii="宋体" w:hAnsi="宋体" w:eastAsia="宋体" w:cs="宋体"/>
      </w:rPr>
    </w:lvl>
    <w:lvl w:ilvl="2" w:tentative="0">
      <w:start w:val="1"/>
      <w:numFmt w:val="none"/>
      <w:suff w:val="space"/>
      <w:lvlText w:val="1.1.1"/>
      <w:lvlJc w:val="left"/>
      <w:pPr>
        <w:tabs>
          <w:tab w:val="left" w:pos="420"/>
        </w:tabs>
        <w:ind w:left="720" w:hanging="720"/>
      </w:pPr>
      <w:rPr>
        <w:rFonts w:hint="default" w:ascii="宋体" w:hAnsi="宋体" w:eastAsia="宋体" w:cs="宋体"/>
      </w:rPr>
    </w:lvl>
    <w:lvl w:ilvl="3" w:tentative="0">
      <w:start w:val="1"/>
      <w:numFmt w:val="decimal"/>
      <w:pStyle w:val="7"/>
      <w:isLgl/>
      <w:lvlText w:val="%1.%2.%3.%4"/>
      <w:lvlJc w:val="left"/>
      <w:pPr>
        <w:ind w:left="864" w:hanging="864"/>
      </w:pPr>
      <w:rPr>
        <w:rFonts w:hint="eastAsia" w:ascii="宋体" w:hAnsi="宋体" w:eastAsia="宋体" w:cs="宋体"/>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7">
    <w:nsid w:val="DEA3D513"/>
    <w:multiLevelType w:val="singleLevel"/>
    <w:tmpl w:val="DEA3D513"/>
    <w:lvl w:ilvl="0" w:tentative="0">
      <w:start w:val="1"/>
      <w:numFmt w:val="decimal"/>
      <w:lvlText w:val="%1."/>
      <w:lvlJc w:val="left"/>
      <w:pPr>
        <w:tabs>
          <w:tab w:val="left" w:pos="312"/>
        </w:tabs>
      </w:pPr>
    </w:lvl>
  </w:abstractNum>
  <w:abstractNum w:abstractNumId="8">
    <w:nsid w:val="E135A077"/>
    <w:multiLevelType w:val="singleLevel"/>
    <w:tmpl w:val="E135A077"/>
    <w:lvl w:ilvl="0" w:tentative="0">
      <w:start w:val="1"/>
      <w:numFmt w:val="decimal"/>
      <w:lvlText w:val="%1"/>
      <w:lvlJc w:val="left"/>
      <w:pPr>
        <w:tabs>
          <w:tab w:val="left" w:pos="420"/>
        </w:tabs>
        <w:ind w:left="425" w:hanging="425"/>
      </w:pPr>
      <w:rPr>
        <w:rFonts w:hint="default"/>
      </w:rPr>
    </w:lvl>
  </w:abstractNum>
  <w:abstractNum w:abstractNumId="9">
    <w:nsid w:val="F193E859"/>
    <w:multiLevelType w:val="singleLevel"/>
    <w:tmpl w:val="F193E859"/>
    <w:lvl w:ilvl="0" w:tentative="0">
      <w:start w:val="1"/>
      <w:numFmt w:val="decimal"/>
      <w:suff w:val="nothing"/>
      <w:lvlText w:val="（%1）"/>
      <w:lvlJc w:val="left"/>
    </w:lvl>
  </w:abstractNum>
  <w:abstractNum w:abstractNumId="10">
    <w:nsid w:val="F1F91ED0"/>
    <w:multiLevelType w:val="singleLevel"/>
    <w:tmpl w:val="F1F91ED0"/>
    <w:lvl w:ilvl="0" w:tentative="0">
      <w:start w:val="1"/>
      <w:numFmt w:val="decimal"/>
      <w:suff w:val="nothing"/>
      <w:lvlText w:val="（%1）"/>
      <w:lvlJc w:val="left"/>
    </w:lvl>
  </w:abstractNum>
  <w:abstractNum w:abstractNumId="11">
    <w:nsid w:val="F9E62E1A"/>
    <w:multiLevelType w:val="singleLevel"/>
    <w:tmpl w:val="F9E62E1A"/>
    <w:lvl w:ilvl="0" w:tentative="0">
      <w:start w:val="2"/>
      <w:numFmt w:val="chineseCounting"/>
      <w:suff w:val="nothing"/>
      <w:lvlText w:val="%1、"/>
      <w:lvlJc w:val="left"/>
      <w:rPr>
        <w:rFonts w:hint="eastAsia"/>
      </w:rPr>
    </w:lvl>
  </w:abstractNum>
  <w:abstractNum w:abstractNumId="12">
    <w:nsid w:val="0E58298D"/>
    <w:multiLevelType w:val="singleLevel"/>
    <w:tmpl w:val="0E58298D"/>
    <w:lvl w:ilvl="0" w:tentative="0">
      <w:start w:val="1"/>
      <w:numFmt w:val="decimal"/>
      <w:lvlText w:val="%1."/>
      <w:lvlJc w:val="left"/>
      <w:pPr>
        <w:tabs>
          <w:tab w:val="left" w:pos="312"/>
        </w:tabs>
      </w:pPr>
    </w:lvl>
  </w:abstractNum>
  <w:abstractNum w:abstractNumId="13">
    <w:nsid w:val="1530281B"/>
    <w:multiLevelType w:val="singleLevel"/>
    <w:tmpl w:val="1530281B"/>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4">
    <w:nsid w:val="257D1975"/>
    <w:multiLevelType w:val="singleLevel"/>
    <w:tmpl w:val="257D1975"/>
    <w:lvl w:ilvl="0" w:tentative="0">
      <w:start w:val="7"/>
      <w:numFmt w:val="decimal"/>
      <w:lvlText w:val="%1."/>
      <w:lvlJc w:val="left"/>
      <w:pPr>
        <w:tabs>
          <w:tab w:val="left" w:pos="312"/>
        </w:tabs>
      </w:pPr>
    </w:lvl>
  </w:abstractNum>
  <w:abstractNum w:abstractNumId="15">
    <w:nsid w:val="27E05C51"/>
    <w:multiLevelType w:val="singleLevel"/>
    <w:tmpl w:val="27E05C51"/>
    <w:lvl w:ilvl="0" w:tentative="0">
      <w:start w:val="1"/>
      <w:numFmt w:val="decimal"/>
      <w:suff w:val="nothing"/>
      <w:lvlText w:val="%1）"/>
      <w:lvlJc w:val="left"/>
    </w:lvl>
  </w:abstractNum>
  <w:abstractNum w:abstractNumId="16">
    <w:nsid w:val="59100659"/>
    <w:multiLevelType w:val="singleLevel"/>
    <w:tmpl w:val="59100659"/>
    <w:lvl w:ilvl="0" w:tentative="0">
      <w:start w:val="1"/>
      <w:numFmt w:val="decimal"/>
      <w:suff w:val="nothing"/>
      <w:lvlText w:val="%1）"/>
      <w:lvlJc w:val="left"/>
    </w:lvl>
  </w:abstractNum>
  <w:abstractNum w:abstractNumId="17">
    <w:nsid w:val="6285D90D"/>
    <w:multiLevelType w:val="singleLevel"/>
    <w:tmpl w:val="6285D90D"/>
    <w:lvl w:ilvl="0" w:tentative="0">
      <w:start w:val="1"/>
      <w:numFmt w:val="decimal"/>
      <w:lvlText w:val="%1."/>
      <w:lvlJc w:val="left"/>
      <w:pPr>
        <w:tabs>
          <w:tab w:val="left" w:pos="312"/>
        </w:tabs>
      </w:pPr>
    </w:lvl>
  </w:abstractNum>
  <w:num w:numId="1">
    <w:abstractNumId w:val="6"/>
  </w:num>
  <w:num w:numId="2">
    <w:abstractNumId w:val="13"/>
  </w:num>
  <w:num w:numId="3">
    <w:abstractNumId w:val="17"/>
  </w:num>
  <w:num w:numId="4">
    <w:abstractNumId w:val="7"/>
  </w:num>
  <w:num w:numId="5">
    <w:abstractNumId w:val="12"/>
  </w:num>
  <w:num w:numId="6">
    <w:abstractNumId w:val="15"/>
  </w:num>
  <w:num w:numId="7">
    <w:abstractNumId w:val="0"/>
  </w:num>
  <w:num w:numId="8">
    <w:abstractNumId w:val="16"/>
  </w:num>
  <w:num w:numId="9">
    <w:abstractNumId w:val="4"/>
  </w:num>
  <w:num w:numId="10">
    <w:abstractNumId w:val="11"/>
  </w:num>
  <w:num w:numId="11">
    <w:abstractNumId w:val="5"/>
  </w:num>
  <w:num w:numId="12">
    <w:abstractNumId w:val="14"/>
  </w:num>
  <w:num w:numId="13">
    <w:abstractNumId w:val="9"/>
  </w:num>
  <w:num w:numId="14">
    <w:abstractNumId w:val="10"/>
  </w:num>
  <w:num w:numId="15">
    <w:abstractNumId w:val="2"/>
  </w:num>
  <w:num w:numId="16">
    <w:abstractNumId w:val="3"/>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BkZmI4YzdiNDE1OTA1Y2I1NDY5YWYzNzNiNDhhMGYifQ=="/>
  </w:docVars>
  <w:rsids>
    <w:rsidRoot w:val="00172A27"/>
    <w:rsid w:val="00000222"/>
    <w:rsid w:val="0000058E"/>
    <w:rsid w:val="00000C84"/>
    <w:rsid w:val="00001996"/>
    <w:rsid w:val="00002F34"/>
    <w:rsid w:val="00003BF5"/>
    <w:rsid w:val="00004051"/>
    <w:rsid w:val="0000418C"/>
    <w:rsid w:val="00004A6A"/>
    <w:rsid w:val="00004C27"/>
    <w:rsid w:val="00004EA6"/>
    <w:rsid w:val="000050A9"/>
    <w:rsid w:val="00005522"/>
    <w:rsid w:val="00005591"/>
    <w:rsid w:val="00005687"/>
    <w:rsid w:val="000056F9"/>
    <w:rsid w:val="000060B3"/>
    <w:rsid w:val="000071C3"/>
    <w:rsid w:val="000076CF"/>
    <w:rsid w:val="00007A05"/>
    <w:rsid w:val="000102AE"/>
    <w:rsid w:val="000116E5"/>
    <w:rsid w:val="00011943"/>
    <w:rsid w:val="000131BA"/>
    <w:rsid w:val="00013ADD"/>
    <w:rsid w:val="000143E2"/>
    <w:rsid w:val="0001479E"/>
    <w:rsid w:val="00015007"/>
    <w:rsid w:val="00015046"/>
    <w:rsid w:val="0001532E"/>
    <w:rsid w:val="00015D86"/>
    <w:rsid w:val="0001650A"/>
    <w:rsid w:val="00016D92"/>
    <w:rsid w:val="000176EF"/>
    <w:rsid w:val="0001776D"/>
    <w:rsid w:val="00020216"/>
    <w:rsid w:val="0002088C"/>
    <w:rsid w:val="00020AAE"/>
    <w:rsid w:val="00021CC5"/>
    <w:rsid w:val="000242E7"/>
    <w:rsid w:val="00024A56"/>
    <w:rsid w:val="00025220"/>
    <w:rsid w:val="00025E85"/>
    <w:rsid w:val="0002659E"/>
    <w:rsid w:val="00026796"/>
    <w:rsid w:val="000269E0"/>
    <w:rsid w:val="00026AA7"/>
    <w:rsid w:val="00026AF6"/>
    <w:rsid w:val="000273CD"/>
    <w:rsid w:val="00030A74"/>
    <w:rsid w:val="0003119C"/>
    <w:rsid w:val="0003167C"/>
    <w:rsid w:val="00031719"/>
    <w:rsid w:val="0003179C"/>
    <w:rsid w:val="00031BE6"/>
    <w:rsid w:val="000326EE"/>
    <w:rsid w:val="00032AA4"/>
    <w:rsid w:val="00033DF2"/>
    <w:rsid w:val="00033F2A"/>
    <w:rsid w:val="000343D3"/>
    <w:rsid w:val="000348A0"/>
    <w:rsid w:val="00034F4B"/>
    <w:rsid w:val="00035302"/>
    <w:rsid w:val="00035B4E"/>
    <w:rsid w:val="00035EA3"/>
    <w:rsid w:val="00036B15"/>
    <w:rsid w:val="000403B5"/>
    <w:rsid w:val="00040E89"/>
    <w:rsid w:val="000410E2"/>
    <w:rsid w:val="00041917"/>
    <w:rsid w:val="00042F63"/>
    <w:rsid w:val="0004364B"/>
    <w:rsid w:val="00043B65"/>
    <w:rsid w:val="00043C10"/>
    <w:rsid w:val="00043EF1"/>
    <w:rsid w:val="000441FD"/>
    <w:rsid w:val="00044D72"/>
    <w:rsid w:val="00044ED9"/>
    <w:rsid w:val="00045B25"/>
    <w:rsid w:val="0004609F"/>
    <w:rsid w:val="00046450"/>
    <w:rsid w:val="00046EC5"/>
    <w:rsid w:val="0004717F"/>
    <w:rsid w:val="000478E0"/>
    <w:rsid w:val="00047D45"/>
    <w:rsid w:val="00047F11"/>
    <w:rsid w:val="000500A6"/>
    <w:rsid w:val="00050C77"/>
    <w:rsid w:val="00051A10"/>
    <w:rsid w:val="00051D12"/>
    <w:rsid w:val="00051DEC"/>
    <w:rsid w:val="000526D4"/>
    <w:rsid w:val="00052891"/>
    <w:rsid w:val="00053AC2"/>
    <w:rsid w:val="00053BBC"/>
    <w:rsid w:val="00054909"/>
    <w:rsid w:val="00054BF8"/>
    <w:rsid w:val="00054DC6"/>
    <w:rsid w:val="00054FCD"/>
    <w:rsid w:val="00055366"/>
    <w:rsid w:val="00055377"/>
    <w:rsid w:val="00055EFE"/>
    <w:rsid w:val="000565CB"/>
    <w:rsid w:val="00056828"/>
    <w:rsid w:val="00057040"/>
    <w:rsid w:val="000570EE"/>
    <w:rsid w:val="0006090F"/>
    <w:rsid w:val="00060A04"/>
    <w:rsid w:val="00060AD8"/>
    <w:rsid w:val="000614F6"/>
    <w:rsid w:val="00061B1F"/>
    <w:rsid w:val="00061D1B"/>
    <w:rsid w:val="00061ED3"/>
    <w:rsid w:val="00063675"/>
    <w:rsid w:val="00063C22"/>
    <w:rsid w:val="00063D90"/>
    <w:rsid w:val="0006419E"/>
    <w:rsid w:val="000643DA"/>
    <w:rsid w:val="0006467C"/>
    <w:rsid w:val="00064CF4"/>
    <w:rsid w:val="00064E68"/>
    <w:rsid w:val="00065894"/>
    <w:rsid w:val="00065901"/>
    <w:rsid w:val="00066819"/>
    <w:rsid w:val="000669A3"/>
    <w:rsid w:val="000710B5"/>
    <w:rsid w:val="00071F53"/>
    <w:rsid w:val="000724EC"/>
    <w:rsid w:val="000733C4"/>
    <w:rsid w:val="000737A9"/>
    <w:rsid w:val="0007409A"/>
    <w:rsid w:val="00074374"/>
    <w:rsid w:val="000743BC"/>
    <w:rsid w:val="00074783"/>
    <w:rsid w:val="00075EE6"/>
    <w:rsid w:val="00076136"/>
    <w:rsid w:val="00076EED"/>
    <w:rsid w:val="00077CD8"/>
    <w:rsid w:val="00077D23"/>
    <w:rsid w:val="00080007"/>
    <w:rsid w:val="000804AA"/>
    <w:rsid w:val="0008060D"/>
    <w:rsid w:val="00080668"/>
    <w:rsid w:val="0008070B"/>
    <w:rsid w:val="00080A11"/>
    <w:rsid w:val="00080D09"/>
    <w:rsid w:val="00080E18"/>
    <w:rsid w:val="00081032"/>
    <w:rsid w:val="000810AC"/>
    <w:rsid w:val="00081120"/>
    <w:rsid w:val="00081A02"/>
    <w:rsid w:val="00081DC7"/>
    <w:rsid w:val="00082231"/>
    <w:rsid w:val="0008259D"/>
    <w:rsid w:val="000826A9"/>
    <w:rsid w:val="000827DA"/>
    <w:rsid w:val="000830DD"/>
    <w:rsid w:val="000832D3"/>
    <w:rsid w:val="000833E1"/>
    <w:rsid w:val="000839FB"/>
    <w:rsid w:val="00085517"/>
    <w:rsid w:val="00086312"/>
    <w:rsid w:val="0008660B"/>
    <w:rsid w:val="000874FC"/>
    <w:rsid w:val="000875DF"/>
    <w:rsid w:val="0008768C"/>
    <w:rsid w:val="00087DA7"/>
    <w:rsid w:val="00090457"/>
    <w:rsid w:val="00090F9B"/>
    <w:rsid w:val="000913D3"/>
    <w:rsid w:val="00091AC4"/>
    <w:rsid w:val="00092503"/>
    <w:rsid w:val="00092819"/>
    <w:rsid w:val="00092CC9"/>
    <w:rsid w:val="00092D38"/>
    <w:rsid w:val="0009377B"/>
    <w:rsid w:val="00093A2E"/>
    <w:rsid w:val="00093C7A"/>
    <w:rsid w:val="00093D19"/>
    <w:rsid w:val="00093F42"/>
    <w:rsid w:val="00094269"/>
    <w:rsid w:val="0009456E"/>
    <w:rsid w:val="00094E5D"/>
    <w:rsid w:val="0009507B"/>
    <w:rsid w:val="000951C8"/>
    <w:rsid w:val="0009560F"/>
    <w:rsid w:val="00095FC9"/>
    <w:rsid w:val="00096484"/>
    <w:rsid w:val="00096E46"/>
    <w:rsid w:val="000976AD"/>
    <w:rsid w:val="00097793"/>
    <w:rsid w:val="00097C2A"/>
    <w:rsid w:val="000A11AE"/>
    <w:rsid w:val="000A1302"/>
    <w:rsid w:val="000A14CC"/>
    <w:rsid w:val="000A192F"/>
    <w:rsid w:val="000A1BA8"/>
    <w:rsid w:val="000A20C9"/>
    <w:rsid w:val="000A2513"/>
    <w:rsid w:val="000A25E4"/>
    <w:rsid w:val="000A2BC9"/>
    <w:rsid w:val="000A2D7C"/>
    <w:rsid w:val="000A2E11"/>
    <w:rsid w:val="000A2E89"/>
    <w:rsid w:val="000A3D4D"/>
    <w:rsid w:val="000A4C9A"/>
    <w:rsid w:val="000A4EC7"/>
    <w:rsid w:val="000A4F09"/>
    <w:rsid w:val="000A538C"/>
    <w:rsid w:val="000A5518"/>
    <w:rsid w:val="000A5C42"/>
    <w:rsid w:val="000A5D90"/>
    <w:rsid w:val="000A683C"/>
    <w:rsid w:val="000A696D"/>
    <w:rsid w:val="000A6DFE"/>
    <w:rsid w:val="000A7140"/>
    <w:rsid w:val="000A766F"/>
    <w:rsid w:val="000A7814"/>
    <w:rsid w:val="000A7AE2"/>
    <w:rsid w:val="000A7BEA"/>
    <w:rsid w:val="000B058F"/>
    <w:rsid w:val="000B086D"/>
    <w:rsid w:val="000B0E1F"/>
    <w:rsid w:val="000B0FBF"/>
    <w:rsid w:val="000B260B"/>
    <w:rsid w:val="000B2AB7"/>
    <w:rsid w:val="000B2F4E"/>
    <w:rsid w:val="000B321B"/>
    <w:rsid w:val="000B352D"/>
    <w:rsid w:val="000B39B1"/>
    <w:rsid w:val="000B3B7B"/>
    <w:rsid w:val="000B43CF"/>
    <w:rsid w:val="000B4467"/>
    <w:rsid w:val="000B4DB9"/>
    <w:rsid w:val="000B505C"/>
    <w:rsid w:val="000B53C4"/>
    <w:rsid w:val="000B54D6"/>
    <w:rsid w:val="000B5659"/>
    <w:rsid w:val="000B5BE8"/>
    <w:rsid w:val="000B7378"/>
    <w:rsid w:val="000B7515"/>
    <w:rsid w:val="000B7FE5"/>
    <w:rsid w:val="000C09AC"/>
    <w:rsid w:val="000C0C2B"/>
    <w:rsid w:val="000C1088"/>
    <w:rsid w:val="000C15CB"/>
    <w:rsid w:val="000C1D05"/>
    <w:rsid w:val="000C1DCF"/>
    <w:rsid w:val="000C2068"/>
    <w:rsid w:val="000C210B"/>
    <w:rsid w:val="000C2244"/>
    <w:rsid w:val="000C2327"/>
    <w:rsid w:val="000C2C9E"/>
    <w:rsid w:val="000C37AE"/>
    <w:rsid w:val="000C3E48"/>
    <w:rsid w:val="000C437B"/>
    <w:rsid w:val="000C5C0C"/>
    <w:rsid w:val="000C5D1F"/>
    <w:rsid w:val="000C62DF"/>
    <w:rsid w:val="000C6392"/>
    <w:rsid w:val="000C6425"/>
    <w:rsid w:val="000C65A4"/>
    <w:rsid w:val="000C738F"/>
    <w:rsid w:val="000C767F"/>
    <w:rsid w:val="000C7825"/>
    <w:rsid w:val="000D08BD"/>
    <w:rsid w:val="000D1183"/>
    <w:rsid w:val="000D2833"/>
    <w:rsid w:val="000D2BD2"/>
    <w:rsid w:val="000D2E5F"/>
    <w:rsid w:val="000D3C03"/>
    <w:rsid w:val="000D451B"/>
    <w:rsid w:val="000D45C3"/>
    <w:rsid w:val="000D59C6"/>
    <w:rsid w:val="000D5A44"/>
    <w:rsid w:val="000D5ECA"/>
    <w:rsid w:val="000D6119"/>
    <w:rsid w:val="000D6159"/>
    <w:rsid w:val="000D6523"/>
    <w:rsid w:val="000D6863"/>
    <w:rsid w:val="000D70FC"/>
    <w:rsid w:val="000D71CA"/>
    <w:rsid w:val="000D7474"/>
    <w:rsid w:val="000D7861"/>
    <w:rsid w:val="000D7AB3"/>
    <w:rsid w:val="000E00B0"/>
    <w:rsid w:val="000E0612"/>
    <w:rsid w:val="000E0690"/>
    <w:rsid w:val="000E0822"/>
    <w:rsid w:val="000E09A2"/>
    <w:rsid w:val="000E1F97"/>
    <w:rsid w:val="000E2498"/>
    <w:rsid w:val="000E318C"/>
    <w:rsid w:val="000E3704"/>
    <w:rsid w:val="000E3ED2"/>
    <w:rsid w:val="000E40CD"/>
    <w:rsid w:val="000E4255"/>
    <w:rsid w:val="000E4A1D"/>
    <w:rsid w:val="000E4D91"/>
    <w:rsid w:val="000E4F44"/>
    <w:rsid w:val="000E521F"/>
    <w:rsid w:val="000E54D0"/>
    <w:rsid w:val="000E559D"/>
    <w:rsid w:val="000E5AA8"/>
    <w:rsid w:val="000E64F9"/>
    <w:rsid w:val="000E65EE"/>
    <w:rsid w:val="000E6979"/>
    <w:rsid w:val="000E71BB"/>
    <w:rsid w:val="000E7424"/>
    <w:rsid w:val="000E78AA"/>
    <w:rsid w:val="000E79A8"/>
    <w:rsid w:val="000F12ED"/>
    <w:rsid w:val="000F25CD"/>
    <w:rsid w:val="000F2ACA"/>
    <w:rsid w:val="000F2DED"/>
    <w:rsid w:val="000F30F4"/>
    <w:rsid w:val="000F3147"/>
    <w:rsid w:val="000F345C"/>
    <w:rsid w:val="000F3B0A"/>
    <w:rsid w:val="000F3EA6"/>
    <w:rsid w:val="000F4366"/>
    <w:rsid w:val="000F46E5"/>
    <w:rsid w:val="000F491A"/>
    <w:rsid w:val="000F4B80"/>
    <w:rsid w:val="000F4FEF"/>
    <w:rsid w:val="000F5427"/>
    <w:rsid w:val="000F5C14"/>
    <w:rsid w:val="000F5C3C"/>
    <w:rsid w:val="000F5EC3"/>
    <w:rsid w:val="000F6DC7"/>
    <w:rsid w:val="000F71AD"/>
    <w:rsid w:val="000F76D2"/>
    <w:rsid w:val="000F7E07"/>
    <w:rsid w:val="00100236"/>
    <w:rsid w:val="00100562"/>
    <w:rsid w:val="0010073F"/>
    <w:rsid w:val="001018D3"/>
    <w:rsid w:val="00101BDC"/>
    <w:rsid w:val="00102060"/>
    <w:rsid w:val="00102259"/>
    <w:rsid w:val="00103181"/>
    <w:rsid w:val="001036BA"/>
    <w:rsid w:val="001042B6"/>
    <w:rsid w:val="00104E83"/>
    <w:rsid w:val="001055FA"/>
    <w:rsid w:val="00105F7B"/>
    <w:rsid w:val="00106F88"/>
    <w:rsid w:val="001072B9"/>
    <w:rsid w:val="001076BF"/>
    <w:rsid w:val="00107723"/>
    <w:rsid w:val="00107755"/>
    <w:rsid w:val="0011094D"/>
    <w:rsid w:val="00110A2F"/>
    <w:rsid w:val="00110B9F"/>
    <w:rsid w:val="001110C6"/>
    <w:rsid w:val="001123F5"/>
    <w:rsid w:val="001124A3"/>
    <w:rsid w:val="001133D1"/>
    <w:rsid w:val="001135E3"/>
    <w:rsid w:val="00113FD5"/>
    <w:rsid w:val="00114751"/>
    <w:rsid w:val="00114D1B"/>
    <w:rsid w:val="00115BB6"/>
    <w:rsid w:val="00116BF9"/>
    <w:rsid w:val="00117D95"/>
    <w:rsid w:val="001200C6"/>
    <w:rsid w:val="0012088C"/>
    <w:rsid w:val="00120AEA"/>
    <w:rsid w:val="001211EF"/>
    <w:rsid w:val="001212C3"/>
    <w:rsid w:val="001218E3"/>
    <w:rsid w:val="00121BC2"/>
    <w:rsid w:val="00122324"/>
    <w:rsid w:val="00122883"/>
    <w:rsid w:val="00122B15"/>
    <w:rsid w:val="001235AA"/>
    <w:rsid w:val="00123EE8"/>
    <w:rsid w:val="0012415C"/>
    <w:rsid w:val="001243C3"/>
    <w:rsid w:val="00124408"/>
    <w:rsid w:val="001249CA"/>
    <w:rsid w:val="00124E58"/>
    <w:rsid w:val="0012542F"/>
    <w:rsid w:val="00125F29"/>
    <w:rsid w:val="00127F01"/>
    <w:rsid w:val="00131931"/>
    <w:rsid w:val="00131CB6"/>
    <w:rsid w:val="00131D35"/>
    <w:rsid w:val="00131F42"/>
    <w:rsid w:val="001321F9"/>
    <w:rsid w:val="0013278A"/>
    <w:rsid w:val="0013343C"/>
    <w:rsid w:val="00134549"/>
    <w:rsid w:val="001347A2"/>
    <w:rsid w:val="0013482C"/>
    <w:rsid w:val="00134DF3"/>
    <w:rsid w:val="001350A0"/>
    <w:rsid w:val="00135350"/>
    <w:rsid w:val="001357F1"/>
    <w:rsid w:val="001358CF"/>
    <w:rsid w:val="00135912"/>
    <w:rsid w:val="00135A4F"/>
    <w:rsid w:val="001362A2"/>
    <w:rsid w:val="00136830"/>
    <w:rsid w:val="00136A77"/>
    <w:rsid w:val="00136B44"/>
    <w:rsid w:val="0013745B"/>
    <w:rsid w:val="00137515"/>
    <w:rsid w:val="00137EF5"/>
    <w:rsid w:val="001404D9"/>
    <w:rsid w:val="001407E5"/>
    <w:rsid w:val="00140986"/>
    <w:rsid w:val="00140E5A"/>
    <w:rsid w:val="00140E76"/>
    <w:rsid w:val="00140F3D"/>
    <w:rsid w:val="00140F8E"/>
    <w:rsid w:val="00140FA8"/>
    <w:rsid w:val="00141309"/>
    <w:rsid w:val="00141DFB"/>
    <w:rsid w:val="00142491"/>
    <w:rsid w:val="00142503"/>
    <w:rsid w:val="00142518"/>
    <w:rsid w:val="00142733"/>
    <w:rsid w:val="00142B4C"/>
    <w:rsid w:val="00142C7B"/>
    <w:rsid w:val="00142FEB"/>
    <w:rsid w:val="0014319C"/>
    <w:rsid w:val="001434D6"/>
    <w:rsid w:val="001437AD"/>
    <w:rsid w:val="00143A2D"/>
    <w:rsid w:val="00144884"/>
    <w:rsid w:val="00144E24"/>
    <w:rsid w:val="00144E70"/>
    <w:rsid w:val="00144E78"/>
    <w:rsid w:val="00145A41"/>
    <w:rsid w:val="00145D0B"/>
    <w:rsid w:val="00146769"/>
    <w:rsid w:val="00146783"/>
    <w:rsid w:val="001467FD"/>
    <w:rsid w:val="00146B6A"/>
    <w:rsid w:val="001479DF"/>
    <w:rsid w:val="00147F9C"/>
    <w:rsid w:val="00150606"/>
    <w:rsid w:val="00150ACD"/>
    <w:rsid w:val="00151022"/>
    <w:rsid w:val="00151647"/>
    <w:rsid w:val="00151675"/>
    <w:rsid w:val="001516C4"/>
    <w:rsid w:val="001526C1"/>
    <w:rsid w:val="001528CD"/>
    <w:rsid w:val="00152CB0"/>
    <w:rsid w:val="00153379"/>
    <w:rsid w:val="001537BE"/>
    <w:rsid w:val="001539F5"/>
    <w:rsid w:val="00153CF7"/>
    <w:rsid w:val="00153D6B"/>
    <w:rsid w:val="001549A6"/>
    <w:rsid w:val="001551C3"/>
    <w:rsid w:val="001556CB"/>
    <w:rsid w:val="001559DC"/>
    <w:rsid w:val="00155B9D"/>
    <w:rsid w:val="001566E3"/>
    <w:rsid w:val="001566E8"/>
    <w:rsid w:val="00157435"/>
    <w:rsid w:val="00157E04"/>
    <w:rsid w:val="00157F53"/>
    <w:rsid w:val="00160466"/>
    <w:rsid w:val="00160622"/>
    <w:rsid w:val="001606AC"/>
    <w:rsid w:val="00160A0D"/>
    <w:rsid w:val="00160AA3"/>
    <w:rsid w:val="00162747"/>
    <w:rsid w:val="00162999"/>
    <w:rsid w:val="00162AC4"/>
    <w:rsid w:val="00163455"/>
    <w:rsid w:val="00163601"/>
    <w:rsid w:val="0016383D"/>
    <w:rsid w:val="00164502"/>
    <w:rsid w:val="00165469"/>
    <w:rsid w:val="00166DBD"/>
    <w:rsid w:val="00166F2B"/>
    <w:rsid w:val="00167133"/>
    <w:rsid w:val="0016720F"/>
    <w:rsid w:val="001674A8"/>
    <w:rsid w:val="00167A02"/>
    <w:rsid w:val="00170013"/>
    <w:rsid w:val="001714E5"/>
    <w:rsid w:val="001716C0"/>
    <w:rsid w:val="00171D20"/>
    <w:rsid w:val="00172A27"/>
    <w:rsid w:val="00172EAE"/>
    <w:rsid w:val="00173CCD"/>
    <w:rsid w:val="00174049"/>
    <w:rsid w:val="001742E9"/>
    <w:rsid w:val="00174374"/>
    <w:rsid w:val="0017441C"/>
    <w:rsid w:val="001745F9"/>
    <w:rsid w:val="00174CE8"/>
    <w:rsid w:val="0017504D"/>
    <w:rsid w:val="001754D9"/>
    <w:rsid w:val="00175821"/>
    <w:rsid w:val="00175856"/>
    <w:rsid w:val="00175E85"/>
    <w:rsid w:val="001766C7"/>
    <w:rsid w:val="0017671A"/>
    <w:rsid w:val="0017681D"/>
    <w:rsid w:val="00177395"/>
    <w:rsid w:val="00177422"/>
    <w:rsid w:val="0018041F"/>
    <w:rsid w:val="00180B78"/>
    <w:rsid w:val="0018131B"/>
    <w:rsid w:val="00181880"/>
    <w:rsid w:val="00182460"/>
    <w:rsid w:val="00182AFA"/>
    <w:rsid w:val="00182E98"/>
    <w:rsid w:val="00182F74"/>
    <w:rsid w:val="00183325"/>
    <w:rsid w:val="00183D00"/>
    <w:rsid w:val="00184096"/>
    <w:rsid w:val="00184590"/>
    <w:rsid w:val="00184C1B"/>
    <w:rsid w:val="00184DE6"/>
    <w:rsid w:val="00185784"/>
    <w:rsid w:val="001858E3"/>
    <w:rsid w:val="00185E8C"/>
    <w:rsid w:val="001869C0"/>
    <w:rsid w:val="00186C1D"/>
    <w:rsid w:val="00186FC2"/>
    <w:rsid w:val="001870D1"/>
    <w:rsid w:val="00187105"/>
    <w:rsid w:val="0018781E"/>
    <w:rsid w:val="0018799E"/>
    <w:rsid w:val="00190312"/>
    <w:rsid w:val="00190933"/>
    <w:rsid w:val="00190C1C"/>
    <w:rsid w:val="00191088"/>
    <w:rsid w:val="00191BE5"/>
    <w:rsid w:val="0019262D"/>
    <w:rsid w:val="001928D8"/>
    <w:rsid w:val="00193328"/>
    <w:rsid w:val="0019366B"/>
    <w:rsid w:val="00194119"/>
    <w:rsid w:val="0019496B"/>
    <w:rsid w:val="0019560D"/>
    <w:rsid w:val="00195705"/>
    <w:rsid w:val="00195A49"/>
    <w:rsid w:val="001963F7"/>
    <w:rsid w:val="00196C00"/>
    <w:rsid w:val="00196F4F"/>
    <w:rsid w:val="0019715D"/>
    <w:rsid w:val="0019745F"/>
    <w:rsid w:val="00197671"/>
    <w:rsid w:val="00197952"/>
    <w:rsid w:val="001A0BC8"/>
    <w:rsid w:val="001A1B35"/>
    <w:rsid w:val="001A3C60"/>
    <w:rsid w:val="001A46A3"/>
    <w:rsid w:val="001A4769"/>
    <w:rsid w:val="001A48A2"/>
    <w:rsid w:val="001A4A89"/>
    <w:rsid w:val="001A50F8"/>
    <w:rsid w:val="001A5343"/>
    <w:rsid w:val="001A62A5"/>
    <w:rsid w:val="001A6657"/>
    <w:rsid w:val="001A6675"/>
    <w:rsid w:val="001A6A82"/>
    <w:rsid w:val="001A6F61"/>
    <w:rsid w:val="001A7A02"/>
    <w:rsid w:val="001B0AC4"/>
    <w:rsid w:val="001B0C83"/>
    <w:rsid w:val="001B105C"/>
    <w:rsid w:val="001B1066"/>
    <w:rsid w:val="001B1207"/>
    <w:rsid w:val="001B1B67"/>
    <w:rsid w:val="001B1DC6"/>
    <w:rsid w:val="001B1E0E"/>
    <w:rsid w:val="001B209D"/>
    <w:rsid w:val="001B3129"/>
    <w:rsid w:val="001B41E5"/>
    <w:rsid w:val="001B4508"/>
    <w:rsid w:val="001B48D9"/>
    <w:rsid w:val="001B5A29"/>
    <w:rsid w:val="001B5D0B"/>
    <w:rsid w:val="001B6ED4"/>
    <w:rsid w:val="001B72B8"/>
    <w:rsid w:val="001B7DDA"/>
    <w:rsid w:val="001B7EA3"/>
    <w:rsid w:val="001B7FDF"/>
    <w:rsid w:val="001C03D5"/>
    <w:rsid w:val="001C03DD"/>
    <w:rsid w:val="001C05A1"/>
    <w:rsid w:val="001C0DC0"/>
    <w:rsid w:val="001C0E86"/>
    <w:rsid w:val="001C106D"/>
    <w:rsid w:val="001C11F5"/>
    <w:rsid w:val="001C13FD"/>
    <w:rsid w:val="001C1D8C"/>
    <w:rsid w:val="001C2EB0"/>
    <w:rsid w:val="001C306B"/>
    <w:rsid w:val="001C31B4"/>
    <w:rsid w:val="001C381A"/>
    <w:rsid w:val="001C3C0E"/>
    <w:rsid w:val="001C4C21"/>
    <w:rsid w:val="001C5FF4"/>
    <w:rsid w:val="001C69B3"/>
    <w:rsid w:val="001C6B18"/>
    <w:rsid w:val="001C6E45"/>
    <w:rsid w:val="001C6FC8"/>
    <w:rsid w:val="001C714A"/>
    <w:rsid w:val="001C7650"/>
    <w:rsid w:val="001C771C"/>
    <w:rsid w:val="001C7A83"/>
    <w:rsid w:val="001C7EE6"/>
    <w:rsid w:val="001D0A53"/>
    <w:rsid w:val="001D0B0E"/>
    <w:rsid w:val="001D11F2"/>
    <w:rsid w:val="001D1B31"/>
    <w:rsid w:val="001D22B0"/>
    <w:rsid w:val="001D28CD"/>
    <w:rsid w:val="001D2FF3"/>
    <w:rsid w:val="001D3538"/>
    <w:rsid w:val="001D35C6"/>
    <w:rsid w:val="001D35DA"/>
    <w:rsid w:val="001D4402"/>
    <w:rsid w:val="001D4734"/>
    <w:rsid w:val="001D4D45"/>
    <w:rsid w:val="001D5595"/>
    <w:rsid w:val="001D5C0A"/>
    <w:rsid w:val="001D5C54"/>
    <w:rsid w:val="001D64F0"/>
    <w:rsid w:val="001D6AE6"/>
    <w:rsid w:val="001D75FF"/>
    <w:rsid w:val="001D7874"/>
    <w:rsid w:val="001D7F22"/>
    <w:rsid w:val="001E01E7"/>
    <w:rsid w:val="001E13A0"/>
    <w:rsid w:val="001E1651"/>
    <w:rsid w:val="001E1E61"/>
    <w:rsid w:val="001E3E55"/>
    <w:rsid w:val="001E5972"/>
    <w:rsid w:val="001E5DA9"/>
    <w:rsid w:val="001E74A1"/>
    <w:rsid w:val="001E7C8A"/>
    <w:rsid w:val="001F0F17"/>
    <w:rsid w:val="001F1E45"/>
    <w:rsid w:val="001F25B7"/>
    <w:rsid w:val="001F2EAB"/>
    <w:rsid w:val="001F3347"/>
    <w:rsid w:val="001F3B0A"/>
    <w:rsid w:val="001F3DAF"/>
    <w:rsid w:val="001F47BF"/>
    <w:rsid w:val="001F4842"/>
    <w:rsid w:val="001F4B69"/>
    <w:rsid w:val="001F57DE"/>
    <w:rsid w:val="001F58C7"/>
    <w:rsid w:val="001F69E4"/>
    <w:rsid w:val="001F7DFB"/>
    <w:rsid w:val="00200D18"/>
    <w:rsid w:val="00200D1F"/>
    <w:rsid w:val="00200F44"/>
    <w:rsid w:val="002010CA"/>
    <w:rsid w:val="00201E1F"/>
    <w:rsid w:val="00201F7B"/>
    <w:rsid w:val="0020210A"/>
    <w:rsid w:val="00202216"/>
    <w:rsid w:val="00203027"/>
    <w:rsid w:val="002031ED"/>
    <w:rsid w:val="0020377C"/>
    <w:rsid w:val="00204873"/>
    <w:rsid w:val="00204A1E"/>
    <w:rsid w:val="00204B87"/>
    <w:rsid w:val="00204BA0"/>
    <w:rsid w:val="002053AA"/>
    <w:rsid w:val="00205441"/>
    <w:rsid w:val="00205849"/>
    <w:rsid w:val="00206176"/>
    <w:rsid w:val="00206A48"/>
    <w:rsid w:val="00206C27"/>
    <w:rsid w:val="0020785B"/>
    <w:rsid w:val="00211E5F"/>
    <w:rsid w:val="00211FFC"/>
    <w:rsid w:val="002122FE"/>
    <w:rsid w:val="002125B4"/>
    <w:rsid w:val="002128D8"/>
    <w:rsid w:val="0021345C"/>
    <w:rsid w:val="002143B4"/>
    <w:rsid w:val="00214FC8"/>
    <w:rsid w:val="00215173"/>
    <w:rsid w:val="002155B8"/>
    <w:rsid w:val="00215604"/>
    <w:rsid w:val="002158DF"/>
    <w:rsid w:val="0021634D"/>
    <w:rsid w:val="0021686C"/>
    <w:rsid w:val="00217AC7"/>
    <w:rsid w:val="00217BCD"/>
    <w:rsid w:val="00217FE5"/>
    <w:rsid w:val="0022138D"/>
    <w:rsid w:val="00221ACB"/>
    <w:rsid w:val="002220C1"/>
    <w:rsid w:val="002231CE"/>
    <w:rsid w:val="00223368"/>
    <w:rsid w:val="002238C3"/>
    <w:rsid w:val="00223BF7"/>
    <w:rsid w:val="00224707"/>
    <w:rsid w:val="00224839"/>
    <w:rsid w:val="002249B2"/>
    <w:rsid w:val="00225488"/>
    <w:rsid w:val="00226574"/>
    <w:rsid w:val="00227143"/>
    <w:rsid w:val="00227303"/>
    <w:rsid w:val="002278EC"/>
    <w:rsid w:val="00227BB8"/>
    <w:rsid w:val="002301D2"/>
    <w:rsid w:val="002301F5"/>
    <w:rsid w:val="0023052D"/>
    <w:rsid w:val="00231AB8"/>
    <w:rsid w:val="00231CBF"/>
    <w:rsid w:val="00232031"/>
    <w:rsid w:val="002326C9"/>
    <w:rsid w:val="0023271C"/>
    <w:rsid w:val="0023280E"/>
    <w:rsid w:val="00232D51"/>
    <w:rsid w:val="0023408E"/>
    <w:rsid w:val="00234A4E"/>
    <w:rsid w:val="00234BC8"/>
    <w:rsid w:val="00234C54"/>
    <w:rsid w:val="00234CE4"/>
    <w:rsid w:val="00235EBD"/>
    <w:rsid w:val="00235F35"/>
    <w:rsid w:val="002366BE"/>
    <w:rsid w:val="002373E6"/>
    <w:rsid w:val="002377D1"/>
    <w:rsid w:val="002378DE"/>
    <w:rsid w:val="0023797B"/>
    <w:rsid w:val="00241D16"/>
    <w:rsid w:val="00241EF4"/>
    <w:rsid w:val="002421C2"/>
    <w:rsid w:val="0024238C"/>
    <w:rsid w:val="0024290B"/>
    <w:rsid w:val="0024295F"/>
    <w:rsid w:val="00242F20"/>
    <w:rsid w:val="00243232"/>
    <w:rsid w:val="00243B30"/>
    <w:rsid w:val="002445C7"/>
    <w:rsid w:val="00245337"/>
    <w:rsid w:val="00246015"/>
    <w:rsid w:val="00246310"/>
    <w:rsid w:val="0024690A"/>
    <w:rsid w:val="00247436"/>
    <w:rsid w:val="002476C8"/>
    <w:rsid w:val="00250305"/>
    <w:rsid w:val="002506BC"/>
    <w:rsid w:val="00250F7E"/>
    <w:rsid w:val="002519B8"/>
    <w:rsid w:val="00251CCB"/>
    <w:rsid w:val="00252278"/>
    <w:rsid w:val="0025298D"/>
    <w:rsid w:val="00252D4E"/>
    <w:rsid w:val="00253699"/>
    <w:rsid w:val="00253AD6"/>
    <w:rsid w:val="00253F74"/>
    <w:rsid w:val="00254326"/>
    <w:rsid w:val="00254345"/>
    <w:rsid w:val="00254B48"/>
    <w:rsid w:val="00254F07"/>
    <w:rsid w:val="002554B6"/>
    <w:rsid w:val="0025555C"/>
    <w:rsid w:val="00255600"/>
    <w:rsid w:val="00255834"/>
    <w:rsid w:val="00255A56"/>
    <w:rsid w:val="00255AEC"/>
    <w:rsid w:val="00255B51"/>
    <w:rsid w:val="00255E61"/>
    <w:rsid w:val="00256148"/>
    <w:rsid w:val="00256159"/>
    <w:rsid w:val="00256175"/>
    <w:rsid w:val="00257FC1"/>
    <w:rsid w:val="00260499"/>
    <w:rsid w:val="0026077B"/>
    <w:rsid w:val="00260B09"/>
    <w:rsid w:val="00260DD2"/>
    <w:rsid w:val="002616B9"/>
    <w:rsid w:val="00261940"/>
    <w:rsid w:val="00261C81"/>
    <w:rsid w:val="002627F3"/>
    <w:rsid w:val="00262DB3"/>
    <w:rsid w:val="00264249"/>
    <w:rsid w:val="00264557"/>
    <w:rsid w:val="002647E2"/>
    <w:rsid w:val="00264F67"/>
    <w:rsid w:val="00265D96"/>
    <w:rsid w:val="00265E67"/>
    <w:rsid w:val="0026662C"/>
    <w:rsid w:val="00266897"/>
    <w:rsid w:val="00267652"/>
    <w:rsid w:val="002704D8"/>
    <w:rsid w:val="0027100B"/>
    <w:rsid w:val="00271875"/>
    <w:rsid w:val="00272365"/>
    <w:rsid w:val="0027282C"/>
    <w:rsid w:val="00272C59"/>
    <w:rsid w:val="002736DE"/>
    <w:rsid w:val="00273E2C"/>
    <w:rsid w:val="0027402D"/>
    <w:rsid w:val="002743BD"/>
    <w:rsid w:val="002747F0"/>
    <w:rsid w:val="00275BB1"/>
    <w:rsid w:val="00275E8D"/>
    <w:rsid w:val="00275FF9"/>
    <w:rsid w:val="00276075"/>
    <w:rsid w:val="00276E3A"/>
    <w:rsid w:val="002772D7"/>
    <w:rsid w:val="002773F0"/>
    <w:rsid w:val="00280044"/>
    <w:rsid w:val="002800EA"/>
    <w:rsid w:val="00280136"/>
    <w:rsid w:val="00280323"/>
    <w:rsid w:val="00280325"/>
    <w:rsid w:val="002805AB"/>
    <w:rsid w:val="00281423"/>
    <w:rsid w:val="002822FE"/>
    <w:rsid w:val="002825DC"/>
    <w:rsid w:val="00282B53"/>
    <w:rsid w:val="00282F78"/>
    <w:rsid w:val="0028320E"/>
    <w:rsid w:val="00284204"/>
    <w:rsid w:val="002843EC"/>
    <w:rsid w:val="002845FF"/>
    <w:rsid w:val="002861A9"/>
    <w:rsid w:val="002865DB"/>
    <w:rsid w:val="0028675C"/>
    <w:rsid w:val="00290321"/>
    <w:rsid w:val="0029135E"/>
    <w:rsid w:val="00291773"/>
    <w:rsid w:val="00292163"/>
    <w:rsid w:val="00292C62"/>
    <w:rsid w:val="0029414B"/>
    <w:rsid w:val="002946F0"/>
    <w:rsid w:val="00294BF2"/>
    <w:rsid w:val="002956A5"/>
    <w:rsid w:val="002956D0"/>
    <w:rsid w:val="00295A6D"/>
    <w:rsid w:val="0029655A"/>
    <w:rsid w:val="00296889"/>
    <w:rsid w:val="002968A6"/>
    <w:rsid w:val="002968A7"/>
    <w:rsid w:val="00296EF5"/>
    <w:rsid w:val="00297618"/>
    <w:rsid w:val="002977F6"/>
    <w:rsid w:val="00297D75"/>
    <w:rsid w:val="002A0276"/>
    <w:rsid w:val="002A05BE"/>
    <w:rsid w:val="002A09B9"/>
    <w:rsid w:val="002A141D"/>
    <w:rsid w:val="002A1579"/>
    <w:rsid w:val="002A168C"/>
    <w:rsid w:val="002A18AA"/>
    <w:rsid w:val="002A199D"/>
    <w:rsid w:val="002A2171"/>
    <w:rsid w:val="002A2AF5"/>
    <w:rsid w:val="002A2C8B"/>
    <w:rsid w:val="002A31CE"/>
    <w:rsid w:val="002A3DC7"/>
    <w:rsid w:val="002A4DF3"/>
    <w:rsid w:val="002A6933"/>
    <w:rsid w:val="002A6A25"/>
    <w:rsid w:val="002A6DAA"/>
    <w:rsid w:val="002A6E37"/>
    <w:rsid w:val="002A7B13"/>
    <w:rsid w:val="002A7D89"/>
    <w:rsid w:val="002B0852"/>
    <w:rsid w:val="002B0E26"/>
    <w:rsid w:val="002B18EC"/>
    <w:rsid w:val="002B1FFE"/>
    <w:rsid w:val="002B28F0"/>
    <w:rsid w:val="002B3890"/>
    <w:rsid w:val="002B44F0"/>
    <w:rsid w:val="002B4520"/>
    <w:rsid w:val="002B4591"/>
    <w:rsid w:val="002B497C"/>
    <w:rsid w:val="002B49DB"/>
    <w:rsid w:val="002B49E2"/>
    <w:rsid w:val="002B56D9"/>
    <w:rsid w:val="002B6625"/>
    <w:rsid w:val="002B6E6E"/>
    <w:rsid w:val="002B702C"/>
    <w:rsid w:val="002B73A4"/>
    <w:rsid w:val="002B74D6"/>
    <w:rsid w:val="002B7B00"/>
    <w:rsid w:val="002B7C44"/>
    <w:rsid w:val="002C06CF"/>
    <w:rsid w:val="002C1A80"/>
    <w:rsid w:val="002C213D"/>
    <w:rsid w:val="002C227B"/>
    <w:rsid w:val="002C23FF"/>
    <w:rsid w:val="002C244F"/>
    <w:rsid w:val="002C287E"/>
    <w:rsid w:val="002C2A3D"/>
    <w:rsid w:val="002C2B17"/>
    <w:rsid w:val="002C2E24"/>
    <w:rsid w:val="002C2FA0"/>
    <w:rsid w:val="002C3166"/>
    <w:rsid w:val="002C35E3"/>
    <w:rsid w:val="002C39A8"/>
    <w:rsid w:val="002C4647"/>
    <w:rsid w:val="002C479F"/>
    <w:rsid w:val="002C482D"/>
    <w:rsid w:val="002C50BF"/>
    <w:rsid w:val="002C58A5"/>
    <w:rsid w:val="002C646F"/>
    <w:rsid w:val="002C64AE"/>
    <w:rsid w:val="002C64F5"/>
    <w:rsid w:val="002C657A"/>
    <w:rsid w:val="002C6906"/>
    <w:rsid w:val="002C6917"/>
    <w:rsid w:val="002C7342"/>
    <w:rsid w:val="002C754B"/>
    <w:rsid w:val="002C7DAF"/>
    <w:rsid w:val="002C7DF5"/>
    <w:rsid w:val="002C7E64"/>
    <w:rsid w:val="002D0115"/>
    <w:rsid w:val="002D04E0"/>
    <w:rsid w:val="002D1DAC"/>
    <w:rsid w:val="002D1E7B"/>
    <w:rsid w:val="002D3728"/>
    <w:rsid w:val="002D3B31"/>
    <w:rsid w:val="002D3DD0"/>
    <w:rsid w:val="002D43B4"/>
    <w:rsid w:val="002D4481"/>
    <w:rsid w:val="002D469F"/>
    <w:rsid w:val="002D4F74"/>
    <w:rsid w:val="002D5377"/>
    <w:rsid w:val="002D53E0"/>
    <w:rsid w:val="002D58D1"/>
    <w:rsid w:val="002D5D6C"/>
    <w:rsid w:val="002D6310"/>
    <w:rsid w:val="002D7BAC"/>
    <w:rsid w:val="002E0635"/>
    <w:rsid w:val="002E0D48"/>
    <w:rsid w:val="002E11EB"/>
    <w:rsid w:val="002E1673"/>
    <w:rsid w:val="002E1F3A"/>
    <w:rsid w:val="002E21CE"/>
    <w:rsid w:val="002E28C7"/>
    <w:rsid w:val="002E298A"/>
    <w:rsid w:val="002E451D"/>
    <w:rsid w:val="002E4A71"/>
    <w:rsid w:val="002E504E"/>
    <w:rsid w:val="002E5199"/>
    <w:rsid w:val="002E5803"/>
    <w:rsid w:val="002E5964"/>
    <w:rsid w:val="002E5E28"/>
    <w:rsid w:val="002E6822"/>
    <w:rsid w:val="002E7124"/>
    <w:rsid w:val="002E7E10"/>
    <w:rsid w:val="002F0DBA"/>
    <w:rsid w:val="002F102A"/>
    <w:rsid w:val="002F1331"/>
    <w:rsid w:val="002F190C"/>
    <w:rsid w:val="002F19D8"/>
    <w:rsid w:val="002F1DB5"/>
    <w:rsid w:val="002F23AE"/>
    <w:rsid w:val="002F29F0"/>
    <w:rsid w:val="002F304F"/>
    <w:rsid w:val="002F3127"/>
    <w:rsid w:val="002F47CC"/>
    <w:rsid w:val="002F4BE5"/>
    <w:rsid w:val="002F55C4"/>
    <w:rsid w:val="002F5989"/>
    <w:rsid w:val="002F5A66"/>
    <w:rsid w:val="002F61ED"/>
    <w:rsid w:val="002F6282"/>
    <w:rsid w:val="002F6750"/>
    <w:rsid w:val="002F6CFD"/>
    <w:rsid w:val="002F7034"/>
    <w:rsid w:val="002F795F"/>
    <w:rsid w:val="00300A1F"/>
    <w:rsid w:val="00300BA6"/>
    <w:rsid w:val="00301702"/>
    <w:rsid w:val="00301978"/>
    <w:rsid w:val="00301D1C"/>
    <w:rsid w:val="00302002"/>
    <w:rsid w:val="0030248C"/>
    <w:rsid w:val="0030287D"/>
    <w:rsid w:val="00302CBF"/>
    <w:rsid w:val="00302DAE"/>
    <w:rsid w:val="00303316"/>
    <w:rsid w:val="0030332C"/>
    <w:rsid w:val="003036D5"/>
    <w:rsid w:val="00304042"/>
    <w:rsid w:val="003042EF"/>
    <w:rsid w:val="00304BE5"/>
    <w:rsid w:val="003051C2"/>
    <w:rsid w:val="003053D3"/>
    <w:rsid w:val="00305B00"/>
    <w:rsid w:val="00305E10"/>
    <w:rsid w:val="003060CC"/>
    <w:rsid w:val="00306125"/>
    <w:rsid w:val="003062E6"/>
    <w:rsid w:val="003063C9"/>
    <w:rsid w:val="0030706B"/>
    <w:rsid w:val="00307492"/>
    <w:rsid w:val="003074D0"/>
    <w:rsid w:val="00307A92"/>
    <w:rsid w:val="00310299"/>
    <w:rsid w:val="0031098C"/>
    <w:rsid w:val="00310C7E"/>
    <w:rsid w:val="00312296"/>
    <w:rsid w:val="003125BD"/>
    <w:rsid w:val="00312991"/>
    <w:rsid w:val="00312D62"/>
    <w:rsid w:val="0031313D"/>
    <w:rsid w:val="0031384A"/>
    <w:rsid w:val="00313A02"/>
    <w:rsid w:val="00313C23"/>
    <w:rsid w:val="00313C3E"/>
    <w:rsid w:val="00314039"/>
    <w:rsid w:val="00314CAE"/>
    <w:rsid w:val="00314ED9"/>
    <w:rsid w:val="00314F0E"/>
    <w:rsid w:val="00315733"/>
    <w:rsid w:val="00315BD0"/>
    <w:rsid w:val="0031661F"/>
    <w:rsid w:val="00316961"/>
    <w:rsid w:val="00316C36"/>
    <w:rsid w:val="0032024C"/>
    <w:rsid w:val="0032057F"/>
    <w:rsid w:val="00320ECD"/>
    <w:rsid w:val="0032113A"/>
    <w:rsid w:val="003216BA"/>
    <w:rsid w:val="00321BA1"/>
    <w:rsid w:val="00321D8E"/>
    <w:rsid w:val="00322B7A"/>
    <w:rsid w:val="0032385A"/>
    <w:rsid w:val="00323C11"/>
    <w:rsid w:val="00323CAF"/>
    <w:rsid w:val="00323E51"/>
    <w:rsid w:val="0032446D"/>
    <w:rsid w:val="00324E24"/>
    <w:rsid w:val="00325928"/>
    <w:rsid w:val="00325F15"/>
    <w:rsid w:val="00326431"/>
    <w:rsid w:val="003264DA"/>
    <w:rsid w:val="00327089"/>
    <w:rsid w:val="0032793E"/>
    <w:rsid w:val="00330232"/>
    <w:rsid w:val="00330C13"/>
    <w:rsid w:val="00330CED"/>
    <w:rsid w:val="00331287"/>
    <w:rsid w:val="00332762"/>
    <w:rsid w:val="00332863"/>
    <w:rsid w:val="00332D48"/>
    <w:rsid w:val="00332F5E"/>
    <w:rsid w:val="00332FF3"/>
    <w:rsid w:val="003333DE"/>
    <w:rsid w:val="003335B4"/>
    <w:rsid w:val="00333AD4"/>
    <w:rsid w:val="00334FBF"/>
    <w:rsid w:val="003356F4"/>
    <w:rsid w:val="003357A9"/>
    <w:rsid w:val="00335984"/>
    <w:rsid w:val="00335E13"/>
    <w:rsid w:val="0033684D"/>
    <w:rsid w:val="00336ED7"/>
    <w:rsid w:val="00337B42"/>
    <w:rsid w:val="00337CD1"/>
    <w:rsid w:val="00340343"/>
    <w:rsid w:val="003403D5"/>
    <w:rsid w:val="00341257"/>
    <w:rsid w:val="00341B42"/>
    <w:rsid w:val="003427FA"/>
    <w:rsid w:val="003431D6"/>
    <w:rsid w:val="003433CC"/>
    <w:rsid w:val="0034348F"/>
    <w:rsid w:val="00343AC5"/>
    <w:rsid w:val="00343B90"/>
    <w:rsid w:val="003440AD"/>
    <w:rsid w:val="003444E1"/>
    <w:rsid w:val="003448F0"/>
    <w:rsid w:val="00344EAB"/>
    <w:rsid w:val="003451EA"/>
    <w:rsid w:val="003453E4"/>
    <w:rsid w:val="00346590"/>
    <w:rsid w:val="003465EB"/>
    <w:rsid w:val="003467D1"/>
    <w:rsid w:val="00346899"/>
    <w:rsid w:val="00346A28"/>
    <w:rsid w:val="00346BB7"/>
    <w:rsid w:val="00346D10"/>
    <w:rsid w:val="00346F7E"/>
    <w:rsid w:val="0035035C"/>
    <w:rsid w:val="003511FD"/>
    <w:rsid w:val="003525AE"/>
    <w:rsid w:val="00352FB7"/>
    <w:rsid w:val="00353AE4"/>
    <w:rsid w:val="00353B9D"/>
    <w:rsid w:val="00353D4A"/>
    <w:rsid w:val="003541EB"/>
    <w:rsid w:val="0035443E"/>
    <w:rsid w:val="0035461E"/>
    <w:rsid w:val="00354899"/>
    <w:rsid w:val="00354F12"/>
    <w:rsid w:val="0035536A"/>
    <w:rsid w:val="00355DAA"/>
    <w:rsid w:val="00356195"/>
    <w:rsid w:val="00356653"/>
    <w:rsid w:val="00356905"/>
    <w:rsid w:val="00356B36"/>
    <w:rsid w:val="0035743F"/>
    <w:rsid w:val="00357668"/>
    <w:rsid w:val="00357BE2"/>
    <w:rsid w:val="003602E9"/>
    <w:rsid w:val="0036061F"/>
    <w:rsid w:val="00361539"/>
    <w:rsid w:val="0036170C"/>
    <w:rsid w:val="00361DBF"/>
    <w:rsid w:val="00361E8E"/>
    <w:rsid w:val="0036226F"/>
    <w:rsid w:val="00362A71"/>
    <w:rsid w:val="003637C7"/>
    <w:rsid w:val="00363993"/>
    <w:rsid w:val="003646C2"/>
    <w:rsid w:val="003649B9"/>
    <w:rsid w:val="00364A93"/>
    <w:rsid w:val="00364F50"/>
    <w:rsid w:val="0036581F"/>
    <w:rsid w:val="00365D94"/>
    <w:rsid w:val="00366E0F"/>
    <w:rsid w:val="003676E1"/>
    <w:rsid w:val="003677CA"/>
    <w:rsid w:val="00367867"/>
    <w:rsid w:val="003679CD"/>
    <w:rsid w:val="00370DEE"/>
    <w:rsid w:val="00371241"/>
    <w:rsid w:val="003720A0"/>
    <w:rsid w:val="00372457"/>
    <w:rsid w:val="00372CE5"/>
    <w:rsid w:val="003739A1"/>
    <w:rsid w:val="00374090"/>
    <w:rsid w:val="00374266"/>
    <w:rsid w:val="00374BF3"/>
    <w:rsid w:val="00374D6E"/>
    <w:rsid w:val="0037586F"/>
    <w:rsid w:val="00375B1E"/>
    <w:rsid w:val="0037665B"/>
    <w:rsid w:val="00376C88"/>
    <w:rsid w:val="00376F82"/>
    <w:rsid w:val="003777A4"/>
    <w:rsid w:val="00377C96"/>
    <w:rsid w:val="00377E3C"/>
    <w:rsid w:val="00377F53"/>
    <w:rsid w:val="003800C4"/>
    <w:rsid w:val="003800F4"/>
    <w:rsid w:val="0038026E"/>
    <w:rsid w:val="00380A94"/>
    <w:rsid w:val="00380DB8"/>
    <w:rsid w:val="003818B1"/>
    <w:rsid w:val="00381A72"/>
    <w:rsid w:val="00382714"/>
    <w:rsid w:val="003835E4"/>
    <w:rsid w:val="00383B97"/>
    <w:rsid w:val="0038403F"/>
    <w:rsid w:val="0038444E"/>
    <w:rsid w:val="003845D8"/>
    <w:rsid w:val="00384676"/>
    <w:rsid w:val="00384789"/>
    <w:rsid w:val="00384944"/>
    <w:rsid w:val="00384B6C"/>
    <w:rsid w:val="00386431"/>
    <w:rsid w:val="0038663B"/>
    <w:rsid w:val="00386752"/>
    <w:rsid w:val="00390857"/>
    <w:rsid w:val="00390C5A"/>
    <w:rsid w:val="00390DDD"/>
    <w:rsid w:val="00391F29"/>
    <w:rsid w:val="00392DF8"/>
    <w:rsid w:val="00392E6F"/>
    <w:rsid w:val="003935B7"/>
    <w:rsid w:val="0039435E"/>
    <w:rsid w:val="003944A4"/>
    <w:rsid w:val="00394C66"/>
    <w:rsid w:val="003953EF"/>
    <w:rsid w:val="00395B05"/>
    <w:rsid w:val="00395B4A"/>
    <w:rsid w:val="00396C9F"/>
    <w:rsid w:val="00397284"/>
    <w:rsid w:val="003A0874"/>
    <w:rsid w:val="003A2EFA"/>
    <w:rsid w:val="003A3125"/>
    <w:rsid w:val="003A48DF"/>
    <w:rsid w:val="003A4A83"/>
    <w:rsid w:val="003A4B7B"/>
    <w:rsid w:val="003A4BF3"/>
    <w:rsid w:val="003A5028"/>
    <w:rsid w:val="003A541C"/>
    <w:rsid w:val="003A5830"/>
    <w:rsid w:val="003A5B87"/>
    <w:rsid w:val="003A5F63"/>
    <w:rsid w:val="003A6234"/>
    <w:rsid w:val="003A64DD"/>
    <w:rsid w:val="003A6586"/>
    <w:rsid w:val="003A69B5"/>
    <w:rsid w:val="003A729F"/>
    <w:rsid w:val="003A754C"/>
    <w:rsid w:val="003A7DB7"/>
    <w:rsid w:val="003A7E79"/>
    <w:rsid w:val="003B015B"/>
    <w:rsid w:val="003B01F3"/>
    <w:rsid w:val="003B02BC"/>
    <w:rsid w:val="003B0D32"/>
    <w:rsid w:val="003B111E"/>
    <w:rsid w:val="003B14E8"/>
    <w:rsid w:val="003B1542"/>
    <w:rsid w:val="003B23DB"/>
    <w:rsid w:val="003B37D5"/>
    <w:rsid w:val="003B3948"/>
    <w:rsid w:val="003B420D"/>
    <w:rsid w:val="003B4457"/>
    <w:rsid w:val="003B46E6"/>
    <w:rsid w:val="003B4DAB"/>
    <w:rsid w:val="003B4DDB"/>
    <w:rsid w:val="003B4E6A"/>
    <w:rsid w:val="003B51B1"/>
    <w:rsid w:val="003B5466"/>
    <w:rsid w:val="003B6AF4"/>
    <w:rsid w:val="003C09D9"/>
    <w:rsid w:val="003C103E"/>
    <w:rsid w:val="003C133E"/>
    <w:rsid w:val="003C18E1"/>
    <w:rsid w:val="003C1BAB"/>
    <w:rsid w:val="003C2D3D"/>
    <w:rsid w:val="003C43F3"/>
    <w:rsid w:val="003C452D"/>
    <w:rsid w:val="003C4C24"/>
    <w:rsid w:val="003C5E41"/>
    <w:rsid w:val="003C633E"/>
    <w:rsid w:val="003C68B3"/>
    <w:rsid w:val="003C6C10"/>
    <w:rsid w:val="003C6C16"/>
    <w:rsid w:val="003C75E5"/>
    <w:rsid w:val="003C779E"/>
    <w:rsid w:val="003C78B3"/>
    <w:rsid w:val="003D01F7"/>
    <w:rsid w:val="003D0460"/>
    <w:rsid w:val="003D096D"/>
    <w:rsid w:val="003D0B0C"/>
    <w:rsid w:val="003D17EA"/>
    <w:rsid w:val="003D1F83"/>
    <w:rsid w:val="003D2325"/>
    <w:rsid w:val="003D25A9"/>
    <w:rsid w:val="003D2B42"/>
    <w:rsid w:val="003D3D40"/>
    <w:rsid w:val="003D4502"/>
    <w:rsid w:val="003D4F21"/>
    <w:rsid w:val="003D5CD2"/>
    <w:rsid w:val="003D5FEC"/>
    <w:rsid w:val="003D621E"/>
    <w:rsid w:val="003D6AC4"/>
    <w:rsid w:val="003D6E99"/>
    <w:rsid w:val="003D737F"/>
    <w:rsid w:val="003D75F1"/>
    <w:rsid w:val="003D794D"/>
    <w:rsid w:val="003D7B16"/>
    <w:rsid w:val="003D7B8B"/>
    <w:rsid w:val="003E04EC"/>
    <w:rsid w:val="003E0609"/>
    <w:rsid w:val="003E07D6"/>
    <w:rsid w:val="003E0A83"/>
    <w:rsid w:val="003E2519"/>
    <w:rsid w:val="003E2902"/>
    <w:rsid w:val="003E2DC7"/>
    <w:rsid w:val="003E2E1F"/>
    <w:rsid w:val="003E3058"/>
    <w:rsid w:val="003E3531"/>
    <w:rsid w:val="003E3A65"/>
    <w:rsid w:val="003E4009"/>
    <w:rsid w:val="003E4BDA"/>
    <w:rsid w:val="003E4E10"/>
    <w:rsid w:val="003E57FF"/>
    <w:rsid w:val="003E5B83"/>
    <w:rsid w:val="003E62EA"/>
    <w:rsid w:val="003E6770"/>
    <w:rsid w:val="003E6C96"/>
    <w:rsid w:val="003E76A9"/>
    <w:rsid w:val="003E790F"/>
    <w:rsid w:val="003F0809"/>
    <w:rsid w:val="003F1CC3"/>
    <w:rsid w:val="003F2107"/>
    <w:rsid w:val="003F27FF"/>
    <w:rsid w:val="003F2DAA"/>
    <w:rsid w:val="003F4031"/>
    <w:rsid w:val="003F41EB"/>
    <w:rsid w:val="003F4D8D"/>
    <w:rsid w:val="003F52AE"/>
    <w:rsid w:val="003F53D7"/>
    <w:rsid w:val="003F5532"/>
    <w:rsid w:val="003F5EBF"/>
    <w:rsid w:val="003F6A8C"/>
    <w:rsid w:val="003F6B41"/>
    <w:rsid w:val="003F6EF4"/>
    <w:rsid w:val="003F735F"/>
    <w:rsid w:val="003F7382"/>
    <w:rsid w:val="003F755C"/>
    <w:rsid w:val="003F7DB6"/>
    <w:rsid w:val="0040062A"/>
    <w:rsid w:val="0040070F"/>
    <w:rsid w:val="00400788"/>
    <w:rsid w:val="00401471"/>
    <w:rsid w:val="004018CB"/>
    <w:rsid w:val="004020CA"/>
    <w:rsid w:val="004022E0"/>
    <w:rsid w:val="00402A80"/>
    <w:rsid w:val="00402FBD"/>
    <w:rsid w:val="00403943"/>
    <w:rsid w:val="00404503"/>
    <w:rsid w:val="00405FD4"/>
    <w:rsid w:val="004068D3"/>
    <w:rsid w:val="00406F01"/>
    <w:rsid w:val="00407303"/>
    <w:rsid w:val="00407C51"/>
    <w:rsid w:val="00407C8B"/>
    <w:rsid w:val="004102C6"/>
    <w:rsid w:val="0041092F"/>
    <w:rsid w:val="00410F1D"/>
    <w:rsid w:val="00410F9B"/>
    <w:rsid w:val="0041149E"/>
    <w:rsid w:val="004127CB"/>
    <w:rsid w:val="00412B8B"/>
    <w:rsid w:val="004133FA"/>
    <w:rsid w:val="004139AA"/>
    <w:rsid w:val="0041539F"/>
    <w:rsid w:val="004157E5"/>
    <w:rsid w:val="0041593F"/>
    <w:rsid w:val="00416550"/>
    <w:rsid w:val="00416D50"/>
    <w:rsid w:val="00416DBD"/>
    <w:rsid w:val="00416FD5"/>
    <w:rsid w:val="00417772"/>
    <w:rsid w:val="00420531"/>
    <w:rsid w:val="004209C6"/>
    <w:rsid w:val="00420C6B"/>
    <w:rsid w:val="00420C96"/>
    <w:rsid w:val="00420E6A"/>
    <w:rsid w:val="00421518"/>
    <w:rsid w:val="0042177B"/>
    <w:rsid w:val="00422118"/>
    <w:rsid w:val="004223F2"/>
    <w:rsid w:val="004225B6"/>
    <w:rsid w:val="00422ECF"/>
    <w:rsid w:val="004232A4"/>
    <w:rsid w:val="00423548"/>
    <w:rsid w:val="00423CC6"/>
    <w:rsid w:val="004244C0"/>
    <w:rsid w:val="0042462D"/>
    <w:rsid w:val="00424F54"/>
    <w:rsid w:val="00425A9E"/>
    <w:rsid w:val="00426206"/>
    <w:rsid w:val="00426558"/>
    <w:rsid w:val="00426D28"/>
    <w:rsid w:val="00426D6B"/>
    <w:rsid w:val="00426F4E"/>
    <w:rsid w:val="00426F77"/>
    <w:rsid w:val="004272B8"/>
    <w:rsid w:val="004276F9"/>
    <w:rsid w:val="004279BE"/>
    <w:rsid w:val="00427AF3"/>
    <w:rsid w:val="00430026"/>
    <w:rsid w:val="004303C0"/>
    <w:rsid w:val="00431929"/>
    <w:rsid w:val="00431A2E"/>
    <w:rsid w:val="00431E6C"/>
    <w:rsid w:val="00431FB5"/>
    <w:rsid w:val="00432304"/>
    <w:rsid w:val="00432A34"/>
    <w:rsid w:val="00432E98"/>
    <w:rsid w:val="00432F80"/>
    <w:rsid w:val="0043341D"/>
    <w:rsid w:val="00433A93"/>
    <w:rsid w:val="00433CE7"/>
    <w:rsid w:val="004358DF"/>
    <w:rsid w:val="00435EBB"/>
    <w:rsid w:val="00436F95"/>
    <w:rsid w:val="0043713E"/>
    <w:rsid w:val="00437162"/>
    <w:rsid w:val="004373B8"/>
    <w:rsid w:val="004378B7"/>
    <w:rsid w:val="004404A5"/>
    <w:rsid w:val="00440632"/>
    <w:rsid w:val="00440937"/>
    <w:rsid w:val="00440DA3"/>
    <w:rsid w:val="004412CF"/>
    <w:rsid w:val="004414A2"/>
    <w:rsid w:val="0044292D"/>
    <w:rsid w:val="00442D31"/>
    <w:rsid w:val="004435C6"/>
    <w:rsid w:val="00443843"/>
    <w:rsid w:val="004444A5"/>
    <w:rsid w:val="0044487A"/>
    <w:rsid w:val="004449AB"/>
    <w:rsid w:val="00444BEC"/>
    <w:rsid w:val="0044592A"/>
    <w:rsid w:val="00446DBD"/>
    <w:rsid w:val="004478BB"/>
    <w:rsid w:val="00450347"/>
    <w:rsid w:val="00450643"/>
    <w:rsid w:val="00450C0A"/>
    <w:rsid w:val="00450E97"/>
    <w:rsid w:val="00451754"/>
    <w:rsid w:val="00451EDA"/>
    <w:rsid w:val="00452738"/>
    <w:rsid w:val="00452874"/>
    <w:rsid w:val="00452A21"/>
    <w:rsid w:val="00452B4E"/>
    <w:rsid w:val="004532BE"/>
    <w:rsid w:val="004533AB"/>
    <w:rsid w:val="0045346C"/>
    <w:rsid w:val="004538D0"/>
    <w:rsid w:val="004539C9"/>
    <w:rsid w:val="00453B33"/>
    <w:rsid w:val="004543FD"/>
    <w:rsid w:val="00454757"/>
    <w:rsid w:val="004548D0"/>
    <w:rsid w:val="004548FD"/>
    <w:rsid w:val="00454E53"/>
    <w:rsid w:val="004556AC"/>
    <w:rsid w:val="00456091"/>
    <w:rsid w:val="004566B9"/>
    <w:rsid w:val="00456991"/>
    <w:rsid w:val="0045733C"/>
    <w:rsid w:val="00457898"/>
    <w:rsid w:val="00457BF4"/>
    <w:rsid w:val="00457D97"/>
    <w:rsid w:val="00462524"/>
    <w:rsid w:val="004625BF"/>
    <w:rsid w:val="0046280B"/>
    <w:rsid w:val="00462B2D"/>
    <w:rsid w:val="00462B3D"/>
    <w:rsid w:val="00463249"/>
    <w:rsid w:val="004633F9"/>
    <w:rsid w:val="00463C14"/>
    <w:rsid w:val="00463FA7"/>
    <w:rsid w:val="00464619"/>
    <w:rsid w:val="0046522C"/>
    <w:rsid w:val="004658C2"/>
    <w:rsid w:val="00466321"/>
    <w:rsid w:val="00467042"/>
    <w:rsid w:val="00467BFC"/>
    <w:rsid w:val="00470D93"/>
    <w:rsid w:val="00471003"/>
    <w:rsid w:val="00471124"/>
    <w:rsid w:val="0047274A"/>
    <w:rsid w:val="00472E0A"/>
    <w:rsid w:val="00472E47"/>
    <w:rsid w:val="00472E79"/>
    <w:rsid w:val="00473291"/>
    <w:rsid w:val="00473324"/>
    <w:rsid w:val="00473950"/>
    <w:rsid w:val="00473E9D"/>
    <w:rsid w:val="00473FF1"/>
    <w:rsid w:val="004741F3"/>
    <w:rsid w:val="0047446F"/>
    <w:rsid w:val="00474893"/>
    <w:rsid w:val="00475088"/>
    <w:rsid w:val="00476A75"/>
    <w:rsid w:val="00476F5F"/>
    <w:rsid w:val="004771D4"/>
    <w:rsid w:val="00477F88"/>
    <w:rsid w:val="004806D4"/>
    <w:rsid w:val="004814D7"/>
    <w:rsid w:val="00481782"/>
    <w:rsid w:val="004819F6"/>
    <w:rsid w:val="00482540"/>
    <w:rsid w:val="00482642"/>
    <w:rsid w:val="00482666"/>
    <w:rsid w:val="004827DD"/>
    <w:rsid w:val="00482B82"/>
    <w:rsid w:val="00482DF6"/>
    <w:rsid w:val="004838EE"/>
    <w:rsid w:val="004839E7"/>
    <w:rsid w:val="004846C3"/>
    <w:rsid w:val="00484B9B"/>
    <w:rsid w:val="004855F6"/>
    <w:rsid w:val="0048574E"/>
    <w:rsid w:val="004857A2"/>
    <w:rsid w:val="004860B6"/>
    <w:rsid w:val="0048625C"/>
    <w:rsid w:val="0048661E"/>
    <w:rsid w:val="00487080"/>
    <w:rsid w:val="004872F3"/>
    <w:rsid w:val="0049070D"/>
    <w:rsid w:val="00490B3D"/>
    <w:rsid w:val="00490C35"/>
    <w:rsid w:val="004912C6"/>
    <w:rsid w:val="00492DC9"/>
    <w:rsid w:val="00493D5D"/>
    <w:rsid w:val="00494670"/>
    <w:rsid w:val="0049498C"/>
    <w:rsid w:val="004950B9"/>
    <w:rsid w:val="0049563C"/>
    <w:rsid w:val="004957F4"/>
    <w:rsid w:val="00496D25"/>
    <w:rsid w:val="00497E65"/>
    <w:rsid w:val="004A0514"/>
    <w:rsid w:val="004A06C7"/>
    <w:rsid w:val="004A086F"/>
    <w:rsid w:val="004A12FB"/>
    <w:rsid w:val="004A1A71"/>
    <w:rsid w:val="004A2D94"/>
    <w:rsid w:val="004A3632"/>
    <w:rsid w:val="004A3823"/>
    <w:rsid w:val="004A49F2"/>
    <w:rsid w:val="004A4E21"/>
    <w:rsid w:val="004A5981"/>
    <w:rsid w:val="004A5D68"/>
    <w:rsid w:val="004A5EC1"/>
    <w:rsid w:val="004A690D"/>
    <w:rsid w:val="004A7156"/>
    <w:rsid w:val="004A7CB4"/>
    <w:rsid w:val="004B083D"/>
    <w:rsid w:val="004B087A"/>
    <w:rsid w:val="004B0B66"/>
    <w:rsid w:val="004B0D01"/>
    <w:rsid w:val="004B1434"/>
    <w:rsid w:val="004B1485"/>
    <w:rsid w:val="004B219F"/>
    <w:rsid w:val="004B21E6"/>
    <w:rsid w:val="004B29F5"/>
    <w:rsid w:val="004B2B84"/>
    <w:rsid w:val="004B3680"/>
    <w:rsid w:val="004B4655"/>
    <w:rsid w:val="004B4872"/>
    <w:rsid w:val="004B4934"/>
    <w:rsid w:val="004B4DDA"/>
    <w:rsid w:val="004B53D8"/>
    <w:rsid w:val="004B58C5"/>
    <w:rsid w:val="004B5B29"/>
    <w:rsid w:val="004B60A9"/>
    <w:rsid w:val="004B6750"/>
    <w:rsid w:val="004B6F05"/>
    <w:rsid w:val="004B724B"/>
    <w:rsid w:val="004B73C9"/>
    <w:rsid w:val="004B7472"/>
    <w:rsid w:val="004B7624"/>
    <w:rsid w:val="004B77EE"/>
    <w:rsid w:val="004C0FBA"/>
    <w:rsid w:val="004C186A"/>
    <w:rsid w:val="004C22CF"/>
    <w:rsid w:val="004C24E6"/>
    <w:rsid w:val="004C2F39"/>
    <w:rsid w:val="004C3E96"/>
    <w:rsid w:val="004C4757"/>
    <w:rsid w:val="004C49B8"/>
    <w:rsid w:val="004C50DD"/>
    <w:rsid w:val="004C61C7"/>
    <w:rsid w:val="004C642C"/>
    <w:rsid w:val="004C70D2"/>
    <w:rsid w:val="004C768B"/>
    <w:rsid w:val="004C7773"/>
    <w:rsid w:val="004D05E7"/>
    <w:rsid w:val="004D0D5A"/>
    <w:rsid w:val="004D0F2C"/>
    <w:rsid w:val="004D205A"/>
    <w:rsid w:val="004D273D"/>
    <w:rsid w:val="004D410D"/>
    <w:rsid w:val="004D41FC"/>
    <w:rsid w:val="004D5D56"/>
    <w:rsid w:val="004D6298"/>
    <w:rsid w:val="004D6356"/>
    <w:rsid w:val="004D6D6D"/>
    <w:rsid w:val="004D6F8C"/>
    <w:rsid w:val="004D73A9"/>
    <w:rsid w:val="004D79B4"/>
    <w:rsid w:val="004D7B65"/>
    <w:rsid w:val="004E06D3"/>
    <w:rsid w:val="004E0745"/>
    <w:rsid w:val="004E1324"/>
    <w:rsid w:val="004E1AE9"/>
    <w:rsid w:val="004E1E21"/>
    <w:rsid w:val="004E29B9"/>
    <w:rsid w:val="004E2D67"/>
    <w:rsid w:val="004E34B6"/>
    <w:rsid w:val="004E4154"/>
    <w:rsid w:val="004E4209"/>
    <w:rsid w:val="004E4E3F"/>
    <w:rsid w:val="004E4FD3"/>
    <w:rsid w:val="004E5211"/>
    <w:rsid w:val="004E5B69"/>
    <w:rsid w:val="004E632D"/>
    <w:rsid w:val="004E64CE"/>
    <w:rsid w:val="004E6946"/>
    <w:rsid w:val="004F099C"/>
    <w:rsid w:val="004F0DDA"/>
    <w:rsid w:val="004F1191"/>
    <w:rsid w:val="004F12D5"/>
    <w:rsid w:val="004F1AD8"/>
    <w:rsid w:val="004F1CC0"/>
    <w:rsid w:val="004F23B3"/>
    <w:rsid w:val="004F2430"/>
    <w:rsid w:val="004F2618"/>
    <w:rsid w:val="004F2BAB"/>
    <w:rsid w:val="004F2DC7"/>
    <w:rsid w:val="004F34B5"/>
    <w:rsid w:val="004F397E"/>
    <w:rsid w:val="004F3C1C"/>
    <w:rsid w:val="004F49AD"/>
    <w:rsid w:val="004F507E"/>
    <w:rsid w:val="004F61E4"/>
    <w:rsid w:val="004F6863"/>
    <w:rsid w:val="004F6A27"/>
    <w:rsid w:val="004F7011"/>
    <w:rsid w:val="004F7B0C"/>
    <w:rsid w:val="005009D5"/>
    <w:rsid w:val="00500DFE"/>
    <w:rsid w:val="00500FCB"/>
    <w:rsid w:val="00501ACD"/>
    <w:rsid w:val="00501AF7"/>
    <w:rsid w:val="00501CA7"/>
    <w:rsid w:val="0050203F"/>
    <w:rsid w:val="005022EF"/>
    <w:rsid w:val="00502C03"/>
    <w:rsid w:val="00503533"/>
    <w:rsid w:val="00503744"/>
    <w:rsid w:val="005039CB"/>
    <w:rsid w:val="00503BFD"/>
    <w:rsid w:val="005046CB"/>
    <w:rsid w:val="0050558F"/>
    <w:rsid w:val="00505CEB"/>
    <w:rsid w:val="00506286"/>
    <w:rsid w:val="005065F3"/>
    <w:rsid w:val="00507E56"/>
    <w:rsid w:val="00510223"/>
    <w:rsid w:val="00510813"/>
    <w:rsid w:val="00510F82"/>
    <w:rsid w:val="00511082"/>
    <w:rsid w:val="00511990"/>
    <w:rsid w:val="00511A29"/>
    <w:rsid w:val="00511DE0"/>
    <w:rsid w:val="0051242A"/>
    <w:rsid w:val="00512537"/>
    <w:rsid w:val="005127AE"/>
    <w:rsid w:val="00512863"/>
    <w:rsid w:val="00512C55"/>
    <w:rsid w:val="00512CE3"/>
    <w:rsid w:val="0051333E"/>
    <w:rsid w:val="00513DEB"/>
    <w:rsid w:val="005141B7"/>
    <w:rsid w:val="005147AC"/>
    <w:rsid w:val="0051480A"/>
    <w:rsid w:val="00514870"/>
    <w:rsid w:val="00514B9B"/>
    <w:rsid w:val="00515653"/>
    <w:rsid w:val="005163CA"/>
    <w:rsid w:val="00516E66"/>
    <w:rsid w:val="005172E6"/>
    <w:rsid w:val="00517D75"/>
    <w:rsid w:val="00517DAB"/>
    <w:rsid w:val="00517F02"/>
    <w:rsid w:val="005204C8"/>
    <w:rsid w:val="005204CC"/>
    <w:rsid w:val="005207CB"/>
    <w:rsid w:val="005215C9"/>
    <w:rsid w:val="00522257"/>
    <w:rsid w:val="00522B92"/>
    <w:rsid w:val="005234F5"/>
    <w:rsid w:val="00523735"/>
    <w:rsid w:val="005239EE"/>
    <w:rsid w:val="00523BB5"/>
    <w:rsid w:val="00524303"/>
    <w:rsid w:val="00524305"/>
    <w:rsid w:val="00524596"/>
    <w:rsid w:val="00524D45"/>
    <w:rsid w:val="00524F79"/>
    <w:rsid w:val="005258A2"/>
    <w:rsid w:val="00525B8F"/>
    <w:rsid w:val="00525C16"/>
    <w:rsid w:val="00525CA1"/>
    <w:rsid w:val="00526FBF"/>
    <w:rsid w:val="00530275"/>
    <w:rsid w:val="00530F51"/>
    <w:rsid w:val="005313A2"/>
    <w:rsid w:val="005313A9"/>
    <w:rsid w:val="00531AC3"/>
    <w:rsid w:val="0053219F"/>
    <w:rsid w:val="00532CC4"/>
    <w:rsid w:val="00533AFC"/>
    <w:rsid w:val="00533D5B"/>
    <w:rsid w:val="005347EC"/>
    <w:rsid w:val="005349E5"/>
    <w:rsid w:val="00534CFF"/>
    <w:rsid w:val="0053515B"/>
    <w:rsid w:val="005401AE"/>
    <w:rsid w:val="0054108B"/>
    <w:rsid w:val="00541E56"/>
    <w:rsid w:val="00542419"/>
    <w:rsid w:val="00542B35"/>
    <w:rsid w:val="00542E07"/>
    <w:rsid w:val="005430C8"/>
    <w:rsid w:val="00544636"/>
    <w:rsid w:val="00544DFF"/>
    <w:rsid w:val="00545424"/>
    <w:rsid w:val="005459C8"/>
    <w:rsid w:val="00546492"/>
    <w:rsid w:val="00546651"/>
    <w:rsid w:val="00546A94"/>
    <w:rsid w:val="0055022D"/>
    <w:rsid w:val="0055099E"/>
    <w:rsid w:val="005513B7"/>
    <w:rsid w:val="00551CE3"/>
    <w:rsid w:val="00551E7E"/>
    <w:rsid w:val="00552640"/>
    <w:rsid w:val="00552777"/>
    <w:rsid w:val="00552F04"/>
    <w:rsid w:val="005545A8"/>
    <w:rsid w:val="00554A7B"/>
    <w:rsid w:val="0055572C"/>
    <w:rsid w:val="00555D87"/>
    <w:rsid w:val="005562C5"/>
    <w:rsid w:val="00556E2F"/>
    <w:rsid w:val="00557B3C"/>
    <w:rsid w:val="0056008B"/>
    <w:rsid w:val="00560C74"/>
    <w:rsid w:val="00560D94"/>
    <w:rsid w:val="0056106A"/>
    <w:rsid w:val="005611A5"/>
    <w:rsid w:val="00561478"/>
    <w:rsid w:val="00561A33"/>
    <w:rsid w:val="00561BC0"/>
    <w:rsid w:val="00561F9A"/>
    <w:rsid w:val="0056233A"/>
    <w:rsid w:val="00562457"/>
    <w:rsid w:val="005627A1"/>
    <w:rsid w:val="00562BD8"/>
    <w:rsid w:val="0056321F"/>
    <w:rsid w:val="00563B33"/>
    <w:rsid w:val="0056402A"/>
    <w:rsid w:val="005643F7"/>
    <w:rsid w:val="005646F1"/>
    <w:rsid w:val="00564C66"/>
    <w:rsid w:val="00564CA8"/>
    <w:rsid w:val="005655BE"/>
    <w:rsid w:val="00565F30"/>
    <w:rsid w:val="005667BC"/>
    <w:rsid w:val="00566B93"/>
    <w:rsid w:val="0056758D"/>
    <w:rsid w:val="00570240"/>
    <w:rsid w:val="00570F32"/>
    <w:rsid w:val="0057112C"/>
    <w:rsid w:val="005720AE"/>
    <w:rsid w:val="005727BB"/>
    <w:rsid w:val="00573B2F"/>
    <w:rsid w:val="00573D1A"/>
    <w:rsid w:val="00574DDE"/>
    <w:rsid w:val="00574DEA"/>
    <w:rsid w:val="00575B54"/>
    <w:rsid w:val="00575E57"/>
    <w:rsid w:val="005767AD"/>
    <w:rsid w:val="005767FB"/>
    <w:rsid w:val="00576926"/>
    <w:rsid w:val="00576D6B"/>
    <w:rsid w:val="0057702E"/>
    <w:rsid w:val="0057715E"/>
    <w:rsid w:val="00577A8C"/>
    <w:rsid w:val="00580B85"/>
    <w:rsid w:val="00581967"/>
    <w:rsid w:val="00582741"/>
    <w:rsid w:val="00582DF3"/>
    <w:rsid w:val="00583414"/>
    <w:rsid w:val="0058374E"/>
    <w:rsid w:val="00584197"/>
    <w:rsid w:val="0058498F"/>
    <w:rsid w:val="00584EFB"/>
    <w:rsid w:val="005850C0"/>
    <w:rsid w:val="005857E3"/>
    <w:rsid w:val="00585DB0"/>
    <w:rsid w:val="00586F37"/>
    <w:rsid w:val="00587873"/>
    <w:rsid w:val="00587A7C"/>
    <w:rsid w:val="00590623"/>
    <w:rsid w:val="0059066F"/>
    <w:rsid w:val="0059076E"/>
    <w:rsid w:val="0059099F"/>
    <w:rsid w:val="005909B7"/>
    <w:rsid w:val="00591A12"/>
    <w:rsid w:val="00591E7B"/>
    <w:rsid w:val="0059255C"/>
    <w:rsid w:val="0059322A"/>
    <w:rsid w:val="005932AE"/>
    <w:rsid w:val="00593F04"/>
    <w:rsid w:val="00594381"/>
    <w:rsid w:val="0059474F"/>
    <w:rsid w:val="00594D77"/>
    <w:rsid w:val="00595127"/>
    <w:rsid w:val="005957E9"/>
    <w:rsid w:val="005961B1"/>
    <w:rsid w:val="00596232"/>
    <w:rsid w:val="005968E5"/>
    <w:rsid w:val="005969E4"/>
    <w:rsid w:val="005973FB"/>
    <w:rsid w:val="00597AFA"/>
    <w:rsid w:val="00597C1B"/>
    <w:rsid w:val="005A01C9"/>
    <w:rsid w:val="005A06B7"/>
    <w:rsid w:val="005A084A"/>
    <w:rsid w:val="005A15E8"/>
    <w:rsid w:val="005A1759"/>
    <w:rsid w:val="005A1DF1"/>
    <w:rsid w:val="005A2902"/>
    <w:rsid w:val="005A3648"/>
    <w:rsid w:val="005A3C8D"/>
    <w:rsid w:val="005A41BE"/>
    <w:rsid w:val="005A4459"/>
    <w:rsid w:val="005A50CE"/>
    <w:rsid w:val="005A5182"/>
    <w:rsid w:val="005A5661"/>
    <w:rsid w:val="005A5B4B"/>
    <w:rsid w:val="005A63CF"/>
    <w:rsid w:val="005A670C"/>
    <w:rsid w:val="005A68A7"/>
    <w:rsid w:val="005A6905"/>
    <w:rsid w:val="005A7897"/>
    <w:rsid w:val="005A7A1A"/>
    <w:rsid w:val="005A7B93"/>
    <w:rsid w:val="005A7F12"/>
    <w:rsid w:val="005B0023"/>
    <w:rsid w:val="005B012B"/>
    <w:rsid w:val="005B056A"/>
    <w:rsid w:val="005B1D1F"/>
    <w:rsid w:val="005B20D8"/>
    <w:rsid w:val="005B2D94"/>
    <w:rsid w:val="005B2F98"/>
    <w:rsid w:val="005B4185"/>
    <w:rsid w:val="005B43B7"/>
    <w:rsid w:val="005B5944"/>
    <w:rsid w:val="005B5E6A"/>
    <w:rsid w:val="005B60CD"/>
    <w:rsid w:val="005B6223"/>
    <w:rsid w:val="005B6AF9"/>
    <w:rsid w:val="005B6D31"/>
    <w:rsid w:val="005B753B"/>
    <w:rsid w:val="005B75DA"/>
    <w:rsid w:val="005B7924"/>
    <w:rsid w:val="005B79AC"/>
    <w:rsid w:val="005B7A74"/>
    <w:rsid w:val="005B7C95"/>
    <w:rsid w:val="005B7DDE"/>
    <w:rsid w:val="005B7DE6"/>
    <w:rsid w:val="005C1A23"/>
    <w:rsid w:val="005C1EF6"/>
    <w:rsid w:val="005C27D2"/>
    <w:rsid w:val="005C2E0D"/>
    <w:rsid w:val="005C3117"/>
    <w:rsid w:val="005C3205"/>
    <w:rsid w:val="005C3CF2"/>
    <w:rsid w:val="005C518D"/>
    <w:rsid w:val="005C5640"/>
    <w:rsid w:val="005C58F0"/>
    <w:rsid w:val="005C6275"/>
    <w:rsid w:val="005C78B1"/>
    <w:rsid w:val="005D030A"/>
    <w:rsid w:val="005D1BFD"/>
    <w:rsid w:val="005D2E2D"/>
    <w:rsid w:val="005D35C2"/>
    <w:rsid w:val="005D36AB"/>
    <w:rsid w:val="005D39D2"/>
    <w:rsid w:val="005D3D42"/>
    <w:rsid w:val="005D3E22"/>
    <w:rsid w:val="005D3E3A"/>
    <w:rsid w:val="005D4025"/>
    <w:rsid w:val="005D4656"/>
    <w:rsid w:val="005D470C"/>
    <w:rsid w:val="005D48AD"/>
    <w:rsid w:val="005D6EA9"/>
    <w:rsid w:val="005D74D3"/>
    <w:rsid w:val="005D79D7"/>
    <w:rsid w:val="005E00DC"/>
    <w:rsid w:val="005E0A7B"/>
    <w:rsid w:val="005E2205"/>
    <w:rsid w:val="005E253F"/>
    <w:rsid w:val="005E25F8"/>
    <w:rsid w:val="005E27FF"/>
    <w:rsid w:val="005E2B9B"/>
    <w:rsid w:val="005E34B8"/>
    <w:rsid w:val="005E3AC8"/>
    <w:rsid w:val="005E40BE"/>
    <w:rsid w:val="005E4F89"/>
    <w:rsid w:val="005E5382"/>
    <w:rsid w:val="005E5B24"/>
    <w:rsid w:val="005E6380"/>
    <w:rsid w:val="005E6C01"/>
    <w:rsid w:val="005E7DEB"/>
    <w:rsid w:val="005F012B"/>
    <w:rsid w:val="005F06DA"/>
    <w:rsid w:val="005F0CB7"/>
    <w:rsid w:val="005F102D"/>
    <w:rsid w:val="005F1084"/>
    <w:rsid w:val="005F193E"/>
    <w:rsid w:val="005F20DD"/>
    <w:rsid w:val="005F242C"/>
    <w:rsid w:val="005F2975"/>
    <w:rsid w:val="005F3192"/>
    <w:rsid w:val="005F35BF"/>
    <w:rsid w:val="005F413D"/>
    <w:rsid w:val="005F4D15"/>
    <w:rsid w:val="005F50A7"/>
    <w:rsid w:val="005F525D"/>
    <w:rsid w:val="005F556B"/>
    <w:rsid w:val="005F5BA3"/>
    <w:rsid w:val="005F60B5"/>
    <w:rsid w:val="005F6ADA"/>
    <w:rsid w:val="005F78E8"/>
    <w:rsid w:val="006003EC"/>
    <w:rsid w:val="00600499"/>
    <w:rsid w:val="0060070D"/>
    <w:rsid w:val="00600F0D"/>
    <w:rsid w:val="006010ED"/>
    <w:rsid w:val="00601B7A"/>
    <w:rsid w:val="00602A85"/>
    <w:rsid w:val="00602D39"/>
    <w:rsid w:val="00603542"/>
    <w:rsid w:val="006036F3"/>
    <w:rsid w:val="00603946"/>
    <w:rsid w:val="006042A0"/>
    <w:rsid w:val="00604EF9"/>
    <w:rsid w:val="00605798"/>
    <w:rsid w:val="00605CD7"/>
    <w:rsid w:val="00606292"/>
    <w:rsid w:val="006066B1"/>
    <w:rsid w:val="0060688F"/>
    <w:rsid w:val="00606B8A"/>
    <w:rsid w:val="00606BD8"/>
    <w:rsid w:val="00606D1C"/>
    <w:rsid w:val="006070E3"/>
    <w:rsid w:val="006107D0"/>
    <w:rsid w:val="00611FC8"/>
    <w:rsid w:val="0061226D"/>
    <w:rsid w:val="0061269A"/>
    <w:rsid w:val="00612F81"/>
    <w:rsid w:val="00613C5C"/>
    <w:rsid w:val="0061462F"/>
    <w:rsid w:val="006149BC"/>
    <w:rsid w:val="00614A04"/>
    <w:rsid w:val="00615396"/>
    <w:rsid w:val="00615719"/>
    <w:rsid w:val="00616347"/>
    <w:rsid w:val="00616390"/>
    <w:rsid w:val="00616F88"/>
    <w:rsid w:val="006174B6"/>
    <w:rsid w:val="00617924"/>
    <w:rsid w:val="00617CC3"/>
    <w:rsid w:val="00620885"/>
    <w:rsid w:val="0062198D"/>
    <w:rsid w:val="00621DB8"/>
    <w:rsid w:val="00622003"/>
    <w:rsid w:val="006220DA"/>
    <w:rsid w:val="00622B03"/>
    <w:rsid w:val="006237EE"/>
    <w:rsid w:val="0062443F"/>
    <w:rsid w:val="00624AC7"/>
    <w:rsid w:val="00624EA8"/>
    <w:rsid w:val="0062516F"/>
    <w:rsid w:val="006256FF"/>
    <w:rsid w:val="006257D8"/>
    <w:rsid w:val="00626819"/>
    <w:rsid w:val="006275D9"/>
    <w:rsid w:val="006278B9"/>
    <w:rsid w:val="00630161"/>
    <w:rsid w:val="00630585"/>
    <w:rsid w:val="006318CA"/>
    <w:rsid w:val="00631AFD"/>
    <w:rsid w:val="00631B0B"/>
    <w:rsid w:val="00632268"/>
    <w:rsid w:val="006326F4"/>
    <w:rsid w:val="00632714"/>
    <w:rsid w:val="006339BE"/>
    <w:rsid w:val="00633DC7"/>
    <w:rsid w:val="00633FEC"/>
    <w:rsid w:val="00634052"/>
    <w:rsid w:val="006341D1"/>
    <w:rsid w:val="00634280"/>
    <w:rsid w:val="006345C6"/>
    <w:rsid w:val="00634C27"/>
    <w:rsid w:val="0063554B"/>
    <w:rsid w:val="0063673C"/>
    <w:rsid w:val="00636A49"/>
    <w:rsid w:val="00636F83"/>
    <w:rsid w:val="0063745C"/>
    <w:rsid w:val="006374EC"/>
    <w:rsid w:val="00637658"/>
    <w:rsid w:val="0063765D"/>
    <w:rsid w:val="006377A6"/>
    <w:rsid w:val="00637A3D"/>
    <w:rsid w:val="00640722"/>
    <w:rsid w:val="0064105C"/>
    <w:rsid w:val="00641072"/>
    <w:rsid w:val="006411EF"/>
    <w:rsid w:val="006417FE"/>
    <w:rsid w:val="006425DD"/>
    <w:rsid w:val="006427EB"/>
    <w:rsid w:val="00642962"/>
    <w:rsid w:val="006429D2"/>
    <w:rsid w:val="00643726"/>
    <w:rsid w:val="00643BB6"/>
    <w:rsid w:val="006440C0"/>
    <w:rsid w:val="006442E2"/>
    <w:rsid w:val="00646939"/>
    <w:rsid w:val="0064712E"/>
    <w:rsid w:val="006508FF"/>
    <w:rsid w:val="00650A80"/>
    <w:rsid w:val="00650BC2"/>
    <w:rsid w:val="00650C46"/>
    <w:rsid w:val="00651218"/>
    <w:rsid w:val="00652EA1"/>
    <w:rsid w:val="00653BD9"/>
    <w:rsid w:val="00653F0F"/>
    <w:rsid w:val="00653F34"/>
    <w:rsid w:val="00653F79"/>
    <w:rsid w:val="006549D7"/>
    <w:rsid w:val="0065660B"/>
    <w:rsid w:val="00657251"/>
    <w:rsid w:val="006604BB"/>
    <w:rsid w:val="0066057B"/>
    <w:rsid w:val="006625BF"/>
    <w:rsid w:val="00662629"/>
    <w:rsid w:val="00662938"/>
    <w:rsid w:val="00662B62"/>
    <w:rsid w:val="006633EB"/>
    <w:rsid w:val="0066398B"/>
    <w:rsid w:val="00663BD4"/>
    <w:rsid w:val="006653CD"/>
    <w:rsid w:val="00665B02"/>
    <w:rsid w:val="00665C3E"/>
    <w:rsid w:val="006669FA"/>
    <w:rsid w:val="00666DE7"/>
    <w:rsid w:val="00667A31"/>
    <w:rsid w:val="00667D10"/>
    <w:rsid w:val="00670A6E"/>
    <w:rsid w:val="00670EDC"/>
    <w:rsid w:val="0067174C"/>
    <w:rsid w:val="006719A6"/>
    <w:rsid w:val="00671DB9"/>
    <w:rsid w:val="00671E30"/>
    <w:rsid w:val="0067224C"/>
    <w:rsid w:val="0067235D"/>
    <w:rsid w:val="0067268E"/>
    <w:rsid w:val="00672AAD"/>
    <w:rsid w:val="00672B07"/>
    <w:rsid w:val="00672F31"/>
    <w:rsid w:val="00674663"/>
    <w:rsid w:val="006748B8"/>
    <w:rsid w:val="006751D5"/>
    <w:rsid w:val="00675DA7"/>
    <w:rsid w:val="0067671C"/>
    <w:rsid w:val="006768C3"/>
    <w:rsid w:val="00676A8B"/>
    <w:rsid w:val="006771FE"/>
    <w:rsid w:val="00677522"/>
    <w:rsid w:val="006775C3"/>
    <w:rsid w:val="00677AF6"/>
    <w:rsid w:val="00680195"/>
    <w:rsid w:val="0068045E"/>
    <w:rsid w:val="00681468"/>
    <w:rsid w:val="00681697"/>
    <w:rsid w:val="0068187D"/>
    <w:rsid w:val="006832D8"/>
    <w:rsid w:val="006854AD"/>
    <w:rsid w:val="006859B3"/>
    <w:rsid w:val="00685B8F"/>
    <w:rsid w:val="006861C5"/>
    <w:rsid w:val="0068638B"/>
    <w:rsid w:val="006865B9"/>
    <w:rsid w:val="006866B1"/>
    <w:rsid w:val="0068706F"/>
    <w:rsid w:val="00690179"/>
    <w:rsid w:val="006901BC"/>
    <w:rsid w:val="00690F44"/>
    <w:rsid w:val="00691050"/>
    <w:rsid w:val="00691456"/>
    <w:rsid w:val="006920E2"/>
    <w:rsid w:val="0069234F"/>
    <w:rsid w:val="006923D1"/>
    <w:rsid w:val="00692890"/>
    <w:rsid w:val="0069290A"/>
    <w:rsid w:val="006929C6"/>
    <w:rsid w:val="00692BF3"/>
    <w:rsid w:val="00693A7A"/>
    <w:rsid w:val="00693B07"/>
    <w:rsid w:val="00693F4E"/>
    <w:rsid w:val="00694250"/>
    <w:rsid w:val="006945A8"/>
    <w:rsid w:val="006945E5"/>
    <w:rsid w:val="0069462D"/>
    <w:rsid w:val="00694D52"/>
    <w:rsid w:val="00696122"/>
    <w:rsid w:val="0069775A"/>
    <w:rsid w:val="00697813"/>
    <w:rsid w:val="00697E3A"/>
    <w:rsid w:val="006A00A9"/>
    <w:rsid w:val="006A0E6B"/>
    <w:rsid w:val="006A11AC"/>
    <w:rsid w:val="006A1552"/>
    <w:rsid w:val="006A1B72"/>
    <w:rsid w:val="006A2432"/>
    <w:rsid w:val="006A3EE8"/>
    <w:rsid w:val="006A3F1B"/>
    <w:rsid w:val="006A473B"/>
    <w:rsid w:val="006A4B84"/>
    <w:rsid w:val="006A58AF"/>
    <w:rsid w:val="006A60B4"/>
    <w:rsid w:val="006A617A"/>
    <w:rsid w:val="006A6200"/>
    <w:rsid w:val="006A6679"/>
    <w:rsid w:val="006A72BF"/>
    <w:rsid w:val="006A781A"/>
    <w:rsid w:val="006A7A90"/>
    <w:rsid w:val="006A7E7F"/>
    <w:rsid w:val="006B03F2"/>
    <w:rsid w:val="006B0503"/>
    <w:rsid w:val="006B16F7"/>
    <w:rsid w:val="006B273B"/>
    <w:rsid w:val="006B274D"/>
    <w:rsid w:val="006B2A24"/>
    <w:rsid w:val="006B30F5"/>
    <w:rsid w:val="006B3522"/>
    <w:rsid w:val="006B37DC"/>
    <w:rsid w:val="006B3A2C"/>
    <w:rsid w:val="006B3BD2"/>
    <w:rsid w:val="006B3FDF"/>
    <w:rsid w:val="006B4F68"/>
    <w:rsid w:val="006B5704"/>
    <w:rsid w:val="006B603B"/>
    <w:rsid w:val="006B64FE"/>
    <w:rsid w:val="006C0592"/>
    <w:rsid w:val="006C215D"/>
    <w:rsid w:val="006C272E"/>
    <w:rsid w:val="006C2B14"/>
    <w:rsid w:val="006C2BB7"/>
    <w:rsid w:val="006C37B4"/>
    <w:rsid w:val="006C3A7A"/>
    <w:rsid w:val="006C420F"/>
    <w:rsid w:val="006C45A6"/>
    <w:rsid w:val="006C4763"/>
    <w:rsid w:val="006C4797"/>
    <w:rsid w:val="006C4E4D"/>
    <w:rsid w:val="006C50CF"/>
    <w:rsid w:val="006C5479"/>
    <w:rsid w:val="006C602A"/>
    <w:rsid w:val="006C69C1"/>
    <w:rsid w:val="006C73BC"/>
    <w:rsid w:val="006C7785"/>
    <w:rsid w:val="006C7B0B"/>
    <w:rsid w:val="006C7CB6"/>
    <w:rsid w:val="006C7D94"/>
    <w:rsid w:val="006D0470"/>
    <w:rsid w:val="006D0CC5"/>
    <w:rsid w:val="006D0EEC"/>
    <w:rsid w:val="006D0F27"/>
    <w:rsid w:val="006D10E7"/>
    <w:rsid w:val="006D13A6"/>
    <w:rsid w:val="006D13B5"/>
    <w:rsid w:val="006D13F7"/>
    <w:rsid w:val="006D1AF2"/>
    <w:rsid w:val="006D22DF"/>
    <w:rsid w:val="006D23EE"/>
    <w:rsid w:val="006D2593"/>
    <w:rsid w:val="006D2666"/>
    <w:rsid w:val="006D3763"/>
    <w:rsid w:val="006D3BEF"/>
    <w:rsid w:val="006D3E6A"/>
    <w:rsid w:val="006D42BE"/>
    <w:rsid w:val="006D4915"/>
    <w:rsid w:val="006D4BBB"/>
    <w:rsid w:val="006D50DC"/>
    <w:rsid w:val="006D528A"/>
    <w:rsid w:val="006D542D"/>
    <w:rsid w:val="006D5557"/>
    <w:rsid w:val="006D5796"/>
    <w:rsid w:val="006D57F8"/>
    <w:rsid w:val="006D662A"/>
    <w:rsid w:val="006D68E2"/>
    <w:rsid w:val="006D6B04"/>
    <w:rsid w:val="006D6B17"/>
    <w:rsid w:val="006D6DCA"/>
    <w:rsid w:val="006D6EA4"/>
    <w:rsid w:val="006D7820"/>
    <w:rsid w:val="006E024A"/>
    <w:rsid w:val="006E0A04"/>
    <w:rsid w:val="006E0ADE"/>
    <w:rsid w:val="006E0FB8"/>
    <w:rsid w:val="006E12FF"/>
    <w:rsid w:val="006E1937"/>
    <w:rsid w:val="006E1D3B"/>
    <w:rsid w:val="006E33A6"/>
    <w:rsid w:val="006E4095"/>
    <w:rsid w:val="006E4267"/>
    <w:rsid w:val="006E449B"/>
    <w:rsid w:val="006E4936"/>
    <w:rsid w:val="006E4C8E"/>
    <w:rsid w:val="006E5617"/>
    <w:rsid w:val="006E607E"/>
    <w:rsid w:val="006E60D0"/>
    <w:rsid w:val="006E65F7"/>
    <w:rsid w:val="006E6E8B"/>
    <w:rsid w:val="006E7557"/>
    <w:rsid w:val="006E7D88"/>
    <w:rsid w:val="006F0A58"/>
    <w:rsid w:val="006F15E8"/>
    <w:rsid w:val="006F165A"/>
    <w:rsid w:val="006F24BD"/>
    <w:rsid w:val="006F25CE"/>
    <w:rsid w:val="006F2717"/>
    <w:rsid w:val="006F2849"/>
    <w:rsid w:val="006F2C83"/>
    <w:rsid w:val="006F3B30"/>
    <w:rsid w:val="006F3F9F"/>
    <w:rsid w:val="006F433B"/>
    <w:rsid w:val="006F4978"/>
    <w:rsid w:val="006F4ADA"/>
    <w:rsid w:val="006F4E4D"/>
    <w:rsid w:val="006F5E2E"/>
    <w:rsid w:val="006F5FC1"/>
    <w:rsid w:val="006F6FF5"/>
    <w:rsid w:val="006F7E11"/>
    <w:rsid w:val="00700224"/>
    <w:rsid w:val="007002F3"/>
    <w:rsid w:val="0070187B"/>
    <w:rsid w:val="007024DB"/>
    <w:rsid w:val="00702631"/>
    <w:rsid w:val="00703BC3"/>
    <w:rsid w:val="00703E59"/>
    <w:rsid w:val="00704F2C"/>
    <w:rsid w:val="00704F7A"/>
    <w:rsid w:val="007051DD"/>
    <w:rsid w:val="0070536F"/>
    <w:rsid w:val="00705990"/>
    <w:rsid w:val="00705B22"/>
    <w:rsid w:val="00705B2A"/>
    <w:rsid w:val="00705CCE"/>
    <w:rsid w:val="00705DB1"/>
    <w:rsid w:val="00706C5D"/>
    <w:rsid w:val="00706DAF"/>
    <w:rsid w:val="00706FC1"/>
    <w:rsid w:val="0070710E"/>
    <w:rsid w:val="00707454"/>
    <w:rsid w:val="007078FB"/>
    <w:rsid w:val="00707A5D"/>
    <w:rsid w:val="0071073B"/>
    <w:rsid w:val="0071132D"/>
    <w:rsid w:val="00711A30"/>
    <w:rsid w:val="00711AE6"/>
    <w:rsid w:val="0071214D"/>
    <w:rsid w:val="00713B62"/>
    <w:rsid w:val="00714922"/>
    <w:rsid w:val="00714989"/>
    <w:rsid w:val="0071569E"/>
    <w:rsid w:val="007158CA"/>
    <w:rsid w:val="00715EC8"/>
    <w:rsid w:val="00715FE2"/>
    <w:rsid w:val="0071628F"/>
    <w:rsid w:val="007163D4"/>
    <w:rsid w:val="00716A11"/>
    <w:rsid w:val="007174DE"/>
    <w:rsid w:val="007203B5"/>
    <w:rsid w:val="00720CD7"/>
    <w:rsid w:val="00720CF1"/>
    <w:rsid w:val="00720F95"/>
    <w:rsid w:val="007211E1"/>
    <w:rsid w:val="007212E4"/>
    <w:rsid w:val="00721A0D"/>
    <w:rsid w:val="00721AE9"/>
    <w:rsid w:val="00721C78"/>
    <w:rsid w:val="0072333F"/>
    <w:rsid w:val="00723B22"/>
    <w:rsid w:val="00723F2B"/>
    <w:rsid w:val="007240B1"/>
    <w:rsid w:val="0072435A"/>
    <w:rsid w:val="00724B43"/>
    <w:rsid w:val="00725D0B"/>
    <w:rsid w:val="0072650F"/>
    <w:rsid w:val="00726E6B"/>
    <w:rsid w:val="00727097"/>
    <w:rsid w:val="007274EC"/>
    <w:rsid w:val="0072798D"/>
    <w:rsid w:val="0073036C"/>
    <w:rsid w:val="007305B9"/>
    <w:rsid w:val="00730BA6"/>
    <w:rsid w:val="00731F2D"/>
    <w:rsid w:val="00731FD4"/>
    <w:rsid w:val="007320BB"/>
    <w:rsid w:val="0073241B"/>
    <w:rsid w:val="00732922"/>
    <w:rsid w:val="007329D0"/>
    <w:rsid w:val="007331AE"/>
    <w:rsid w:val="00733268"/>
    <w:rsid w:val="007333CE"/>
    <w:rsid w:val="0073358E"/>
    <w:rsid w:val="00733859"/>
    <w:rsid w:val="0073512F"/>
    <w:rsid w:val="0073530B"/>
    <w:rsid w:val="00736520"/>
    <w:rsid w:val="00740519"/>
    <w:rsid w:val="0074066B"/>
    <w:rsid w:val="007406B0"/>
    <w:rsid w:val="00740C5B"/>
    <w:rsid w:val="00740FB4"/>
    <w:rsid w:val="007410A2"/>
    <w:rsid w:val="00741580"/>
    <w:rsid w:val="00741583"/>
    <w:rsid w:val="007415C1"/>
    <w:rsid w:val="0074166C"/>
    <w:rsid w:val="007417CB"/>
    <w:rsid w:val="00741866"/>
    <w:rsid w:val="00741A7B"/>
    <w:rsid w:val="00741DB5"/>
    <w:rsid w:val="00742A1C"/>
    <w:rsid w:val="00742A2C"/>
    <w:rsid w:val="00742EB8"/>
    <w:rsid w:val="0074311E"/>
    <w:rsid w:val="00743869"/>
    <w:rsid w:val="00743B61"/>
    <w:rsid w:val="00743C21"/>
    <w:rsid w:val="00743CA5"/>
    <w:rsid w:val="0074528E"/>
    <w:rsid w:val="007452D6"/>
    <w:rsid w:val="007460FA"/>
    <w:rsid w:val="00746292"/>
    <w:rsid w:val="00746323"/>
    <w:rsid w:val="00746812"/>
    <w:rsid w:val="00746A6D"/>
    <w:rsid w:val="007500DF"/>
    <w:rsid w:val="007502C4"/>
    <w:rsid w:val="007504AB"/>
    <w:rsid w:val="00750ACD"/>
    <w:rsid w:val="00751249"/>
    <w:rsid w:val="00751379"/>
    <w:rsid w:val="0075162E"/>
    <w:rsid w:val="00751BBB"/>
    <w:rsid w:val="00752750"/>
    <w:rsid w:val="007529A4"/>
    <w:rsid w:val="007529B0"/>
    <w:rsid w:val="00752BD4"/>
    <w:rsid w:val="00753A8A"/>
    <w:rsid w:val="00753B57"/>
    <w:rsid w:val="00754034"/>
    <w:rsid w:val="007547CC"/>
    <w:rsid w:val="00754DC1"/>
    <w:rsid w:val="00755408"/>
    <w:rsid w:val="00755825"/>
    <w:rsid w:val="00755BEF"/>
    <w:rsid w:val="00756556"/>
    <w:rsid w:val="00756832"/>
    <w:rsid w:val="00756F69"/>
    <w:rsid w:val="00760299"/>
    <w:rsid w:val="0076030E"/>
    <w:rsid w:val="00760963"/>
    <w:rsid w:val="00760E88"/>
    <w:rsid w:val="007618C4"/>
    <w:rsid w:val="00761A67"/>
    <w:rsid w:val="00762043"/>
    <w:rsid w:val="00762F4E"/>
    <w:rsid w:val="00763072"/>
    <w:rsid w:val="007630FD"/>
    <w:rsid w:val="007632AD"/>
    <w:rsid w:val="007633EC"/>
    <w:rsid w:val="00763C55"/>
    <w:rsid w:val="00763F67"/>
    <w:rsid w:val="00764074"/>
    <w:rsid w:val="007640DE"/>
    <w:rsid w:val="00764163"/>
    <w:rsid w:val="007641E6"/>
    <w:rsid w:val="00764A78"/>
    <w:rsid w:val="007651CD"/>
    <w:rsid w:val="007655F3"/>
    <w:rsid w:val="00765880"/>
    <w:rsid w:val="00765921"/>
    <w:rsid w:val="00765F9C"/>
    <w:rsid w:val="00766C37"/>
    <w:rsid w:val="00767980"/>
    <w:rsid w:val="00767A46"/>
    <w:rsid w:val="00767B57"/>
    <w:rsid w:val="00767C79"/>
    <w:rsid w:val="007706C1"/>
    <w:rsid w:val="00770ADE"/>
    <w:rsid w:val="00770B19"/>
    <w:rsid w:val="00771672"/>
    <w:rsid w:val="00771987"/>
    <w:rsid w:val="00771A5E"/>
    <w:rsid w:val="007725BA"/>
    <w:rsid w:val="00772FBE"/>
    <w:rsid w:val="007736B8"/>
    <w:rsid w:val="0077463F"/>
    <w:rsid w:val="00774A11"/>
    <w:rsid w:val="00774A6E"/>
    <w:rsid w:val="007751D7"/>
    <w:rsid w:val="007753BF"/>
    <w:rsid w:val="007755E8"/>
    <w:rsid w:val="007760DB"/>
    <w:rsid w:val="00776EF0"/>
    <w:rsid w:val="00777512"/>
    <w:rsid w:val="00780932"/>
    <w:rsid w:val="00780AFD"/>
    <w:rsid w:val="00780CAF"/>
    <w:rsid w:val="007818BF"/>
    <w:rsid w:val="00781AAD"/>
    <w:rsid w:val="00782421"/>
    <w:rsid w:val="0078265E"/>
    <w:rsid w:val="00782660"/>
    <w:rsid w:val="0078271D"/>
    <w:rsid w:val="007836EA"/>
    <w:rsid w:val="0078456F"/>
    <w:rsid w:val="00784C22"/>
    <w:rsid w:val="00784CDA"/>
    <w:rsid w:val="007856E1"/>
    <w:rsid w:val="00785B01"/>
    <w:rsid w:val="00785EE5"/>
    <w:rsid w:val="00786E79"/>
    <w:rsid w:val="007879C1"/>
    <w:rsid w:val="007906C4"/>
    <w:rsid w:val="00791591"/>
    <w:rsid w:val="0079217C"/>
    <w:rsid w:val="007921C4"/>
    <w:rsid w:val="00792D4F"/>
    <w:rsid w:val="007940EA"/>
    <w:rsid w:val="00794E8D"/>
    <w:rsid w:val="00794F31"/>
    <w:rsid w:val="007958C7"/>
    <w:rsid w:val="00795F18"/>
    <w:rsid w:val="007967E8"/>
    <w:rsid w:val="0079776A"/>
    <w:rsid w:val="00797BB1"/>
    <w:rsid w:val="00797C93"/>
    <w:rsid w:val="00797F95"/>
    <w:rsid w:val="007A085F"/>
    <w:rsid w:val="007A095E"/>
    <w:rsid w:val="007A0D65"/>
    <w:rsid w:val="007A0DBF"/>
    <w:rsid w:val="007A1562"/>
    <w:rsid w:val="007A2170"/>
    <w:rsid w:val="007A22BF"/>
    <w:rsid w:val="007A2CFE"/>
    <w:rsid w:val="007A3323"/>
    <w:rsid w:val="007A41B9"/>
    <w:rsid w:val="007A4767"/>
    <w:rsid w:val="007A4D3E"/>
    <w:rsid w:val="007A5BC3"/>
    <w:rsid w:val="007A64E4"/>
    <w:rsid w:val="007A6954"/>
    <w:rsid w:val="007A6EFC"/>
    <w:rsid w:val="007A73CF"/>
    <w:rsid w:val="007A7820"/>
    <w:rsid w:val="007A7E25"/>
    <w:rsid w:val="007B0179"/>
    <w:rsid w:val="007B1637"/>
    <w:rsid w:val="007B1B86"/>
    <w:rsid w:val="007B29AA"/>
    <w:rsid w:val="007B2D1B"/>
    <w:rsid w:val="007B359B"/>
    <w:rsid w:val="007B3DE2"/>
    <w:rsid w:val="007B4828"/>
    <w:rsid w:val="007B4D52"/>
    <w:rsid w:val="007B4EE2"/>
    <w:rsid w:val="007B53AB"/>
    <w:rsid w:val="007B5447"/>
    <w:rsid w:val="007B578C"/>
    <w:rsid w:val="007B5AFF"/>
    <w:rsid w:val="007B6383"/>
    <w:rsid w:val="007B6587"/>
    <w:rsid w:val="007B68EF"/>
    <w:rsid w:val="007B72AD"/>
    <w:rsid w:val="007B72B8"/>
    <w:rsid w:val="007B7A58"/>
    <w:rsid w:val="007C02CF"/>
    <w:rsid w:val="007C02E6"/>
    <w:rsid w:val="007C09E2"/>
    <w:rsid w:val="007C0CB6"/>
    <w:rsid w:val="007C0ED3"/>
    <w:rsid w:val="007C1712"/>
    <w:rsid w:val="007C1C1F"/>
    <w:rsid w:val="007C1FE1"/>
    <w:rsid w:val="007C21B5"/>
    <w:rsid w:val="007C2B03"/>
    <w:rsid w:val="007C5B73"/>
    <w:rsid w:val="007C5D2C"/>
    <w:rsid w:val="007C5E86"/>
    <w:rsid w:val="007C6322"/>
    <w:rsid w:val="007C6E12"/>
    <w:rsid w:val="007C6E9B"/>
    <w:rsid w:val="007C7F32"/>
    <w:rsid w:val="007D0500"/>
    <w:rsid w:val="007D0966"/>
    <w:rsid w:val="007D1165"/>
    <w:rsid w:val="007D150E"/>
    <w:rsid w:val="007D1830"/>
    <w:rsid w:val="007D1A5E"/>
    <w:rsid w:val="007D352B"/>
    <w:rsid w:val="007D4130"/>
    <w:rsid w:val="007D4DFB"/>
    <w:rsid w:val="007D4E14"/>
    <w:rsid w:val="007D53DD"/>
    <w:rsid w:val="007D6AE6"/>
    <w:rsid w:val="007D6BE9"/>
    <w:rsid w:val="007D729F"/>
    <w:rsid w:val="007D74E4"/>
    <w:rsid w:val="007D78E4"/>
    <w:rsid w:val="007D7945"/>
    <w:rsid w:val="007E13DA"/>
    <w:rsid w:val="007E16AE"/>
    <w:rsid w:val="007E18B5"/>
    <w:rsid w:val="007E1F37"/>
    <w:rsid w:val="007E274C"/>
    <w:rsid w:val="007E276E"/>
    <w:rsid w:val="007E3A40"/>
    <w:rsid w:val="007E445D"/>
    <w:rsid w:val="007E4BD2"/>
    <w:rsid w:val="007E4EB0"/>
    <w:rsid w:val="007E53BE"/>
    <w:rsid w:val="007E5C1F"/>
    <w:rsid w:val="007E6601"/>
    <w:rsid w:val="007E6AD6"/>
    <w:rsid w:val="007E7483"/>
    <w:rsid w:val="007E774D"/>
    <w:rsid w:val="007F00E3"/>
    <w:rsid w:val="007F0451"/>
    <w:rsid w:val="007F110B"/>
    <w:rsid w:val="007F1143"/>
    <w:rsid w:val="007F24B8"/>
    <w:rsid w:val="007F2970"/>
    <w:rsid w:val="007F3319"/>
    <w:rsid w:val="007F33DF"/>
    <w:rsid w:val="007F401B"/>
    <w:rsid w:val="007F4164"/>
    <w:rsid w:val="007F4843"/>
    <w:rsid w:val="007F495F"/>
    <w:rsid w:val="007F5284"/>
    <w:rsid w:val="007F5C15"/>
    <w:rsid w:val="007F5F74"/>
    <w:rsid w:val="007F6B33"/>
    <w:rsid w:val="007F6FAB"/>
    <w:rsid w:val="007F772A"/>
    <w:rsid w:val="007F7FD7"/>
    <w:rsid w:val="00800456"/>
    <w:rsid w:val="00800C1E"/>
    <w:rsid w:val="00801033"/>
    <w:rsid w:val="00801393"/>
    <w:rsid w:val="0080172A"/>
    <w:rsid w:val="00801D1F"/>
    <w:rsid w:val="00802410"/>
    <w:rsid w:val="00802F88"/>
    <w:rsid w:val="008032E1"/>
    <w:rsid w:val="00803CE5"/>
    <w:rsid w:val="00803DC2"/>
    <w:rsid w:val="00804853"/>
    <w:rsid w:val="00804E58"/>
    <w:rsid w:val="0080627B"/>
    <w:rsid w:val="0080661D"/>
    <w:rsid w:val="008068ED"/>
    <w:rsid w:val="00807A30"/>
    <w:rsid w:val="00812044"/>
    <w:rsid w:val="00812512"/>
    <w:rsid w:val="00812594"/>
    <w:rsid w:val="0081293E"/>
    <w:rsid w:val="00812975"/>
    <w:rsid w:val="00812F63"/>
    <w:rsid w:val="008132B5"/>
    <w:rsid w:val="00813849"/>
    <w:rsid w:val="0081477E"/>
    <w:rsid w:val="00815465"/>
    <w:rsid w:val="00815C6F"/>
    <w:rsid w:val="00815E9D"/>
    <w:rsid w:val="00816312"/>
    <w:rsid w:val="008166D9"/>
    <w:rsid w:val="00817402"/>
    <w:rsid w:val="008174C2"/>
    <w:rsid w:val="00817E9A"/>
    <w:rsid w:val="00820FFC"/>
    <w:rsid w:val="008216FB"/>
    <w:rsid w:val="008218E1"/>
    <w:rsid w:val="0082215C"/>
    <w:rsid w:val="0082229A"/>
    <w:rsid w:val="00822932"/>
    <w:rsid w:val="00823346"/>
    <w:rsid w:val="0082341F"/>
    <w:rsid w:val="00823C1C"/>
    <w:rsid w:val="00824C86"/>
    <w:rsid w:val="00824E50"/>
    <w:rsid w:val="00824F35"/>
    <w:rsid w:val="0082612D"/>
    <w:rsid w:val="00826233"/>
    <w:rsid w:val="008268CD"/>
    <w:rsid w:val="00826D10"/>
    <w:rsid w:val="008300E9"/>
    <w:rsid w:val="00830244"/>
    <w:rsid w:val="0083069E"/>
    <w:rsid w:val="008306BD"/>
    <w:rsid w:val="00830CC1"/>
    <w:rsid w:val="00830DCC"/>
    <w:rsid w:val="00831483"/>
    <w:rsid w:val="0083149C"/>
    <w:rsid w:val="008314BC"/>
    <w:rsid w:val="00831A80"/>
    <w:rsid w:val="00832BEB"/>
    <w:rsid w:val="00832D27"/>
    <w:rsid w:val="0083351C"/>
    <w:rsid w:val="00833743"/>
    <w:rsid w:val="008340A4"/>
    <w:rsid w:val="00834801"/>
    <w:rsid w:val="00834D87"/>
    <w:rsid w:val="008353B6"/>
    <w:rsid w:val="008353DC"/>
    <w:rsid w:val="00835431"/>
    <w:rsid w:val="00835B76"/>
    <w:rsid w:val="00836AF1"/>
    <w:rsid w:val="00836CD7"/>
    <w:rsid w:val="00837117"/>
    <w:rsid w:val="008371DE"/>
    <w:rsid w:val="0083737A"/>
    <w:rsid w:val="008374DE"/>
    <w:rsid w:val="008402C0"/>
    <w:rsid w:val="008406DA"/>
    <w:rsid w:val="008414B7"/>
    <w:rsid w:val="008433D8"/>
    <w:rsid w:val="00844647"/>
    <w:rsid w:val="00844A66"/>
    <w:rsid w:val="00845009"/>
    <w:rsid w:val="00845138"/>
    <w:rsid w:val="008455E1"/>
    <w:rsid w:val="00845737"/>
    <w:rsid w:val="00845AA5"/>
    <w:rsid w:val="00845D34"/>
    <w:rsid w:val="00845F60"/>
    <w:rsid w:val="00846051"/>
    <w:rsid w:val="00846438"/>
    <w:rsid w:val="0084644C"/>
    <w:rsid w:val="00846726"/>
    <w:rsid w:val="00846865"/>
    <w:rsid w:val="00847CB8"/>
    <w:rsid w:val="00847E71"/>
    <w:rsid w:val="00850667"/>
    <w:rsid w:val="00850EA1"/>
    <w:rsid w:val="00851194"/>
    <w:rsid w:val="00851937"/>
    <w:rsid w:val="008531D0"/>
    <w:rsid w:val="008536B3"/>
    <w:rsid w:val="00853E96"/>
    <w:rsid w:val="008559D0"/>
    <w:rsid w:val="00855E5A"/>
    <w:rsid w:val="00856D57"/>
    <w:rsid w:val="00857036"/>
    <w:rsid w:val="008579DA"/>
    <w:rsid w:val="00857F7F"/>
    <w:rsid w:val="00860DE8"/>
    <w:rsid w:val="00860E7F"/>
    <w:rsid w:val="00860FA0"/>
    <w:rsid w:val="00861593"/>
    <w:rsid w:val="008615C3"/>
    <w:rsid w:val="008618E8"/>
    <w:rsid w:val="00861B9F"/>
    <w:rsid w:val="00862098"/>
    <w:rsid w:val="008624E1"/>
    <w:rsid w:val="0086288A"/>
    <w:rsid w:val="00863422"/>
    <w:rsid w:val="0086432D"/>
    <w:rsid w:val="00864F06"/>
    <w:rsid w:val="00865175"/>
    <w:rsid w:val="00865691"/>
    <w:rsid w:val="0086599C"/>
    <w:rsid w:val="00866626"/>
    <w:rsid w:val="008671A1"/>
    <w:rsid w:val="00867480"/>
    <w:rsid w:val="00867DC2"/>
    <w:rsid w:val="0087096F"/>
    <w:rsid w:val="00870B2E"/>
    <w:rsid w:val="00870EFE"/>
    <w:rsid w:val="0087135F"/>
    <w:rsid w:val="008716AD"/>
    <w:rsid w:val="008721BE"/>
    <w:rsid w:val="00872D94"/>
    <w:rsid w:val="00873DCB"/>
    <w:rsid w:val="00873F05"/>
    <w:rsid w:val="00874B4E"/>
    <w:rsid w:val="00874FBD"/>
    <w:rsid w:val="0087545B"/>
    <w:rsid w:val="008758CB"/>
    <w:rsid w:val="00875A9E"/>
    <w:rsid w:val="00876485"/>
    <w:rsid w:val="008769BA"/>
    <w:rsid w:val="0087774D"/>
    <w:rsid w:val="008777C3"/>
    <w:rsid w:val="00877E98"/>
    <w:rsid w:val="00880364"/>
    <w:rsid w:val="0088046F"/>
    <w:rsid w:val="00880AEC"/>
    <w:rsid w:val="00881680"/>
    <w:rsid w:val="00881798"/>
    <w:rsid w:val="00882083"/>
    <w:rsid w:val="00882706"/>
    <w:rsid w:val="008827C4"/>
    <w:rsid w:val="00882BEE"/>
    <w:rsid w:val="008834E6"/>
    <w:rsid w:val="0088380D"/>
    <w:rsid w:val="00883816"/>
    <w:rsid w:val="00883AFC"/>
    <w:rsid w:val="00883CD3"/>
    <w:rsid w:val="00883F5E"/>
    <w:rsid w:val="00884769"/>
    <w:rsid w:val="00884B69"/>
    <w:rsid w:val="00884EF2"/>
    <w:rsid w:val="00885F79"/>
    <w:rsid w:val="00886201"/>
    <w:rsid w:val="008863DB"/>
    <w:rsid w:val="00886F93"/>
    <w:rsid w:val="00887F2E"/>
    <w:rsid w:val="008906EF"/>
    <w:rsid w:val="008913B3"/>
    <w:rsid w:val="00891592"/>
    <w:rsid w:val="00891E9E"/>
    <w:rsid w:val="008920EF"/>
    <w:rsid w:val="0089245C"/>
    <w:rsid w:val="00892481"/>
    <w:rsid w:val="00893305"/>
    <w:rsid w:val="008939C6"/>
    <w:rsid w:val="00893D71"/>
    <w:rsid w:val="00893E61"/>
    <w:rsid w:val="00893FFE"/>
    <w:rsid w:val="008942F9"/>
    <w:rsid w:val="008944C0"/>
    <w:rsid w:val="008944E8"/>
    <w:rsid w:val="00894AFE"/>
    <w:rsid w:val="0089546E"/>
    <w:rsid w:val="0089599A"/>
    <w:rsid w:val="00895BB4"/>
    <w:rsid w:val="00895BE9"/>
    <w:rsid w:val="008962F9"/>
    <w:rsid w:val="00896672"/>
    <w:rsid w:val="00896B1D"/>
    <w:rsid w:val="0089722C"/>
    <w:rsid w:val="0089728C"/>
    <w:rsid w:val="0089748F"/>
    <w:rsid w:val="008A1950"/>
    <w:rsid w:val="008A1F8E"/>
    <w:rsid w:val="008A24E2"/>
    <w:rsid w:val="008A256A"/>
    <w:rsid w:val="008A2F68"/>
    <w:rsid w:val="008A3B32"/>
    <w:rsid w:val="008A3CF0"/>
    <w:rsid w:val="008A3E47"/>
    <w:rsid w:val="008A423A"/>
    <w:rsid w:val="008A5F76"/>
    <w:rsid w:val="008A5FC1"/>
    <w:rsid w:val="008A66BF"/>
    <w:rsid w:val="008A68E0"/>
    <w:rsid w:val="008A7EF5"/>
    <w:rsid w:val="008B01F0"/>
    <w:rsid w:val="008B04D7"/>
    <w:rsid w:val="008B0E24"/>
    <w:rsid w:val="008B16C2"/>
    <w:rsid w:val="008B1E9B"/>
    <w:rsid w:val="008B2481"/>
    <w:rsid w:val="008B267D"/>
    <w:rsid w:val="008B327A"/>
    <w:rsid w:val="008B35FF"/>
    <w:rsid w:val="008B3D1F"/>
    <w:rsid w:val="008B3E3F"/>
    <w:rsid w:val="008B4165"/>
    <w:rsid w:val="008B4A0C"/>
    <w:rsid w:val="008B4FA6"/>
    <w:rsid w:val="008B522E"/>
    <w:rsid w:val="008B5282"/>
    <w:rsid w:val="008B53F3"/>
    <w:rsid w:val="008B5863"/>
    <w:rsid w:val="008B6194"/>
    <w:rsid w:val="008B67A4"/>
    <w:rsid w:val="008B6F48"/>
    <w:rsid w:val="008B71D3"/>
    <w:rsid w:val="008B7264"/>
    <w:rsid w:val="008B7C17"/>
    <w:rsid w:val="008C046C"/>
    <w:rsid w:val="008C13F2"/>
    <w:rsid w:val="008C1C5A"/>
    <w:rsid w:val="008C2723"/>
    <w:rsid w:val="008C2D01"/>
    <w:rsid w:val="008C3CDF"/>
    <w:rsid w:val="008C3E92"/>
    <w:rsid w:val="008C40E6"/>
    <w:rsid w:val="008C550F"/>
    <w:rsid w:val="008C6D48"/>
    <w:rsid w:val="008C7A45"/>
    <w:rsid w:val="008D0068"/>
    <w:rsid w:val="008D01DB"/>
    <w:rsid w:val="008D099A"/>
    <w:rsid w:val="008D0F7A"/>
    <w:rsid w:val="008D135E"/>
    <w:rsid w:val="008D19C7"/>
    <w:rsid w:val="008D1C29"/>
    <w:rsid w:val="008D1E5E"/>
    <w:rsid w:val="008D2682"/>
    <w:rsid w:val="008D2897"/>
    <w:rsid w:val="008D2A48"/>
    <w:rsid w:val="008D33AB"/>
    <w:rsid w:val="008D3502"/>
    <w:rsid w:val="008D3A7D"/>
    <w:rsid w:val="008D3C15"/>
    <w:rsid w:val="008D5E22"/>
    <w:rsid w:val="008D617C"/>
    <w:rsid w:val="008D68E4"/>
    <w:rsid w:val="008D6F75"/>
    <w:rsid w:val="008D7A70"/>
    <w:rsid w:val="008E0506"/>
    <w:rsid w:val="008E0671"/>
    <w:rsid w:val="008E0CFF"/>
    <w:rsid w:val="008E14B8"/>
    <w:rsid w:val="008E19AC"/>
    <w:rsid w:val="008E20EF"/>
    <w:rsid w:val="008E213F"/>
    <w:rsid w:val="008E248C"/>
    <w:rsid w:val="008E27E9"/>
    <w:rsid w:val="008E2C86"/>
    <w:rsid w:val="008E3632"/>
    <w:rsid w:val="008E4381"/>
    <w:rsid w:val="008E515B"/>
    <w:rsid w:val="008E5356"/>
    <w:rsid w:val="008E57EA"/>
    <w:rsid w:val="008E5D6B"/>
    <w:rsid w:val="008E5F5E"/>
    <w:rsid w:val="008E631E"/>
    <w:rsid w:val="008E6388"/>
    <w:rsid w:val="008E6527"/>
    <w:rsid w:val="008E6CFD"/>
    <w:rsid w:val="008E6D1F"/>
    <w:rsid w:val="008E7076"/>
    <w:rsid w:val="008E747D"/>
    <w:rsid w:val="008E76F0"/>
    <w:rsid w:val="008F05A2"/>
    <w:rsid w:val="008F15FE"/>
    <w:rsid w:val="008F19AD"/>
    <w:rsid w:val="008F1D3D"/>
    <w:rsid w:val="008F1F95"/>
    <w:rsid w:val="008F2887"/>
    <w:rsid w:val="008F28ED"/>
    <w:rsid w:val="008F2D29"/>
    <w:rsid w:val="008F3149"/>
    <w:rsid w:val="008F35A5"/>
    <w:rsid w:val="008F38E3"/>
    <w:rsid w:val="008F458C"/>
    <w:rsid w:val="008F459A"/>
    <w:rsid w:val="008F4D03"/>
    <w:rsid w:val="008F5187"/>
    <w:rsid w:val="008F51A7"/>
    <w:rsid w:val="008F57A5"/>
    <w:rsid w:val="008F5ADB"/>
    <w:rsid w:val="008F60D8"/>
    <w:rsid w:val="008F6639"/>
    <w:rsid w:val="008F66F3"/>
    <w:rsid w:val="008F717D"/>
    <w:rsid w:val="008F72D7"/>
    <w:rsid w:val="008F7AF6"/>
    <w:rsid w:val="008F7F43"/>
    <w:rsid w:val="008F7FA8"/>
    <w:rsid w:val="00900BE8"/>
    <w:rsid w:val="00900CF5"/>
    <w:rsid w:val="00901592"/>
    <w:rsid w:val="00902699"/>
    <w:rsid w:val="00902727"/>
    <w:rsid w:val="009027A8"/>
    <w:rsid w:val="00902C58"/>
    <w:rsid w:val="0090312B"/>
    <w:rsid w:val="00903291"/>
    <w:rsid w:val="009038D2"/>
    <w:rsid w:val="00903AC0"/>
    <w:rsid w:val="00903B58"/>
    <w:rsid w:val="0090477C"/>
    <w:rsid w:val="00905809"/>
    <w:rsid w:val="00905B6E"/>
    <w:rsid w:val="00905EC3"/>
    <w:rsid w:val="0090628B"/>
    <w:rsid w:val="009062DA"/>
    <w:rsid w:val="009066BE"/>
    <w:rsid w:val="0090677E"/>
    <w:rsid w:val="0090761E"/>
    <w:rsid w:val="00907701"/>
    <w:rsid w:val="0091087B"/>
    <w:rsid w:val="00910978"/>
    <w:rsid w:val="00911053"/>
    <w:rsid w:val="0091195F"/>
    <w:rsid w:val="0091232D"/>
    <w:rsid w:val="0091360E"/>
    <w:rsid w:val="0091408B"/>
    <w:rsid w:val="00914198"/>
    <w:rsid w:val="00914819"/>
    <w:rsid w:val="0091481C"/>
    <w:rsid w:val="009149A5"/>
    <w:rsid w:val="00914AFA"/>
    <w:rsid w:val="00914EF0"/>
    <w:rsid w:val="00914EF3"/>
    <w:rsid w:val="00915112"/>
    <w:rsid w:val="00916648"/>
    <w:rsid w:val="00916961"/>
    <w:rsid w:val="0091736D"/>
    <w:rsid w:val="00920097"/>
    <w:rsid w:val="009206F3"/>
    <w:rsid w:val="00920EDC"/>
    <w:rsid w:val="00920FB7"/>
    <w:rsid w:val="009216C4"/>
    <w:rsid w:val="009225F2"/>
    <w:rsid w:val="00922CE6"/>
    <w:rsid w:val="009232DA"/>
    <w:rsid w:val="00923E9C"/>
    <w:rsid w:val="009241E7"/>
    <w:rsid w:val="0092441F"/>
    <w:rsid w:val="009246AB"/>
    <w:rsid w:val="00924D2A"/>
    <w:rsid w:val="0092605B"/>
    <w:rsid w:val="009262C2"/>
    <w:rsid w:val="0092653D"/>
    <w:rsid w:val="00926A83"/>
    <w:rsid w:val="00926FFB"/>
    <w:rsid w:val="0092754D"/>
    <w:rsid w:val="00927BB0"/>
    <w:rsid w:val="00927C63"/>
    <w:rsid w:val="0093037A"/>
    <w:rsid w:val="00932258"/>
    <w:rsid w:val="009323AE"/>
    <w:rsid w:val="00932E83"/>
    <w:rsid w:val="0093361A"/>
    <w:rsid w:val="00934684"/>
    <w:rsid w:val="009347A2"/>
    <w:rsid w:val="0093519E"/>
    <w:rsid w:val="00935D79"/>
    <w:rsid w:val="009361F2"/>
    <w:rsid w:val="009361FB"/>
    <w:rsid w:val="00936A03"/>
    <w:rsid w:val="0093715F"/>
    <w:rsid w:val="00937164"/>
    <w:rsid w:val="009373D0"/>
    <w:rsid w:val="00937D84"/>
    <w:rsid w:val="009406D3"/>
    <w:rsid w:val="00940C75"/>
    <w:rsid w:val="00941340"/>
    <w:rsid w:val="0094154D"/>
    <w:rsid w:val="009426E6"/>
    <w:rsid w:val="00942E22"/>
    <w:rsid w:val="00942E86"/>
    <w:rsid w:val="00943599"/>
    <w:rsid w:val="00944B49"/>
    <w:rsid w:val="00944C1F"/>
    <w:rsid w:val="00944D2A"/>
    <w:rsid w:val="00945999"/>
    <w:rsid w:val="00945AE8"/>
    <w:rsid w:val="00945E91"/>
    <w:rsid w:val="009464E2"/>
    <w:rsid w:val="00946765"/>
    <w:rsid w:val="009470AB"/>
    <w:rsid w:val="00947F6F"/>
    <w:rsid w:val="009500B6"/>
    <w:rsid w:val="009511B3"/>
    <w:rsid w:val="0095155F"/>
    <w:rsid w:val="00951BE3"/>
    <w:rsid w:val="0095288B"/>
    <w:rsid w:val="00953F65"/>
    <w:rsid w:val="00954429"/>
    <w:rsid w:val="00954819"/>
    <w:rsid w:val="00954B2D"/>
    <w:rsid w:val="00954E35"/>
    <w:rsid w:val="009553FF"/>
    <w:rsid w:val="00955485"/>
    <w:rsid w:val="009563CE"/>
    <w:rsid w:val="00956B0F"/>
    <w:rsid w:val="00957B32"/>
    <w:rsid w:val="00957EAB"/>
    <w:rsid w:val="00960018"/>
    <w:rsid w:val="00960089"/>
    <w:rsid w:val="00960466"/>
    <w:rsid w:val="009609A9"/>
    <w:rsid w:val="009614E7"/>
    <w:rsid w:val="00961C28"/>
    <w:rsid w:val="00961D97"/>
    <w:rsid w:val="00962ACA"/>
    <w:rsid w:val="009633F0"/>
    <w:rsid w:val="00963794"/>
    <w:rsid w:val="00963D63"/>
    <w:rsid w:val="00965502"/>
    <w:rsid w:val="00965DD4"/>
    <w:rsid w:val="00967BC7"/>
    <w:rsid w:val="00967D15"/>
    <w:rsid w:val="0097076C"/>
    <w:rsid w:val="00972807"/>
    <w:rsid w:val="00972ADF"/>
    <w:rsid w:val="00973499"/>
    <w:rsid w:val="00973F1C"/>
    <w:rsid w:val="00975BF1"/>
    <w:rsid w:val="00976328"/>
    <w:rsid w:val="0097680D"/>
    <w:rsid w:val="00976CA6"/>
    <w:rsid w:val="009773BB"/>
    <w:rsid w:val="00977627"/>
    <w:rsid w:val="00980B10"/>
    <w:rsid w:val="00980CDF"/>
    <w:rsid w:val="009812B5"/>
    <w:rsid w:val="009812CC"/>
    <w:rsid w:val="009814AE"/>
    <w:rsid w:val="009822B4"/>
    <w:rsid w:val="00982438"/>
    <w:rsid w:val="009824E5"/>
    <w:rsid w:val="009838E8"/>
    <w:rsid w:val="00983DA3"/>
    <w:rsid w:val="0098404C"/>
    <w:rsid w:val="00984656"/>
    <w:rsid w:val="00984ABD"/>
    <w:rsid w:val="00984B1A"/>
    <w:rsid w:val="00984DDB"/>
    <w:rsid w:val="00985283"/>
    <w:rsid w:val="00985849"/>
    <w:rsid w:val="00986516"/>
    <w:rsid w:val="00986952"/>
    <w:rsid w:val="00986E79"/>
    <w:rsid w:val="009874FE"/>
    <w:rsid w:val="00987628"/>
    <w:rsid w:val="009901EC"/>
    <w:rsid w:val="00990509"/>
    <w:rsid w:val="009908D7"/>
    <w:rsid w:val="00990FF6"/>
    <w:rsid w:val="009911EB"/>
    <w:rsid w:val="00991260"/>
    <w:rsid w:val="0099197D"/>
    <w:rsid w:val="00992281"/>
    <w:rsid w:val="00992612"/>
    <w:rsid w:val="00994012"/>
    <w:rsid w:val="00994430"/>
    <w:rsid w:val="00994696"/>
    <w:rsid w:val="00994717"/>
    <w:rsid w:val="00995004"/>
    <w:rsid w:val="00995992"/>
    <w:rsid w:val="00995C60"/>
    <w:rsid w:val="00997048"/>
    <w:rsid w:val="0099731D"/>
    <w:rsid w:val="00997622"/>
    <w:rsid w:val="009978FB"/>
    <w:rsid w:val="00997EA3"/>
    <w:rsid w:val="00997FB1"/>
    <w:rsid w:val="009A03E5"/>
    <w:rsid w:val="009A0AA0"/>
    <w:rsid w:val="009A0F3B"/>
    <w:rsid w:val="009A0FA4"/>
    <w:rsid w:val="009A1BB4"/>
    <w:rsid w:val="009A1CC6"/>
    <w:rsid w:val="009A2628"/>
    <w:rsid w:val="009A27AF"/>
    <w:rsid w:val="009A3200"/>
    <w:rsid w:val="009A348E"/>
    <w:rsid w:val="009A351A"/>
    <w:rsid w:val="009A3C7A"/>
    <w:rsid w:val="009A3C98"/>
    <w:rsid w:val="009A3D37"/>
    <w:rsid w:val="009A432F"/>
    <w:rsid w:val="009A4752"/>
    <w:rsid w:val="009A4F0F"/>
    <w:rsid w:val="009A5DD8"/>
    <w:rsid w:val="009A5ED2"/>
    <w:rsid w:val="009A60F9"/>
    <w:rsid w:val="009A6A97"/>
    <w:rsid w:val="009A6CC1"/>
    <w:rsid w:val="009A714C"/>
    <w:rsid w:val="009B0897"/>
    <w:rsid w:val="009B0BE1"/>
    <w:rsid w:val="009B20CC"/>
    <w:rsid w:val="009B2711"/>
    <w:rsid w:val="009B2D68"/>
    <w:rsid w:val="009B3046"/>
    <w:rsid w:val="009B35EE"/>
    <w:rsid w:val="009B3F97"/>
    <w:rsid w:val="009B4266"/>
    <w:rsid w:val="009B4354"/>
    <w:rsid w:val="009B48A0"/>
    <w:rsid w:val="009B59A1"/>
    <w:rsid w:val="009B611B"/>
    <w:rsid w:val="009B7327"/>
    <w:rsid w:val="009B7991"/>
    <w:rsid w:val="009B7BD9"/>
    <w:rsid w:val="009B7D0D"/>
    <w:rsid w:val="009C012C"/>
    <w:rsid w:val="009C07DD"/>
    <w:rsid w:val="009C0A63"/>
    <w:rsid w:val="009C1611"/>
    <w:rsid w:val="009C18AD"/>
    <w:rsid w:val="009C1A0F"/>
    <w:rsid w:val="009C2966"/>
    <w:rsid w:val="009C2FF1"/>
    <w:rsid w:val="009C32C5"/>
    <w:rsid w:val="009C3914"/>
    <w:rsid w:val="009C49EC"/>
    <w:rsid w:val="009C601C"/>
    <w:rsid w:val="009C65F3"/>
    <w:rsid w:val="009C661B"/>
    <w:rsid w:val="009C71CE"/>
    <w:rsid w:val="009C78C2"/>
    <w:rsid w:val="009C7DD5"/>
    <w:rsid w:val="009D050F"/>
    <w:rsid w:val="009D068A"/>
    <w:rsid w:val="009D3791"/>
    <w:rsid w:val="009D3E80"/>
    <w:rsid w:val="009D5BBA"/>
    <w:rsid w:val="009D5FC4"/>
    <w:rsid w:val="009D65F3"/>
    <w:rsid w:val="009D6B97"/>
    <w:rsid w:val="009D6DCC"/>
    <w:rsid w:val="009D70E5"/>
    <w:rsid w:val="009D7568"/>
    <w:rsid w:val="009E08D0"/>
    <w:rsid w:val="009E1222"/>
    <w:rsid w:val="009E1535"/>
    <w:rsid w:val="009E1AB8"/>
    <w:rsid w:val="009E1B87"/>
    <w:rsid w:val="009E227D"/>
    <w:rsid w:val="009E2B91"/>
    <w:rsid w:val="009E3380"/>
    <w:rsid w:val="009E47EB"/>
    <w:rsid w:val="009E48C6"/>
    <w:rsid w:val="009E4D72"/>
    <w:rsid w:val="009E4FD3"/>
    <w:rsid w:val="009E5019"/>
    <w:rsid w:val="009E5142"/>
    <w:rsid w:val="009E5232"/>
    <w:rsid w:val="009E551A"/>
    <w:rsid w:val="009E57A9"/>
    <w:rsid w:val="009E606A"/>
    <w:rsid w:val="009E61D4"/>
    <w:rsid w:val="009E6814"/>
    <w:rsid w:val="009E6976"/>
    <w:rsid w:val="009E6E9A"/>
    <w:rsid w:val="009E784E"/>
    <w:rsid w:val="009E79A6"/>
    <w:rsid w:val="009E7CF8"/>
    <w:rsid w:val="009F162C"/>
    <w:rsid w:val="009F1C54"/>
    <w:rsid w:val="009F1EBC"/>
    <w:rsid w:val="009F25DF"/>
    <w:rsid w:val="009F2993"/>
    <w:rsid w:val="009F2DAE"/>
    <w:rsid w:val="009F2FFC"/>
    <w:rsid w:val="009F3134"/>
    <w:rsid w:val="009F3722"/>
    <w:rsid w:val="009F4366"/>
    <w:rsid w:val="009F497A"/>
    <w:rsid w:val="009F4AC0"/>
    <w:rsid w:val="009F4E4D"/>
    <w:rsid w:val="009F546B"/>
    <w:rsid w:val="009F69D8"/>
    <w:rsid w:val="009F6C13"/>
    <w:rsid w:val="009F7608"/>
    <w:rsid w:val="00A00184"/>
    <w:rsid w:val="00A0105A"/>
    <w:rsid w:val="00A018E9"/>
    <w:rsid w:val="00A01AE7"/>
    <w:rsid w:val="00A02097"/>
    <w:rsid w:val="00A025AB"/>
    <w:rsid w:val="00A02F29"/>
    <w:rsid w:val="00A03626"/>
    <w:rsid w:val="00A04DDE"/>
    <w:rsid w:val="00A04F1B"/>
    <w:rsid w:val="00A0501B"/>
    <w:rsid w:val="00A05436"/>
    <w:rsid w:val="00A05815"/>
    <w:rsid w:val="00A0595E"/>
    <w:rsid w:val="00A05AA9"/>
    <w:rsid w:val="00A05ACE"/>
    <w:rsid w:val="00A05BB1"/>
    <w:rsid w:val="00A066E6"/>
    <w:rsid w:val="00A07F31"/>
    <w:rsid w:val="00A10873"/>
    <w:rsid w:val="00A10B87"/>
    <w:rsid w:val="00A11069"/>
    <w:rsid w:val="00A1111C"/>
    <w:rsid w:val="00A11528"/>
    <w:rsid w:val="00A11BC6"/>
    <w:rsid w:val="00A11E4E"/>
    <w:rsid w:val="00A11E80"/>
    <w:rsid w:val="00A12B07"/>
    <w:rsid w:val="00A12CB8"/>
    <w:rsid w:val="00A132C3"/>
    <w:rsid w:val="00A13495"/>
    <w:rsid w:val="00A1363D"/>
    <w:rsid w:val="00A13F32"/>
    <w:rsid w:val="00A13F66"/>
    <w:rsid w:val="00A1424D"/>
    <w:rsid w:val="00A14947"/>
    <w:rsid w:val="00A149D3"/>
    <w:rsid w:val="00A14FD1"/>
    <w:rsid w:val="00A154CE"/>
    <w:rsid w:val="00A1555D"/>
    <w:rsid w:val="00A16709"/>
    <w:rsid w:val="00A17A69"/>
    <w:rsid w:val="00A20E08"/>
    <w:rsid w:val="00A20F4B"/>
    <w:rsid w:val="00A21EEB"/>
    <w:rsid w:val="00A228DB"/>
    <w:rsid w:val="00A22D24"/>
    <w:rsid w:val="00A23144"/>
    <w:rsid w:val="00A23588"/>
    <w:rsid w:val="00A2365F"/>
    <w:rsid w:val="00A24855"/>
    <w:rsid w:val="00A25428"/>
    <w:rsid w:val="00A25FD5"/>
    <w:rsid w:val="00A26C8E"/>
    <w:rsid w:val="00A26F63"/>
    <w:rsid w:val="00A271C8"/>
    <w:rsid w:val="00A279FB"/>
    <w:rsid w:val="00A30549"/>
    <w:rsid w:val="00A30AF7"/>
    <w:rsid w:val="00A30BCC"/>
    <w:rsid w:val="00A316D3"/>
    <w:rsid w:val="00A32A83"/>
    <w:rsid w:val="00A334A5"/>
    <w:rsid w:val="00A33E60"/>
    <w:rsid w:val="00A34242"/>
    <w:rsid w:val="00A34426"/>
    <w:rsid w:val="00A34463"/>
    <w:rsid w:val="00A34DEB"/>
    <w:rsid w:val="00A3533D"/>
    <w:rsid w:val="00A35373"/>
    <w:rsid w:val="00A35A5C"/>
    <w:rsid w:val="00A35B38"/>
    <w:rsid w:val="00A36830"/>
    <w:rsid w:val="00A368DB"/>
    <w:rsid w:val="00A36EE8"/>
    <w:rsid w:val="00A3738F"/>
    <w:rsid w:val="00A37AC7"/>
    <w:rsid w:val="00A37FE7"/>
    <w:rsid w:val="00A401B3"/>
    <w:rsid w:val="00A41102"/>
    <w:rsid w:val="00A423AA"/>
    <w:rsid w:val="00A42A8D"/>
    <w:rsid w:val="00A4344F"/>
    <w:rsid w:val="00A4469A"/>
    <w:rsid w:val="00A44B27"/>
    <w:rsid w:val="00A44BD7"/>
    <w:rsid w:val="00A4690A"/>
    <w:rsid w:val="00A46982"/>
    <w:rsid w:val="00A47E96"/>
    <w:rsid w:val="00A50772"/>
    <w:rsid w:val="00A508EF"/>
    <w:rsid w:val="00A5099E"/>
    <w:rsid w:val="00A50F4F"/>
    <w:rsid w:val="00A52288"/>
    <w:rsid w:val="00A52AA8"/>
    <w:rsid w:val="00A53049"/>
    <w:rsid w:val="00A53C66"/>
    <w:rsid w:val="00A53EC6"/>
    <w:rsid w:val="00A54754"/>
    <w:rsid w:val="00A549F6"/>
    <w:rsid w:val="00A54AC1"/>
    <w:rsid w:val="00A54DD0"/>
    <w:rsid w:val="00A5587C"/>
    <w:rsid w:val="00A55C0F"/>
    <w:rsid w:val="00A56824"/>
    <w:rsid w:val="00A6194D"/>
    <w:rsid w:val="00A61AC2"/>
    <w:rsid w:val="00A6248B"/>
    <w:rsid w:val="00A626F8"/>
    <w:rsid w:val="00A6286D"/>
    <w:rsid w:val="00A6317C"/>
    <w:rsid w:val="00A639DF"/>
    <w:rsid w:val="00A63BA1"/>
    <w:rsid w:val="00A643C0"/>
    <w:rsid w:val="00A65585"/>
    <w:rsid w:val="00A65C56"/>
    <w:rsid w:val="00A65D60"/>
    <w:rsid w:val="00A66117"/>
    <w:rsid w:val="00A66732"/>
    <w:rsid w:val="00A66C4F"/>
    <w:rsid w:val="00A66D21"/>
    <w:rsid w:val="00A67568"/>
    <w:rsid w:val="00A67C64"/>
    <w:rsid w:val="00A67DAE"/>
    <w:rsid w:val="00A67E16"/>
    <w:rsid w:val="00A70B81"/>
    <w:rsid w:val="00A71C3E"/>
    <w:rsid w:val="00A725FE"/>
    <w:rsid w:val="00A73AF1"/>
    <w:rsid w:val="00A73F6D"/>
    <w:rsid w:val="00A74A6E"/>
    <w:rsid w:val="00A74B21"/>
    <w:rsid w:val="00A74E1F"/>
    <w:rsid w:val="00A75A37"/>
    <w:rsid w:val="00A76455"/>
    <w:rsid w:val="00A7733C"/>
    <w:rsid w:val="00A77816"/>
    <w:rsid w:val="00A779E2"/>
    <w:rsid w:val="00A77E05"/>
    <w:rsid w:val="00A77E60"/>
    <w:rsid w:val="00A77F38"/>
    <w:rsid w:val="00A8028C"/>
    <w:rsid w:val="00A805DC"/>
    <w:rsid w:val="00A8067E"/>
    <w:rsid w:val="00A80851"/>
    <w:rsid w:val="00A80871"/>
    <w:rsid w:val="00A80ACE"/>
    <w:rsid w:val="00A810D6"/>
    <w:rsid w:val="00A81CD9"/>
    <w:rsid w:val="00A81E12"/>
    <w:rsid w:val="00A822EC"/>
    <w:rsid w:val="00A833D2"/>
    <w:rsid w:val="00A83D03"/>
    <w:rsid w:val="00A8512D"/>
    <w:rsid w:val="00A8591F"/>
    <w:rsid w:val="00A85F83"/>
    <w:rsid w:val="00A87135"/>
    <w:rsid w:val="00A8713F"/>
    <w:rsid w:val="00A90662"/>
    <w:rsid w:val="00A90BA1"/>
    <w:rsid w:val="00A91A61"/>
    <w:rsid w:val="00A91E6C"/>
    <w:rsid w:val="00A924E0"/>
    <w:rsid w:val="00A924EC"/>
    <w:rsid w:val="00A92AD4"/>
    <w:rsid w:val="00A935DF"/>
    <w:rsid w:val="00A9551A"/>
    <w:rsid w:val="00A95679"/>
    <w:rsid w:val="00A95AD6"/>
    <w:rsid w:val="00A95E48"/>
    <w:rsid w:val="00A966F7"/>
    <w:rsid w:val="00A96976"/>
    <w:rsid w:val="00A96F5E"/>
    <w:rsid w:val="00A97445"/>
    <w:rsid w:val="00A97A9A"/>
    <w:rsid w:val="00A97B3E"/>
    <w:rsid w:val="00A97C75"/>
    <w:rsid w:val="00A97D7B"/>
    <w:rsid w:val="00AA0671"/>
    <w:rsid w:val="00AA0F05"/>
    <w:rsid w:val="00AA141D"/>
    <w:rsid w:val="00AA1B0A"/>
    <w:rsid w:val="00AA1C8B"/>
    <w:rsid w:val="00AA2531"/>
    <w:rsid w:val="00AA2726"/>
    <w:rsid w:val="00AA283E"/>
    <w:rsid w:val="00AA2A9F"/>
    <w:rsid w:val="00AA2D75"/>
    <w:rsid w:val="00AA2F8F"/>
    <w:rsid w:val="00AA4285"/>
    <w:rsid w:val="00AA46A6"/>
    <w:rsid w:val="00AA47AA"/>
    <w:rsid w:val="00AA4882"/>
    <w:rsid w:val="00AA49E4"/>
    <w:rsid w:val="00AA4DB2"/>
    <w:rsid w:val="00AA4E8A"/>
    <w:rsid w:val="00AA65BA"/>
    <w:rsid w:val="00AA73F8"/>
    <w:rsid w:val="00AA7865"/>
    <w:rsid w:val="00AB04B8"/>
    <w:rsid w:val="00AB05D3"/>
    <w:rsid w:val="00AB1053"/>
    <w:rsid w:val="00AB17BA"/>
    <w:rsid w:val="00AB19F6"/>
    <w:rsid w:val="00AB1B8C"/>
    <w:rsid w:val="00AB1E09"/>
    <w:rsid w:val="00AB1E23"/>
    <w:rsid w:val="00AB205F"/>
    <w:rsid w:val="00AB232C"/>
    <w:rsid w:val="00AB23A2"/>
    <w:rsid w:val="00AB2786"/>
    <w:rsid w:val="00AB2F33"/>
    <w:rsid w:val="00AB3D5C"/>
    <w:rsid w:val="00AB3ED9"/>
    <w:rsid w:val="00AB406D"/>
    <w:rsid w:val="00AB45FA"/>
    <w:rsid w:val="00AB4665"/>
    <w:rsid w:val="00AB505A"/>
    <w:rsid w:val="00AB5330"/>
    <w:rsid w:val="00AB5E45"/>
    <w:rsid w:val="00AB5FA7"/>
    <w:rsid w:val="00AB75FB"/>
    <w:rsid w:val="00AB7747"/>
    <w:rsid w:val="00AB77E2"/>
    <w:rsid w:val="00AB7956"/>
    <w:rsid w:val="00AB7A4B"/>
    <w:rsid w:val="00AC03C2"/>
    <w:rsid w:val="00AC14CE"/>
    <w:rsid w:val="00AC1C65"/>
    <w:rsid w:val="00AC2A56"/>
    <w:rsid w:val="00AC333D"/>
    <w:rsid w:val="00AC38A3"/>
    <w:rsid w:val="00AC3D56"/>
    <w:rsid w:val="00AC3DE7"/>
    <w:rsid w:val="00AC46FF"/>
    <w:rsid w:val="00AC47EA"/>
    <w:rsid w:val="00AC49F5"/>
    <w:rsid w:val="00AC4F79"/>
    <w:rsid w:val="00AC6DAC"/>
    <w:rsid w:val="00AC6F09"/>
    <w:rsid w:val="00AC7143"/>
    <w:rsid w:val="00AC7599"/>
    <w:rsid w:val="00AC7A9D"/>
    <w:rsid w:val="00AC7F60"/>
    <w:rsid w:val="00AD055E"/>
    <w:rsid w:val="00AD15FE"/>
    <w:rsid w:val="00AD2184"/>
    <w:rsid w:val="00AD25FF"/>
    <w:rsid w:val="00AD2767"/>
    <w:rsid w:val="00AD390A"/>
    <w:rsid w:val="00AD397A"/>
    <w:rsid w:val="00AD3A8D"/>
    <w:rsid w:val="00AD47A7"/>
    <w:rsid w:val="00AD4FA0"/>
    <w:rsid w:val="00AD56D3"/>
    <w:rsid w:val="00AD6630"/>
    <w:rsid w:val="00AD6EEB"/>
    <w:rsid w:val="00AD6FB3"/>
    <w:rsid w:val="00AD7FED"/>
    <w:rsid w:val="00AE0528"/>
    <w:rsid w:val="00AE0583"/>
    <w:rsid w:val="00AE0BCA"/>
    <w:rsid w:val="00AE1048"/>
    <w:rsid w:val="00AE1836"/>
    <w:rsid w:val="00AE1864"/>
    <w:rsid w:val="00AE269C"/>
    <w:rsid w:val="00AE27E0"/>
    <w:rsid w:val="00AE340B"/>
    <w:rsid w:val="00AE469E"/>
    <w:rsid w:val="00AE46C2"/>
    <w:rsid w:val="00AE495B"/>
    <w:rsid w:val="00AE4FD5"/>
    <w:rsid w:val="00AE5B51"/>
    <w:rsid w:val="00AE617D"/>
    <w:rsid w:val="00AE67DB"/>
    <w:rsid w:val="00AE6A2C"/>
    <w:rsid w:val="00AE6AD7"/>
    <w:rsid w:val="00AE6CFA"/>
    <w:rsid w:val="00AE74D9"/>
    <w:rsid w:val="00AE7540"/>
    <w:rsid w:val="00AE77F2"/>
    <w:rsid w:val="00AE7818"/>
    <w:rsid w:val="00AE7B47"/>
    <w:rsid w:val="00AF0192"/>
    <w:rsid w:val="00AF0CBF"/>
    <w:rsid w:val="00AF1071"/>
    <w:rsid w:val="00AF14EA"/>
    <w:rsid w:val="00AF18FA"/>
    <w:rsid w:val="00AF19D2"/>
    <w:rsid w:val="00AF1CCD"/>
    <w:rsid w:val="00AF1DA7"/>
    <w:rsid w:val="00AF231D"/>
    <w:rsid w:val="00AF2459"/>
    <w:rsid w:val="00AF257F"/>
    <w:rsid w:val="00AF26B0"/>
    <w:rsid w:val="00AF289F"/>
    <w:rsid w:val="00AF2E42"/>
    <w:rsid w:val="00AF30C9"/>
    <w:rsid w:val="00AF33CF"/>
    <w:rsid w:val="00AF34BD"/>
    <w:rsid w:val="00AF37AA"/>
    <w:rsid w:val="00AF48A0"/>
    <w:rsid w:val="00AF4D50"/>
    <w:rsid w:val="00AF4E26"/>
    <w:rsid w:val="00AF5AC0"/>
    <w:rsid w:val="00AF6179"/>
    <w:rsid w:val="00AF61E1"/>
    <w:rsid w:val="00AF7243"/>
    <w:rsid w:val="00B00651"/>
    <w:rsid w:val="00B0093E"/>
    <w:rsid w:val="00B00FCF"/>
    <w:rsid w:val="00B01382"/>
    <w:rsid w:val="00B01547"/>
    <w:rsid w:val="00B0172F"/>
    <w:rsid w:val="00B02E65"/>
    <w:rsid w:val="00B03E6B"/>
    <w:rsid w:val="00B0726A"/>
    <w:rsid w:val="00B07A3C"/>
    <w:rsid w:val="00B10F71"/>
    <w:rsid w:val="00B114D1"/>
    <w:rsid w:val="00B1196C"/>
    <w:rsid w:val="00B11C09"/>
    <w:rsid w:val="00B127F8"/>
    <w:rsid w:val="00B1295A"/>
    <w:rsid w:val="00B1397A"/>
    <w:rsid w:val="00B13A5D"/>
    <w:rsid w:val="00B1434E"/>
    <w:rsid w:val="00B145DA"/>
    <w:rsid w:val="00B1612F"/>
    <w:rsid w:val="00B17932"/>
    <w:rsid w:val="00B17B16"/>
    <w:rsid w:val="00B17B9F"/>
    <w:rsid w:val="00B20A45"/>
    <w:rsid w:val="00B20DB8"/>
    <w:rsid w:val="00B20E84"/>
    <w:rsid w:val="00B211AA"/>
    <w:rsid w:val="00B21AC5"/>
    <w:rsid w:val="00B22256"/>
    <w:rsid w:val="00B2243F"/>
    <w:rsid w:val="00B22815"/>
    <w:rsid w:val="00B22838"/>
    <w:rsid w:val="00B22C5C"/>
    <w:rsid w:val="00B22E99"/>
    <w:rsid w:val="00B2316F"/>
    <w:rsid w:val="00B2319E"/>
    <w:rsid w:val="00B23889"/>
    <w:rsid w:val="00B23A87"/>
    <w:rsid w:val="00B23CFC"/>
    <w:rsid w:val="00B23FB6"/>
    <w:rsid w:val="00B24D5D"/>
    <w:rsid w:val="00B24F30"/>
    <w:rsid w:val="00B25716"/>
    <w:rsid w:val="00B257EC"/>
    <w:rsid w:val="00B27731"/>
    <w:rsid w:val="00B27D7E"/>
    <w:rsid w:val="00B27DBD"/>
    <w:rsid w:val="00B30828"/>
    <w:rsid w:val="00B3127B"/>
    <w:rsid w:val="00B316B6"/>
    <w:rsid w:val="00B31AAC"/>
    <w:rsid w:val="00B31ABF"/>
    <w:rsid w:val="00B3205B"/>
    <w:rsid w:val="00B321EA"/>
    <w:rsid w:val="00B32D1E"/>
    <w:rsid w:val="00B32D47"/>
    <w:rsid w:val="00B32E2F"/>
    <w:rsid w:val="00B334A0"/>
    <w:rsid w:val="00B3351F"/>
    <w:rsid w:val="00B33A7A"/>
    <w:rsid w:val="00B33BE3"/>
    <w:rsid w:val="00B3431A"/>
    <w:rsid w:val="00B3447D"/>
    <w:rsid w:val="00B3593A"/>
    <w:rsid w:val="00B36123"/>
    <w:rsid w:val="00B368F5"/>
    <w:rsid w:val="00B36A2E"/>
    <w:rsid w:val="00B37074"/>
    <w:rsid w:val="00B4000C"/>
    <w:rsid w:val="00B40A57"/>
    <w:rsid w:val="00B40F0A"/>
    <w:rsid w:val="00B41A27"/>
    <w:rsid w:val="00B4220D"/>
    <w:rsid w:val="00B42529"/>
    <w:rsid w:val="00B43F67"/>
    <w:rsid w:val="00B441A6"/>
    <w:rsid w:val="00B44859"/>
    <w:rsid w:val="00B4500C"/>
    <w:rsid w:val="00B4588D"/>
    <w:rsid w:val="00B458D4"/>
    <w:rsid w:val="00B461FB"/>
    <w:rsid w:val="00B463D9"/>
    <w:rsid w:val="00B46F47"/>
    <w:rsid w:val="00B476F3"/>
    <w:rsid w:val="00B47DB9"/>
    <w:rsid w:val="00B47FB3"/>
    <w:rsid w:val="00B50F54"/>
    <w:rsid w:val="00B51E0F"/>
    <w:rsid w:val="00B52559"/>
    <w:rsid w:val="00B526A5"/>
    <w:rsid w:val="00B52C88"/>
    <w:rsid w:val="00B52E62"/>
    <w:rsid w:val="00B52EA1"/>
    <w:rsid w:val="00B5379B"/>
    <w:rsid w:val="00B53B5D"/>
    <w:rsid w:val="00B5458C"/>
    <w:rsid w:val="00B54F33"/>
    <w:rsid w:val="00B55657"/>
    <w:rsid w:val="00B558B6"/>
    <w:rsid w:val="00B569A5"/>
    <w:rsid w:val="00B56AE9"/>
    <w:rsid w:val="00B56BDE"/>
    <w:rsid w:val="00B5737D"/>
    <w:rsid w:val="00B57FCE"/>
    <w:rsid w:val="00B6055E"/>
    <w:rsid w:val="00B60857"/>
    <w:rsid w:val="00B60B47"/>
    <w:rsid w:val="00B60B97"/>
    <w:rsid w:val="00B60E26"/>
    <w:rsid w:val="00B61EBF"/>
    <w:rsid w:val="00B62B1B"/>
    <w:rsid w:val="00B6317D"/>
    <w:rsid w:val="00B63592"/>
    <w:rsid w:val="00B638DF"/>
    <w:rsid w:val="00B6438C"/>
    <w:rsid w:val="00B64454"/>
    <w:rsid w:val="00B645F6"/>
    <w:rsid w:val="00B64A76"/>
    <w:rsid w:val="00B653D1"/>
    <w:rsid w:val="00B656F8"/>
    <w:rsid w:val="00B66404"/>
    <w:rsid w:val="00B669FC"/>
    <w:rsid w:val="00B671C3"/>
    <w:rsid w:val="00B672D4"/>
    <w:rsid w:val="00B673F3"/>
    <w:rsid w:val="00B679AD"/>
    <w:rsid w:val="00B67BFB"/>
    <w:rsid w:val="00B67D10"/>
    <w:rsid w:val="00B708FE"/>
    <w:rsid w:val="00B70A30"/>
    <w:rsid w:val="00B7148F"/>
    <w:rsid w:val="00B718FA"/>
    <w:rsid w:val="00B71F82"/>
    <w:rsid w:val="00B71FF3"/>
    <w:rsid w:val="00B73CDD"/>
    <w:rsid w:val="00B7490D"/>
    <w:rsid w:val="00B74B22"/>
    <w:rsid w:val="00B74D9B"/>
    <w:rsid w:val="00B75163"/>
    <w:rsid w:val="00B75CD9"/>
    <w:rsid w:val="00B76290"/>
    <w:rsid w:val="00B764B7"/>
    <w:rsid w:val="00B766C9"/>
    <w:rsid w:val="00B76766"/>
    <w:rsid w:val="00B76F59"/>
    <w:rsid w:val="00B7723F"/>
    <w:rsid w:val="00B777AD"/>
    <w:rsid w:val="00B778DA"/>
    <w:rsid w:val="00B80482"/>
    <w:rsid w:val="00B80534"/>
    <w:rsid w:val="00B81E12"/>
    <w:rsid w:val="00B823B9"/>
    <w:rsid w:val="00B82AA5"/>
    <w:rsid w:val="00B830A9"/>
    <w:rsid w:val="00B832B3"/>
    <w:rsid w:val="00B8433C"/>
    <w:rsid w:val="00B8463F"/>
    <w:rsid w:val="00B84873"/>
    <w:rsid w:val="00B84A90"/>
    <w:rsid w:val="00B84BAC"/>
    <w:rsid w:val="00B84CC9"/>
    <w:rsid w:val="00B85177"/>
    <w:rsid w:val="00B8593C"/>
    <w:rsid w:val="00B86B1D"/>
    <w:rsid w:val="00B86E2D"/>
    <w:rsid w:val="00B87491"/>
    <w:rsid w:val="00B875B7"/>
    <w:rsid w:val="00B87694"/>
    <w:rsid w:val="00B876E2"/>
    <w:rsid w:val="00B87F7E"/>
    <w:rsid w:val="00B901D0"/>
    <w:rsid w:val="00B91157"/>
    <w:rsid w:val="00B911A0"/>
    <w:rsid w:val="00B915DC"/>
    <w:rsid w:val="00B91F70"/>
    <w:rsid w:val="00B9200C"/>
    <w:rsid w:val="00B92A2F"/>
    <w:rsid w:val="00B92B37"/>
    <w:rsid w:val="00B93937"/>
    <w:rsid w:val="00B9559B"/>
    <w:rsid w:val="00B95BF3"/>
    <w:rsid w:val="00B961F5"/>
    <w:rsid w:val="00B963A3"/>
    <w:rsid w:val="00B96C9A"/>
    <w:rsid w:val="00B97070"/>
    <w:rsid w:val="00B9757A"/>
    <w:rsid w:val="00B976D8"/>
    <w:rsid w:val="00B97C2E"/>
    <w:rsid w:val="00BA065A"/>
    <w:rsid w:val="00BA0A19"/>
    <w:rsid w:val="00BA0D1D"/>
    <w:rsid w:val="00BA0FFD"/>
    <w:rsid w:val="00BA17B1"/>
    <w:rsid w:val="00BA2513"/>
    <w:rsid w:val="00BA29E9"/>
    <w:rsid w:val="00BA3C19"/>
    <w:rsid w:val="00BA3C70"/>
    <w:rsid w:val="00BA47DE"/>
    <w:rsid w:val="00BA4C41"/>
    <w:rsid w:val="00BA5145"/>
    <w:rsid w:val="00BA5823"/>
    <w:rsid w:val="00BA5D82"/>
    <w:rsid w:val="00BA5F59"/>
    <w:rsid w:val="00BA6C3F"/>
    <w:rsid w:val="00BA7142"/>
    <w:rsid w:val="00BA7214"/>
    <w:rsid w:val="00BA78A8"/>
    <w:rsid w:val="00BA7F4A"/>
    <w:rsid w:val="00BB0373"/>
    <w:rsid w:val="00BB1513"/>
    <w:rsid w:val="00BB1647"/>
    <w:rsid w:val="00BB237C"/>
    <w:rsid w:val="00BB26C5"/>
    <w:rsid w:val="00BB33BA"/>
    <w:rsid w:val="00BB3A8E"/>
    <w:rsid w:val="00BB3DB0"/>
    <w:rsid w:val="00BB41A3"/>
    <w:rsid w:val="00BB51AA"/>
    <w:rsid w:val="00BB61C3"/>
    <w:rsid w:val="00BB7061"/>
    <w:rsid w:val="00BB734C"/>
    <w:rsid w:val="00BB7452"/>
    <w:rsid w:val="00BB751E"/>
    <w:rsid w:val="00BB773C"/>
    <w:rsid w:val="00BB7A55"/>
    <w:rsid w:val="00BB7A6B"/>
    <w:rsid w:val="00BC134B"/>
    <w:rsid w:val="00BC1695"/>
    <w:rsid w:val="00BC174A"/>
    <w:rsid w:val="00BC19C3"/>
    <w:rsid w:val="00BC22C6"/>
    <w:rsid w:val="00BC2A0A"/>
    <w:rsid w:val="00BC2D08"/>
    <w:rsid w:val="00BC2F22"/>
    <w:rsid w:val="00BC3276"/>
    <w:rsid w:val="00BC32DC"/>
    <w:rsid w:val="00BC35B6"/>
    <w:rsid w:val="00BC35F1"/>
    <w:rsid w:val="00BC3E46"/>
    <w:rsid w:val="00BC46FF"/>
    <w:rsid w:val="00BC4ACF"/>
    <w:rsid w:val="00BC4C53"/>
    <w:rsid w:val="00BC4DD1"/>
    <w:rsid w:val="00BC5201"/>
    <w:rsid w:val="00BC5417"/>
    <w:rsid w:val="00BC5AD1"/>
    <w:rsid w:val="00BC5F3F"/>
    <w:rsid w:val="00BC7601"/>
    <w:rsid w:val="00BC7900"/>
    <w:rsid w:val="00BD0FFF"/>
    <w:rsid w:val="00BD1264"/>
    <w:rsid w:val="00BD13D9"/>
    <w:rsid w:val="00BD16CB"/>
    <w:rsid w:val="00BD1B51"/>
    <w:rsid w:val="00BD1F6F"/>
    <w:rsid w:val="00BD31B8"/>
    <w:rsid w:val="00BD322B"/>
    <w:rsid w:val="00BD382F"/>
    <w:rsid w:val="00BD3A19"/>
    <w:rsid w:val="00BD3F25"/>
    <w:rsid w:val="00BD4260"/>
    <w:rsid w:val="00BD4596"/>
    <w:rsid w:val="00BD5DB7"/>
    <w:rsid w:val="00BD6657"/>
    <w:rsid w:val="00BD6DEB"/>
    <w:rsid w:val="00BD7294"/>
    <w:rsid w:val="00BD7691"/>
    <w:rsid w:val="00BD79A0"/>
    <w:rsid w:val="00BD7CB1"/>
    <w:rsid w:val="00BE0196"/>
    <w:rsid w:val="00BE0311"/>
    <w:rsid w:val="00BE0740"/>
    <w:rsid w:val="00BE1405"/>
    <w:rsid w:val="00BE1A09"/>
    <w:rsid w:val="00BE2A75"/>
    <w:rsid w:val="00BE312D"/>
    <w:rsid w:val="00BE3354"/>
    <w:rsid w:val="00BE34E8"/>
    <w:rsid w:val="00BE440F"/>
    <w:rsid w:val="00BE4458"/>
    <w:rsid w:val="00BE473B"/>
    <w:rsid w:val="00BE4AF1"/>
    <w:rsid w:val="00BE54F3"/>
    <w:rsid w:val="00BE5A74"/>
    <w:rsid w:val="00BE6592"/>
    <w:rsid w:val="00BE734E"/>
    <w:rsid w:val="00BE7B4C"/>
    <w:rsid w:val="00BE7B79"/>
    <w:rsid w:val="00BF0B20"/>
    <w:rsid w:val="00BF1180"/>
    <w:rsid w:val="00BF1263"/>
    <w:rsid w:val="00BF13B8"/>
    <w:rsid w:val="00BF1A50"/>
    <w:rsid w:val="00BF1B97"/>
    <w:rsid w:val="00BF1C20"/>
    <w:rsid w:val="00BF29AE"/>
    <w:rsid w:val="00BF2B3C"/>
    <w:rsid w:val="00BF2EDC"/>
    <w:rsid w:val="00BF3C21"/>
    <w:rsid w:val="00BF3E31"/>
    <w:rsid w:val="00BF3FAE"/>
    <w:rsid w:val="00BF5EFE"/>
    <w:rsid w:val="00BF6E0C"/>
    <w:rsid w:val="00BF6E70"/>
    <w:rsid w:val="00C004DE"/>
    <w:rsid w:val="00C01AD9"/>
    <w:rsid w:val="00C01C6E"/>
    <w:rsid w:val="00C03C9F"/>
    <w:rsid w:val="00C03E89"/>
    <w:rsid w:val="00C03EA6"/>
    <w:rsid w:val="00C044FF"/>
    <w:rsid w:val="00C05193"/>
    <w:rsid w:val="00C05E1D"/>
    <w:rsid w:val="00C06194"/>
    <w:rsid w:val="00C07051"/>
    <w:rsid w:val="00C073ED"/>
    <w:rsid w:val="00C07C73"/>
    <w:rsid w:val="00C10423"/>
    <w:rsid w:val="00C10578"/>
    <w:rsid w:val="00C10950"/>
    <w:rsid w:val="00C116EC"/>
    <w:rsid w:val="00C12363"/>
    <w:rsid w:val="00C1239C"/>
    <w:rsid w:val="00C128CC"/>
    <w:rsid w:val="00C135BC"/>
    <w:rsid w:val="00C1464C"/>
    <w:rsid w:val="00C1482C"/>
    <w:rsid w:val="00C15714"/>
    <w:rsid w:val="00C15C95"/>
    <w:rsid w:val="00C15E4B"/>
    <w:rsid w:val="00C1725D"/>
    <w:rsid w:val="00C20276"/>
    <w:rsid w:val="00C205BD"/>
    <w:rsid w:val="00C20FA0"/>
    <w:rsid w:val="00C21016"/>
    <w:rsid w:val="00C21AC5"/>
    <w:rsid w:val="00C22067"/>
    <w:rsid w:val="00C22FD6"/>
    <w:rsid w:val="00C23159"/>
    <w:rsid w:val="00C234D5"/>
    <w:rsid w:val="00C2350D"/>
    <w:rsid w:val="00C239A1"/>
    <w:rsid w:val="00C24328"/>
    <w:rsid w:val="00C244A6"/>
    <w:rsid w:val="00C252A7"/>
    <w:rsid w:val="00C2543A"/>
    <w:rsid w:val="00C2557A"/>
    <w:rsid w:val="00C2596A"/>
    <w:rsid w:val="00C26FCF"/>
    <w:rsid w:val="00C27510"/>
    <w:rsid w:val="00C27537"/>
    <w:rsid w:val="00C2772E"/>
    <w:rsid w:val="00C30275"/>
    <w:rsid w:val="00C30AEE"/>
    <w:rsid w:val="00C30C69"/>
    <w:rsid w:val="00C319EB"/>
    <w:rsid w:val="00C31EF2"/>
    <w:rsid w:val="00C32321"/>
    <w:rsid w:val="00C325AB"/>
    <w:rsid w:val="00C32765"/>
    <w:rsid w:val="00C328FE"/>
    <w:rsid w:val="00C32D5A"/>
    <w:rsid w:val="00C33507"/>
    <w:rsid w:val="00C336F3"/>
    <w:rsid w:val="00C337E9"/>
    <w:rsid w:val="00C34148"/>
    <w:rsid w:val="00C348D4"/>
    <w:rsid w:val="00C34C46"/>
    <w:rsid w:val="00C34CF5"/>
    <w:rsid w:val="00C34DEF"/>
    <w:rsid w:val="00C35384"/>
    <w:rsid w:val="00C3645D"/>
    <w:rsid w:val="00C37AFC"/>
    <w:rsid w:val="00C37CC7"/>
    <w:rsid w:val="00C37CCA"/>
    <w:rsid w:val="00C40186"/>
    <w:rsid w:val="00C40EE3"/>
    <w:rsid w:val="00C42471"/>
    <w:rsid w:val="00C42900"/>
    <w:rsid w:val="00C43708"/>
    <w:rsid w:val="00C43C3A"/>
    <w:rsid w:val="00C4409D"/>
    <w:rsid w:val="00C44652"/>
    <w:rsid w:val="00C44B12"/>
    <w:rsid w:val="00C44E72"/>
    <w:rsid w:val="00C45A06"/>
    <w:rsid w:val="00C46070"/>
    <w:rsid w:val="00C4684F"/>
    <w:rsid w:val="00C470DE"/>
    <w:rsid w:val="00C475B3"/>
    <w:rsid w:val="00C4782F"/>
    <w:rsid w:val="00C47E5B"/>
    <w:rsid w:val="00C47F1E"/>
    <w:rsid w:val="00C502A9"/>
    <w:rsid w:val="00C50CAE"/>
    <w:rsid w:val="00C5115A"/>
    <w:rsid w:val="00C53700"/>
    <w:rsid w:val="00C53E73"/>
    <w:rsid w:val="00C54074"/>
    <w:rsid w:val="00C54BA6"/>
    <w:rsid w:val="00C54DF4"/>
    <w:rsid w:val="00C5556E"/>
    <w:rsid w:val="00C5579E"/>
    <w:rsid w:val="00C55B6B"/>
    <w:rsid w:val="00C562F8"/>
    <w:rsid w:val="00C564FB"/>
    <w:rsid w:val="00C5686B"/>
    <w:rsid w:val="00C56CAA"/>
    <w:rsid w:val="00C56E77"/>
    <w:rsid w:val="00C57176"/>
    <w:rsid w:val="00C571DC"/>
    <w:rsid w:val="00C575AE"/>
    <w:rsid w:val="00C57FB0"/>
    <w:rsid w:val="00C605C5"/>
    <w:rsid w:val="00C60735"/>
    <w:rsid w:val="00C60A28"/>
    <w:rsid w:val="00C60B19"/>
    <w:rsid w:val="00C617F8"/>
    <w:rsid w:val="00C61A2E"/>
    <w:rsid w:val="00C61B13"/>
    <w:rsid w:val="00C61BB9"/>
    <w:rsid w:val="00C61BBB"/>
    <w:rsid w:val="00C61E4B"/>
    <w:rsid w:val="00C61EC8"/>
    <w:rsid w:val="00C624AE"/>
    <w:rsid w:val="00C6252E"/>
    <w:rsid w:val="00C62782"/>
    <w:rsid w:val="00C62786"/>
    <w:rsid w:val="00C628D6"/>
    <w:rsid w:val="00C62AAA"/>
    <w:rsid w:val="00C6302B"/>
    <w:rsid w:val="00C646F4"/>
    <w:rsid w:val="00C6491A"/>
    <w:rsid w:val="00C64BFF"/>
    <w:rsid w:val="00C65DD7"/>
    <w:rsid w:val="00C65E4F"/>
    <w:rsid w:val="00C66987"/>
    <w:rsid w:val="00C66AB7"/>
    <w:rsid w:val="00C66E0C"/>
    <w:rsid w:val="00C66E43"/>
    <w:rsid w:val="00C70286"/>
    <w:rsid w:val="00C704E9"/>
    <w:rsid w:val="00C70775"/>
    <w:rsid w:val="00C70F81"/>
    <w:rsid w:val="00C71B29"/>
    <w:rsid w:val="00C7240D"/>
    <w:rsid w:val="00C724F8"/>
    <w:rsid w:val="00C729D5"/>
    <w:rsid w:val="00C729FC"/>
    <w:rsid w:val="00C72A85"/>
    <w:rsid w:val="00C73290"/>
    <w:rsid w:val="00C73316"/>
    <w:rsid w:val="00C73485"/>
    <w:rsid w:val="00C73FC1"/>
    <w:rsid w:val="00C7480B"/>
    <w:rsid w:val="00C752C5"/>
    <w:rsid w:val="00C7581D"/>
    <w:rsid w:val="00C75F6F"/>
    <w:rsid w:val="00C762BD"/>
    <w:rsid w:val="00C762E0"/>
    <w:rsid w:val="00C763C9"/>
    <w:rsid w:val="00C7700C"/>
    <w:rsid w:val="00C775BE"/>
    <w:rsid w:val="00C7779D"/>
    <w:rsid w:val="00C80057"/>
    <w:rsid w:val="00C80730"/>
    <w:rsid w:val="00C809BD"/>
    <w:rsid w:val="00C80B70"/>
    <w:rsid w:val="00C82232"/>
    <w:rsid w:val="00C82913"/>
    <w:rsid w:val="00C83312"/>
    <w:rsid w:val="00C83DA4"/>
    <w:rsid w:val="00C846DF"/>
    <w:rsid w:val="00C84EB7"/>
    <w:rsid w:val="00C850CA"/>
    <w:rsid w:val="00C852EB"/>
    <w:rsid w:val="00C852F6"/>
    <w:rsid w:val="00C85BCB"/>
    <w:rsid w:val="00C86122"/>
    <w:rsid w:val="00C86386"/>
    <w:rsid w:val="00C86C36"/>
    <w:rsid w:val="00C87A5B"/>
    <w:rsid w:val="00C87B74"/>
    <w:rsid w:val="00C905A2"/>
    <w:rsid w:val="00C90743"/>
    <w:rsid w:val="00C91023"/>
    <w:rsid w:val="00C91214"/>
    <w:rsid w:val="00C9170C"/>
    <w:rsid w:val="00C91CD1"/>
    <w:rsid w:val="00C92C27"/>
    <w:rsid w:val="00C930B0"/>
    <w:rsid w:val="00C93387"/>
    <w:rsid w:val="00C93580"/>
    <w:rsid w:val="00C93741"/>
    <w:rsid w:val="00C945BF"/>
    <w:rsid w:val="00C94845"/>
    <w:rsid w:val="00C94D51"/>
    <w:rsid w:val="00C94FF5"/>
    <w:rsid w:val="00C95848"/>
    <w:rsid w:val="00C9627D"/>
    <w:rsid w:val="00C96AA6"/>
    <w:rsid w:val="00C96EFF"/>
    <w:rsid w:val="00C972B1"/>
    <w:rsid w:val="00C97936"/>
    <w:rsid w:val="00C97A1E"/>
    <w:rsid w:val="00C97BDA"/>
    <w:rsid w:val="00C97FB6"/>
    <w:rsid w:val="00CA0021"/>
    <w:rsid w:val="00CA0161"/>
    <w:rsid w:val="00CA0326"/>
    <w:rsid w:val="00CA0ADC"/>
    <w:rsid w:val="00CA16D6"/>
    <w:rsid w:val="00CA1E89"/>
    <w:rsid w:val="00CA1EF6"/>
    <w:rsid w:val="00CA289E"/>
    <w:rsid w:val="00CA2CCE"/>
    <w:rsid w:val="00CA2D41"/>
    <w:rsid w:val="00CA2E77"/>
    <w:rsid w:val="00CA38A5"/>
    <w:rsid w:val="00CA39F1"/>
    <w:rsid w:val="00CA3CDE"/>
    <w:rsid w:val="00CA43FD"/>
    <w:rsid w:val="00CA4481"/>
    <w:rsid w:val="00CA4FE5"/>
    <w:rsid w:val="00CA5154"/>
    <w:rsid w:val="00CA5B7A"/>
    <w:rsid w:val="00CA5CC6"/>
    <w:rsid w:val="00CA5D8A"/>
    <w:rsid w:val="00CA5E53"/>
    <w:rsid w:val="00CA6A9C"/>
    <w:rsid w:val="00CA7469"/>
    <w:rsid w:val="00CA7986"/>
    <w:rsid w:val="00CA7EF8"/>
    <w:rsid w:val="00CB0D33"/>
    <w:rsid w:val="00CB16B6"/>
    <w:rsid w:val="00CB236D"/>
    <w:rsid w:val="00CB2560"/>
    <w:rsid w:val="00CB26FC"/>
    <w:rsid w:val="00CB28BF"/>
    <w:rsid w:val="00CB3019"/>
    <w:rsid w:val="00CB30D4"/>
    <w:rsid w:val="00CB3376"/>
    <w:rsid w:val="00CB4806"/>
    <w:rsid w:val="00CB48C5"/>
    <w:rsid w:val="00CB51DE"/>
    <w:rsid w:val="00CB574F"/>
    <w:rsid w:val="00CB5F5B"/>
    <w:rsid w:val="00CB72C3"/>
    <w:rsid w:val="00CB76C2"/>
    <w:rsid w:val="00CB7899"/>
    <w:rsid w:val="00CB7AF5"/>
    <w:rsid w:val="00CB7E73"/>
    <w:rsid w:val="00CC0809"/>
    <w:rsid w:val="00CC0BE5"/>
    <w:rsid w:val="00CC0E30"/>
    <w:rsid w:val="00CC1115"/>
    <w:rsid w:val="00CC1EC1"/>
    <w:rsid w:val="00CC2183"/>
    <w:rsid w:val="00CC2395"/>
    <w:rsid w:val="00CC2FCC"/>
    <w:rsid w:val="00CC3631"/>
    <w:rsid w:val="00CC3BE9"/>
    <w:rsid w:val="00CC3D2A"/>
    <w:rsid w:val="00CC3E54"/>
    <w:rsid w:val="00CC42B9"/>
    <w:rsid w:val="00CC461C"/>
    <w:rsid w:val="00CC489B"/>
    <w:rsid w:val="00CC64E4"/>
    <w:rsid w:val="00CC65DC"/>
    <w:rsid w:val="00CC6D63"/>
    <w:rsid w:val="00CC6EDE"/>
    <w:rsid w:val="00CC72CA"/>
    <w:rsid w:val="00CC76CE"/>
    <w:rsid w:val="00CC7775"/>
    <w:rsid w:val="00CD07C4"/>
    <w:rsid w:val="00CD0FCF"/>
    <w:rsid w:val="00CD26F5"/>
    <w:rsid w:val="00CD2BCD"/>
    <w:rsid w:val="00CD3588"/>
    <w:rsid w:val="00CD39B4"/>
    <w:rsid w:val="00CD3A4C"/>
    <w:rsid w:val="00CD42FB"/>
    <w:rsid w:val="00CD4610"/>
    <w:rsid w:val="00CD5C9B"/>
    <w:rsid w:val="00CD60F5"/>
    <w:rsid w:val="00CD65CB"/>
    <w:rsid w:val="00CD6A99"/>
    <w:rsid w:val="00CD7898"/>
    <w:rsid w:val="00CD7913"/>
    <w:rsid w:val="00CE0948"/>
    <w:rsid w:val="00CE0973"/>
    <w:rsid w:val="00CE0A4C"/>
    <w:rsid w:val="00CE0E5B"/>
    <w:rsid w:val="00CE0EB9"/>
    <w:rsid w:val="00CE10E9"/>
    <w:rsid w:val="00CE127E"/>
    <w:rsid w:val="00CE1757"/>
    <w:rsid w:val="00CE1AA1"/>
    <w:rsid w:val="00CE1EF8"/>
    <w:rsid w:val="00CE2349"/>
    <w:rsid w:val="00CE2910"/>
    <w:rsid w:val="00CE2B5E"/>
    <w:rsid w:val="00CE2ED4"/>
    <w:rsid w:val="00CE42A8"/>
    <w:rsid w:val="00CE4652"/>
    <w:rsid w:val="00CE48C7"/>
    <w:rsid w:val="00CE4E47"/>
    <w:rsid w:val="00CE5393"/>
    <w:rsid w:val="00CE7872"/>
    <w:rsid w:val="00CF12A6"/>
    <w:rsid w:val="00CF2B92"/>
    <w:rsid w:val="00CF2DCE"/>
    <w:rsid w:val="00CF33E8"/>
    <w:rsid w:val="00CF350B"/>
    <w:rsid w:val="00CF36BE"/>
    <w:rsid w:val="00CF4B33"/>
    <w:rsid w:val="00CF4B3A"/>
    <w:rsid w:val="00CF5D33"/>
    <w:rsid w:val="00CF6000"/>
    <w:rsid w:val="00CF64E1"/>
    <w:rsid w:val="00CF6670"/>
    <w:rsid w:val="00CF792A"/>
    <w:rsid w:val="00CF7A74"/>
    <w:rsid w:val="00CF7C49"/>
    <w:rsid w:val="00CF7EE2"/>
    <w:rsid w:val="00D003E4"/>
    <w:rsid w:val="00D003F3"/>
    <w:rsid w:val="00D00A60"/>
    <w:rsid w:val="00D00E28"/>
    <w:rsid w:val="00D01296"/>
    <w:rsid w:val="00D014BF"/>
    <w:rsid w:val="00D016AF"/>
    <w:rsid w:val="00D02471"/>
    <w:rsid w:val="00D02510"/>
    <w:rsid w:val="00D02738"/>
    <w:rsid w:val="00D03501"/>
    <w:rsid w:val="00D0364F"/>
    <w:rsid w:val="00D04316"/>
    <w:rsid w:val="00D04E3E"/>
    <w:rsid w:val="00D051C3"/>
    <w:rsid w:val="00D05F76"/>
    <w:rsid w:val="00D0603C"/>
    <w:rsid w:val="00D06834"/>
    <w:rsid w:val="00D07385"/>
    <w:rsid w:val="00D07E0D"/>
    <w:rsid w:val="00D10037"/>
    <w:rsid w:val="00D10F35"/>
    <w:rsid w:val="00D12185"/>
    <w:rsid w:val="00D122A7"/>
    <w:rsid w:val="00D123BC"/>
    <w:rsid w:val="00D135E1"/>
    <w:rsid w:val="00D136FE"/>
    <w:rsid w:val="00D13BAB"/>
    <w:rsid w:val="00D14ECF"/>
    <w:rsid w:val="00D152C2"/>
    <w:rsid w:val="00D15826"/>
    <w:rsid w:val="00D15AB1"/>
    <w:rsid w:val="00D16095"/>
    <w:rsid w:val="00D1647F"/>
    <w:rsid w:val="00D16A7B"/>
    <w:rsid w:val="00D173DA"/>
    <w:rsid w:val="00D176E5"/>
    <w:rsid w:val="00D177C3"/>
    <w:rsid w:val="00D179A9"/>
    <w:rsid w:val="00D17A0B"/>
    <w:rsid w:val="00D17E42"/>
    <w:rsid w:val="00D207CF"/>
    <w:rsid w:val="00D20E61"/>
    <w:rsid w:val="00D21104"/>
    <w:rsid w:val="00D211E9"/>
    <w:rsid w:val="00D211F0"/>
    <w:rsid w:val="00D215C6"/>
    <w:rsid w:val="00D2241E"/>
    <w:rsid w:val="00D2251B"/>
    <w:rsid w:val="00D22A64"/>
    <w:rsid w:val="00D22C0B"/>
    <w:rsid w:val="00D22DD3"/>
    <w:rsid w:val="00D2310E"/>
    <w:rsid w:val="00D232AD"/>
    <w:rsid w:val="00D232F4"/>
    <w:rsid w:val="00D236E0"/>
    <w:rsid w:val="00D23F19"/>
    <w:rsid w:val="00D24121"/>
    <w:rsid w:val="00D24AC1"/>
    <w:rsid w:val="00D24BA7"/>
    <w:rsid w:val="00D2593A"/>
    <w:rsid w:val="00D25AAF"/>
    <w:rsid w:val="00D2744C"/>
    <w:rsid w:val="00D27753"/>
    <w:rsid w:val="00D27F66"/>
    <w:rsid w:val="00D3047D"/>
    <w:rsid w:val="00D308ED"/>
    <w:rsid w:val="00D30B14"/>
    <w:rsid w:val="00D313D9"/>
    <w:rsid w:val="00D31C29"/>
    <w:rsid w:val="00D32991"/>
    <w:rsid w:val="00D33030"/>
    <w:rsid w:val="00D33153"/>
    <w:rsid w:val="00D33F9F"/>
    <w:rsid w:val="00D34760"/>
    <w:rsid w:val="00D34813"/>
    <w:rsid w:val="00D34E66"/>
    <w:rsid w:val="00D35558"/>
    <w:rsid w:val="00D35905"/>
    <w:rsid w:val="00D35AB0"/>
    <w:rsid w:val="00D36B36"/>
    <w:rsid w:val="00D36D86"/>
    <w:rsid w:val="00D40300"/>
    <w:rsid w:val="00D40792"/>
    <w:rsid w:val="00D4158E"/>
    <w:rsid w:val="00D41B74"/>
    <w:rsid w:val="00D41C72"/>
    <w:rsid w:val="00D41CF1"/>
    <w:rsid w:val="00D41E08"/>
    <w:rsid w:val="00D4225F"/>
    <w:rsid w:val="00D422B0"/>
    <w:rsid w:val="00D424CF"/>
    <w:rsid w:val="00D428AA"/>
    <w:rsid w:val="00D42D77"/>
    <w:rsid w:val="00D42FAF"/>
    <w:rsid w:val="00D4311A"/>
    <w:rsid w:val="00D433ED"/>
    <w:rsid w:val="00D43423"/>
    <w:rsid w:val="00D44113"/>
    <w:rsid w:val="00D443D0"/>
    <w:rsid w:val="00D44C23"/>
    <w:rsid w:val="00D45276"/>
    <w:rsid w:val="00D4605D"/>
    <w:rsid w:val="00D4664E"/>
    <w:rsid w:val="00D46719"/>
    <w:rsid w:val="00D46932"/>
    <w:rsid w:val="00D4729D"/>
    <w:rsid w:val="00D47763"/>
    <w:rsid w:val="00D4776F"/>
    <w:rsid w:val="00D47D6D"/>
    <w:rsid w:val="00D47F27"/>
    <w:rsid w:val="00D50533"/>
    <w:rsid w:val="00D50A34"/>
    <w:rsid w:val="00D50E77"/>
    <w:rsid w:val="00D5210D"/>
    <w:rsid w:val="00D52629"/>
    <w:rsid w:val="00D52ED5"/>
    <w:rsid w:val="00D5354F"/>
    <w:rsid w:val="00D53724"/>
    <w:rsid w:val="00D53EFA"/>
    <w:rsid w:val="00D54602"/>
    <w:rsid w:val="00D55BBD"/>
    <w:rsid w:val="00D56099"/>
    <w:rsid w:val="00D56550"/>
    <w:rsid w:val="00D56ABD"/>
    <w:rsid w:val="00D609B2"/>
    <w:rsid w:val="00D60A58"/>
    <w:rsid w:val="00D60F09"/>
    <w:rsid w:val="00D61153"/>
    <w:rsid w:val="00D615DB"/>
    <w:rsid w:val="00D616D9"/>
    <w:rsid w:val="00D62441"/>
    <w:rsid w:val="00D624A0"/>
    <w:rsid w:val="00D634AD"/>
    <w:rsid w:val="00D63609"/>
    <w:rsid w:val="00D63C8C"/>
    <w:rsid w:val="00D642F4"/>
    <w:rsid w:val="00D64393"/>
    <w:rsid w:val="00D65AD3"/>
    <w:rsid w:val="00D66CC0"/>
    <w:rsid w:val="00D6771C"/>
    <w:rsid w:val="00D67BAA"/>
    <w:rsid w:val="00D701F3"/>
    <w:rsid w:val="00D70292"/>
    <w:rsid w:val="00D7055B"/>
    <w:rsid w:val="00D70859"/>
    <w:rsid w:val="00D7092A"/>
    <w:rsid w:val="00D70E81"/>
    <w:rsid w:val="00D720BB"/>
    <w:rsid w:val="00D72CF4"/>
    <w:rsid w:val="00D72E10"/>
    <w:rsid w:val="00D7329F"/>
    <w:rsid w:val="00D73605"/>
    <w:rsid w:val="00D7384D"/>
    <w:rsid w:val="00D741D0"/>
    <w:rsid w:val="00D74FD5"/>
    <w:rsid w:val="00D7554D"/>
    <w:rsid w:val="00D7576B"/>
    <w:rsid w:val="00D75C9E"/>
    <w:rsid w:val="00D76621"/>
    <w:rsid w:val="00D76805"/>
    <w:rsid w:val="00D77782"/>
    <w:rsid w:val="00D779DF"/>
    <w:rsid w:val="00D77AF0"/>
    <w:rsid w:val="00D77CCD"/>
    <w:rsid w:val="00D77F47"/>
    <w:rsid w:val="00D805FA"/>
    <w:rsid w:val="00D80A88"/>
    <w:rsid w:val="00D8163F"/>
    <w:rsid w:val="00D81ED2"/>
    <w:rsid w:val="00D83807"/>
    <w:rsid w:val="00D83C20"/>
    <w:rsid w:val="00D83E24"/>
    <w:rsid w:val="00D83F27"/>
    <w:rsid w:val="00D841E2"/>
    <w:rsid w:val="00D842F3"/>
    <w:rsid w:val="00D8456F"/>
    <w:rsid w:val="00D84717"/>
    <w:rsid w:val="00D8526E"/>
    <w:rsid w:val="00D852C2"/>
    <w:rsid w:val="00D870FB"/>
    <w:rsid w:val="00D8728C"/>
    <w:rsid w:val="00D8764F"/>
    <w:rsid w:val="00D87BD3"/>
    <w:rsid w:val="00D90491"/>
    <w:rsid w:val="00D9131D"/>
    <w:rsid w:val="00D916E5"/>
    <w:rsid w:val="00D91A2F"/>
    <w:rsid w:val="00D925E7"/>
    <w:rsid w:val="00D92B2E"/>
    <w:rsid w:val="00D92D94"/>
    <w:rsid w:val="00D92DC2"/>
    <w:rsid w:val="00D934D8"/>
    <w:rsid w:val="00D935DB"/>
    <w:rsid w:val="00D93D32"/>
    <w:rsid w:val="00D944A0"/>
    <w:rsid w:val="00D94A79"/>
    <w:rsid w:val="00D94A7C"/>
    <w:rsid w:val="00D94D6F"/>
    <w:rsid w:val="00D952FD"/>
    <w:rsid w:val="00D95464"/>
    <w:rsid w:val="00D95631"/>
    <w:rsid w:val="00D95896"/>
    <w:rsid w:val="00D95B38"/>
    <w:rsid w:val="00D95BCB"/>
    <w:rsid w:val="00D97770"/>
    <w:rsid w:val="00D9777A"/>
    <w:rsid w:val="00D9780A"/>
    <w:rsid w:val="00D9786F"/>
    <w:rsid w:val="00D97F4B"/>
    <w:rsid w:val="00DA0425"/>
    <w:rsid w:val="00DA18A9"/>
    <w:rsid w:val="00DA340E"/>
    <w:rsid w:val="00DA38C5"/>
    <w:rsid w:val="00DA3B7A"/>
    <w:rsid w:val="00DA51ED"/>
    <w:rsid w:val="00DA58DD"/>
    <w:rsid w:val="00DA5999"/>
    <w:rsid w:val="00DA62CF"/>
    <w:rsid w:val="00DA6F89"/>
    <w:rsid w:val="00DA74A2"/>
    <w:rsid w:val="00DA78A5"/>
    <w:rsid w:val="00DA7903"/>
    <w:rsid w:val="00DA7F11"/>
    <w:rsid w:val="00DB034B"/>
    <w:rsid w:val="00DB040C"/>
    <w:rsid w:val="00DB1167"/>
    <w:rsid w:val="00DB1D21"/>
    <w:rsid w:val="00DB253A"/>
    <w:rsid w:val="00DB27FC"/>
    <w:rsid w:val="00DB2983"/>
    <w:rsid w:val="00DB40BC"/>
    <w:rsid w:val="00DB41D6"/>
    <w:rsid w:val="00DB464D"/>
    <w:rsid w:val="00DB5BF9"/>
    <w:rsid w:val="00DB5C03"/>
    <w:rsid w:val="00DB5E43"/>
    <w:rsid w:val="00DB64B5"/>
    <w:rsid w:val="00DB67B6"/>
    <w:rsid w:val="00DB6A0A"/>
    <w:rsid w:val="00DB6C88"/>
    <w:rsid w:val="00DB7002"/>
    <w:rsid w:val="00DB7581"/>
    <w:rsid w:val="00DB7C79"/>
    <w:rsid w:val="00DB7EAB"/>
    <w:rsid w:val="00DB7F07"/>
    <w:rsid w:val="00DC05B2"/>
    <w:rsid w:val="00DC10FF"/>
    <w:rsid w:val="00DC1257"/>
    <w:rsid w:val="00DC195A"/>
    <w:rsid w:val="00DC26EF"/>
    <w:rsid w:val="00DC2BAD"/>
    <w:rsid w:val="00DC2D29"/>
    <w:rsid w:val="00DC3BF2"/>
    <w:rsid w:val="00DC3DC0"/>
    <w:rsid w:val="00DC3F16"/>
    <w:rsid w:val="00DC4461"/>
    <w:rsid w:val="00DC4A63"/>
    <w:rsid w:val="00DC4D62"/>
    <w:rsid w:val="00DC5B2B"/>
    <w:rsid w:val="00DC60CB"/>
    <w:rsid w:val="00DC6611"/>
    <w:rsid w:val="00DC67CB"/>
    <w:rsid w:val="00DC7433"/>
    <w:rsid w:val="00DC7486"/>
    <w:rsid w:val="00DD0220"/>
    <w:rsid w:val="00DD02AF"/>
    <w:rsid w:val="00DD0FB3"/>
    <w:rsid w:val="00DD2215"/>
    <w:rsid w:val="00DD255E"/>
    <w:rsid w:val="00DD2877"/>
    <w:rsid w:val="00DD287E"/>
    <w:rsid w:val="00DD318D"/>
    <w:rsid w:val="00DD35F0"/>
    <w:rsid w:val="00DD4167"/>
    <w:rsid w:val="00DD46AB"/>
    <w:rsid w:val="00DD46DD"/>
    <w:rsid w:val="00DD4BBE"/>
    <w:rsid w:val="00DD51F8"/>
    <w:rsid w:val="00DD5B9D"/>
    <w:rsid w:val="00DD5C42"/>
    <w:rsid w:val="00DD6029"/>
    <w:rsid w:val="00DD6926"/>
    <w:rsid w:val="00DD6CB5"/>
    <w:rsid w:val="00DE11CB"/>
    <w:rsid w:val="00DE1643"/>
    <w:rsid w:val="00DE1718"/>
    <w:rsid w:val="00DE173B"/>
    <w:rsid w:val="00DE22A9"/>
    <w:rsid w:val="00DE2307"/>
    <w:rsid w:val="00DE2982"/>
    <w:rsid w:val="00DE31F0"/>
    <w:rsid w:val="00DE3A33"/>
    <w:rsid w:val="00DE403D"/>
    <w:rsid w:val="00DE41FA"/>
    <w:rsid w:val="00DE4BF5"/>
    <w:rsid w:val="00DE5216"/>
    <w:rsid w:val="00DE527F"/>
    <w:rsid w:val="00DE5663"/>
    <w:rsid w:val="00DE5BCA"/>
    <w:rsid w:val="00DE6C19"/>
    <w:rsid w:val="00DE753A"/>
    <w:rsid w:val="00DE7A25"/>
    <w:rsid w:val="00DE7FBD"/>
    <w:rsid w:val="00DF0070"/>
    <w:rsid w:val="00DF0344"/>
    <w:rsid w:val="00DF0AD9"/>
    <w:rsid w:val="00DF0F00"/>
    <w:rsid w:val="00DF19D6"/>
    <w:rsid w:val="00DF1B3B"/>
    <w:rsid w:val="00DF1B9D"/>
    <w:rsid w:val="00DF208C"/>
    <w:rsid w:val="00DF2A17"/>
    <w:rsid w:val="00DF2E12"/>
    <w:rsid w:val="00DF47AC"/>
    <w:rsid w:val="00DF514A"/>
    <w:rsid w:val="00DF5845"/>
    <w:rsid w:val="00DF6690"/>
    <w:rsid w:val="00DF6804"/>
    <w:rsid w:val="00DF70F1"/>
    <w:rsid w:val="00DF7319"/>
    <w:rsid w:val="00DF7408"/>
    <w:rsid w:val="00E00530"/>
    <w:rsid w:val="00E0075A"/>
    <w:rsid w:val="00E00D0F"/>
    <w:rsid w:val="00E01842"/>
    <w:rsid w:val="00E0358D"/>
    <w:rsid w:val="00E03839"/>
    <w:rsid w:val="00E03A43"/>
    <w:rsid w:val="00E03C37"/>
    <w:rsid w:val="00E0430C"/>
    <w:rsid w:val="00E04323"/>
    <w:rsid w:val="00E046F2"/>
    <w:rsid w:val="00E052F8"/>
    <w:rsid w:val="00E05B8D"/>
    <w:rsid w:val="00E05CCD"/>
    <w:rsid w:val="00E05EB2"/>
    <w:rsid w:val="00E06301"/>
    <w:rsid w:val="00E06453"/>
    <w:rsid w:val="00E070A2"/>
    <w:rsid w:val="00E071F4"/>
    <w:rsid w:val="00E077D9"/>
    <w:rsid w:val="00E102A2"/>
    <w:rsid w:val="00E10CE3"/>
    <w:rsid w:val="00E126A6"/>
    <w:rsid w:val="00E1294B"/>
    <w:rsid w:val="00E12F92"/>
    <w:rsid w:val="00E136C9"/>
    <w:rsid w:val="00E13CCF"/>
    <w:rsid w:val="00E14A9A"/>
    <w:rsid w:val="00E150C7"/>
    <w:rsid w:val="00E151C7"/>
    <w:rsid w:val="00E154E4"/>
    <w:rsid w:val="00E15604"/>
    <w:rsid w:val="00E15A1D"/>
    <w:rsid w:val="00E15E1D"/>
    <w:rsid w:val="00E16034"/>
    <w:rsid w:val="00E16EE4"/>
    <w:rsid w:val="00E17FC1"/>
    <w:rsid w:val="00E20E21"/>
    <w:rsid w:val="00E215B0"/>
    <w:rsid w:val="00E21648"/>
    <w:rsid w:val="00E23379"/>
    <w:rsid w:val="00E23B51"/>
    <w:rsid w:val="00E23C81"/>
    <w:rsid w:val="00E244BE"/>
    <w:rsid w:val="00E2495D"/>
    <w:rsid w:val="00E24B4D"/>
    <w:rsid w:val="00E24D6C"/>
    <w:rsid w:val="00E25446"/>
    <w:rsid w:val="00E2571E"/>
    <w:rsid w:val="00E25BBF"/>
    <w:rsid w:val="00E2656A"/>
    <w:rsid w:val="00E26656"/>
    <w:rsid w:val="00E26B5C"/>
    <w:rsid w:val="00E2747E"/>
    <w:rsid w:val="00E27704"/>
    <w:rsid w:val="00E27723"/>
    <w:rsid w:val="00E278D6"/>
    <w:rsid w:val="00E27CDA"/>
    <w:rsid w:val="00E27E07"/>
    <w:rsid w:val="00E30FFD"/>
    <w:rsid w:val="00E31F75"/>
    <w:rsid w:val="00E32002"/>
    <w:rsid w:val="00E32391"/>
    <w:rsid w:val="00E3281F"/>
    <w:rsid w:val="00E32E71"/>
    <w:rsid w:val="00E334C0"/>
    <w:rsid w:val="00E33DAB"/>
    <w:rsid w:val="00E3400D"/>
    <w:rsid w:val="00E34235"/>
    <w:rsid w:val="00E345AC"/>
    <w:rsid w:val="00E354BD"/>
    <w:rsid w:val="00E35C96"/>
    <w:rsid w:val="00E35CC0"/>
    <w:rsid w:val="00E36809"/>
    <w:rsid w:val="00E36957"/>
    <w:rsid w:val="00E37368"/>
    <w:rsid w:val="00E376E2"/>
    <w:rsid w:val="00E37D45"/>
    <w:rsid w:val="00E4094D"/>
    <w:rsid w:val="00E412D0"/>
    <w:rsid w:val="00E416F7"/>
    <w:rsid w:val="00E419D3"/>
    <w:rsid w:val="00E42504"/>
    <w:rsid w:val="00E433AF"/>
    <w:rsid w:val="00E437D1"/>
    <w:rsid w:val="00E441C5"/>
    <w:rsid w:val="00E44288"/>
    <w:rsid w:val="00E44666"/>
    <w:rsid w:val="00E44FC3"/>
    <w:rsid w:val="00E45163"/>
    <w:rsid w:val="00E45528"/>
    <w:rsid w:val="00E45EB0"/>
    <w:rsid w:val="00E4603A"/>
    <w:rsid w:val="00E4603E"/>
    <w:rsid w:val="00E465CC"/>
    <w:rsid w:val="00E46B3E"/>
    <w:rsid w:val="00E477FB"/>
    <w:rsid w:val="00E505B7"/>
    <w:rsid w:val="00E506F2"/>
    <w:rsid w:val="00E51D33"/>
    <w:rsid w:val="00E52047"/>
    <w:rsid w:val="00E5261C"/>
    <w:rsid w:val="00E5289E"/>
    <w:rsid w:val="00E540E6"/>
    <w:rsid w:val="00E545D7"/>
    <w:rsid w:val="00E54C4F"/>
    <w:rsid w:val="00E56295"/>
    <w:rsid w:val="00E56322"/>
    <w:rsid w:val="00E568ED"/>
    <w:rsid w:val="00E56EE0"/>
    <w:rsid w:val="00E57EC9"/>
    <w:rsid w:val="00E60450"/>
    <w:rsid w:val="00E606FF"/>
    <w:rsid w:val="00E60742"/>
    <w:rsid w:val="00E60982"/>
    <w:rsid w:val="00E60E0E"/>
    <w:rsid w:val="00E615B9"/>
    <w:rsid w:val="00E623CD"/>
    <w:rsid w:val="00E629DC"/>
    <w:rsid w:val="00E629ED"/>
    <w:rsid w:val="00E62A12"/>
    <w:rsid w:val="00E62C60"/>
    <w:rsid w:val="00E62C62"/>
    <w:rsid w:val="00E63347"/>
    <w:rsid w:val="00E63998"/>
    <w:rsid w:val="00E63E24"/>
    <w:rsid w:val="00E64653"/>
    <w:rsid w:val="00E654C1"/>
    <w:rsid w:val="00E6572C"/>
    <w:rsid w:val="00E657D8"/>
    <w:rsid w:val="00E65D97"/>
    <w:rsid w:val="00E660A7"/>
    <w:rsid w:val="00E66EE2"/>
    <w:rsid w:val="00E67328"/>
    <w:rsid w:val="00E6757C"/>
    <w:rsid w:val="00E7097A"/>
    <w:rsid w:val="00E713F4"/>
    <w:rsid w:val="00E714F1"/>
    <w:rsid w:val="00E71C6A"/>
    <w:rsid w:val="00E728D8"/>
    <w:rsid w:val="00E72A5A"/>
    <w:rsid w:val="00E73354"/>
    <w:rsid w:val="00E7388A"/>
    <w:rsid w:val="00E73B78"/>
    <w:rsid w:val="00E73D71"/>
    <w:rsid w:val="00E743DF"/>
    <w:rsid w:val="00E74B72"/>
    <w:rsid w:val="00E74F00"/>
    <w:rsid w:val="00E753A1"/>
    <w:rsid w:val="00E75DEA"/>
    <w:rsid w:val="00E762A6"/>
    <w:rsid w:val="00E76B6D"/>
    <w:rsid w:val="00E76C4B"/>
    <w:rsid w:val="00E774A8"/>
    <w:rsid w:val="00E776A4"/>
    <w:rsid w:val="00E800D4"/>
    <w:rsid w:val="00E804A0"/>
    <w:rsid w:val="00E81992"/>
    <w:rsid w:val="00E81A12"/>
    <w:rsid w:val="00E829F9"/>
    <w:rsid w:val="00E8398B"/>
    <w:rsid w:val="00E84979"/>
    <w:rsid w:val="00E851A2"/>
    <w:rsid w:val="00E852FA"/>
    <w:rsid w:val="00E86156"/>
    <w:rsid w:val="00E874E9"/>
    <w:rsid w:val="00E879C9"/>
    <w:rsid w:val="00E90C31"/>
    <w:rsid w:val="00E91B23"/>
    <w:rsid w:val="00E91BC0"/>
    <w:rsid w:val="00E9242D"/>
    <w:rsid w:val="00E92697"/>
    <w:rsid w:val="00E926D9"/>
    <w:rsid w:val="00E9303A"/>
    <w:rsid w:val="00E931F6"/>
    <w:rsid w:val="00E93865"/>
    <w:rsid w:val="00E93BB5"/>
    <w:rsid w:val="00E93CB5"/>
    <w:rsid w:val="00E948FA"/>
    <w:rsid w:val="00E94A24"/>
    <w:rsid w:val="00E94D50"/>
    <w:rsid w:val="00E95015"/>
    <w:rsid w:val="00E95037"/>
    <w:rsid w:val="00E95ED7"/>
    <w:rsid w:val="00E96146"/>
    <w:rsid w:val="00E96A66"/>
    <w:rsid w:val="00E97198"/>
    <w:rsid w:val="00E972CD"/>
    <w:rsid w:val="00E97A5E"/>
    <w:rsid w:val="00E97A68"/>
    <w:rsid w:val="00E97D1D"/>
    <w:rsid w:val="00EA130B"/>
    <w:rsid w:val="00EA232C"/>
    <w:rsid w:val="00EA24D6"/>
    <w:rsid w:val="00EA27BD"/>
    <w:rsid w:val="00EA39B7"/>
    <w:rsid w:val="00EA4309"/>
    <w:rsid w:val="00EA54CD"/>
    <w:rsid w:val="00EA641A"/>
    <w:rsid w:val="00EA6C4F"/>
    <w:rsid w:val="00EA6F4B"/>
    <w:rsid w:val="00EA7700"/>
    <w:rsid w:val="00EA7E5D"/>
    <w:rsid w:val="00EB1160"/>
    <w:rsid w:val="00EB1EF6"/>
    <w:rsid w:val="00EB2C36"/>
    <w:rsid w:val="00EB2C71"/>
    <w:rsid w:val="00EB34F8"/>
    <w:rsid w:val="00EB3FFA"/>
    <w:rsid w:val="00EB47AC"/>
    <w:rsid w:val="00EB4B4D"/>
    <w:rsid w:val="00EB4CD2"/>
    <w:rsid w:val="00EB5255"/>
    <w:rsid w:val="00EB5C47"/>
    <w:rsid w:val="00EB5DF2"/>
    <w:rsid w:val="00EB6AB3"/>
    <w:rsid w:val="00EB6AF5"/>
    <w:rsid w:val="00EB6B52"/>
    <w:rsid w:val="00EB7528"/>
    <w:rsid w:val="00EB77D8"/>
    <w:rsid w:val="00EC0678"/>
    <w:rsid w:val="00EC09E3"/>
    <w:rsid w:val="00EC0F5D"/>
    <w:rsid w:val="00EC173A"/>
    <w:rsid w:val="00EC18B3"/>
    <w:rsid w:val="00EC28FA"/>
    <w:rsid w:val="00EC429A"/>
    <w:rsid w:val="00EC5416"/>
    <w:rsid w:val="00EC5680"/>
    <w:rsid w:val="00EC691B"/>
    <w:rsid w:val="00EC7111"/>
    <w:rsid w:val="00EC73E7"/>
    <w:rsid w:val="00EC7462"/>
    <w:rsid w:val="00EC7A67"/>
    <w:rsid w:val="00EC7B3C"/>
    <w:rsid w:val="00EC7F0F"/>
    <w:rsid w:val="00ED0434"/>
    <w:rsid w:val="00ED05BA"/>
    <w:rsid w:val="00ED0639"/>
    <w:rsid w:val="00ED0E22"/>
    <w:rsid w:val="00ED23EB"/>
    <w:rsid w:val="00ED2E70"/>
    <w:rsid w:val="00ED3AD7"/>
    <w:rsid w:val="00ED3BDA"/>
    <w:rsid w:val="00ED4422"/>
    <w:rsid w:val="00ED486A"/>
    <w:rsid w:val="00ED51D7"/>
    <w:rsid w:val="00ED5566"/>
    <w:rsid w:val="00ED55CA"/>
    <w:rsid w:val="00ED5B95"/>
    <w:rsid w:val="00ED5BCA"/>
    <w:rsid w:val="00ED7649"/>
    <w:rsid w:val="00EE00D5"/>
    <w:rsid w:val="00EE0213"/>
    <w:rsid w:val="00EE0DB2"/>
    <w:rsid w:val="00EE14EB"/>
    <w:rsid w:val="00EE1D11"/>
    <w:rsid w:val="00EE2B8E"/>
    <w:rsid w:val="00EE31B4"/>
    <w:rsid w:val="00EE31D5"/>
    <w:rsid w:val="00EE3709"/>
    <w:rsid w:val="00EE4286"/>
    <w:rsid w:val="00EE4BB2"/>
    <w:rsid w:val="00EE4F0D"/>
    <w:rsid w:val="00EE53CE"/>
    <w:rsid w:val="00EE56F9"/>
    <w:rsid w:val="00EE5776"/>
    <w:rsid w:val="00EE59F8"/>
    <w:rsid w:val="00EE5AE9"/>
    <w:rsid w:val="00EE5D42"/>
    <w:rsid w:val="00EE5EA4"/>
    <w:rsid w:val="00EE645E"/>
    <w:rsid w:val="00EE6627"/>
    <w:rsid w:val="00EE67EA"/>
    <w:rsid w:val="00EE731C"/>
    <w:rsid w:val="00EE7A64"/>
    <w:rsid w:val="00EF0C76"/>
    <w:rsid w:val="00EF0E1B"/>
    <w:rsid w:val="00EF12BD"/>
    <w:rsid w:val="00EF13DE"/>
    <w:rsid w:val="00EF1527"/>
    <w:rsid w:val="00EF27EF"/>
    <w:rsid w:val="00EF3203"/>
    <w:rsid w:val="00EF338D"/>
    <w:rsid w:val="00EF426F"/>
    <w:rsid w:val="00EF4506"/>
    <w:rsid w:val="00EF4755"/>
    <w:rsid w:val="00EF4B3C"/>
    <w:rsid w:val="00EF552B"/>
    <w:rsid w:val="00EF57AA"/>
    <w:rsid w:val="00EF5A3A"/>
    <w:rsid w:val="00EF7135"/>
    <w:rsid w:val="00EF7717"/>
    <w:rsid w:val="00F0007C"/>
    <w:rsid w:val="00F00CF0"/>
    <w:rsid w:val="00F0157E"/>
    <w:rsid w:val="00F01E0D"/>
    <w:rsid w:val="00F020CE"/>
    <w:rsid w:val="00F027DB"/>
    <w:rsid w:val="00F027E3"/>
    <w:rsid w:val="00F02C92"/>
    <w:rsid w:val="00F048ED"/>
    <w:rsid w:val="00F04F78"/>
    <w:rsid w:val="00F051A2"/>
    <w:rsid w:val="00F0599E"/>
    <w:rsid w:val="00F05F56"/>
    <w:rsid w:val="00F0639D"/>
    <w:rsid w:val="00F06481"/>
    <w:rsid w:val="00F06A15"/>
    <w:rsid w:val="00F07261"/>
    <w:rsid w:val="00F074B5"/>
    <w:rsid w:val="00F07A2C"/>
    <w:rsid w:val="00F07AA2"/>
    <w:rsid w:val="00F07BEF"/>
    <w:rsid w:val="00F106B2"/>
    <w:rsid w:val="00F11039"/>
    <w:rsid w:val="00F11091"/>
    <w:rsid w:val="00F1142E"/>
    <w:rsid w:val="00F11CAC"/>
    <w:rsid w:val="00F124E6"/>
    <w:rsid w:val="00F12A2C"/>
    <w:rsid w:val="00F13C65"/>
    <w:rsid w:val="00F14A7A"/>
    <w:rsid w:val="00F1560F"/>
    <w:rsid w:val="00F1594D"/>
    <w:rsid w:val="00F1635E"/>
    <w:rsid w:val="00F16395"/>
    <w:rsid w:val="00F16A78"/>
    <w:rsid w:val="00F16A7F"/>
    <w:rsid w:val="00F16AC2"/>
    <w:rsid w:val="00F1761B"/>
    <w:rsid w:val="00F2007C"/>
    <w:rsid w:val="00F21130"/>
    <w:rsid w:val="00F2135E"/>
    <w:rsid w:val="00F223BD"/>
    <w:rsid w:val="00F2246A"/>
    <w:rsid w:val="00F22985"/>
    <w:rsid w:val="00F22AE9"/>
    <w:rsid w:val="00F22F71"/>
    <w:rsid w:val="00F2529A"/>
    <w:rsid w:val="00F258BD"/>
    <w:rsid w:val="00F259A3"/>
    <w:rsid w:val="00F25C95"/>
    <w:rsid w:val="00F25F60"/>
    <w:rsid w:val="00F26413"/>
    <w:rsid w:val="00F2652D"/>
    <w:rsid w:val="00F26D5B"/>
    <w:rsid w:val="00F303F0"/>
    <w:rsid w:val="00F3043D"/>
    <w:rsid w:val="00F30BEE"/>
    <w:rsid w:val="00F33736"/>
    <w:rsid w:val="00F3383E"/>
    <w:rsid w:val="00F33EAA"/>
    <w:rsid w:val="00F34666"/>
    <w:rsid w:val="00F346D4"/>
    <w:rsid w:val="00F354FC"/>
    <w:rsid w:val="00F355E0"/>
    <w:rsid w:val="00F35A00"/>
    <w:rsid w:val="00F35C87"/>
    <w:rsid w:val="00F36331"/>
    <w:rsid w:val="00F365A9"/>
    <w:rsid w:val="00F36DF2"/>
    <w:rsid w:val="00F37AF4"/>
    <w:rsid w:val="00F37CF4"/>
    <w:rsid w:val="00F40336"/>
    <w:rsid w:val="00F41291"/>
    <w:rsid w:val="00F4230B"/>
    <w:rsid w:val="00F432C7"/>
    <w:rsid w:val="00F447A3"/>
    <w:rsid w:val="00F45512"/>
    <w:rsid w:val="00F463AE"/>
    <w:rsid w:val="00F465A7"/>
    <w:rsid w:val="00F477C0"/>
    <w:rsid w:val="00F4793A"/>
    <w:rsid w:val="00F47B97"/>
    <w:rsid w:val="00F47C8B"/>
    <w:rsid w:val="00F47E5E"/>
    <w:rsid w:val="00F501E8"/>
    <w:rsid w:val="00F506D3"/>
    <w:rsid w:val="00F50B7C"/>
    <w:rsid w:val="00F51734"/>
    <w:rsid w:val="00F51A90"/>
    <w:rsid w:val="00F51B96"/>
    <w:rsid w:val="00F51F7B"/>
    <w:rsid w:val="00F51FDA"/>
    <w:rsid w:val="00F524D0"/>
    <w:rsid w:val="00F52CAD"/>
    <w:rsid w:val="00F52D1C"/>
    <w:rsid w:val="00F537CB"/>
    <w:rsid w:val="00F543C9"/>
    <w:rsid w:val="00F550E6"/>
    <w:rsid w:val="00F555FF"/>
    <w:rsid w:val="00F55B39"/>
    <w:rsid w:val="00F55D6A"/>
    <w:rsid w:val="00F55EA0"/>
    <w:rsid w:val="00F56CB2"/>
    <w:rsid w:val="00F571EB"/>
    <w:rsid w:val="00F5769D"/>
    <w:rsid w:val="00F57B9C"/>
    <w:rsid w:val="00F57BF2"/>
    <w:rsid w:val="00F57BF4"/>
    <w:rsid w:val="00F600AC"/>
    <w:rsid w:val="00F607AB"/>
    <w:rsid w:val="00F60D09"/>
    <w:rsid w:val="00F60D1E"/>
    <w:rsid w:val="00F60E01"/>
    <w:rsid w:val="00F61129"/>
    <w:rsid w:val="00F6114F"/>
    <w:rsid w:val="00F61268"/>
    <w:rsid w:val="00F62007"/>
    <w:rsid w:val="00F625F1"/>
    <w:rsid w:val="00F62CAB"/>
    <w:rsid w:val="00F62F6C"/>
    <w:rsid w:val="00F63FEB"/>
    <w:rsid w:val="00F640B9"/>
    <w:rsid w:val="00F64102"/>
    <w:rsid w:val="00F64157"/>
    <w:rsid w:val="00F643B3"/>
    <w:rsid w:val="00F645B4"/>
    <w:rsid w:val="00F64827"/>
    <w:rsid w:val="00F648B2"/>
    <w:rsid w:val="00F65417"/>
    <w:rsid w:val="00F656F6"/>
    <w:rsid w:val="00F65C46"/>
    <w:rsid w:val="00F65C9B"/>
    <w:rsid w:val="00F66068"/>
    <w:rsid w:val="00F6627E"/>
    <w:rsid w:val="00F66C15"/>
    <w:rsid w:val="00F66FD3"/>
    <w:rsid w:val="00F6715A"/>
    <w:rsid w:val="00F678AC"/>
    <w:rsid w:val="00F67E2C"/>
    <w:rsid w:val="00F700D3"/>
    <w:rsid w:val="00F71153"/>
    <w:rsid w:val="00F7144B"/>
    <w:rsid w:val="00F71481"/>
    <w:rsid w:val="00F716AE"/>
    <w:rsid w:val="00F717BA"/>
    <w:rsid w:val="00F719B4"/>
    <w:rsid w:val="00F72044"/>
    <w:rsid w:val="00F72531"/>
    <w:rsid w:val="00F7258C"/>
    <w:rsid w:val="00F73E63"/>
    <w:rsid w:val="00F74345"/>
    <w:rsid w:val="00F743C8"/>
    <w:rsid w:val="00F75035"/>
    <w:rsid w:val="00F756DB"/>
    <w:rsid w:val="00F75AD4"/>
    <w:rsid w:val="00F76581"/>
    <w:rsid w:val="00F76883"/>
    <w:rsid w:val="00F77207"/>
    <w:rsid w:val="00F774B8"/>
    <w:rsid w:val="00F77CFF"/>
    <w:rsid w:val="00F806F3"/>
    <w:rsid w:val="00F808E7"/>
    <w:rsid w:val="00F80A0A"/>
    <w:rsid w:val="00F80C12"/>
    <w:rsid w:val="00F80DD5"/>
    <w:rsid w:val="00F80F89"/>
    <w:rsid w:val="00F81507"/>
    <w:rsid w:val="00F81579"/>
    <w:rsid w:val="00F81C5F"/>
    <w:rsid w:val="00F821CE"/>
    <w:rsid w:val="00F82B19"/>
    <w:rsid w:val="00F82F63"/>
    <w:rsid w:val="00F83988"/>
    <w:rsid w:val="00F83A45"/>
    <w:rsid w:val="00F83CA3"/>
    <w:rsid w:val="00F83DF2"/>
    <w:rsid w:val="00F84024"/>
    <w:rsid w:val="00F84052"/>
    <w:rsid w:val="00F8425D"/>
    <w:rsid w:val="00F849DA"/>
    <w:rsid w:val="00F854C7"/>
    <w:rsid w:val="00F85CC9"/>
    <w:rsid w:val="00F85F5E"/>
    <w:rsid w:val="00F862FD"/>
    <w:rsid w:val="00F863A8"/>
    <w:rsid w:val="00F86581"/>
    <w:rsid w:val="00F86844"/>
    <w:rsid w:val="00F86D19"/>
    <w:rsid w:val="00F8708C"/>
    <w:rsid w:val="00F875CC"/>
    <w:rsid w:val="00F90DA6"/>
    <w:rsid w:val="00F90F75"/>
    <w:rsid w:val="00F9212D"/>
    <w:rsid w:val="00F922EC"/>
    <w:rsid w:val="00F93050"/>
    <w:rsid w:val="00F94193"/>
    <w:rsid w:val="00F942B8"/>
    <w:rsid w:val="00F965DA"/>
    <w:rsid w:val="00F970E7"/>
    <w:rsid w:val="00F9736C"/>
    <w:rsid w:val="00F97E0D"/>
    <w:rsid w:val="00FA0A0C"/>
    <w:rsid w:val="00FA0A76"/>
    <w:rsid w:val="00FA1327"/>
    <w:rsid w:val="00FA18D8"/>
    <w:rsid w:val="00FA1C0F"/>
    <w:rsid w:val="00FA1F1A"/>
    <w:rsid w:val="00FA2189"/>
    <w:rsid w:val="00FA28D3"/>
    <w:rsid w:val="00FA2AEB"/>
    <w:rsid w:val="00FA2AFE"/>
    <w:rsid w:val="00FA30EF"/>
    <w:rsid w:val="00FA31E1"/>
    <w:rsid w:val="00FA3599"/>
    <w:rsid w:val="00FA3A60"/>
    <w:rsid w:val="00FA406A"/>
    <w:rsid w:val="00FA40DB"/>
    <w:rsid w:val="00FA4A55"/>
    <w:rsid w:val="00FA6186"/>
    <w:rsid w:val="00FA6A18"/>
    <w:rsid w:val="00FA7321"/>
    <w:rsid w:val="00FA79D3"/>
    <w:rsid w:val="00FB0190"/>
    <w:rsid w:val="00FB125D"/>
    <w:rsid w:val="00FB273D"/>
    <w:rsid w:val="00FB29A9"/>
    <w:rsid w:val="00FB2AEE"/>
    <w:rsid w:val="00FB2B7F"/>
    <w:rsid w:val="00FB3A2C"/>
    <w:rsid w:val="00FB3FB5"/>
    <w:rsid w:val="00FB3FE7"/>
    <w:rsid w:val="00FB4236"/>
    <w:rsid w:val="00FB462C"/>
    <w:rsid w:val="00FB4A4A"/>
    <w:rsid w:val="00FB503A"/>
    <w:rsid w:val="00FB50FE"/>
    <w:rsid w:val="00FB516C"/>
    <w:rsid w:val="00FB5BE9"/>
    <w:rsid w:val="00FB5C6D"/>
    <w:rsid w:val="00FB6043"/>
    <w:rsid w:val="00FB6066"/>
    <w:rsid w:val="00FB634E"/>
    <w:rsid w:val="00FB6471"/>
    <w:rsid w:val="00FB6698"/>
    <w:rsid w:val="00FB6C7D"/>
    <w:rsid w:val="00FB6E53"/>
    <w:rsid w:val="00FB7092"/>
    <w:rsid w:val="00FB7E1B"/>
    <w:rsid w:val="00FC15CD"/>
    <w:rsid w:val="00FC1702"/>
    <w:rsid w:val="00FC1748"/>
    <w:rsid w:val="00FC18F9"/>
    <w:rsid w:val="00FC264F"/>
    <w:rsid w:val="00FC2AF4"/>
    <w:rsid w:val="00FC2B69"/>
    <w:rsid w:val="00FC2B6E"/>
    <w:rsid w:val="00FC2BDB"/>
    <w:rsid w:val="00FC3900"/>
    <w:rsid w:val="00FC4098"/>
    <w:rsid w:val="00FC4178"/>
    <w:rsid w:val="00FC4769"/>
    <w:rsid w:val="00FC5360"/>
    <w:rsid w:val="00FC5C84"/>
    <w:rsid w:val="00FC6716"/>
    <w:rsid w:val="00FC7353"/>
    <w:rsid w:val="00FC7783"/>
    <w:rsid w:val="00FC7B2C"/>
    <w:rsid w:val="00FC7B58"/>
    <w:rsid w:val="00FC7BA2"/>
    <w:rsid w:val="00FD00DE"/>
    <w:rsid w:val="00FD0236"/>
    <w:rsid w:val="00FD0768"/>
    <w:rsid w:val="00FD0794"/>
    <w:rsid w:val="00FD0F67"/>
    <w:rsid w:val="00FD18F4"/>
    <w:rsid w:val="00FD191D"/>
    <w:rsid w:val="00FD1CB7"/>
    <w:rsid w:val="00FD299B"/>
    <w:rsid w:val="00FD3788"/>
    <w:rsid w:val="00FD448A"/>
    <w:rsid w:val="00FD4D08"/>
    <w:rsid w:val="00FD54DB"/>
    <w:rsid w:val="00FD5561"/>
    <w:rsid w:val="00FD6040"/>
    <w:rsid w:val="00FD619F"/>
    <w:rsid w:val="00FD6BBB"/>
    <w:rsid w:val="00FD6D4D"/>
    <w:rsid w:val="00FD714B"/>
    <w:rsid w:val="00FD73C6"/>
    <w:rsid w:val="00FD74EE"/>
    <w:rsid w:val="00FD7881"/>
    <w:rsid w:val="00FD7A91"/>
    <w:rsid w:val="00FD7EDA"/>
    <w:rsid w:val="00FE01E8"/>
    <w:rsid w:val="00FE0668"/>
    <w:rsid w:val="00FE094B"/>
    <w:rsid w:val="00FE1443"/>
    <w:rsid w:val="00FE1537"/>
    <w:rsid w:val="00FE2947"/>
    <w:rsid w:val="00FE297F"/>
    <w:rsid w:val="00FE2E5F"/>
    <w:rsid w:val="00FE4203"/>
    <w:rsid w:val="00FE4E49"/>
    <w:rsid w:val="00FE5235"/>
    <w:rsid w:val="00FE5FA7"/>
    <w:rsid w:val="00FE6614"/>
    <w:rsid w:val="00FE718B"/>
    <w:rsid w:val="00FE72CF"/>
    <w:rsid w:val="00FE7538"/>
    <w:rsid w:val="00FE7C86"/>
    <w:rsid w:val="00FF0986"/>
    <w:rsid w:val="00FF09B5"/>
    <w:rsid w:val="00FF12FB"/>
    <w:rsid w:val="00FF13FC"/>
    <w:rsid w:val="00FF1766"/>
    <w:rsid w:val="00FF2F3B"/>
    <w:rsid w:val="00FF3E7B"/>
    <w:rsid w:val="00FF4176"/>
    <w:rsid w:val="00FF550E"/>
    <w:rsid w:val="00FF5951"/>
    <w:rsid w:val="00FF5DAB"/>
    <w:rsid w:val="00FF6204"/>
    <w:rsid w:val="00FF75BD"/>
    <w:rsid w:val="00FF79F2"/>
    <w:rsid w:val="01104F48"/>
    <w:rsid w:val="01290F7E"/>
    <w:rsid w:val="01421E36"/>
    <w:rsid w:val="014E22D1"/>
    <w:rsid w:val="014F7AEA"/>
    <w:rsid w:val="015D1E09"/>
    <w:rsid w:val="01960EED"/>
    <w:rsid w:val="019E7250"/>
    <w:rsid w:val="01B02EAD"/>
    <w:rsid w:val="01E230FE"/>
    <w:rsid w:val="02343C54"/>
    <w:rsid w:val="02697903"/>
    <w:rsid w:val="02A16185"/>
    <w:rsid w:val="02F96569"/>
    <w:rsid w:val="03611716"/>
    <w:rsid w:val="03EA7B21"/>
    <w:rsid w:val="0432694E"/>
    <w:rsid w:val="045124D5"/>
    <w:rsid w:val="049B228B"/>
    <w:rsid w:val="04C363B6"/>
    <w:rsid w:val="05464991"/>
    <w:rsid w:val="057B29B4"/>
    <w:rsid w:val="05C7515E"/>
    <w:rsid w:val="05F83EAE"/>
    <w:rsid w:val="06007F0A"/>
    <w:rsid w:val="06110E93"/>
    <w:rsid w:val="063B1C20"/>
    <w:rsid w:val="063E7D85"/>
    <w:rsid w:val="06DE7162"/>
    <w:rsid w:val="07293586"/>
    <w:rsid w:val="07295285"/>
    <w:rsid w:val="07636392"/>
    <w:rsid w:val="07733975"/>
    <w:rsid w:val="07770C56"/>
    <w:rsid w:val="0816778F"/>
    <w:rsid w:val="08BA2CA8"/>
    <w:rsid w:val="08F86E62"/>
    <w:rsid w:val="0904164E"/>
    <w:rsid w:val="09176FB7"/>
    <w:rsid w:val="09193FD9"/>
    <w:rsid w:val="092217DD"/>
    <w:rsid w:val="093A7294"/>
    <w:rsid w:val="09AD35A6"/>
    <w:rsid w:val="09B91F52"/>
    <w:rsid w:val="09CF4D46"/>
    <w:rsid w:val="0A263993"/>
    <w:rsid w:val="0A2D3AC2"/>
    <w:rsid w:val="0AA33E6E"/>
    <w:rsid w:val="0AA755DF"/>
    <w:rsid w:val="0AB575C0"/>
    <w:rsid w:val="0AE845A2"/>
    <w:rsid w:val="0B017001"/>
    <w:rsid w:val="0B120D44"/>
    <w:rsid w:val="0B5A7FE8"/>
    <w:rsid w:val="0B983DD1"/>
    <w:rsid w:val="0BAD0515"/>
    <w:rsid w:val="0BD27BF6"/>
    <w:rsid w:val="0BFD4EF5"/>
    <w:rsid w:val="0C3B3C7D"/>
    <w:rsid w:val="0C66796A"/>
    <w:rsid w:val="0C6F6B7E"/>
    <w:rsid w:val="0CAB2EAE"/>
    <w:rsid w:val="0CAC6BB3"/>
    <w:rsid w:val="0CC45879"/>
    <w:rsid w:val="0CFF207A"/>
    <w:rsid w:val="0D273D25"/>
    <w:rsid w:val="0D621C7D"/>
    <w:rsid w:val="0DC01672"/>
    <w:rsid w:val="0E73034D"/>
    <w:rsid w:val="0ECE463B"/>
    <w:rsid w:val="0F083630"/>
    <w:rsid w:val="0F13775A"/>
    <w:rsid w:val="0F373017"/>
    <w:rsid w:val="0F3A5BF8"/>
    <w:rsid w:val="0F5F45FE"/>
    <w:rsid w:val="0F9A112B"/>
    <w:rsid w:val="0FA2479D"/>
    <w:rsid w:val="0FDA5F8D"/>
    <w:rsid w:val="0FF27FD8"/>
    <w:rsid w:val="106D2F64"/>
    <w:rsid w:val="1072376E"/>
    <w:rsid w:val="10B63710"/>
    <w:rsid w:val="10E67008"/>
    <w:rsid w:val="10F10820"/>
    <w:rsid w:val="111C2F7A"/>
    <w:rsid w:val="11665CA1"/>
    <w:rsid w:val="116E478C"/>
    <w:rsid w:val="126B37D9"/>
    <w:rsid w:val="128204AD"/>
    <w:rsid w:val="12C759C0"/>
    <w:rsid w:val="12F81FE1"/>
    <w:rsid w:val="13295D81"/>
    <w:rsid w:val="13522843"/>
    <w:rsid w:val="137639BB"/>
    <w:rsid w:val="13951726"/>
    <w:rsid w:val="13976AF3"/>
    <w:rsid w:val="13CA3E07"/>
    <w:rsid w:val="142C6205"/>
    <w:rsid w:val="14396509"/>
    <w:rsid w:val="14576081"/>
    <w:rsid w:val="1470075C"/>
    <w:rsid w:val="14854327"/>
    <w:rsid w:val="14BF3C3E"/>
    <w:rsid w:val="14DD2C3C"/>
    <w:rsid w:val="150D060B"/>
    <w:rsid w:val="158C56B1"/>
    <w:rsid w:val="1594066F"/>
    <w:rsid w:val="15A959CF"/>
    <w:rsid w:val="15BB4C26"/>
    <w:rsid w:val="15D3453B"/>
    <w:rsid w:val="16087E1D"/>
    <w:rsid w:val="16840C82"/>
    <w:rsid w:val="16BA5F81"/>
    <w:rsid w:val="17171557"/>
    <w:rsid w:val="171F31B4"/>
    <w:rsid w:val="17701D14"/>
    <w:rsid w:val="1771292F"/>
    <w:rsid w:val="17735226"/>
    <w:rsid w:val="17AF474F"/>
    <w:rsid w:val="17D40CA3"/>
    <w:rsid w:val="1818740E"/>
    <w:rsid w:val="188F5A30"/>
    <w:rsid w:val="189F624C"/>
    <w:rsid w:val="18A72B42"/>
    <w:rsid w:val="18DA2528"/>
    <w:rsid w:val="192E6B4A"/>
    <w:rsid w:val="196D4012"/>
    <w:rsid w:val="19B44ACE"/>
    <w:rsid w:val="19CA05A0"/>
    <w:rsid w:val="19E47671"/>
    <w:rsid w:val="19F1407D"/>
    <w:rsid w:val="1A1C66C0"/>
    <w:rsid w:val="1A2D7AF3"/>
    <w:rsid w:val="1A37553E"/>
    <w:rsid w:val="1A42393B"/>
    <w:rsid w:val="1A613A05"/>
    <w:rsid w:val="1AAD45DE"/>
    <w:rsid w:val="1B016553"/>
    <w:rsid w:val="1B046F80"/>
    <w:rsid w:val="1B3267B5"/>
    <w:rsid w:val="1B3B6643"/>
    <w:rsid w:val="1B40161D"/>
    <w:rsid w:val="1B441859"/>
    <w:rsid w:val="1B6606B1"/>
    <w:rsid w:val="1B6E0342"/>
    <w:rsid w:val="1C467CBA"/>
    <w:rsid w:val="1C5256A4"/>
    <w:rsid w:val="1C5E7925"/>
    <w:rsid w:val="1CD9530E"/>
    <w:rsid w:val="1CDE3CE2"/>
    <w:rsid w:val="1CFD070F"/>
    <w:rsid w:val="1D221566"/>
    <w:rsid w:val="1D5E3682"/>
    <w:rsid w:val="1D5F6196"/>
    <w:rsid w:val="1D6132A5"/>
    <w:rsid w:val="1D774233"/>
    <w:rsid w:val="1D897A87"/>
    <w:rsid w:val="1D8E56D5"/>
    <w:rsid w:val="1E277E00"/>
    <w:rsid w:val="1E386710"/>
    <w:rsid w:val="1E471F03"/>
    <w:rsid w:val="1E7A43DA"/>
    <w:rsid w:val="1EB728F0"/>
    <w:rsid w:val="1EC91910"/>
    <w:rsid w:val="1ED46E81"/>
    <w:rsid w:val="1EF65EF6"/>
    <w:rsid w:val="1EF7280F"/>
    <w:rsid w:val="1F5B15B3"/>
    <w:rsid w:val="1F6F40E4"/>
    <w:rsid w:val="1F753B73"/>
    <w:rsid w:val="1FE7539E"/>
    <w:rsid w:val="20047A8F"/>
    <w:rsid w:val="20117DE5"/>
    <w:rsid w:val="20215745"/>
    <w:rsid w:val="202B397B"/>
    <w:rsid w:val="20671BE0"/>
    <w:rsid w:val="207449CB"/>
    <w:rsid w:val="20963CB8"/>
    <w:rsid w:val="20986E09"/>
    <w:rsid w:val="20A81A1B"/>
    <w:rsid w:val="20B07FB6"/>
    <w:rsid w:val="20B646FB"/>
    <w:rsid w:val="213B74B1"/>
    <w:rsid w:val="214B3898"/>
    <w:rsid w:val="215A2310"/>
    <w:rsid w:val="217F3483"/>
    <w:rsid w:val="218C45DA"/>
    <w:rsid w:val="218F4B43"/>
    <w:rsid w:val="21DE318A"/>
    <w:rsid w:val="21EF5B80"/>
    <w:rsid w:val="22576990"/>
    <w:rsid w:val="225A09D6"/>
    <w:rsid w:val="226F750F"/>
    <w:rsid w:val="228552B2"/>
    <w:rsid w:val="22F47480"/>
    <w:rsid w:val="23332DB9"/>
    <w:rsid w:val="239B5707"/>
    <w:rsid w:val="23BA4260"/>
    <w:rsid w:val="23DE1C48"/>
    <w:rsid w:val="240210CD"/>
    <w:rsid w:val="24231158"/>
    <w:rsid w:val="243E2735"/>
    <w:rsid w:val="24847745"/>
    <w:rsid w:val="24AA57B9"/>
    <w:rsid w:val="24B54A38"/>
    <w:rsid w:val="24BF09F7"/>
    <w:rsid w:val="252D53FE"/>
    <w:rsid w:val="25C92185"/>
    <w:rsid w:val="25EC2D81"/>
    <w:rsid w:val="26A06955"/>
    <w:rsid w:val="26F62A79"/>
    <w:rsid w:val="271F4B02"/>
    <w:rsid w:val="277057A2"/>
    <w:rsid w:val="27D932E3"/>
    <w:rsid w:val="27EF6DF8"/>
    <w:rsid w:val="28060F58"/>
    <w:rsid w:val="280A0DE6"/>
    <w:rsid w:val="29206EB8"/>
    <w:rsid w:val="2924092F"/>
    <w:rsid w:val="29595666"/>
    <w:rsid w:val="29840913"/>
    <w:rsid w:val="29874881"/>
    <w:rsid w:val="29BE3CD5"/>
    <w:rsid w:val="29CB4F11"/>
    <w:rsid w:val="29E325E0"/>
    <w:rsid w:val="29FD74FC"/>
    <w:rsid w:val="2A101071"/>
    <w:rsid w:val="2A22597F"/>
    <w:rsid w:val="2A303947"/>
    <w:rsid w:val="2A452503"/>
    <w:rsid w:val="2B3C1419"/>
    <w:rsid w:val="2B551792"/>
    <w:rsid w:val="2B5E0716"/>
    <w:rsid w:val="2B8634D2"/>
    <w:rsid w:val="2BA936A8"/>
    <w:rsid w:val="2C010CE1"/>
    <w:rsid w:val="2C091F55"/>
    <w:rsid w:val="2C240544"/>
    <w:rsid w:val="2C315A5A"/>
    <w:rsid w:val="2C4B1C25"/>
    <w:rsid w:val="2C7D0F22"/>
    <w:rsid w:val="2C965106"/>
    <w:rsid w:val="2CE228C6"/>
    <w:rsid w:val="2CF1632B"/>
    <w:rsid w:val="2D154C56"/>
    <w:rsid w:val="2D27115E"/>
    <w:rsid w:val="2D306BDE"/>
    <w:rsid w:val="2D3D2537"/>
    <w:rsid w:val="2D5E734A"/>
    <w:rsid w:val="2D612B15"/>
    <w:rsid w:val="2D704069"/>
    <w:rsid w:val="2D9E56F5"/>
    <w:rsid w:val="2D9F53CE"/>
    <w:rsid w:val="2DCC5166"/>
    <w:rsid w:val="2DD567D0"/>
    <w:rsid w:val="2E112CD6"/>
    <w:rsid w:val="2E23724E"/>
    <w:rsid w:val="2E667F96"/>
    <w:rsid w:val="2E8226AB"/>
    <w:rsid w:val="2E866DE4"/>
    <w:rsid w:val="2EA2521C"/>
    <w:rsid w:val="2EB826E4"/>
    <w:rsid w:val="2EC351CA"/>
    <w:rsid w:val="2EE672F6"/>
    <w:rsid w:val="2F105B10"/>
    <w:rsid w:val="2F4360B7"/>
    <w:rsid w:val="2F706CA2"/>
    <w:rsid w:val="2F8E4ABB"/>
    <w:rsid w:val="2F900A01"/>
    <w:rsid w:val="2F912A11"/>
    <w:rsid w:val="2FCB3BF8"/>
    <w:rsid w:val="2FD065E6"/>
    <w:rsid w:val="2FD96870"/>
    <w:rsid w:val="30190D34"/>
    <w:rsid w:val="30344EF5"/>
    <w:rsid w:val="30580BC9"/>
    <w:rsid w:val="30B17EE3"/>
    <w:rsid w:val="30D92AA5"/>
    <w:rsid w:val="31083C18"/>
    <w:rsid w:val="311E2ED7"/>
    <w:rsid w:val="311E7761"/>
    <w:rsid w:val="315619EE"/>
    <w:rsid w:val="315C449C"/>
    <w:rsid w:val="316C266D"/>
    <w:rsid w:val="31B10E19"/>
    <w:rsid w:val="31B742DA"/>
    <w:rsid w:val="31B82709"/>
    <w:rsid w:val="31D05482"/>
    <w:rsid w:val="31E37E89"/>
    <w:rsid w:val="31F35920"/>
    <w:rsid w:val="323D1A1A"/>
    <w:rsid w:val="32400B34"/>
    <w:rsid w:val="329E6876"/>
    <w:rsid w:val="32F20344"/>
    <w:rsid w:val="333015F2"/>
    <w:rsid w:val="33340711"/>
    <w:rsid w:val="333554DB"/>
    <w:rsid w:val="334B6320"/>
    <w:rsid w:val="3358589F"/>
    <w:rsid w:val="33804376"/>
    <w:rsid w:val="33D934D4"/>
    <w:rsid w:val="33FE2F6A"/>
    <w:rsid w:val="340E07E5"/>
    <w:rsid w:val="34235BF7"/>
    <w:rsid w:val="34886536"/>
    <w:rsid w:val="35024B17"/>
    <w:rsid w:val="35590639"/>
    <w:rsid w:val="35885AF5"/>
    <w:rsid w:val="358C5FA8"/>
    <w:rsid w:val="35C15DF1"/>
    <w:rsid w:val="35FC36F0"/>
    <w:rsid w:val="36074A7F"/>
    <w:rsid w:val="36352F10"/>
    <w:rsid w:val="363F3D8F"/>
    <w:rsid w:val="36923549"/>
    <w:rsid w:val="36B75FBF"/>
    <w:rsid w:val="36BD0C45"/>
    <w:rsid w:val="36FF3742"/>
    <w:rsid w:val="37607856"/>
    <w:rsid w:val="37CC1784"/>
    <w:rsid w:val="37E00298"/>
    <w:rsid w:val="37EE101E"/>
    <w:rsid w:val="381B57CF"/>
    <w:rsid w:val="38675666"/>
    <w:rsid w:val="38892215"/>
    <w:rsid w:val="38B302F9"/>
    <w:rsid w:val="38BD4403"/>
    <w:rsid w:val="38CB2B07"/>
    <w:rsid w:val="38E15741"/>
    <w:rsid w:val="38E80481"/>
    <w:rsid w:val="38F12CD3"/>
    <w:rsid w:val="38F94775"/>
    <w:rsid w:val="392971ED"/>
    <w:rsid w:val="39325651"/>
    <w:rsid w:val="395C7C76"/>
    <w:rsid w:val="3A103675"/>
    <w:rsid w:val="3A6D21E0"/>
    <w:rsid w:val="3A872856"/>
    <w:rsid w:val="3AD7292F"/>
    <w:rsid w:val="3B3763D1"/>
    <w:rsid w:val="3B3901E8"/>
    <w:rsid w:val="3B5F0F32"/>
    <w:rsid w:val="3B966955"/>
    <w:rsid w:val="3BB5182F"/>
    <w:rsid w:val="3BF26876"/>
    <w:rsid w:val="3C2F6E1E"/>
    <w:rsid w:val="3C4B08F9"/>
    <w:rsid w:val="3C4F64BA"/>
    <w:rsid w:val="3CBF57A9"/>
    <w:rsid w:val="3CBF5B87"/>
    <w:rsid w:val="3CDA245A"/>
    <w:rsid w:val="3D1E06B7"/>
    <w:rsid w:val="3D422275"/>
    <w:rsid w:val="3D4558EF"/>
    <w:rsid w:val="3D5E156F"/>
    <w:rsid w:val="3DDC6A97"/>
    <w:rsid w:val="3DE260C5"/>
    <w:rsid w:val="3E1A4601"/>
    <w:rsid w:val="3E8A3595"/>
    <w:rsid w:val="3EB7242B"/>
    <w:rsid w:val="3EDA0523"/>
    <w:rsid w:val="3FB5153F"/>
    <w:rsid w:val="3FD07F7D"/>
    <w:rsid w:val="407A6407"/>
    <w:rsid w:val="40922C73"/>
    <w:rsid w:val="40B711D4"/>
    <w:rsid w:val="410413BE"/>
    <w:rsid w:val="410727E6"/>
    <w:rsid w:val="410A0317"/>
    <w:rsid w:val="41A73A93"/>
    <w:rsid w:val="41B50791"/>
    <w:rsid w:val="41DD76D1"/>
    <w:rsid w:val="4200449D"/>
    <w:rsid w:val="422E67E3"/>
    <w:rsid w:val="423A3BCC"/>
    <w:rsid w:val="423B584A"/>
    <w:rsid w:val="424E57D2"/>
    <w:rsid w:val="42A36AAD"/>
    <w:rsid w:val="42B26C49"/>
    <w:rsid w:val="431F2E8B"/>
    <w:rsid w:val="433A6FE6"/>
    <w:rsid w:val="43480868"/>
    <w:rsid w:val="4350713C"/>
    <w:rsid w:val="436010E0"/>
    <w:rsid w:val="436653E0"/>
    <w:rsid w:val="437C38C5"/>
    <w:rsid w:val="43C4431A"/>
    <w:rsid w:val="441A148D"/>
    <w:rsid w:val="443977AD"/>
    <w:rsid w:val="44936CF5"/>
    <w:rsid w:val="44B951CC"/>
    <w:rsid w:val="44CD14E0"/>
    <w:rsid w:val="44F20B0B"/>
    <w:rsid w:val="452E5F4C"/>
    <w:rsid w:val="4531393F"/>
    <w:rsid w:val="45320A8E"/>
    <w:rsid w:val="453664F7"/>
    <w:rsid w:val="45612018"/>
    <w:rsid w:val="458946E9"/>
    <w:rsid w:val="45A07CC6"/>
    <w:rsid w:val="45A47C0E"/>
    <w:rsid w:val="460037F4"/>
    <w:rsid w:val="46577FD6"/>
    <w:rsid w:val="468E5FFD"/>
    <w:rsid w:val="46A7232C"/>
    <w:rsid w:val="46AB3EAC"/>
    <w:rsid w:val="46D955A7"/>
    <w:rsid w:val="46F425FE"/>
    <w:rsid w:val="47133957"/>
    <w:rsid w:val="474C5506"/>
    <w:rsid w:val="475C43D0"/>
    <w:rsid w:val="47694266"/>
    <w:rsid w:val="47A07E0C"/>
    <w:rsid w:val="47AD24B7"/>
    <w:rsid w:val="47E13098"/>
    <w:rsid w:val="47EB3D1D"/>
    <w:rsid w:val="47EC192A"/>
    <w:rsid w:val="482D1CF8"/>
    <w:rsid w:val="4870272E"/>
    <w:rsid w:val="48C41F2B"/>
    <w:rsid w:val="48DC489F"/>
    <w:rsid w:val="48E9466D"/>
    <w:rsid w:val="49086FEA"/>
    <w:rsid w:val="49573B2B"/>
    <w:rsid w:val="49DC7715"/>
    <w:rsid w:val="4A023139"/>
    <w:rsid w:val="4A406A66"/>
    <w:rsid w:val="4A7B576F"/>
    <w:rsid w:val="4AAB43E5"/>
    <w:rsid w:val="4ADD4C22"/>
    <w:rsid w:val="4AF561A9"/>
    <w:rsid w:val="4BAD13A3"/>
    <w:rsid w:val="4C4A0649"/>
    <w:rsid w:val="4C766528"/>
    <w:rsid w:val="4C7E5ECA"/>
    <w:rsid w:val="4C876AA5"/>
    <w:rsid w:val="4C8F1529"/>
    <w:rsid w:val="4CD96C90"/>
    <w:rsid w:val="4D0E00FB"/>
    <w:rsid w:val="4D176606"/>
    <w:rsid w:val="4D192BC8"/>
    <w:rsid w:val="4D23591D"/>
    <w:rsid w:val="4D836B27"/>
    <w:rsid w:val="4DC37ABA"/>
    <w:rsid w:val="4DE94E4E"/>
    <w:rsid w:val="4DEC4FB0"/>
    <w:rsid w:val="4E075D8A"/>
    <w:rsid w:val="4E6A31CE"/>
    <w:rsid w:val="4EC00FAD"/>
    <w:rsid w:val="4EE251C0"/>
    <w:rsid w:val="4F311AD5"/>
    <w:rsid w:val="4F3C0269"/>
    <w:rsid w:val="4F617630"/>
    <w:rsid w:val="4F8E3193"/>
    <w:rsid w:val="4F9843DC"/>
    <w:rsid w:val="4F9F66CF"/>
    <w:rsid w:val="4FAB2344"/>
    <w:rsid w:val="4FB07F85"/>
    <w:rsid w:val="4FC62A8C"/>
    <w:rsid w:val="4FCC33AF"/>
    <w:rsid w:val="4FE20F0D"/>
    <w:rsid w:val="4FE51552"/>
    <w:rsid w:val="501F7BD5"/>
    <w:rsid w:val="50504C4B"/>
    <w:rsid w:val="505450D7"/>
    <w:rsid w:val="509010AE"/>
    <w:rsid w:val="509C6E7C"/>
    <w:rsid w:val="50BC534C"/>
    <w:rsid w:val="50CD1E89"/>
    <w:rsid w:val="50E45754"/>
    <w:rsid w:val="512B3F15"/>
    <w:rsid w:val="5162104E"/>
    <w:rsid w:val="516607F2"/>
    <w:rsid w:val="519C698D"/>
    <w:rsid w:val="524B7047"/>
    <w:rsid w:val="528439ED"/>
    <w:rsid w:val="52C23CC6"/>
    <w:rsid w:val="52E45773"/>
    <w:rsid w:val="52EF24C6"/>
    <w:rsid w:val="531C2826"/>
    <w:rsid w:val="5328717E"/>
    <w:rsid w:val="53400E07"/>
    <w:rsid w:val="53A039CC"/>
    <w:rsid w:val="53A1505A"/>
    <w:rsid w:val="54063E08"/>
    <w:rsid w:val="541E7526"/>
    <w:rsid w:val="543437E8"/>
    <w:rsid w:val="544640D3"/>
    <w:rsid w:val="548802A5"/>
    <w:rsid w:val="54A71E42"/>
    <w:rsid w:val="54D62F8A"/>
    <w:rsid w:val="54ED3BD2"/>
    <w:rsid w:val="54F73313"/>
    <w:rsid w:val="54F80955"/>
    <w:rsid w:val="552D33DF"/>
    <w:rsid w:val="5546290C"/>
    <w:rsid w:val="555170A7"/>
    <w:rsid w:val="55561D06"/>
    <w:rsid w:val="555D3992"/>
    <w:rsid w:val="5587536D"/>
    <w:rsid w:val="559B174B"/>
    <w:rsid w:val="55A803BE"/>
    <w:rsid w:val="55CE0CF4"/>
    <w:rsid w:val="55EE6E53"/>
    <w:rsid w:val="56081CB8"/>
    <w:rsid w:val="566816C9"/>
    <w:rsid w:val="56B22A9C"/>
    <w:rsid w:val="56B84C7D"/>
    <w:rsid w:val="56BF1F88"/>
    <w:rsid w:val="571A56DB"/>
    <w:rsid w:val="575F5307"/>
    <w:rsid w:val="578A7759"/>
    <w:rsid w:val="57B72A76"/>
    <w:rsid w:val="57C3426C"/>
    <w:rsid w:val="57CE1F93"/>
    <w:rsid w:val="57CF0AB7"/>
    <w:rsid w:val="5825701A"/>
    <w:rsid w:val="58263884"/>
    <w:rsid w:val="583E74D5"/>
    <w:rsid w:val="58672C27"/>
    <w:rsid w:val="588743D1"/>
    <w:rsid w:val="5887701A"/>
    <w:rsid w:val="593108AA"/>
    <w:rsid w:val="593F4924"/>
    <w:rsid w:val="59556C9E"/>
    <w:rsid w:val="59C0439F"/>
    <w:rsid w:val="59CB2C37"/>
    <w:rsid w:val="59D83B90"/>
    <w:rsid w:val="59DE2A10"/>
    <w:rsid w:val="59FD0719"/>
    <w:rsid w:val="5A050C7D"/>
    <w:rsid w:val="5A312A61"/>
    <w:rsid w:val="5A34244F"/>
    <w:rsid w:val="5A494B51"/>
    <w:rsid w:val="5A753192"/>
    <w:rsid w:val="5ABE2233"/>
    <w:rsid w:val="5ABE313F"/>
    <w:rsid w:val="5AD547F1"/>
    <w:rsid w:val="5ADA513F"/>
    <w:rsid w:val="5AE62DE0"/>
    <w:rsid w:val="5B164869"/>
    <w:rsid w:val="5BC27C7B"/>
    <w:rsid w:val="5BDF5D95"/>
    <w:rsid w:val="5BFE7528"/>
    <w:rsid w:val="5C2A125B"/>
    <w:rsid w:val="5C736DF5"/>
    <w:rsid w:val="5C9664CB"/>
    <w:rsid w:val="5CAE7039"/>
    <w:rsid w:val="5CB62086"/>
    <w:rsid w:val="5CF76F80"/>
    <w:rsid w:val="5D9322DF"/>
    <w:rsid w:val="5DB1386F"/>
    <w:rsid w:val="5DC65500"/>
    <w:rsid w:val="5E2467F1"/>
    <w:rsid w:val="5E410184"/>
    <w:rsid w:val="5E520818"/>
    <w:rsid w:val="5E70615B"/>
    <w:rsid w:val="5E7D6EE0"/>
    <w:rsid w:val="5EC73876"/>
    <w:rsid w:val="5F1A2B43"/>
    <w:rsid w:val="5F574208"/>
    <w:rsid w:val="5FB837BB"/>
    <w:rsid w:val="5FD96BCD"/>
    <w:rsid w:val="5FF407ED"/>
    <w:rsid w:val="5FF60BF8"/>
    <w:rsid w:val="601A3EC7"/>
    <w:rsid w:val="60CC405A"/>
    <w:rsid w:val="611B2E01"/>
    <w:rsid w:val="612215B4"/>
    <w:rsid w:val="61256DF4"/>
    <w:rsid w:val="61882403"/>
    <w:rsid w:val="61932B55"/>
    <w:rsid w:val="61997A76"/>
    <w:rsid w:val="61BB7855"/>
    <w:rsid w:val="61E215D8"/>
    <w:rsid w:val="620E30F9"/>
    <w:rsid w:val="621B3775"/>
    <w:rsid w:val="62364782"/>
    <w:rsid w:val="623E68BA"/>
    <w:rsid w:val="6277079A"/>
    <w:rsid w:val="62A14FF2"/>
    <w:rsid w:val="63731568"/>
    <w:rsid w:val="63766CB8"/>
    <w:rsid w:val="6394356A"/>
    <w:rsid w:val="63BE54CB"/>
    <w:rsid w:val="63C61B2C"/>
    <w:rsid w:val="63D40BE9"/>
    <w:rsid w:val="63EA02AF"/>
    <w:rsid w:val="64102431"/>
    <w:rsid w:val="64364ED8"/>
    <w:rsid w:val="648565C7"/>
    <w:rsid w:val="648E0420"/>
    <w:rsid w:val="648E494C"/>
    <w:rsid w:val="64A01811"/>
    <w:rsid w:val="64A5243A"/>
    <w:rsid w:val="64AA5237"/>
    <w:rsid w:val="64F531DE"/>
    <w:rsid w:val="65373578"/>
    <w:rsid w:val="6577497F"/>
    <w:rsid w:val="65D10CB3"/>
    <w:rsid w:val="6639527D"/>
    <w:rsid w:val="664320C6"/>
    <w:rsid w:val="6662161B"/>
    <w:rsid w:val="669F09CC"/>
    <w:rsid w:val="66B20695"/>
    <w:rsid w:val="66C0320F"/>
    <w:rsid w:val="66CD3C5C"/>
    <w:rsid w:val="66FF1E25"/>
    <w:rsid w:val="671F124A"/>
    <w:rsid w:val="672F3644"/>
    <w:rsid w:val="677A33C6"/>
    <w:rsid w:val="681F6961"/>
    <w:rsid w:val="684231F4"/>
    <w:rsid w:val="68610A2F"/>
    <w:rsid w:val="68657CD6"/>
    <w:rsid w:val="68805514"/>
    <w:rsid w:val="69316E2F"/>
    <w:rsid w:val="693528B2"/>
    <w:rsid w:val="694E2071"/>
    <w:rsid w:val="69766163"/>
    <w:rsid w:val="697A3B33"/>
    <w:rsid w:val="69A17F14"/>
    <w:rsid w:val="69A441C8"/>
    <w:rsid w:val="69C72A17"/>
    <w:rsid w:val="69D44760"/>
    <w:rsid w:val="69F310F6"/>
    <w:rsid w:val="6A3E0122"/>
    <w:rsid w:val="6A403F2E"/>
    <w:rsid w:val="6A520EC7"/>
    <w:rsid w:val="6A6210CB"/>
    <w:rsid w:val="6AB53640"/>
    <w:rsid w:val="6AF87E20"/>
    <w:rsid w:val="6B144AE9"/>
    <w:rsid w:val="6B322639"/>
    <w:rsid w:val="6B511172"/>
    <w:rsid w:val="6B961612"/>
    <w:rsid w:val="6BD72933"/>
    <w:rsid w:val="6BE20B59"/>
    <w:rsid w:val="6BF245F8"/>
    <w:rsid w:val="6C29606F"/>
    <w:rsid w:val="6C384565"/>
    <w:rsid w:val="6C4A2B21"/>
    <w:rsid w:val="6C4E4773"/>
    <w:rsid w:val="6C636C38"/>
    <w:rsid w:val="6C6A75EB"/>
    <w:rsid w:val="6C7A1956"/>
    <w:rsid w:val="6CB94576"/>
    <w:rsid w:val="6CCD344F"/>
    <w:rsid w:val="6D5332BB"/>
    <w:rsid w:val="6D734440"/>
    <w:rsid w:val="6DA120F6"/>
    <w:rsid w:val="6DB34098"/>
    <w:rsid w:val="6DB545B6"/>
    <w:rsid w:val="6DE02FB4"/>
    <w:rsid w:val="6E233471"/>
    <w:rsid w:val="6E514CED"/>
    <w:rsid w:val="6E811A86"/>
    <w:rsid w:val="6EAB1F0D"/>
    <w:rsid w:val="6EB563D5"/>
    <w:rsid w:val="6ED92677"/>
    <w:rsid w:val="6EF51A6F"/>
    <w:rsid w:val="6F225983"/>
    <w:rsid w:val="6F5100F1"/>
    <w:rsid w:val="6F8F7697"/>
    <w:rsid w:val="6FD3430C"/>
    <w:rsid w:val="6FE10664"/>
    <w:rsid w:val="6FFC5590"/>
    <w:rsid w:val="706D1DD0"/>
    <w:rsid w:val="70856B87"/>
    <w:rsid w:val="70D527EE"/>
    <w:rsid w:val="714B32D5"/>
    <w:rsid w:val="715B5300"/>
    <w:rsid w:val="71D27F8A"/>
    <w:rsid w:val="71E6486A"/>
    <w:rsid w:val="72384D1D"/>
    <w:rsid w:val="72553024"/>
    <w:rsid w:val="72671129"/>
    <w:rsid w:val="72C2512D"/>
    <w:rsid w:val="73122968"/>
    <w:rsid w:val="731D22C6"/>
    <w:rsid w:val="731F5D5E"/>
    <w:rsid w:val="73406529"/>
    <w:rsid w:val="738D44D3"/>
    <w:rsid w:val="73C51AD5"/>
    <w:rsid w:val="73FE6554"/>
    <w:rsid w:val="741E793C"/>
    <w:rsid w:val="74295411"/>
    <w:rsid w:val="745E3944"/>
    <w:rsid w:val="74E17CB9"/>
    <w:rsid w:val="755D5FA1"/>
    <w:rsid w:val="757244CB"/>
    <w:rsid w:val="75C200E7"/>
    <w:rsid w:val="7635099D"/>
    <w:rsid w:val="764E3BDA"/>
    <w:rsid w:val="768B345E"/>
    <w:rsid w:val="76C61F0F"/>
    <w:rsid w:val="76C84501"/>
    <w:rsid w:val="77762421"/>
    <w:rsid w:val="779F2960"/>
    <w:rsid w:val="77AB63D8"/>
    <w:rsid w:val="77B56B1F"/>
    <w:rsid w:val="77FF697E"/>
    <w:rsid w:val="780F09F4"/>
    <w:rsid w:val="78375A8C"/>
    <w:rsid w:val="78393FFF"/>
    <w:rsid w:val="78964D0A"/>
    <w:rsid w:val="78A90480"/>
    <w:rsid w:val="78D970A9"/>
    <w:rsid w:val="78ED71CB"/>
    <w:rsid w:val="795327F8"/>
    <w:rsid w:val="79F33B38"/>
    <w:rsid w:val="7A364017"/>
    <w:rsid w:val="7A8265E1"/>
    <w:rsid w:val="7B1F3D35"/>
    <w:rsid w:val="7B686D42"/>
    <w:rsid w:val="7B841746"/>
    <w:rsid w:val="7C443637"/>
    <w:rsid w:val="7C517A89"/>
    <w:rsid w:val="7C6C5AC7"/>
    <w:rsid w:val="7C871A4B"/>
    <w:rsid w:val="7C970076"/>
    <w:rsid w:val="7CC6544B"/>
    <w:rsid w:val="7CD36674"/>
    <w:rsid w:val="7D0239FF"/>
    <w:rsid w:val="7D243BCE"/>
    <w:rsid w:val="7D5E40CD"/>
    <w:rsid w:val="7D6C4ADE"/>
    <w:rsid w:val="7DCD56F2"/>
    <w:rsid w:val="7DE5228C"/>
    <w:rsid w:val="7DE92A72"/>
    <w:rsid w:val="7E0C40CA"/>
    <w:rsid w:val="7E4636A0"/>
    <w:rsid w:val="7E7B22F2"/>
    <w:rsid w:val="7E9C3D69"/>
    <w:rsid w:val="7EBE3308"/>
    <w:rsid w:val="7EC4555C"/>
    <w:rsid w:val="7ED93A10"/>
    <w:rsid w:val="7F001CE7"/>
    <w:rsid w:val="7F283211"/>
    <w:rsid w:val="7F8A2B0F"/>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qFormat="1"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仿宋" w:hAnsi="仿宋" w:eastAsia="仿宋" w:cs="Times New Roman"/>
      <w:kern w:val="2"/>
      <w:sz w:val="21"/>
      <w:szCs w:val="24"/>
      <w:lang w:val="en-US" w:eastAsia="zh-CN" w:bidi="ar-SA"/>
    </w:rPr>
  </w:style>
  <w:style w:type="paragraph" w:styleId="4">
    <w:name w:val="heading 1"/>
    <w:basedOn w:val="1"/>
    <w:next w:val="1"/>
    <w:qFormat/>
    <w:locked/>
    <w:uiPriority w:val="99"/>
    <w:pPr>
      <w:keepNext/>
      <w:overflowPunct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9"/>
    <w:pPr>
      <w:spacing w:before="156"/>
      <w:outlineLvl w:val="1"/>
    </w:pPr>
    <w:rPr>
      <w:kern w:val="2"/>
    </w:rPr>
  </w:style>
  <w:style w:type="paragraph" w:styleId="6">
    <w:name w:val="heading 3"/>
    <w:basedOn w:val="1"/>
    <w:next w:val="1"/>
    <w:link w:val="58"/>
    <w:semiHidden/>
    <w:unhideWhenUsed/>
    <w:qFormat/>
    <w:locked/>
    <w:uiPriority w:val="0"/>
    <w:pPr>
      <w:keepNext/>
      <w:keepLines/>
      <w:adjustRightInd/>
      <w:snapToGrid/>
      <w:spacing w:before="260" w:after="260" w:line="416" w:lineRule="auto"/>
      <w:ind w:firstLine="0" w:firstLineChars="0"/>
      <w:outlineLvl w:val="2"/>
    </w:pPr>
    <w:rPr>
      <w:rFonts w:eastAsia="宋体"/>
      <w:b/>
      <w:bCs/>
      <w:sz w:val="32"/>
      <w:szCs w:val="32"/>
    </w:rPr>
  </w:style>
  <w:style w:type="paragraph" w:styleId="7">
    <w:name w:val="heading 4"/>
    <w:basedOn w:val="1"/>
    <w:next w:val="1"/>
    <w:qFormat/>
    <w:locked/>
    <w:uiPriority w:val="0"/>
    <w:pPr>
      <w:keepNext/>
      <w:keepLines/>
      <w:numPr>
        <w:ilvl w:val="3"/>
        <w:numId w:val="1"/>
      </w:numPr>
      <w:spacing w:before="280" w:after="290" w:line="372" w:lineRule="auto"/>
      <w:ind w:firstLine="0" w:firstLineChars="0"/>
      <w:outlineLvl w:val="3"/>
    </w:pPr>
    <w:rPr>
      <w:rFonts w:ascii="Arial" w:hAnsi="Arial" w:eastAsia="黑体"/>
      <w:b/>
      <w:sz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locked/>
    <w:uiPriority w:val="99"/>
    <w:pPr>
      <w:tabs>
        <w:tab w:val="left" w:pos="315"/>
      </w:tabs>
      <w:ind w:firstLine="420" w:firstLineChars="200"/>
    </w:pPr>
  </w:style>
  <w:style w:type="paragraph" w:styleId="3">
    <w:name w:val="Body Text Indent"/>
    <w:basedOn w:val="1"/>
    <w:next w:val="1"/>
    <w:link w:val="87"/>
    <w:qFormat/>
    <w:uiPriority w:val="0"/>
    <w:pPr>
      <w:spacing w:after="120"/>
      <w:ind w:left="420" w:leftChars="200"/>
    </w:pPr>
    <w:rPr>
      <w:kern w:val="0"/>
      <w:sz w:val="24"/>
      <w:szCs w:val="20"/>
      <w:lang w:val="zh-CN"/>
    </w:rPr>
  </w:style>
  <w:style w:type="paragraph" w:styleId="8">
    <w:name w:val="List 3"/>
    <w:basedOn w:val="1"/>
    <w:next w:val="1"/>
    <w:qFormat/>
    <w:locked/>
    <w:uiPriority w:val="0"/>
    <w:pPr>
      <w:autoSpaceDE w:val="0"/>
      <w:autoSpaceDN w:val="0"/>
      <w:spacing w:line="288" w:lineRule="auto"/>
      <w:ind w:left="1260" w:hanging="420"/>
      <w:jc w:val="left"/>
      <w:textAlignment w:val="baseline"/>
    </w:pPr>
    <w:rPr>
      <w:kern w:val="0"/>
      <w:sz w:val="24"/>
      <w:szCs w:val="20"/>
    </w:rPr>
  </w:style>
  <w:style w:type="paragraph" w:styleId="9">
    <w:name w:val="Normal Indent"/>
    <w:basedOn w:val="1"/>
    <w:next w:val="1"/>
    <w:link w:val="60"/>
    <w:qFormat/>
    <w:locked/>
    <w:uiPriority w:val="0"/>
    <w:pPr>
      <w:ind w:firstLine="420"/>
    </w:pPr>
    <w:rPr>
      <w:lang w:val="zh-CN"/>
    </w:rPr>
  </w:style>
  <w:style w:type="paragraph" w:styleId="10">
    <w:name w:val="caption"/>
    <w:basedOn w:val="1"/>
    <w:next w:val="1"/>
    <w:link w:val="112"/>
    <w:qFormat/>
    <w:locked/>
    <w:uiPriority w:val="0"/>
    <w:pPr>
      <w:adjustRightInd/>
      <w:snapToGrid/>
      <w:spacing w:line="240" w:lineRule="auto"/>
      <w:ind w:firstLine="0" w:firstLineChars="0"/>
      <w:jc w:val="center"/>
    </w:pPr>
    <w:rPr>
      <w:rFonts w:ascii="宋体" w:hAnsi="Arial" w:eastAsia="宋体" w:cs="Arial"/>
      <w:sz w:val="24"/>
      <w:szCs w:val="22"/>
    </w:rPr>
  </w:style>
  <w:style w:type="paragraph" w:styleId="11">
    <w:name w:val="annotation text"/>
    <w:basedOn w:val="1"/>
    <w:link w:val="72"/>
    <w:qFormat/>
    <w:uiPriority w:val="99"/>
    <w:pPr>
      <w:jc w:val="left"/>
    </w:pPr>
    <w:rPr>
      <w:kern w:val="0"/>
      <w:sz w:val="24"/>
      <w:szCs w:val="20"/>
      <w:lang w:val="zh-CN"/>
    </w:rPr>
  </w:style>
  <w:style w:type="paragraph" w:styleId="12">
    <w:name w:val="Body Text 3"/>
    <w:basedOn w:val="1"/>
    <w:link w:val="81"/>
    <w:qFormat/>
    <w:locked/>
    <w:uiPriority w:val="0"/>
    <w:pPr>
      <w:spacing w:after="120"/>
    </w:pPr>
    <w:rPr>
      <w:sz w:val="16"/>
      <w:szCs w:val="16"/>
      <w:lang w:val="zh-CN"/>
    </w:rPr>
  </w:style>
  <w:style w:type="paragraph" w:styleId="13">
    <w:name w:val="Body Text"/>
    <w:basedOn w:val="1"/>
    <w:next w:val="14"/>
    <w:link w:val="85"/>
    <w:qFormat/>
    <w:uiPriority w:val="0"/>
    <w:pPr>
      <w:widowControl/>
      <w:spacing w:before="60" w:after="160" w:line="259" w:lineRule="auto"/>
      <w:ind w:right="113"/>
    </w:pPr>
    <w:rPr>
      <w:kern w:val="0"/>
      <w:sz w:val="18"/>
      <w:szCs w:val="20"/>
      <w:lang w:val="zh-CN"/>
    </w:rPr>
  </w:style>
  <w:style w:type="paragraph" w:styleId="14">
    <w:name w:val="List Bullet 5"/>
    <w:basedOn w:val="1"/>
    <w:qFormat/>
    <w:locked/>
    <w:uiPriority w:val="0"/>
    <w:pPr>
      <w:numPr>
        <w:ilvl w:val="0"/>
        <w:numId w:val="2"/>
      </w:numPr>
    </w:pPr>
  </w:style>
  <w:style w:type="paragraph" w:styleId="15">
    <w:name w:val="Plain Text"/>
    <w:basedOn w:val="1"/>
    <w:link w:val="86"/>
    <w:qFormat/>
    <w:locked/>
    <w:uiPriority w:val="0"/>
    <w:rPr>
      <w:rFonts w:ascii="宋体" w:hAnsi="Courier New"/>
      <w:szCs w:val="20"/>
      <w:lang w:val="zh-CN"/>
    </w:rPr>
  </w:style>
  <w:style w:type="paragraph" w:styleId="16">
    <w:name w:val="Date"/>
    <w:basedOn w:val="1"/>
    <w:next w:val="1"/>
    <w:link w:val="78"/>
    <w:qFormat/>
    <w:uiPriority w:val="0"/>
    <w:pPr>
      <w:ind w:left="100" w:leftChars="2500"/>
    </w:pPr>
    <w:rPr>
      <w:kern w:val="0"/>
      <w:sz w:val="24"/>
      <w:szCs w:val="20"/>
      <w:lang w:val="zh-CN"/>
    </w:rPr>
  </w:style>
  <w:style w:type="paragraph" w:styleId="17">
    <w:name w:val="Body Text Indent 2"/>
    <w:basedOn w:val="1"/>
    <w:link w:val="83"/>
    <w:qFormat/>
    <w:locked/>
    <w:uiPriority w:val="0"/>
    <w:pPr>
      <w:spacing w:after="120" w:line="480" w:lineRule="auto"/>
      <w:ind w:left="420" w:leftChars="200"/>
    </w:pPr>
    <w:rPr>
      <w:lang w:val="zh-CN"/>
    </w:rPr>
  </w:style>
  <w:style w:type="paragraph" w:styleId="18">
    <w:name w:val="Balloon Text"/>
    <w:basedOn w:val="1"/>
    <w:link w:val="79"/>
    <w:semiHidden/>
    <w:qFormat/>
    <w:uiPriority w:val="0"/>
    <w:rPr>
      <w:kern w:val="0"/>
      <w:sz w:val="18"/>
      <w:szCs w:val="20"/>
      <w:lang w:val="zh-CN"/>
    </w:rPr>
  </w:style>
  <w:style w:type="paragraph" w:styleId="19">
    <w:name w:val="footer"/>
    <w:basedOn w:val="1"/>
    <w:link w:val="73"/>
    <w:qFormat/>
    <w:uiPriority w:val="99"/>
    <w:pPr>
      <w:tabs>
        <w:tab w:val="center" w:pos="4153"/>
        <w:tab w:val="right" w:pos="8306"/>
      </w:tabs>
      <w:jc w:val="left"/>
    </w:pPr>
    <w:rPr>
      <w:kern w:val="0"/>
      <w:sz w:val="18"/>
      <w:szCs w:val="20"/>
      <w:lang w:val="zh-CN"/>
    </w:rPr>
  </w:style>
  <w:style w:type="paragraph" w:styleId="20">
    <w:name w:val="header"/>
    <w:basedOn w:val="1"/>
    <w:link w:val="84"/>
    <w:qFormat/>
    <w:uiPriority w:val="0"/>
    <w:pPr>
      <w:pBdr>
        <w:bottom w:val="single" w:color="auto" w:sz="6" w:space="1"/>
      </w:pBdr>
      <w:tabs>
        <w:tab w:val="center" w:pos="4153"/>
        <w:tab w:val="right" w:pos="8306"/>
      </w:tabs>
      <w:jc w:val="center"/>
    </w:pPr>
    <w:rPr>
      <w:kern w:val="0"/>
      <w:sz w:val="18"/>
      <w:szCs w:val="20"/>
      <w:lang w:val="zh-CN"/>
    </w:rPr>
  </w:style>
  <w:style w:type="paragraph" w:styleId="21">
    <w:name w:val="toc 1"/>
    <w:basedOn w:val="1"/>
    <w:next w:val="1"/>
    <w:qFormat/>
    <w:locked/>
    <w:uiPriority w:val="39"/>
    <w:rPr>
      <w:rFonts w:ascii="Dutch801 Rm BT" w:hAnsi="Dutch801 Rm BT" w:cs="Dutch801 Rm BT"/>
      <w:b/>
      <w:bCs/>
      <w:caps/>
      <w:sz w:val="24"/>
    </w:rPr>
  </w:style>
  <w:style w:type="paragraph" w:styleId="22">
    <w:name w:val="index heading"/>
    <w:basedOn w:val="1"/>
    <w:next w:val="23"/>
    <w:unhideWhenUsed/>
    <w:qFormat/>
    <w:locked/>
    <w:uiPriority w:val="0"/>
    <w:pPr>
      <w:adjustRightInd/>
      <w:snapToGrid/>
      <w:ind w:firstLine="723"/>
    </w:pPr>
    <w:rPr>
      <w:rFonts w:ascii="Calibri" w:hAnsi="Calibri" w:eastAsia="宋体"/>
    </w:rPr>
  </w:style>
  <w:style w:type="paragraph" w:styleId="23">
    <w:name w:val="index 1"/>
    <w:basedOn w:val="1"/>
    <w:next w:val="1"/>
    <w:qFormat/>
    <w:locked/>
    <w:uiPriority w:val="0"/>
    <w:pPr>
      <w:ind w:firstLine="0"/>
    </w:pPr>
    <w:rPr>
      <w:rFonts w:eastAsia="方正仿宋_GBK"/>
    </w:rPr>
  </w:style>
  <w:style w:type="paragraph" w:styleId="24">
    <w:name w:val="toc 2"/>
    <w:basedOn w:val="1"/>
    <w:next w:val="1"/>
    <w:qFormat/>
    <w:locked/>
    <w:uiPriority w:val="0"/>
    <w:pPr>
      <w:ind w:left="420" w:leftChars="200"/>
    </w:pPr>
  </w:style>
  <w:style w:type="paragraph" w:styleId="25">
    <w:name w:val="toc 9"/>
    <w:basedOn w:val="1"/>
    <w:next w:val="1"/>
    <w:qFormat/>
    <w:locked/>
    <w:uiPriority w:val="0"/>
    <w:pPr>
      <w:widowControl/>
      <w:wordWrap w:val="0"/>
      <w:ind w:left="2975"/>
    </w:pPr>
    <w:rPr>
      <w:kern w:val="0"/>
      <w:szCs w:val="22"/>
    </w:rPr>
  </w:style>
  <w:style w:type="paragraph" w:styleId="26">
    <w:name w:val="Body Text 2"/>
    <w:basedOn w:val="1"/>
    <w:link w:val="71"/>
    <w:qFormat/>
    <w:locked/>
    <w:uiPriority w:val="0"/>
    <w:pPr>
      <w:spacing w:after="120" w:line="480" w:lineRule="auto"/>
    </w:pPr>
  </w:style>
  <w:style w:type="paragraph" w:styleId="27">
    <w:name w:val="Normal (Web)"/>
    <w:basedOn w:val="1"/>
    <w:link w:val="55"/>
    <w:qFormat/>
    <w:uiPriority w:val="0"/>
    <w:pPr>
      <w:widowControl/>
      <w:spacing w:before="100" w:beforeAutospacing="1" w:after="100" w:afterAutospacing="1"/>
      <w:jc w:val="left"/>
    </w:pPr>
    <w:rPr>
      <w:rFonts w:ascii="宋体" w:hAnsi="宋体"/>
      <w:kern w:val="0"/>
      <w:sz w:val="24"/>
      <w:szCs w:val="20"/>
      <w:lang w:val="zh-CN"/>
    </w:rPr>
  </w:style>
  <w:style w:type="paragraph" w:styleId="28">
    <w:name w:val="Title"/>
    <w:basedOn w:val="1"/>
    <w:next w:val="1"/>
    <w:link w:val="98"/>
    <w:qFormat/>
    <w:locked/>
    <w:uiPriority w:val="0"/>
    <w:pPr>
      <w:spacing w:before="120"/>
      <w:jc w:val="center"/>
      <w:outlineLvl w:val="0"/>
    </w:pPr>
    <w:rPr>
      <w:rFonts w:eastAsia="黑体" w:cstheme="majorBidi"/>
      <w:bCs/>
      <w:sz w:val="30"/>
      <w:szCs w:val="32"/>
    </w:rPr>
  </w:style>
  <w:style w:type="paragraph" w:styleId="29">
    <w:name w:val="annotation subject"/>
    <w:basedOn w:val="11"/>
    <w:next w:val="11"/>
    <w:link w:val="82"/>
    <w:semiHidden/>
    <w:qFormat/>
    <w:uiPriority w:val="0"/>
    <w:rPr>
      <w:b/>
      <w:kern w:val="2"/>
    </w:rPr>
  </w:style>
  <w:style w:type="paragraph" w:styleId="30">
    <w:name w:val="Body Text First Indent"/>
    <w:basedOn w:val="13"/>
    <w:link w:val="106"/>
    <w:qFormat/>
    <w:locked/>
    <w:uiPriority w:val="0"/>
    <w:pPr>
      <w:widowControl w:val="0"/>
      <w:adjustRightInd/>
      <w:snapToGrid/>
      <w:spacing w:before="0" w:after="120" w:line="240" w:lineRule="auto"/>
      <w:ind w:right="0" w:firstLine="420" w:firstLineChars="100"/>
    </w:pPr>
    <w:rPr>
      <w:rFonts w:eastAsia="宋体"/>
      <w:kern w:val="2"/>
      <w:sz w:val="21"/>
      <w:szCs w:val="24"/>
      <w:lang w:val="en-US"/>
    </w:r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locked/>
    <w:uiPriority w:val="0"/>
    <w:rPr>
      <w:b/>
      <w:bCs/>
    </w:rPr>
  </w:style>
  <w:style w:type="character" w:styleId="35">
    <w:name w:val="page number"/>
    <w:basedOn w:val="33"/>
    <w:qFormat/>
    <w:locked/>
    <w:uiPriority w:val="0"/>
  </w:style>
  <w:style w:type="character" w:styleId="36">
    <w:name w:val="FollowedHyperlink"/>
    <w:basedOn w:val="33"/>
    <w:qFormat/>
    <w:locked/>
    <w:uiPriority w:val="0"/>
    <w:rPr>
      <w:color w:val="954F72" w:themeColor="followedHyperlink"/>
      <w:u w:val="single"/>
      <w14:textFill>
        <w14:solidFill>
          <w14:schemeClr w14:val="folHlink"/>
        </w14:solidFill>
      </w14:textFill>
    </w:rPr>
  </w:style>
  <w:style w:type="character" w:styleId="37">
    <w:name w:val="Emphasis"/>
    <w:basedOn w:val="33"/>
    <w:qFormat/>
    <w:locked/>
    <w:uiPriority w:val="0"/>
  </w:style>
  <w:style w:type="character" w:styleId="38">
    <w:name w:val="HTML Definition"/>
    <w:basedOn w:val="33"/>
    <w:qFormat/>
    <w:locked/>
    <w:uiPriority w:val="0"/>
  </w:style>
  <w:style w:type="character" w:styleId="39">
    <w:name w:val="HTML Variable"/>
    <w:basedOn w:val="33"/>
    <w:qFormat/>
    <w:locked/>
    <w:uiPriority w:val="0"/>
    <w:rPr>
      <w:bdr w:val="single" w:color="EDF2F5" w:sz="6" w:space="0"/>
    </w:rPr>
  </w:style>
  <w:style w:type="character" w:styleId="40">
    <w:name w:val="Hyperlink"/>
    <w:basedOn w:val="33"/>
    <w:qFormat/>
    <w:locked/>
    <w:uiPriority w:val="0"/>
    <w:rPr>
      <w:color w:val="0563C1" w:themeColor="hyperlink"/>
      <w:u w:val="single"/>
      <w14:textFill>
        <w14:solidFill>
          <w14:schemeClr w14:val="hlink"/>
        </w14:solidFill>
      </w14:textFill>
    </w:rPr>
  </w:style>
  <w:style w:type="character" w:styleId="41">
    <w:name w:val="HTML Code"/>
    <w:basedOn w:val="33"/>
    <w:qFormat/>
    <w:locked/>
    <w:uiPriority w:val="0"/>
    <w:rPr>
      <w:rFonts w:hint="default" w:ascii="serif" w:hAnsi="serif" w:eastAsia="serif" w:cs="serif"/>
      <w:sz w:val="21"/>
      <w:szCs w:val="21"/>
    </w:rPr>
  </w:style>
  <w:style w:type="character" w:styleId="42">
    <w:name w:val="annotation reference"/>
    <w:qFormat/>
    <w:uiPriority w:val="99"/>
    <w:rPr>
      <w:sz w:val="21"/>
    </w:rPr>
  </w:style>
  <w:style w:type="character" w:styleId="43">
    <w:name w:val="HTML Cite"/>
    <w:basedOn w:val="33"/>
    <w:qFormat/>
    <w:locked/>
    <w:uiPriority w:val="0"/>
  </w:style>
  <w:style w:type="character" w:styleId="44">
    <w:name w:val="HTML Keyboard"/>
    <w:basedOn w:val="33"/>
    <w:qFormat/>
    <w:locked/>
    <w:uiPriority w:val="0"/>
    <w:rPr>
      <w:rFonts w:ascii="serif" w:hAnsi="serif" w:eastAsia="serif" w:cs="serif"/>
      <w:sz w:val="21"/>
      <w:szCs w:val="21"/>
    </w:rPr>
  </w:style>
  <w:style w:type="character" w:styleId="45">
    <w:name w:val="HTML Sample"/>
    <w:basedOn w:val="33"/>
    <w:qFormat/>
    <w:locked/>
    <w:uiPriority w:val="0"/>
    <w:rPr>
      <w:rFonts w:hint="default" w:ascii="serif" w:hAnsi="serif" w:eastAsia="serif" w:cs="serif"/>
      <w:sz w:val="21"/>
      <w:szCs w:val="21"/>
    </w:rPr>
  </w:style>
  <w:style w:type="paragraph" w:customStyle="1" w:styleId="46">
    <w:name w:val="Default"/>
    <w:basedOn w:val="47"/>
    <w:qFormat/>
    <w:uiPriority w:val="0"/>
    <w:pPr>
      <w:autoSpaceDE w:val="0"/>
      <w:autoSpaceDN w:val="0"/>
    </w:pPr>
    <w:rPr>
      <w:rFonts w:ascii="幼圆" w:hAnsi="Times New Roman" w:eastAsia="幼圆"/>
      <w:color w:val="000000"/>
      <w:sz w:val="24"/>
      <w:szCs w:val="24"/>
    </w:rPr>
  </w:style>
  <w:style w:type="paragraph" w:customStyle="1" w:styleId="47">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8">
    <w:name w:val="表格字"/>
    <w:basedOn w:val="49"/>
    <w:next w:val="1"/>
    <w:link w:val="50"/>
    <w:qFormat/>
    <w:uiPriority w:val="0"/>
    <w:rPr>
      <w:sz w:val="18"/>
    </w:rPr>
  </w:style>
  <w:style w:type="paragraph" w:customStyle="1" w:styleId="49">
    <w:name w:val="表中文字"/>
    <w:basedOn w:val="1"/>
    <w:link w:val="51"/>
    <w:qFormat/>
    <w:uiPriority w:val="0"/>
    <w:pPr>
      <w:spacing w:line="320" w:lineRule="exact"/>
      <w:ind w:firstLine="0" w:firstLineChars="0"/>
      <w:jc w:val="center"/>
    </w:pPr>
  </w:style>
  <w:style w:type="character" w:customStyle="1" w:styleId="50">
    <w:name w:val="表格字 Char"/>
    <w:basedOn w:val="51"/>
    <w:link w:val="48"/>
    <w:qFormat/>
    <w:uiPriority w:val="0"/>
    <w:rPr>
      <w:rFonts w:eastAsia="方正仿宋_GBK"/>
      <w:kern w:val="2"/>
      <w:sz w:val="18"/>
      <w:szCs w:val="24"/>
    </w:rPr>
  </w:style>
  <w:style w:type="character" w:customStyle="1" w:styleId="51">
    <w:name w:val="表中文字 Char"/>
    <w:basedOn w:val="33"/>
    <w:link w:val="49"/>
    <w:qFormat/>
    <w:uiPriority w:val="0"/>
    <w:rPr>
      <w:kern w:val="2"/>
      <w:sz w:val="21"/>
      <w:szCs w:val="24"/>
    </w:rPr>
  </w:style>
  <w:style w:type="paragraph" w:customStyle="1" w:styleId="52">
    <w:name w:val="表格文字"/>
    <w:basedOn w:val="15"/>
    <w:next w:val="1"/>
    <w:qFormat/>
    <w:uiPriority w:val="99"/>
    <w:pPr>
      <w:spacing w:line="240" w:lineRule="auto"/>
      <w:ind w:firstLine="0" w:firstLineChars="0"/>
    </w:pPr>
    <w:rPr>
      <w:rFonts w:ascii="Times New Roman" w:hAnsi="Times New Roman" w:eastAsia="仿宋" w:cs="Times New Roman"/>
      <w:sz w:val="21"/>
      <w:szCs w:val="22"/>
    </w:rPr>
  </w:style>
  <w:style w:type="paragraph" w:customStyle="1" w:styleId="53">
    <w:name w:val="标题01"/>
    <w:basedOn w:val="27"/>
    <w:next w:val="1"/>
    <w:link w:val="54"/>
    <w:qFormat/>
    <w:uiPriority w:val="0"/>
    <w:pPr>
      <w:spacing w:before="50" w:beforeLines="50" w:beforeAutospacing="0" w:after="0" w:afterAutospacing="0"/>
      <w:ind w:firstLine="0" w:firstLineChars="0"/>
      <w:outlineLvl w:val="1"/>
    </w:pPr>
    <w:rPr>
      <w:rFonts w:ascii="Times New Roman" w:hAnsi="Times New Roman"/>
      <w:b/>
      <w:snapToGrid w:val="0"/>
      <w:sz w:val="21"/>
      <w:szCs w:val="30"/>
    </w:rPr>
  </w:style>
  <w:style w:type="character" w:customStyle="1" w:styleId="54">
    <w:name w:val="标题01 Char"/>
    <w:basedOn w:val="55"/>
    <w:link w:val="53"/>
    <w:qFormat/>
    <w:uiPriority w:val="0"/>
    <w:rPr>
      <w:rFonts w:ascii="宋体" w:hAnsi="宋体" w:eastAsia="宋体"/>
      <w:b/>
      <w:snapToGrid w:val="0"/>
      <w:sz w:val="21"/>
      <w:szCs w:val="30"/>
      <w:lang w:val="zh-CN" w:eastAsia="zh-CN"/>
    </w:rPr>
  </w:style>
  <w:style w:type="character" w:customStyle="1" w:styleId="55">
    <w:name w:val="普通(网站) 字符"/>
    <w:link w:val="27"/>
    <w:qFormat/>
    <w:locked/>
    <w:uiPriority w:val="0"/>
    <w:rPr>
      <w:rFonts w:ascii="宋体" w:hAnsi="宋体" w:eastAsia="宋体"/>
      <w:sz w:val="24"/>
    </w:rPr>
  </w:style>
  <w:style w:type="paragraph" w:customStyle="1" w:styleId="56">
    <w:name w:val="样式 正文缩进正文缩进2正文缩进 Char Char正文缩进 Char Char Char Char正文缩进 Char ..."/>
    <w:basedOn w:val="9"/>
    <w:qFormat/>
    <w:uiPriority w:val="0"/>
    <w:pPr>
      <w:ind w:firstLine="200" w:firstLineChars="0"/>
    </w:pPr>
    <w:rPr>
      <w:rFonts w:ascii="宋体" w:hAnsi="宋体" w:cs="宋体"/>
      <w:sz w:val="24"/>
      <w:szCs w:val="20"/>
    </w:rPr>
  </w:style>
  <w:style w:type="paragraph" w:customStyle="1" w:styleId="57">
    <w:name w:val="纯文本1"/>
    <w:basedOn w:val="1"/>
    <w:next w:val="15"/>
    <w:qFormat/>
    <w:uiPriority w:val="0"/>
    <w:rPr>
      <w:rFonts w:ascii="宋体" w:hAnsi="Courier New"/>
      <w:szCs w:val="21"/>
    </w:rPr>
  </w:style>
  <w:style w:type="character" w:customStyle="1" w:styleId="58">
    <w:name w:val="标题 3 字符"/>
    <w:basedOn w:val="33"/>
    <w:link w:val="6"/>
    <w:semiHidden/>
    <w:qFormat/>
    <w:uiPriority w:val="0"/>
    <w:rPr>
      <w:b/>
      <w:bCs/>
      <w:kern w:val="2"/>
      <w:sz w:val="32"/>
      <w:szCs w:val="32"/>
    </w:rPr>
  </w:style>
  <w:style w:type="character" w:customStyle="1" w:styleId="59">
    <w:name w:val="纯文本 Char"/>
    <w:qFormat/>
    <w:uiPriority w:val="0"/>
    <w:rPr>
      <w:rFonts w:ascii="宋体" w:hAnsi="Courier New" w:cs="Dutch801 Rm BT"/>
      <w:kern w:val="2"/>
      <w:sz w:val="21"/>
    </w:rPr>
  </w:style>
  <w:style w:type="character" w:customStyle="1" w:styleId="60">
    <w:name w:val="正文缩进 字符"/>
    <w:link w:val="9"/>
    <w:qFormat/>
    <w:uiPriority w:val="0"/>
    <w:rPr>
      <w:kern w:val="2"/>
      <w:sz w:val="21"/>
      <w:szCs w:val="24"/>
    </w:rPr>
  </w:style>
  <w:style w:type="character" w:customStyle="1" w:styleId="61">
    <w:name w:val="批注文字 字符1"/>
    <w:semiHidden/>
    <w:qFormat/>
    <w:uiPriority w:val="0"/>
    <w:rPr>
      <w:rFonts w:ascii="Times New Roman" w:hAnsi="Times New Roman" w:eastAsia="宋体"/>
      <w:sz w:val="24"/>
    </w:rPr>
  </w:style>
  <w:style w:type="character" w:customStyle="1" w:styleId="62">
    <w:name w:val="日期 字符"/>
    <w:semiHidden/>
    <w:qFormat/>
    <w:uiPriority w:val="0"/>
    <w:rPr>
      <w:rFonts w:ascii="Times New Roman" w:hAnsi="Times New Roman" w:eastAsia="宋体"/>
      <w:sz w:val="24"/>
    </w:rPr>
  </w:style>
  <w:style w:type="character" w:customStyle="1" w:styleId="63">
    <w:name w:val="表格 Char"/>
    <w:link w:val="64"/>
    <w:qFormat/>
    <w:locked/>
    <w:uiPriority w:val="0"/>
    <w:rPr>
      <w:rFonts w:ascii="宋体"/>
      <w:sz w:val="21"/>
    </w:rPr>
  </w:style>
  <w:style w:type="paragraph" w:customStyle="1" w:styleId="64">
    <w:name w:val="表格"/>
    <w:basedOn w:val="65"/>
    <w:next w:val="65"/>
    <w:link w:val="63"/>
    <w:qFormat/>
    <w:uiPriority w:val="0"/>
    <w:pPr>
      <w:spacing w:beforeLines="10" w:afterLines="10" w:line="259" w:lineRule="auto"/>
      <w:jc w:val="center"/>
    </w:pPr>
    <w:rPr>
      <w:rFonts w:ascii="宋体"/>
      <w:kern w:val="0"/>
      <w:szCs w:val="20"/>
      <w:lang w:val="zh-CN"/>
    </w:rPr>
  </w:style>
  <w:style w:type="paragraph" w:customStyle="1" w:styleId="65">
    <w:name w:val="文本"/>
    <w:basedOn w:val="1"/>
    <w:qFormat/>
    <w:uiPriority w:val="0"/>
    <w:pPr>
      <w:adjustRightInd w:val="0"/>
      <w:snapToGrid w:val="0"/>
      <w:spacing w:beforeLines="10" w:line="360" w:lineRule="auto"/>
      <w:ind w:firstLine="200" w:firstLineChars="200"/>
    </w:pPr>
    <w:rPr>
      <w:snapToGrid w:val="0"/>
      <w:kern w:val="0"/>
      <w:sz w:val="24"/>
    </w:rPr>
  </w:style>
  <w:style w:type="character" w:customStyle="1" w:styleId="66">
    <w:name w:val="页脚 字符"/>
    <w:basedOn w:val="33"/>
    <w:qFormat/>
    <w:uiPriority w:val="99"/>
  </w:style>
  <w:style w:type="character" w:customStyle="1" w:styleId="67">
    <w:name w:val="表格 Char Char"/>
    <w:qFormat/>
    <w:uiPriority w:val="0"/>
    <w:rPr>
      <w:kern w:val="2"/>
      <w:sz w:val="24"/>
      <w:szCs w:val="24"/>
    </w:rPr>
  </w:style>
  <w:style w:type="character" w:customStyle="1" w:styleId="68">
    <w:name w:val="新格式表 Char Char"/>
    <w:link w:val="69"/>
    <w:qFormat/>
    <w:uiPriority w:val="0"/>
    <w:rPr>
      <w:snapToGrid w:val="0"/>
      <w:color w:val="FF0000"/>
      <w:kern w:val="2"/>
      <w:sz w:val="21"/>
      <w:szCs w:val="21"/>
    </w:rPr>
  </w:style>
  <w:style w:type="paragraph" w:customStyle="1" w:styleId="69">
    <w:name w:val="新格式表"/>
    <w:basedOn w:val="1"/>
    <w:link w:val="68"/>
    <w:qFormat/>
    <w:uiPriority w:val="0"/>
    <w:pPr>
      <w:jc w:val="center"/>
    </w:pPr>
    <w:rPr>
      <w:snapToGrid w:val="0"/>
      <w:color w:val="FF0000"/>
      <w:szCs w:val="21"/>
      <w:lang w:val="zh-CN"/>
    </w:rPr>
  </w:style>
  <w:style w:type="character" w:customStyle="1" w:styleId="70">
    <w:name w:val="正文文本 3 Char1"/>
    <w:qFormat/>
    <w:uiPriority w:val="0"/>
    <w:rPr>
      <w:kern w:val="2"/>
      <w:sz w:val="16"/>
      <w:szCs w:val="16"/>
    </w:rPr>
  </w:style>
  <w:style w:type="character" w:customStyle="1" w:styleId="71">
    <w:name w:val="正文文本 2 字符"/>
    <w:link w:val="26"/>
    <w:qFormat/>
    <w:uiPriority w:val="0"/>
    <w:rPr>
      <w:kern w:val="2"/>
      <w:sz w:val="21"/>
      <w:szCs w:val="24"/>
    </w:rPr>
  </w:style>
  <w:style w:type="character" w:customStyle="1" w:styleId="72">
    <w:name w:val="批注文字 字符"/>
    <w:link w:val="11"/>
    <w:qFormat/>
    <w:locked/>
    <w:uiPriority w:val="99"/>
    <w:rPr>
      <w:rFonts w:ascii="Times New Roman" w:hAnsi="Times New Roman" w:eastAsia="宋体"/>
      <w:sz w:val="24"/>
    </w:rPr>
  </w:style>
  <w:style w:type="character" w:customStyle="1" w:styleId="73">
    <w:name w:val="页脚 字符1"/>
    <w:link w:val="19"/>
    <w:qFormat/>
    <w:locked/>
    <w:uiPriority w:val="99"/>
    <w:rPr>
      <w:sz w:val="18"/>
    </w:rPr>
  </w:style>
  <w:style w:type="character" w:customStyle="1" w:styleId="74">
    <w:name w:val="表头 Char Char"/>
    <w:qFormat/>
    <w:uiPriority w:val="0"/>
    <w:rPr>
      <w:rFonts w:eastAsia="仿宋"/>
      <w:kern w:val="2"/>
      <w:sz w:val="21"/>
      <w:lang w:val="zh-CN" w:eastAsia="zh-CN"/>
    </w:rPr>
  </w:style>
  <w:style w:type="paragraph" w:customStyle="1" w:styleId="75">
    <w:name w:val="表头"/>
    <w:basedOn w:val="76"/>
    <w:next w:val="1"/>
    <w:link w:val="143"/>
    <w:qFormat/>
    <w:uiPriority w:val="0"/>
    <w:pPr>
      <w:spacing w:line="240" w:lineRule="auto"/>
      <w:ind w:firstLine="0" w:firstLineChars="0"/>
      <w:jc w:val="center"/>
    </w:pPr>
    <w:rPr>
      <w:szCs w:val="20"/>
      <w:lang w:val="zh-CN"/>
    </w:rPr>
  </w:style>
  <w:style w:type="paragraph" w:customStyle="1" w:styleId="76">
    <w:name w:val="表格标题"/>
    <w:basedOn w:val="1"/>
    <w:qFormat/>
    <w:uiPriority w:val="0"/>
    <w:pPr>
      <w:widowControl/>
      <w:ind w:firstLine="482"/>
      <w:jc w:val="center"/>
    </w:pPr>
    <w:rPr>
      <w:b/>
      <w:kern w:val="0"/>
      <w:szCs w:val="21"/>
    </w:rPr>
  </w:style>
  <w:style w:type="character" w:customStyle="1" w:styleId="77">
    <w:name w:val="正文文本 字符1"/>
    <w:semiHidden/>
    <w:qFormat/>
    <w:uiPriority w:val="0"/>
    <w:rPr>
      <w:rFonts w:ascii="Times New Roman" w:hAnsi="Times New Roman" w:eastAsia="宋体"/>
      <w:sz w:val="24"/>
    </w:rPr>
  </w:style>
  <w:style w:type="character" w:customStyle="1" w:styleId="78">
    <w:name w:val="日期 字符1"/>
    <w:link w:val="16"/>
    <w:qFormat/>
    <w:locked/>
    <w:uiPriority w:val="0"/>
    <w:rPr>
      <w:rFonts w:ascii="Times New Roman" w:hAnsi="Times New Roman" w:eastAsia="宋体"/>
      <w:sz w:val="24"/>
    </w:rPr>
  </w:style>
  <w:style w:type="character" w:customStyle="1" w:styleId="79">
    <w:name w:val="批注框文本 字符"/>
    <w:link w:val="18"/>
    <w:semiHidden/>
    <w:qFormat/>
    <w:locked/>
    <w:uiPriority w:val="0"/>
    <w:rPr>
      <w:rFonts w:ascii="Times New Roman" w:hAnsi="Times New Roman" w:eastAsia="宋体"/>
      <w:sz w:val="18"/>
    </w:rPr>
  </w:style>
  <w:style w:type="character" w:customStyle="1" w:styleId="80">
    <w:name w:val="正文文本缩进 2 Char1"/>
    <w:qFormat/>
    <w:uiPriority w:val="0"/>
    <w:rPr>
      <w:kern w:val="2"/>
      <w:sz w:val="21"/>
      <w:szCs w:val="24"/>
    </w:rPr>
  </w:style>
  <w:style w:type="character" w:customStyle="1" w:styleId="81">
    <w:name w:val="正文文本 3 字符"/>
    <w:link w:val="12"/>
    <w:qFormat/>
    <w:uiPriority w:val="0"/>
    <w:rPr>
      <w:kern w:val="2"/>
      <w:sz w:val="16"/>
      <w:szCs w:val="16"/>
    </w:rPr>
  </w:style>
  <w:style w:type="character" w:customStyle="1" w:styleId="82">
    <w:name w:val="批注主题 字符"/>
    <w:link w:val="29"/>
    <w:semiHidden/>
    <w:qFormat/>
    <w:locked/>
    <w:uiPriority w:val="0"/>
    <w:rPr>
      <w:rFonts w:ascii="Times New Roman" w:hAnsi="Times New Roman" w:eastAsia="宋体"/>
      <w:b/>
      <w:kern w:val="2"/>
      <w:sz w:val="24"/>
    </w:rPr>
  </w:style>
  <w:style w:type="character" w:customStyle="1" w:styleId="83">
    <w:name w:val="正文文本缩进 2 字符"/>
    <w:link w:val="17"/>
    <w:qFormat/>
    <w:uiPriority w:val="0"/>
    <w:rPr>
      <w:kern w:val="2"/>
      <w:sz w:val="21"/>
      <w:szCs w:val="24"/>
    </w:rPr>
  </w:style>
  <w:style w:type="character" w:customStyle="1" w:styleId="84">
    <w:name w:val="页眉 字符"/>
    <w:link w:val="20"/>
    <w:qFormat/>
    <w:locked/>
    <w:uiPriority w:val="0"/>
    <w:rPr>
      <w:sz w:val="18"/>
    </w:rPr>
  </w:style>
  <w:style w:type="character" w:customStyle="1" w:styleId="85">
    <w:name w:val="正文文本 字符"/>
    <w:link w:val="13"/>
    <w:qFormat/>
    <w:locked/>
    <w:uiPriority w:val="0"/>
    <w:rPr>
      <w:sz w:val="18"/>
    </w:rPr>
  </w:style>
  <w:style w:type="character" w:customStyle="1" w:styleId="86">
    <w:name w:val="纯文本 字符"/>
    <w:link w:val="15"/>
    <w:qFormat/>
    <w:uiPriority w:val="0"/>
    <w:rPr>
      <w:rFonts w:ascii="宋体" w:hAnsi="Courier New" w:cs="Courier New"/>
      <w:kern w:val="2"/>
      <w:sz w:val="21"/>
      <w:szCs w:val="21"/>
    </w:rPr>
  </w:style>
  <w:style w:type="character" w:customStyle="1" w:styleId="87">
    <w:name w:val="正文文本缩进 字符"/>
    <w:link w:val="3"/>
    <w:semiHidden/>
    <w:qFormat/>
    <w:locked/>
    <w:uiPriority w:val="0"/>
    <w:rPr>
      <w:rFonts w:ascii="Times New Roman" w:hAnsi="Times New Roman" w:eastAsia="宋体"/>
      <w:sz w:val="24"/>
    </w:rPr>
  </w:style>
  <w:style w:type="paragraph" w:customStyle="1" w:styleId="88">
    <w:name w:val="环评正文"/>
    <w:basedOn w:val="4"/>
    <w:qFormat/>
    <w:uiPriority w:val="0"/>
    <w:pPr>
      <w:keepNext w:val="0"/>
      <w:tabs>
        <w:tab w:val="left" w:pos="662"/>
      </w:tabs>
      <w:overflowPunct/>
      <w:snapToGrid/>
      <w:spacing w:before="0" w:after="0" w:line="240" w:lineRule="auto"/>
      <w:ind w:left="0" w:firstLine="578"/>
      <w:outlineLvl w:val="9"/>
    </w:pPr>
    <w:rPr>
      <w:rFonts w:ascii="Calibri" w:hAnsi="Calibri" w:eastAsia="宋体"/>
      <w:b w:val="0"/>
      <w:bCs w:val="0"/>
      <w:color w:val="auto"/>
      <w:kern w:val="2"/>
      <w:sz w:val="28"/>
      <w:szCs w:val="20"/>
    </w:rPr>
  </w:style>
  <w:style w:type="paragraph" w:customStyle="1" w:styleId="89">
    <w:name w:val="xl31"/>
    <w:basedOn w:val="1"/>
    <w:qFormat/>
    <w:uiPriority w:val="0"/>
    <w:pPr>
      <w:widowControl/>
      <w:spacing w:before="100" w:beforeAutospacing="1" w:after="100" w:afterAutospacing="1"/>
      <w:jc w:val="center"/>
    </w:pPr>
    <w:rPr>
      <w:rFonts w:ascii="Dutch801 Rm BT" w:hAnsi="Dutch801 Rm BT" w:cs="Dutch801 Rm BT"/>
      <w:kern w:val="0"/>
      <w:sz w:val="24"/>
    </w:rPr>
  </w:style>
  <w:style w:type="paragraph" w:customStyle="1" w:styleId="90">
    <w:name w:val="Table Paragraph"/>
    <w:basedOn w:val="1"/>
    <w:qFormat/>
    <w:uiPriority w:val="1"/>
    <w:pPr>
      <w:jc w:val="center"/>
    </w:pPr>
    <w:rPr>
      <w:rFonts w:ascii="宋体" w:hAnsi="宋体" w:cs="宋体"/>
      <w:kern w:val="0"/>
      <w:sz w:val="22"/>
      <w:szCs w:val="22"/>
      <w:lang w:eastAsia="en-US"/>
    </w:rPr>
  </w:style>
  <w:style w:type="paragraph" w:customStyle="1" w:styleId="91">
    <w:name w:val="样式 小四 行距: 固定值 16 磅"/>
    <w:basedOn w:val="1"/>
    <w:qFormat/>
    <w:uiPriority w:val="0"/>
    <w:pPr>
      <w:spacing w:line="400" w:lineRule="exact"/>
      <w:ind w:firstLine="480"/>
    </w:pPr>
    <w:rPr>
      <w:rFonts w:ascii="Dutch801 Rm BT" w:hAnsi="Dutch801 Rm BT" w:cs="Dutch801 Rm BT"/>
      <w:sz w:val="24"/>
      <w:szCs w:val="20"/>
    </w:rPr>
  </w:style>
  <w:style w:type="paragraph" w:customStyle="1" w:styleId="92">
    <w:name w:val="表"/>
    <w:basedOn w:val="1"/>
    <w:qFormat/>
    <w:uiPriority w:val="0"/>
    <w:pPr>
      <w:spacing w:line="320" w:lineRule="exact"/>
      <w:ind w:left="-6" w:leftChars="-3"/>
    </w:pPr>
    <w:rPr>
      <w:rFonts w:ascii="宋体" w:hAnsi="宋体" w:cs="Dutch801 Rm BT"/>
      <w:sz w:val="24"/>
    </w:rPr>
  </w:style>
  <w:style w:type="paragraph" w:customStyle="1" w:styleId="9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表内文字"/>
    <w:basedOn w:val="1"/>
    <w:qFormat/>
    <w:uiPriority w:val="0"/>
    <w:pPr>
      <w:jc w:val="center"/>
    </w:pPr>
    <w:rPr>
      <w:rFonts w:cs="宋体"/>
      <w:color w:val="000000"/>
      <w:kern w:val="0"/>
      <w:szCs w:val="21"/>
    </w:rPr>
  </w:style>
  <w:style w:type="paragraph" w:customStyle="1" w:styleId="95">
    <w:name w:val="h正文表格文字"/>
    <w:basedOn w:val="1"/>
    <w:qFormat/>
    <w:uiPriority w:val="99"/>
    <w:pPr>
      <w:jc w:val="center"/>
    </w:pPr>
    <w:rPr>
      <w:rFonts w:ascii="Calibri" w:hAnsi="Calibri" w:eastAsia="仿宋_GB2312"/>
    </w:rPr>
  </w:style>
  <w:style w:type="paragraph" w:customStyle="1" w:styleId="96">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97">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98">
    <w:name w:val="标题 字符"/>
    <w:basedOn w:val="33"/>
    <w:link w:val="28"/>
    <w:qFormat/>
    <w:uiPriority w:val="0"/>
    <w:rPr>
      <w:rFonts w:eastAsia="黑体" w:cstheme="majorBidi"/>
      <w:bCs/>
      <w:kern w:val="2"/>
      <w:sz w:val="30"/>
      <w:szCs w:val="32"/>
    </w:rPr>
  </w:style>
  <w:style w:type="paragraph" w:styleId="99">
    <w:name w:val="List Paragraph"/>
    <w:basedOn w:val="1"/>
    <w:qFormat/>
    <w:uiPriority w:val="99"/>
    <w:pPr>
      <w:ind w:firstLine="420"/>
    </w:pPr>
  </w:style>
  <w:style w:type="character" w:customStyle="1" w:styleId="100">
    <w:name w:val="标题 Char1"/>
    <w:qFormat/>
    <w:uiPriority w:val="0"/>
    <w:rPr>
      <w:rFonts w:ascii="Cambria" w:hAnsi="Cambria" w:eastAsia="宋体" w:cs="Times New Roman"/>
      <w:bCs/>
      <w:kern w:val="2"/>
      <w:sz w:val="21"/>
      <w:szCs w:val="32"/>
    </w:rPr>
  </w:style>
  <w:style w:type="character" w:customStyle="1" w:styleId="101">
    <w:name w:val="表中文字、宋体 Char"/>
    <w:link w:val="102"/>
    <w:qFormat/>
    <w:uiPriority w:val="0"/>
    <w:rPr>
      <w:rFonts w:ascii="宋体" w:hAnsi="宋体"/>
      <w:bCs/>
      <w:kern w:val="2"/>
      <w:sz w:val="21"/>
      <w:szCs w:val="21"/>
    </w:rPr>
  </w:style>
  <w:style w:type="paragraph" w:customStyle="1" w:styleId="102">
    <w:name w:val="表中文字、宋体"/>
    <w:basedOn w:val="103"/>
    <w:next w:val="1"/>
    <w:link w:val="101"/>
    <w:qFormat/>
    <w:uiPriority w:val="0"/>
    <w:pPr>
      <w:adjustRightInd/>
      <w:snapToGrid/>
      <w:spacing w:before="0" w:line="320" w:lineRule="exact"/>
      <w:ind w:firstLine="0" w:firstLineChars="0"/>
      <w:jc w:val="both"/>
      <w:outlineLvl w:val="9"/>
    </w:pPr>
    <w:rPr>
      <w:rFonts w:ascii="宋体" w:hAnsi="宋体" w:eastAsia="宋体" w:cs="Times New Roman"/>
      <w:sz w:val="21"/>
      <w:szCs w:val="21"/>
    </w:rPr>
  </w:style>
  <w:style w:type="paragraph" w:customStyle="1" w:styleId="103">
    <w:name w:val="样式 样式 2001 + 首行缩进:  2 字符 + 首行缩进:  2 字符1"/>
    <w:basedOn w:val="1"/>
    <w:qFormat/>
    <w:uiPriority w:val="99"/>
    <w:pPr>
      <w:spacing w:line="360" w:lineRule="exact"/>
      <w:ind w:firstLine="560" w:firstLineChars="200"/>
    </w:pPr>
    <w:rPr>
      <w:rFonts w:ascii="Calibri" w:hAnsi="Calibri" w:cs="宋体"/>
      <w:spacing w:val="20"/>
      <w:kern w:val="0"/>
      <w:sz w:val="24"/>
      <w:szCs w:val="20"/>
    </w:rPr>
  </w:style>
  <w:style w:type="character" w:styleId="104">
    <w:name w:val="Placeholder Text"/>
    <w:basedOn w:val="33"/>
    <w:unhideWhenUsed/>
    <w:qFormat/>
    <w:uiPriority w:val="99"/>
    <w:rPr>
      <w:color w:val="808080"/>
    </w:rPr>
  </w:style>
  <w:style w:type="character" w:customStyle="1" w:styleId="105">
    <w:name w:val="NormalCharacter"/>
    <w:qFormat/>
    <w:uiPriority w:val="0"/>
    <w:rPr>
      <w:kern w:val="2"/>
      <w:sz w:val="21"/>
      <w:szCs w:val="24"/>
      <w:lang w:val="en-US" w:eastAsia="zh-CN" w:bidi="ar-SA"/>
    </w:rPr>
  </w:style>
  <w:style w:type="character" w:customStyle="1" w:styleId="106">
    <w:name w:val="正文文本首行缩进 字符"/>
    <w:basedOn w:val="85"/>
    <w:link w:val="30"/>
    <w:qFormat/>
    <w:uiPriority w:val="0"/>
    <w:rPr>
      <w:kern w:val="2"/>
      <w:sz w:val="21"/>
      <w:szCs w:val="24"/>
    </w:rPr>
  </w:style>
  <w:style w:type="character" w:customStyle="1" w:styleId="107">
    <w:name w:val="图表 Char"/>
    <w:basedOn w:val="33"/>
    <w:link w:val="108"/>
    <w:qFormat/>
    <w:uiPriority w:val="0"/>
    <w:rPr>
      <w:rFonts w:ascii="宋体" w:hAnsi="宋体"/>
      <w:bCs/>
      <w:kern w:val="2"/>
      <w:sz w:val="21"/>
      <w:szCs w:val="21"/>
    </w:rPr>
  </w:style>
  <w:style w:type="paragraph" w:customStyle="1" w:styleId="108">
    <w:name w:val="图表"/>
    <w:basedOn w:val="109"/>
    <w:link w:val="107"/>
    <w:qFormat/>
    <w:uiPriority w:val="0"/>
    <w:pPr>
      <w:adjustRightInd/>
      <w:snapToGrid/>
      <w:ind w:firstLine="0" w:firstLineChars="0"/>
      <w:jc w:val="center"/>
    </w:pPr>
    <w:rPr>
      <w:rFonts w:ascii="宋体" w:hAnsi="宋体" w:eastAsia="宋体"/>
      <w:bCs/>
      <w:szCs w:val="21"/>
    </w:rPr>
  </w:style>
  <w:style w:type="paragraph" w:styleId="109">
    <w:name w:val="No Spacing"/>
    <w:qFormat/>
    <w:uiPriority w:val="99"/>
    <w:pPr>
      <w:widowControl w:val="0"/>
      <w:adjustRightInd w:val="0"/>
      <w:snapToGrid w:val="0"/>
      <w:ind w:firstLine="200" w:firstLineChars="200"/>
      <w:jc w:val="both"/>
    </w:pPr>
    <w:rPr>
      <w:rFonts w:ascii="Times New Roman" w:hAnsi="Times New Roman" w:eastAsia="方正仿宋_GBK" w:cs="Times New Roman"/>
      <w:kern w:val="2"/>
      <w:sz w:val="21"/>
      <w:szCs w:val="24"/>
      <w:lang w:val="en-US" w:eastAsia="zh-CN" w:bidi="ar-SA"/>
    </w:rPr>
  </w:style>
  <w:style w:type="character" w:customStyle="1" w:styleId="110">
    <w:name w:val="1正文 Char Char"/>
    <w:link w:val="111"/>
    <w:qFormat/>
    <w:uiPriority w:val="0"/>
    <w:rPr>
      <w:bCs/>
      <w:kern w:val="2"/>
      <w:sz w:val="24"/>
      <w:szCs w:val="24"/>
    </w:rPr>
  </w:style>
  <w:style w:type="paragraph" w:customStyle="1" w:styleId="111">
    <w:name w:val="1正文"/>
    <w:basedOn w:val="1"/>
    <w:link w:val="110"/>
    <w:qFormat/>
    <w:uiPriority w:val="0"/>
    <w:pPr>
      <w:adjustRightInd/>
      <w:snapToGrid/>
      <w:spacing w:line="480" w:lineRule="exact"/>
    </w:pPr>
    <w:rPr>
      <w:rFonts w:eastAsia="宋体"/>
      <w:bCs/>
      <w:sz w:val="24"/>
    </w:rPr>
  </w:style>
  <w:style w:type="character" w:customStyle="1" w:styleId="112">
    <w:name w:val="题注 字符"/>
    <w:basedOn w:val="33"/>
    <w:link w:val="10"/>
    <w:qFormat/>
    <w:uiPriority w:val="0"/>
    <w:rPr>
      <w:rFonts w:ascii="宋体" w:hAnsi="Arial" w:cs="Arial"/>
      <w:kern w:val="2"/>
      <w:sz w:val="24"/>
      <w:szCs w:val="22"/>
    </w:rPr>
  </w:style>
  <w:style w:type="table" w:customStyle="1" w:styleId="113">
    <w:name w:val="table"/>
    <w:basedOn w:val="31"/>
    <w:qFormat/>
    <w:uiPriority w:val="0"/>
  </w:style>
  <w:style w:type="paragraph" w:customStyle="1" w:styleId="114">
    <w:name w:val="Body Text 22"/>
    <w:basedOn w:val="1"/>
    <w:qFormat/>
    <w:uiPriority w:val="0"/>
    <w:pPr>
      <w:snapToGrid/>
      <w:spacing w:line="440" w:lineRule="atLeast"/>
      <w:ind w:firstLine="480" w:firstLineChars="0"/>
      <w:textAlignment w:val="baseline"/>
    </w:pPr>
    <w:rPr>
      <w:rFonts w:eastAsia="仿宋_GB2312" w:cs="Dutch801 Rm BT"/>
      <w:sz w:val="24"/>
      <w:szCs w:val="20"/>
    </w:rPr>
  </w:style>
  <w:style w:type="paragraph" w:customStyle="1" w:styleId="115">
    <w:name w:val="列出段落1"/>
    <w:basedOn w:val="1"/>
    <w:qFormat/>
    <w:uiPriority w:val="34"/>
    <w:pPr>
      <w:adjustRightInd/>
      <w:snapToGrid/>
      <w:spacing w:line="240" w:lineRule="auto"/>
      <w:ind w:firstLine="420"/>
    </w:pPr>
    <w:rPr>
      <w:rFonts w:eastAsia="宋体"/>
    </w:rPr>
  </w:style>
  <w:style w:type="paragraph" w:customStyle="1" w:styleId="116">
    <w:name w:val="0正文"/>
    <w:basedOn w:val="1"/>
    <w:qFormat/>
    <w:uiPriority w:val="0"/>
    <w:pPr>
      <w:adjustRightInd/>
      <w:snapToGrid/>
      <w:ind w:firstLine="723"/>
    </w:pPr>
    <w:rPr>
      <w:rFonts w:ascii="Calibri" w:hAnsi="Calibri" w:eastAsia="宋体"/>
      <w:color w:val="000000"/>
      <w:szCs w:val="26"/>
    </w:rPr>
  </w:style>
  <w:style w:type="paragraph" w:customStyle="1" w:styleId="117">
    <w:name w:val="表格内居中文字"/>
    <w:basedOn w:val="1"/>
    <w:qFormat/>
    <w:uiPriority w:val="0"/>
    <w:pPr>
      <w:adjustRightInd/>
      <w:snapToGrid/>
      <w:spacing w:line="320" w:lineRule="atLeast"/>
      <w:ind w:firstLine="0" w:firstLineChars="0"/>
      <w:jc w:val="center"/>
    </w:pPr>
    <w:rPr>
      <w:rFonts w:ascii="Calibri" w:hAnsi="Calibri" w:eastAsia="宋体"/>
      <w:sz w:val="22"/>
    </w:rPr>
  </w:style>
  <w:style w:type="paragraph" w:customStyle="1" w:styleId="118">
    <w:name w:val="修订1"/>
    <w:hidden/>
    <w:unhideWhenUsed/>
    <w:qFormat/>
    <w:uiPriority w:val="99"/>
    <w:rPr>
      <w:rFonts w:ascii="仿宋" w:hAnsi="仿宋" w:eastAsia="仿宋" w:cs="Times New Roman"/>
      <w:kern w:val="2"/>
      <w:sz w:val="21"/>
      <w:szCs w:val="24"/>
      <w:lang w:val="en-US" w:eastAsia="zh-CN" w:bidi="ar-SA"/>
    </w:rPr>
  </w:style>
  <w:style w:type="paragraph" w:customStyle="1" w:styleId="119">
    <w:name w:val="样式 表名 + 首行缩进:  0.74 厘米"/>
    <w:basedOn w:val="1"/>
    <w:qFormat/>
    <w:uiPriority w:val="0"/>
    <w:pPr>
      <w:overflowPunct w:val="0"/>
      <w:adjustRightInd/>
      <w:snapToGrid/>
      <w:ind w:firstLine="0" w:firstLineChars="0"/>
      <w:jc w:val="center"/>
      <w:textAlignment w:val="baseline"/>
    </w:pPr>
    <w:rPr>
      <w:rFonts w:ascii="Arial" w:hAnsi="Arial" w:eastAsia="黑体"/>
      <w:color w:val="000000"/>
      <w:szCs w:val="20"/>
    </w:rPr>
  </w:style>
  <w:style w:type="paragraph" w:customStyle="1" w:styleId="120">
    <w:name w:val="表格-小五"/>
    <w:basedOn w:val="1"/>
    <w:qFormat/>
    <w:uiPriority w:val="0"/>
    <w:pPr>
      <w:adjustRightInd/>
      <w:snapToGrid/>
      <w:spacing w:line="264" w:lineRule="auto"/>
      <w:ind w:firstLine="0" w:firstLineChars="0"/>
      <w:jc w:val="center"/>
    </w:pPr>
    <w:rPr>
      <w:rFonts w:ascii="Times New Roman" w:hAnsi="Times New Roman" w:eastAsia="宋体"/>
      <w:sz w:val="18"/>
      <w:szCs w:val="22"/>
    </w:rPr>
  </w:style>
  <w:style w:type="paragraph" w:customStyle="1" w:styleId="121">
    <w:name w:val="无列表1"/>
    <w:semiHidden/>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customStyle="1" w:styleId="122">
    <w:name w:val="fontborder"/>
    <w:basedOn w:val="33"/>
    <w:qFormat/>
    <w:uiPriority w:val="0"/>
    <w:rPr>
      <w:bdr w:val="single" w:color="000000" w:sz="6" w:space="0"/>
    </w:rPr>
  </w:style>
  <w:style w:type="character" w:customStyle="1" w:styleId="123">
    <w:name w:val="fontstrikethrough"/>
    <w:basedOn w:val="33"/>
    <w:qFormat/>
    <w:uiPriority w:val="0"/>
    <w:rPr>
      <w:strike/>
    </w:rPr>
  </w:style>
  <w:style w:type="paragraph" w:customStyle="1" w:styleId="124">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125">
    <w:name w:val="Char1 Char Char Char Char Char Char Char Char Char Char Char Char Char Char Char Char Char"/>
    <w:basedOn w:val="1"/>
    <w:qFormat/>
    <w:uiPriority w:val="0"/>
    <w:rPr>
      <w:sz w:val="24"/>
    </w:rPr>
  </w:style>
  <w:style w:type="paragraph" w:customStyle="1" w:styleId="126">
    <w:name w:val="【正文】"/>
    <w:basedOn w:val="1"/>
    <w:qFormat/>
    <w:uiPriority w:val="0"/>
    <w:pPr>
      <w:spacing w:line="440" w:lineRule="exact"/>
      <w:ind w:firstLine="544"/>
    </w:pPr>
    <w:rPr>
      <w:sz w:val="24"/>
      <w:szCs w:val="20"/>
      <w:lang w:val="zh-CN"/>
    </w:rPr>
  </w:style>
  <w:style w:type="paragraph" w:customStyle="1" w:styleId="127">
    <w:name w:val="1、表名"/>
    <w:basedOn w:val="1"/>
    <w:qFormat/>
    <w:uiPriority w:val="0"/>
    <w:pPr>
      <w:autoSpaceDE w:val="0"/>
      <w:autoSpaceDN w:val="0"/>
      <w:jc w:val="center"/>
    </w:pPr>
    <w:rPr>
      <w:b/>
      <w:kern w:val="0"/>
      <w:szCs w:val="21"/>
    </w:rPr>
  </w:style>
  <w:style w:type="paragraph" w:customStyle="1" w:styleId="128">
    <w:name w:val="表内字体111"/>
    <w:basedOn w:val="1"/>
    <w:qFormat/>
    <w:uiPriority w:val="0"/>
    <w:pPr>
      <w:spacing w:line="240" w:lineRule="auto"/>
      <w:ind w:firstLine="0" w:firstLineChars="0"/>
      <w:jc w:val="center"/>
    </w:pPr>
    <w:rPr>
      <w:rFonts w:eastAsia="宋体"/>
      <w:snapToGrid w:val="0"/>
      <w:kern w:val="0"/>
    </w:rPr>
  </w:style>
  <w:style w:type="paragraph" w:customStyle="1" w:styleId="129">
    <w:name w:val="表格1"/>
    <w:basedOn w:val="1"/>
    <w:qFormat/>
    <w:uiPriority w:val="0"/>
    <w:pPr>
      <w:spacing w:line="280" w:lineRule="exact"/>
      <w:jc w:val="center"/>
    </w:pPr>
    <w:rPr>
      <w:rFonts w:ascii="宋体" w:hAnsi="宋体"/>
      <w:sz w:val="18"/>
    </w:rPr>
  </w:style>
  <w:style w:type="paragraph" w:customStyle="1" w:styleId="130">
    <w:name w:val="ABCA正文"/>
    <w:basedOn w:val="1"/>
    <w:next w:val="1"/>
    <w:qFormat/>
    <w:uiPriority w:val="0"/>
    <w:pPr>
      <w:ind w:firstLine="520"/>
    </w:pPr>
    <w:rPr>
      <w:rFonts w:ascii="Times New Roman" w:hAnsi="Times New Roman" w:eastAsia="宋体"/>
      <w:bCs/>
      <w:sz w:val="24"/>
    </w:rPr>
  </w:style>
  <w:style w:type="paragraph" w:customStyle="1" w:styleId="131">
    <w:name w:val="CMA 12 1.5"/>
    <w:basedOn w:val="1"/>
    <w:next w:val="1"/>
    <w:qFormat/>
    <w:uiPriority w:val="0"/>
    <w:pPr>
      <w:ind w:firstLine="520"/>
    </w:pPr>
    <w:rPr>
      <w:rFonts w:ascii="Times New Roman" w:hAnsi="Times New Roman" w:eastAsia="宋体"/>
      <w:bCs/>
      <w:sz w:val="24"/>
    </w:rPr>
  </w:style>
  <w:style w:type="paragraph" w:customStyle="1" w:styleId="132">
    <w:name w:val="封面项目-L"/>
    <w:basedOn w:val="1"/>
    <w:qFormat/>
    <w:uiPriority w:val="0"/>
    <w:pPr>
      <w:adjustRightInd/>
      <w:ind w:firstLine="0" w:firstLineChars="0"/>
      <w:jc w:val="center"/>
    </w:pPr>
    <w:rPr>
      <w:rFonts w:ascii="Times New Roman" w:hAnsi="Times New Roman" w:cs="Arial"/>
      <w:bCs/>
      <w:color w:val="000000"/>
      <w:sz w:val="48"/>
      <w:szCs w:val="52"/>
      <w:lang w:val="zh-CN"/>
    </w:rPr>
  </w:style>
  <w:style w:type="paragraph" w:customStyle="1" w:styleId="133">
    <w:name w:val="报告表 表名、表头、图名"/>
    <w:basedOn w:val="1"/>
    <w:qFormat/>
    <w:uiPriority w:val="0"/>
    <w:pPr>
      <w:spacing w:line="360" w:lineRule="exact"/>
      <w:jc w:val="center"/>
    </w:pPr>
    <w:rPr>
      <w:rFonts w:eastAsia="Times New Roman"/>
      <w:b/>
      <w:szCs w:val="21"/>
    </w:rPr>
  </w:style>
  <w:style w:type="paragraph" w:customStyle="1" w:styleId="134">
    <w:name w:val="报告表 表中文字"/>
    <w:basedOn w:val="1"/>
    <w:qFormat/>
    <w:uiPriority w:val="0"/>
    <w:pPr>
      <w:spacing w:line="360" w:lineRule="exact"/>
      <w:jc w:val="center"/>
    </w:pPr>
    <w:rPr>
      <w:rFonts w:eastAsia="Times New Roman"/>
    </w:rPr>
  </w:style>
  <w:style w:type="paragraph" w:customStyle="1" w:styleId="135">
    <w:name w:val="Table Text"/>
    <w:basedOn w:val="1"/>
    <w:semiHidden/>
    <w:qFormat/>
    <w:uiPriority w:val="0"/>
    <w:rPr>
      <w:rFonts w:ascii="宋体" w:hAnsi="宋体" w:eastAsia="宋体" w:cs="宋体"/>
      <w:sz w:val="24"/>
      <w:lang w:eastAsia="en-US"/>
    </w:rPr>
  </w:style>
  <w:style w:type="paragraph" w:customStyle="1" w:styleId="136">
    <w:name w:val="报告表 正文"/>
    <w:basedOn w:val="1"/>
    <w:qFormat/>
    <w:uiPriority w:val="0"/>
    <w:pPr>
      <w:spacing w:line="480" w:lineRule="exact"/>
    </w:pPr>
    <w:rPr>
      <w:rFonts w:eastAsia="Times New Roman"/>
      <w:sz w:val="24"/>
    </w:rPr>
  </w:style>
  <w:style w:type="paragraph" w:customStyle="1" w:styleId="137">
    <w:name w:val="表内字"/>
    <w:basedOn w:val="1"/>
    <w:qFormat/>
    <w:uiPriority w:val="0"/>
    <w:pPr>
      <w:spacing w:before="20" w:after="20" w:line="320" w:lineRule="exact"/>
      <w:ind w:firstLine="0" w:firstLineChars="0"/>
      <w:jc w:val="center"/>
    </w:pPr>
    <w:rPr>
      <w:kern w:val="0"/>
      <w:szCs w:val="21"/>
    </w:rPr>
  </w:style>
  <w:style w:type="character" w:customStyle="1" w:styleId="138">
    <w:name w:val="font11"/>
    <w:basedOn w:val="33"/>
    <w:qFormat/>
    <w:uiPriority w:val="0"/>
    <w:rPr>
      <w:rFonts w:hint="eastAsia" w:ascii="仿宋" w:hAnsi="仿宋" w:eastAsia="仿宋" w:cs="仿宋"/>
      <w:color w:val="000000"/>
      <w:sz w:val="24"/>
      <w:szCs w:val="24"/>
      <w:u w:val="none"/>
    </w:rPr>
  </w:style>
  <w:style w:type="character" w:customStyle="1" w:styleId="139">
    <w:name w:val="font21"/>
    <w:basedOn w:val="33"/>
    <w:qFormat/>
    <w:uiPriority w:val="0"/>
    <w:rPr>
      <w:rFonts w:hint="eastAsia" w:ascii="仿宋" w:hAnsi="仿宋" w:eastAsia="仿宋" w:cs="仿宋"/>
      <w:color w:val="000000"/>
      <w:sz w:val="18"/>
      <w:szCs w:val="18"/>
      <w:u w:val="none"/>
    </w:rPr>
  </w:style>
  <w:style w:type="paragraph" w:customStyle="1" w:styleId="140">
    <w:name w:val="标题2"/>
    <w:basedOn w:val="1"/>
    <w:next w:val="1"/>
    <w:qFormat/>
    <w:uiPriority w:val="0"/>
    <w:pPr>
      <w:ind w:firstLine="0" w:firstLineChars="0"/>
      <w:outlineLvl w:val="1"/>
    </w:pPr>
    <w:rPr>
      <w:b/>
    </w:rPr>
  </w:style>
  <w:style w:type="character" w:customStyle="1" w:styleId="141">
    <w:name w:val="font51"/>
    <w:basedOn w:val="33"/>
    <w:qFormat/>
    <w:uiPriority w:val="0"/>
    <w:rPr>
      <w:rFonts w:hint="eastAsia" w:ascii="仿宋" w:hAnsi="仿宋" w:eastAsia="仿宋" w:cs="仿宋"/>
      <w:color w:val="00B050"/>
      <w:sz w:val="18"/>
      <w:szCs w:val="18"/>
      <w:u w:val="none"/>
    </w:rPr>
  </w:style>
  <w:style w:type="paragraph" w:customStyle="1" w:styleId="142">
    <w:name w:val="正"/>
    <w:qFormat/>
    <w:uiPriority w:val="0"/>
    <w:pPr>
      <w:spacing w:line="480" w:lineRule="exact"/>
      <w:ind w:firstLine="470" w:firstLineChars="196"/>
      <w:jc w:val="both"/>
    </w:pPr>
    <w:rPr>
      <w:rFonts w:ascii="Times New Roman" w:hAnsi="Times New Roman" w:eastAsia="宋体" w:cs="Times New Roman"/>
      <w:bCs/>
      <w:kern w:val="2"/>
      <w:sz w:val="24"/>
      <w:szCs w:val="24"/>
      <w:lang w:val="en-US" w:eastAsia="zh-CN" w:bidi="ar-SA"/>
    </w:rPr>
  </w:style>
  <w:style w:type="character" w:customStyle="1" w:styleId="143">
    <w:name w:val="表头 Char"/>
    <w:link w:val="75"/>
    <w:qFormat/>
    <w:uiPriority w:val="0"/>
  </w:style>
  <w:style w:type="paragraph" w:customStyle="1" w:styleId="144">
    <w:name w:val="0正文缩"/>
    <w:basedOn w:val="1"/>
    <w:qFormat/>
    <w:uiPriority w:val="0"/>
    <w:pPr>
      <w:adjustRightInd w:val="0"/>
      <w:snapToGrid w:val="0"/>
      <w:spacing w:line="460" w:lineRule="exact"/>
      <w:ind w:firstLine="200" w:firstLineChars="200"/>
    </w:pPr>
    <w:rPr>
      <w:rFonts w:ascii="宋体" w:hAnsi="Times New Roman"/>
      <w:kern w:val="0"/>
      <w:sz w:val="24"/>
      <w:szCs w:val="20"/>
    </w:rPr>
  </w:style>
  <w:style w:type="paragraph" w:customStyle="1" w:styleId="145">
    <w:name w:val="CCGL正文"/>
    <w:basedOn w:val="1"/>
    <w:qFormat/>
    <w:uiPriority w:val="0"/>
    <w:pPr>
      <w:spacing w:line="460" w:lineRule="exact"/>
      <w:ind w:firstLine="420" w:firstLineChars="200"/>
    </w:pPr>
    <w:rPr>
      <w:sz w:val="26"/>
      <w:szCs w:val="22"/>
    </w:rPr>
  </w:style>
  <w:style w:type="paragraph" w:customStyle="1" w:styleId="146">
    <w:name w:val="4小表"/>
    <w:basedOn w:val="1"/>
    <w:qFormat/>
    <w:uiPriority w:val="0"/>
    <w:pPr>
      <w:adjustRightInd w:val="0"/>
      <w:snapToGrid w:val="0"/>
      <w:jc w:val="center"/>
    </w:pPr>
    <w:rPr>
      <w:rFonts w:ascii="Times New Roman" w:hAnsi="Times New Roman"/>
      <w:kern w:val="0"/>
      <w:szCs w:val="21"/>
    </w:rPr>
  </w:style>
  <w:style w:type="paragraph" w:customStyle="1" w:styleId="147">
    <w:name w:val="CCGL-13-正文"/>
    <w:basedOn w:val="1"/>
    <w:next w:val="1"/>
    <w:qFormat/>
    <w:uiPriority w:val="0"/>
    <w:pPr>
      <w:spacing w:line="480" w:lineRule="exact"/>
      <w:ind w:firstLine="960" w:firstLineChars="200"/>
    </w:pPr>
    <w:rPr>
      <w:sz w:val="26"/>
    </w:rPr>
  </w:style>
  <w:style w:type="paragraph" w:customStyle="1" w:styleId="148">
    <w:name w:val="表格中正文"/>
    <w:basedOn w:val="1"/>
    <w:qFormat/>
    <w:uiPriority w:val="0"/>
    <w:pPr>
      <w:ind w:firstLine="420" w:firstLineChars="200"/>
    </w:pPr>
    <w:rPr>
      <w:kern w:val="0"/>
    </w:rPr>
  </w:style>
  <w:style w:type="character" w:customStyle="1" w:styleId="149">
    <w:name w:val="font61"/>
    <w:basedOn w:val="33"/>
    <w:qFormat/>
    <w:uiPriority w:val="0"/>
    <w:rPr>
      <w:rFonts w:hint="eastAsia" w:ascii="仿宋" w:hAnsi="仿宋" w:eastAsia="仿宋" w:cs="仿宋"/>
      <w:color w:val="FF0000"/>
      <w:sz w:val="21"/>
      <w:szCs w:val="21"/>
      <w:u w:val="none"/>
      <w:vertAlign w:val="superscript"/>
    </w:rPr>
  </w:style>
  <w:style w:type="character" w:customStyle="1" w:styleId="150">
    <w:name w:val="font71"/>
    <w:basedOn w:val="33"/>
    <w:qFormat/>
    <w:uiPriority w:val="0"/>
    <w:rPr>
      <w:rFonts w:hint="default" w:ascii="Times New Roman" w:hAnsi="Times New Roman" w:cs="Times New Roman"/>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3.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emf"/><Relationship Id="rId23" Type="http://schemas.openxmlformats.org/officeDocument/2006/relationships/oleObject" Target="embeddings/oleObject2.bin"/><Relationship Id="rId22" Type="http://schemas.openxmlformats.org/officeDocument/2006/relationships/image" Target="media/image11.emf"/><Relationship Id="rId21" Type="http://schemas.openxmlformats.org/officeDocument/2006/relationships/oleObject" Target="embeddings/oleObject1.bin"/><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52cb4b26-e63e-4b0e-ba60-5764a5a5ed5b</errorID>
      <errorWord>)</errorWord>
      <group>L1_Format</group>
      <groupName>格式问题</groupName>
      <ability>L2_HalfPunc_CN</ability>
      <abilityName>全半角问题</abilityName>
      <candidateList>
        <item>）</item>
      </candidateList>
      <explain>文本全半角错误。</explain>
      <paraID>33F25EBC</paraID>
      <start>48</start>
      <end>49</end>
      <status>modified</status>
      <modifiedWord>）</modifiedWord>
      <trackRevisions>false</trackRevisions>
    </reviewItem>
    <reviewItem>
      <errorID>1d0256e2-2066-4811-9684-4d1264ab1871</errorID>
      <errorWord>(</errorWord>
      <group>L1_Format</group>
      <groupName>格式问题</groupName>
      <ability>L2_HalfPunc_CN</ability>
      <abilityName>全半角问题</abilityName>
      <candidateList>
        <item>（</item>
      </candidateList>
      <explain>文本全半角错误。</explain>
      <paraID>6B1B51E0</paraID>
      <start>31</start>
      <end>32</end>
      <status>modified</status>
      <modifiedWord>（</modifiedWord>
      <trackRevisions>false</trackRevisions>
    </reviewItem>
    <reviewItem>
      <errorID>067fd16a-9d08-4f97-82b8-f538d0d10391</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584130CD</paraID>
      <start>42</start>
      <end>43</end>
      <status>modified</status>
      <modifiedWord>—</modifiedWord>
      <trackRevisions>false</trackRevisions>
    </reviewItem>
    <reviewItem>
      <errorID>75619cc4-8088-4bec-8351-64d4782b4e0f</errorID>
      <errorWord>区</errorWord>
      <group>L1_Grammar</group>
      <groupName>语法问题</groupName>
      <ability>L2_Order</ability>
      <abilityName>语序不当</abilityName>
      <candidateList>
        <item>的区</item>
      </candidateList>
      <explain>句子可能没有遵循时空、逻辑顺序，或者介词、关联词等位置不当。</explain>
      <paraID>717BD9C1</paraID>
      <start>9</start>
      <end>10</end>
      <status>ignored</status>
      <modifiedWord/>
      <trackRevisions>false</trackRevisions>
    </reviewItem>
    <reviewItem>
      <errorID>04a2dd20-c46e-4829-a132-da636a6ea9e0</errorID>
      <errorWord>的管控</errorWord>
      <group>L1_Grammar</group>
      <groupName>语法问题</groupName>
      <ability>L2_Order</ability>
      <abilityName>语序不当</abilityName>
      <candidateList>
        <item>管控的</item>
      </candidateList>
      <explain>句子可能没有遵循时空、逻辑顺序，或者介词、关联词等位置不当。</explain>
      <paraID>3FE40A34</paraID>
      <start>1</start>
      <end>4</end>
      <status>ignored</status>
      <modifiedWord/>
      <trackRevisions>false</trackRevisions>
    </reviewItem>
    <reviewItem>
      <errorID>7e1b93ba-ac59-4439-9ac3-8cabf2086039</errorID>
      <errorWord>物的企</errorWord>
      <group>L1_Grammar</group>
      <groupName>语法问题</groupName>
      <ability>L2_Order</ability>
      <abilityName>语序不当</abilityName>
      <candidateList>
        <item>企</item>
      </candidateList>
      <explain>句子可能没有遵循时空、逻辑顺序，或者介词、关联词等位置不当。</explain>
      <paraID>42F6AE11</paraID>
      <start>0</start>
      <end>3</end>
      <status>ignored</status>
      <modifiedWord/>
      <trackRevisions>false</trackRevisions>
    </reviewItem>
    <reviewItem>
      <errorID>ba419328-d2a8-4f15-8c1b-e8ddc2812cd1</errorID>
      <errorWord>(</errorWord>
      <group>L1_Format</group>
      <groupName>格式问题</groupName>
      <ability>L2_HalfPunc_CN</ability>
      <abilityName>全半角问题</abilityName>
      <candidateList>
        <item>（</item>
      </candidateList>
      <explain>文本全半角错误。</explain>
      <paraID>7C1F0DC0</paraID>
      <start>195</start>
      <end>196</end>
      <status>ignored</status>
      <modifiedWord/>
      <trackRevisions>false</trackRevisions>
    </reviewItem>
    <reviewItem>
      <errorID>845f76e9-2348-48fc-89b3-f28bc9618548</errorID>
      <errorWord>)</errorWord>
      <group>L1_Format</group>
      <groupName>格式问题</groupName>
      <ability>L2_HalfPunc_CN</ability>
      <abilityName>全半角问题</abilityName>
      <candidateList>
        <item>）</item>
      </candidateList>
      <explain>文本全半角错误。</explain>
      <paraID>7C1F0DC0</paraID>
      <start>210</start>
      <end>211</end>
      <status>ignored</status>
      <modifiedWord/>
      <trackRevisions>false</trackRevisions>
    </reviewItem>
    <reviewItem>
      <errorID>52ebb2ab-cfc9-4261-b034-a3a86aff670f</errorID>
      <errorWord>(</errorWord>
      <group>L1_Format</group>
      <groupName>格式问题</groupName>
      <ability>L2_HalfPunc_CN</ability>
      <abilityName>全半角问题</abilityName>
      <candidateList>
        <item>（</item>
      </candidateList>
      <explain>文本全半角错误。</explain>
      <paraID>7C1F0DC0</paraID>
      <start>242</start>
      <end>243</end>
      <status>ignored</status>
      <modifiedWord/>
      <trackRevisions>false</trackRevisions>
    </reviewItem>
    <reviewItem>
      <errorID>e64ae68a-5ffe-4f58-ac14-51775faf289b</errorID>
      <errorWord>),</errorWord>
      <group>L1_Format</group>
      <groupName>格式问题</groupName>
      <ability>L2_HalfPunc_CN</ability>
      <abilityName>全半角问题</abilityName>
      <candidateList>
        <item>），</item>
      </candidateList>
      <explain>文本全半角错误。</explain>
      <paraID>7C1F0DC0</paraID>
      <start>264</start>
      <end>266</end>
      <status>ignored</status>
      <modifiedWord/>
      <trackRevisions>false</trackRevisions>
    </reviewItem>
    <reviewItem>
      <errorID>22f5511e-512b-41a1-a090-933f54a795f1</errorID>
      <errorWord>(</errorWord>
      <group>L1_Format</group>
      <groupName>格式问题</groupName>
      <ability>L2_HalfPunc_CN</ability>
      <abilityName>全半角问题</abilityName>
      <candidateList>
        <item>（</item>
      </candidateList>
      <explain>文本全半角错误。</explain>
      <paraID>19944CA0</paraID>
      <start>75</start>
      <end>76</end>
      <status>ignored</status>
      <modifiedWord/>
      <trackRevisions>false</trackRevisions>
    </reviewItem>
    <reviewItem>
      <errorID>6394dbd7-8700-4305-abdd-f22ee3031e37</errorID>
      <errorWord>)</errorWord>
      <group>L1_Format</group>
      <groupName>格式问题</groupName>
      <ability>L2_HalfPunc_CN</ability>
      <abilityName>全半角问题</abilityName>
      <candidateList>
        <item>）</item>
      </candidateList>
      <explain>文本全半角错误。</explain>
      <paraID>19944CA0</paraID>
      <start>85</start>
      <end>86</end>
      <status>ignored</status>
      <modifiedWord/>
      <trackRevisions>false</trackRevisions>
    </reviewItem>
    <reviewItem>
      <errorID>dccaa80c-b4d8-470a-87e9-c8226fc10eea</errorID>
      <errorWord>(</errorWord>
      <group>L1_Format</group>
      <groupName>格式问题</groupName>
      <ability>L2_HalfPunc_CN</ability>
      <abilityName>全半角问题</abilityName>
      <candidateList>
        <item>（</item>
      </candidateList>
      <explain>文本全半角错误。</explain>
      <paraID>19944CA0</paraID>
      <start>156</start>
      <end>157</end>
      <status>ignored</status>
      <modifiedWord/>
      <trackRevisions>false</trackRevisions>
    </reviewItem>
    <reviewItem>
      <errorID>7bf86d6a-36ce-48de-afdd-44de77248be5</errorID>
      <errorWord>)</errorWord>
      <group>L1_Format</group>
      <groupName>格式问题</groupName>
      <ability>L2_HalfPunc_CN</ability>
      <abilityName>全半角问题</abilityName>
      <candidateList>
        <item>）</item>
      </candidateList>
      <explain>文本全半角错误。</explain>
      <paraID>19944CA0</paraID>
      <start>173</start>
      <end>174</end>
      <status>ignored</status>
      <modifiedWord/>
      <trackRevisions>false</trackRevisions>
    </reviewItem>
    <reviewItem>
      <errorID>25398b30-5f3c-43a3-bc02-935f6c326a3c</errorID>
      <errorWord>(</errorWord>
      <group>L1_Format</group>
      <groupName>格式问题</groupName>
      <ability>L2_HalfPunc_CN</ability>
      <abilityName>全半角问题</abilityName>
      <candidateList>
        <item>（</item>
      </candidateList>
      <explain>文本全半角错误。</explain>
      <paraID>2CB3C3A4</paraID>
      <start>43</start>
      <end>44</end>
      <status>unmodified</status>
      <modifiedWord/>
      <trackRevisions>false</trackRevisions>
    </reviewItem>
    <reviewItem>
      <errorID>e0451e42-0866-4386-bfbc-4e14a20ea47f</errorID>
      <errorWord>)</errorWord>
      <group>L1_Format</group>
      <groupName>格式问题</groupName>
      <ability>L2_HalfPunc_CN</ability>
      <abilityName>全半角问题</abilityName>
      <candidateList>
        <item>）</item>
      </candidateList>
      <explain>文本全半角错误。</explain>
      <paraID>2CB3C3A4</paraID>
      <start>53</start>
      <end>54</end>
      <status>unmodified</status>
      <modifiedWord/>
      <trackRevisions>false</trackRevisions>
    </reviewItem>
    <reviewItem>
      <errorID>70c5e516-a978-4c7e-8c60-cde660404b75</errorID>
      <errorWord>(</errorWord>
      <group>L1_Format</group>
      <groupName>格式问题</groupName>
      <ability>L2_HalfPunc_CN</ability>
      <abilityName>全半角问题</abilityName>
      <candidateList>
        <item>（</item>
      </candidateList>
      <explain>文本全半角错误。</explain>
      <paraID>2CB3C3A4</paraID>
      <start>77</start>
      <end>78</end>
      <status>unmodified</status>
      <modifiedWord/>
      <trackRevisions>false</trackRevisions>
    </reviewItem>
    <reviewItem>
      <errorID>f6f282da-b7f5-47c5-916e-0a3bab20670f</errorID>
      <errorWord>)</errorWord>
      <group>L1_Format</group>
      <groupName>格式问题</groupName>
      <ability>L2_HalfPunc_CN</ability>
      <abilityName>全半角问题</abilityName>
      <candidateList>
        <item>）</item>
      </candidateList>
      <explain>文本全半角错误。</explain>
      <paraID>2CB3C3A4</paraID>
      <start>85</start>
      <end>86</end>
      <status>unmodified</status>
      <modifiedWord/>
      <trackRevisions>false</trackRevisions>
    </reviewItem>
    <reviewItem>
      <errorID>fef5b249-de0c-4ff6-9a16-8a370a63918c</errorID>
      <errorWord>(</errorWord>
      <group>L1_Format</group>
      <groupName>格式问题</groupName>
      <ability>L2_HalfPunc_CN</ability>
      <abilityName>全半角问题</abilityName>
      <candidateList>
        <item>（</item>
      </candidateList>
      <explain>文本全半角错误。</explain>
      <paraID>2CB3C3A4</paraID>
      <start>235</start>
      <end>236</end>
      <status>unmodified</status>
      <modifiedWord/>
      <trackRevisions>false</trackRevisions>
    </reviewItem>
    <reviewItem>
      <errorID>8ef3e8c9-f99c-45c4-be5a-09fba9a4a0fb</errorID>
      <errorWord>)</errorWord>
      <group>L1_Format</group>
      <groupName>格式问题</groupName>
      <ability>L2_HalfPunc_CN</ability>
      <abilityName>全半角问题</abilityName>
      <candidateList>
        <item>）</item>
      </candidateList>
      <explain>文本全半角错误。</explain>
      <paraID>2CB3C3A4</paraID>
      <start>249</start>
      <end>250</end>
      <status>unmodified</status>
      <modifiedWord/>
      <trackRevisions>false</trackRevisions>
    </reviewItem>
    <reviewItem>
      <errorID>061ab3e7-86df-4b4e-b588-ab0304e2da5d</errorID>
      <errorWord>;</errorWord>
      <group>L1_Format</group>
      <groupName>格式问题</groupName>
      <ability>L2_HalfPunc_CN</ability>
      <abilityName>全半角问题</abilityName>
      <candidateList>
        <item>；</item>
      </candidateList>
      <explain>文本全半角错误。</explain>
      <paraID>2CB3C3A4</paraID>
      <start>277</start>
      <end>278</end>
      <status>unmodified</status>
      <modifiedWord/>
      <trackRevisions>false</trackRevisions>
    </reviewItem>
    <reviewItem>
      <errorID>8c770979-364e-4303-8dc6-4a56034c4911</errorID>
      <errorWord>(</errorWord>
      <group>L1_Format</group>
      <groupName>格式问题</groupName>
      <ability>L2_HalfPunc_CN</ability>
      <abilityName>全半角问题</abilityName>
      <candidateList>
        <item>（</item>
      </candidateList>
      <explain>文本全半角错误。</explain>
      <paraID>2CB3C3A4</paraID>
      <start>373</start>
      <end>374</end>
      <status>unmodified</status>
      <modifiedWord/>
      <trackRevisions>false</trackRevisions>
    </reviewItem>
    <reviewItem>
      <errorID>70a9c188-768e-4c14-8d8b-d53e7b5ffdd2</errorID>
      <errorWord>)</errorWord>
      <group>L1_Format</group>
      <groupName>格式问题</groupName>
      <ability>L2_HalfPunc_CN</ability>
      <abilityName>全半角问题</abilityName>
      <candidateList>
        <item>）</item>
      </candidateList>
      <explain>文本全半角错误。</explain>
      <paraID>2CB3C3A4</paraID>
      <start>382</start>
      <end>383</end>
      <status>unmodified</status>
      <modifiedWord/>
      <trackRevisions>false</trackRevisions>
    </reviewItem>
    <reviewItem>
      <errorID>7d710e34-a0eb-4a2b-b8a9-161c2a3c209a</errorID>
      <errorWord>;</errorWord>
      <group>L1_Format</group>
      <groupName>格式问题</groupName>
      <ability>L2_HalfPunc_CN</ability>
      <abilityName>全半角问题</abilityName>
      <candidateList>
        <item>；</item>
      </candidateList>
      <explain>文本全半角错误。</explain>
      <paraID>2CB3C3A4</paraID>
      <start>419</start>
      <end>420</end>
      <status>unmodified</status>
      <modifiedWord/>
      <trackRevisions>false</trackRevisions>
    </reviewItem>
    <reviewItem>
      <errorID>3d97d9fa-9a49-40d6-8985-e55f8cc24d01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51C470A5</paraID>
      <start>0</start>
      <end>2</end>
      <status>unmodified</status>
      <modifiedWord/>
      <trackRevisions>false</trackRevisions>
    </reviewItem>
    <reviewItem>
      <errorID>4acf800c-4a7d-4692-ace0-fd527e5aae70</errorID>
      <errorWord>(</errorWord>
      <group>L1_Format</group>
      <groupName>格式问题</groupName>
      <ability>L2_HalfPunc_CN</ability>
      <abilityName>全半角问题</abilityName>
      <candidateList>
        <item>（</item>
      </candidateList>
      <explain>文本全半角错误。</explain>
      <paraID>6C719871</paraID>
      <start>153</start>
      <end>154</end>
      <status>unmodified</status>
      <modifiedWord/>
      <trackRevisions>false</trackRevisions>
    </reviewItem>
    <reviewItem>
      <errorID>bb795980-8429-487d-b770-48796bd89307</errorID>
      <errorWord>)</errorWord>
      <group>L1_Format</group>
      <groupName>格式问题</groupName>
      <ability>L2_HalfPunc_CN</ability>
      <abilityName>全半角问题</abilityName>
      <candidateList>
        <item>）</item>
      </candidateList>
      <explain>文本全半角错误。</explain>
      <paraID>6C719871</paraID>
      <start>155</start>
      <end>156</end>
      <status>unmodified</status>
      <modifiedWord/>
      <trackRevisions>false</trackRevisions>
    </reviewItem>
    <reviewItem>
      <errorID>63dafa38-f8ec-4bf8-b7e8-9fc597d304d5</errorID>
      <errorWord>;</errorWord>
      <group>L1_Format</group>
      <groupName>格式问题</groupName>
      <ability>L2_HalfPunc_CN</ability>
      <abilityName>全半角问题</abilityName>
      <candidateList>
        <item>；</item>
      </candidateList>
      <explain>文本全半角错误。</explain>
      <paraID>53DB5EBD</paraID>
      <start>130</start>
      <end>131</end>
      <status>unmodified</status>
      <modifiedWord/>
      <trackRevisions>false</trackRevisions>
    </reviewItem>
    <reviewItem>
      <errorID>990953fd-a71b-4ebb-9f4b-66aba4aa59a7</errorID>
      <errorWord>(</errorWord>
      <group>L1_Format</group>
      <groupName>格式问题</groupName>
      <ability>L2_HalfPunc_CN</ability>
      <abilityName>全半角问题</abilityName>
      <candidateList>
        <item>（</item>
      </candidateList>
      <explain>文本全半角错误。</explain>
      <paraID>53DB5EBD</paraID>
      <start>149</start>
      <end>150</end>
      <status>unmodified</status>
      <modifiedWord/>
      <trackRevisions>false</trackRevisions>
    </reviewItem>
    <reviewItem>
      <errorID>1bc4187b-bd68-46b2-89e6-da1f235f5c7e</errorID>
      <errorWord>)</errorWord>
      <group>L1_Format</group>
      <groupName>格式问题</groupName>
      <ability>L2_HalfPunc_CN</ability>
      <abilityName>全半角问题</abilityName>
      <candidateList>
        <item>）</item>
      </candidateList>
      <explain>文本全半角错误。</explain>
      <paraID>53DB5EBD</paraID>
      <start>162</start>
      <end>163</end>
      <status>unmodified</status>
      <modifiedWord/>
      <trackRevisions>false</trackRevisions>
    </reviewItem>
    <reviewItem>
      <errorID>09770fc8-ec4b-4d7a-a6f9-7ff0248dd836</errorID>
      <errorWord>;</errorWord>
      <group>L1_Format</group>
      <groupName>格式问题</groupName>
      <ability>L2_HalfPunc_CN</ability>
      <abilityName>全半角问题</abilityName>
      <candidateList>
        <item>；</item>
      </candidateList>
      <explain>文本全半角错误。</explain>
      <paraID>53DB5EBD</paraID>
      <start>179</start>
      <end>180</end>
      <status>unmodified</status>
      <modifiedWord/>
      <trackRevisions>false</trackRevisions>
    </reviewItem>
    <reviewItem>
      <errorID>a6096223-17fa-43e6-9617-4f00605a4fa9</errorID>
      <errorWord>(</errorWord>
      <group>L1_Format</group>
      <groupName>格式问题</groupName>
      <ability>L2_HalfPunc_CN</ability>
      <abilityName>全半角问题</abilityName>
      <candidateList>
        <item>（</item>
      </candidateList>
      <explain>文本全半角错误。</explain>
      <paraID>53DB5EBD</paraID>
      <start>203</start>
      <end>204</end>
      <status>unmodified</status>
      <modifiedWord/>
      <trackRevisions>false</trackRevisions>
    </reviewItem>
    <reviewItem>
      <errorID>4e4688cb-56ee-43fd-87bd-114013e4ff35</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53DB5EBD</paraID>
      <start>216</start>
      <end>218</end>
      <status>unmodified</status>
      <modifiedWord/>
      <trackRevisions>false</trackRevisions>
    </reviewItem>
    <reviewItem>
      <errorID>b3da7ece-e3dc-4d72-8ce3-af03b81b0118</errorID>
      <errorWord>)</errorWord>
      <group>L1_Format</group>
      <groupName>格式问题</groupName>
      <ability>L2_HalfPunc_CN</ability>
      <abilityName>全半角问题</abilityName>
      <candidateList>
        <item>）</item>
      </candidateList>
      <explain>文本全半角错误。</explain>
      <paraID>53DB5EBD</paraID>
      <start>223</start>
      <end>224</end>
      <status>unmodified</status>
      <modifiedWord/>
      <trackRevisions>false</trackRevisions>
    </reviewItem>
    <reviewItem>
      <errorID>7eefc927-613c-4659-931d-ee0e70e87e25</errorID>
      <errorWord>,</errorWord>
      <group>L1_Format</group>
      <groupName>格式问题</groupName>
      <ability>L2_HalfPunc_CN</ability>
      <abilityName>全半角问题</abilityName>
      <candidateList>
        <item>，</item>
      </candidateList>
      <explain>文本全半角错误。</explain>
      <paraID>4BE24161</paraID>
      <start>10</start>
      <end>11</end>
      <status>unmodified</status>
      <modifiedWord/>
      <trackRevisions>false</trackRevisions>
    </reviewItem>
    <reviewItem>
      <errorID>46a69369-b829-4336-b07e-801b8defb67b</errorID>
      <errorWord>;</errorWord>
      <group>L1_Format</group>
      <groupName>格式问题</groupName>
      <ability>L2_HalfPunc_CN</ability>
      <abilityName>全半角问题</abilityName>
      <candidateList>
        <item>；</item>
      </candidateList>
      <explain>文本全半角错误。</explain>
      <paraID>4BE24161</paraID>
      <start>92</start>
      <end>93</end>
      <status>unmodified</status>
      <modifiedWord/>
      <trackRevisions>false</trackRevisions>
    </reviewItem>
    <reviewItem>
      <errorID>82e595e7-56d3-4808-af46-063de58eddda</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14272BAC</paraID>
      <start>29</start>
      <end>30</end>
      <status>unmodified</status>
      <modifiedWord/>
      <trackRevisions>false</trackRevisions>
    </reviewItem>
    <reviewItem>
      <errorID>2c6dd40f-5bdf-4c09-9b39-dd535008788a</errorID>
      <errorWord>达</errorWord>
      <group>L1_Word</group>
      <groupName>字词问题</groupName>
      <ability>L2_Typo</ability>
      <abilityName>字词错误</abilityName>
      <candidateList>
        <item>达到</item>
      </candidateList>
      <explain>〈动〉到（多指抽象事物或程度）：达得到｜达不到｜目的没有～｜～国际水平。</explain>
      <paraID>64FA069C</paraID>
      <start>17</start>
      <end>18</end>
      <status>unmodified</status>
      <modifiedWord/>
      <trackRevisions>false</trackRevisions>
    </reviewItem>
    <reviewItem>
      <errorID>0f34ce9b-7e4a-47fa-9b58-5e47d28cc023</errorID>
      <errorWord>(</errorWord>
      <group>L1_Format</group>
      <groupName>格式问题</groupName>
      <ability>L2_HalfPunc_CN</ability>
      <abilityName>全半角问题</abilityName>
      <candidateList>
        <item>（</item>
      </candidateList>
      <explain>文本全半角错误。</explain>
      <paraID>64FA069C</paraID>
      <start>85</start>
      <end>86</end>
      <status>unmodified</status>
      <modifiedWord/>
      <trackRevisions>false</trackRevisions>
    </reviewItem>
    <reviewItem>
      <errorID>34eb7994-4df9-4bde-8b15-ef2f441f58c8</errorID>
      <errorWord>)</errorWord>
      <group>L1_Format</group>
      <groupName>格式问题</groupName>
      <ability>L2_HalfPunc_CN</ability>
      <abilityName>全半角问题</abilityName>
      <candidateList>
        <item>）</item>
      </candidateList>
      <explain>文本全半角错误。</explain>
      <paraID>64FA069C</paraID>
      <start>95</start>
      <end>96</end>
      <status>unmodified</status>
      <modifiedWord/>
      <trackRevisions>false</trackRevisions>
    </reviewItem>
    <reviewItem>
      <errorID>ce393737-4d72-4f7a-b5c6-448f4498fe4b</errorID>
      <errorWord>交有</errorWord>
      <group>L1_Word</group>
      <groupName>字词问题</groupName>
      <ability>L2_Typo</ability>
      <abilityName>字词错误</abilityName>
      <candidateList>
        <item>交由</item>
      </candidateList>
      <explain/>
      <paraID> 21BDA0B</paraID>
      <start>57</start>
      <end>59</end>
      <status>unmodified</status>
      <modifiedWord/>
      <trackRevisions>false</trackRevisions>
    </reviewItem>
    <reviewItem>
      <errorID>2b43dbc3-8a85-4d7f-97d1-13e48c65eb3c</errorID>
      <errorWord>;</errorWord>
      <group>L1_Format</group>
      <groupName>格式问题</groupName>
      <ability>L2_HalfPunc_CN</ability>
      <abilityName>全半角问题</abilityName>
      <candidateList>
        <item>；</item>
      </candidateList>
      <explain>文本全半角错误。</explain>
      <paraID>5C41EE07</paraID>
      <start>205</start>
      <end>206</end>
      <status>modified</status>
      <modifiedWord>；</modifiedWord>
      <trackRevisions>false</trackRevisions>
    </reviewItem>
    <reviewItem>
      <errorID>fa1ed1cc-9793-4962-acd0-a4eedf523ad1</errorID>
      <errorWord>《</errorWord>
      <group>L1_Punc</group>
      <groupName>标点问题</groupName>
      <ability>L2_Punc_CN</ability>
      <abilityName>标点符号问题</abilityName>
      <candidateList/>
      <explain>同一形式括号套用。</explain>
      <paraID>213D0E0D</paraID>
      <start>15</start>
      <end>16</end>
      <status>unmodified</status>
      <modifiedWord/>
      <trackRevisions>false</trackRevisions>
    </reviewItem>
    <reviewItem>
      <errorID>1be20987-adc7-49d6-9da1-ed913e56c4a5</errorID>
      <errorWord>》</errorWord>
      <group>L1_Punc</group>
      <groupName>标点问题</groupName>
      <ability>L2_Punc_CN</ability>
      <abilityName>标点符号问题</abilityName>
      <candidateList/>
      <explain>同一形式括号套用。</explain>
      <paraID>213D0E0D</paraID>
      <start>44</start>
      <end>45</end>
      <status>unmodified</status>
      <modifiedWord/>
      <trackRevisions>false</trackRevisions>
    </reviewItem>
    <reviewItem>
      <errorID>95e9bf11-cb2a-4d5d-b740-461bf78ca560</errorID>
      <errorWord>-</errorWord>
      <group>L1_Format</group>
      <groupName>格式问题</groupName>
      <ability>L2_HalfPunc_CN</ability>
      <abilityName>全半角问题</abilityName>
      <candidateList>
        <item>－</item>
      </candidateList>
      <explain>文本全半角错误。</explain>
      <paraID>7F1E4621</paraID>
      <start>74</start>
      <end>75</end>
      <status>unmodified</status>
      <modifiedWord/>
      <trackRevisions>false</trackRevisions>
    </reviewItem>
    <reviewItem>
      <errorID>1fa69c07-17fa-4b90-9ff1-30e4df264705</errorID>
      <errorWord>-</errorWord>
      <group>L1_Format</group>
      <groupName>格式问题</groupName>
      <ability>L2_HalfPunc_CN</ability>
      <abilityName>全半角问题</abilityName>
      <candidateList>
        <item>－</item>
      </candidateList>
      <explain>文本全半角错误。</explain>
      <paraID>7819C257</paraID>
      <start>14</start>
      <end>15</end>
      <status>unmodified</status>
      <modifiedWord/>
      <trackRevisions>false</trackRevisions>
    </reviewItem>
    <reviewItem>
      <errorID>ee19ac4d-bf1a-4257-baa2-c7922374580e</errorID>
      <errorWord>作为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768565F9</paraID>
      <start>13</start>
      <end>15</end>
      <status>unmodified</status>
      <modifiedWord/>
      <trackRevisions>false</trackRevisions>
    </reviewItem>
    <reviewItem>
      <errorID>e4fd9ae7-813f-457d-bd95-136b16d0b8ac</errorID>
      <errorWord>强</errorWord>
      <group>L1_Word</group>
      <groupName>字词问题</groupName>
      <ability>L2_Typo</ability>
      <abilityName>字词错误</abilityName>
      <candidateList>
        <item>强对</item>
      </candidateList>
      <explain/>
      <paraID>7CDD976F</paraID>
      <start>77</start>
      <end>78</end>
      <status>unmodified</status>
      <modifiedWord/>
      <trackRevisions>false</trackRevisions>
    </reviewItem>
    <reviewItem>
      <errorID>ebe5a895-0564-46d0-a052-5fa912d76f08</errorID>
      <errorWord>源</errorWord>
      <group>L1_Word</group>
      <groupName>字词问题</groupName>
      <ability>L2_Typo</ability>
      <abilityName>字词错误</abilityName>
      <candidateList>
        <item>源汽</item>
      </candidateList>
      <explain/>
      <paraID>1F8AF637</paraID>
      <start>73</start>
      <end>74</end>
      <status>unmodified</status>
      <modifiedWord/>
      <trackRevisions>false</trackRevisions>
    </reviewItem>
    <reviewItem>
      <errorID>0a6b3ab6-1699-46c2-a80b-d827b2999705</errorID>
      <errorWord>胶粘剂</errorWord>
      <group>L1_Word</group>
      <groupName>字词问题</groupName>
      <ability>L2_Typo</ability>
      <abilityName>字词错误</abilityName>
      <candidateList>
        <item>胶黏剂</item>
      </candidateList>
      <explain/>
      <paraID>18C238D5</paraID>
      <start>6</start>
      <end>9</end>
      <status>unmodified</status>
      <modifiedWord/>
      <trackRevisions>false</trackRevisions>
    </reviewItem>
    <reviewItem>
      <errorID>3acc4dda-d5b8-4845-9aa3-7a3180137dd8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206CD0A4</paraID>
      <start>0</start>
      <end>2</end>
      <status>unmodified</status>
      <modifiedWord/>
      <trackRevisions>false</trackRevisions>
    </reviewItem>
    <reviewItem>
      <errorID>bd5ec707-0f66-452e-bbae-5a839f4af405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70A6B4B0</paraID>
      <start>0</start>
      <end>2</end>
      <status>unmodified</status>
      <modifiedWord/>
      <trackRevisions>false</trackRevisions>
    </reviewItem>
    <reviewItem>
      <errorID>c8766518-f410-459f-8014-a9e1e95ec90a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31F8A2C2</paraID>
      <start>0</start>
      <end>2</end>
      <status>unmodified</status>
      <modifiedWord/>
      <trackRevisions>false</trackRevisions>
    </reviewItem>
    <reviewItem>
      <errorID>d96c8358-2977-47ef-81ae-6f9fcb4f35b7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29855AF4</paraID>
      <start>0</start>
      <end>2</end>
      <status>unmodified</status>
      <modifiedWord/>
      <trackRevisions>false</trackRevisions>
    </reviewItem>
    <reviewItem>
      <errorID>01710b05-6832-401c-b99c-2d36883d05b2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406855E1</paraID>
      <start>0</start>
      <end>2</end>
      <status>unmodified</status>
      <modifiedWord/>
      <trackRevisions>false</trackRevisions>
    </reviewItem>
    <reviewItem>
      <errorID>6a873cb6-02d9-4e76-9b37-27c1ca849b8d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38733E7D</paraID>
      <start>0</start>
      <end>2</end>
      <status>unmodified</status>
      <modifiedWord/>
      <trackRevisions>false</trackRevisions>
    </reviewItem>
    <reviewItem>
      <errorID>61156000-6207-48ab-81f1-ea6674163aa5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4CADC7FA</paraID>
      <start>0</start>
      <end>2</end>
      <status>unmodified</status>
      <modifiedWord/>
      <trackRevisions>false</trackRevisions>
    </reviewItem>
    <reviewItem>
      <errorID>40d22d34-4027-4e73-9d85-bfd270ff5a41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460BDAE</paraID>
      <start>0</start>
      <end>2</end>
      <status>unmodified</status>
      <modifiedWord/>
      <trackRevisions>false</trackRevisions>
    </reviewItem>
    <reviewItem>
      <errorID>5f24a4e0-8a11-4056-8e40-6954fd823d88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173932E7</paraID>
      <start>0</start>
      <end>2</end>
      <status>unmodified</status>
      <modifiedWord/>
      <trackRevisions>false</trackRevisions>
    </reviewItem>
    <reviewItem>
      <errorID>efb025ee-87ee-46bd-a583-9551c039e0f5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3790E5</paraID>
      <start>0</start>
      <end>2</end>
      <status>unmodified</status>
      <modifiedWord/>
      <trackRevisions>false</trackRevisions>
    </reviewItem>
    <reviewItem>
      <errorID>fcd08acc-c3ec-45fb-a363-133ad30ea7f3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437FDAED</paraID>
      <start>0</start>
      <end>2</end>
      <status>unmodified</status>
      <modifiedWord/>
      <trackRevisions>false</trackRevisions>
    </reviewItem>
    <reviewItem>
      <errorID>eb3a2b99-d501-4112-ab01-9a741d67db8c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175DFBD9</paraID>
      <start>0</start>
      <end>2</end>
      <status>unmodified</status>
      <modifiedWord/>
      <trackRevisions>false</trackRevisions>
    </reviewItem>
    <reviewItem>
      <errorID>8633b91a-4345-41ee-a40f-13fd337c3e4a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5CF4F208</paraID>
      <start>0</start>
      <end>2</end>
      <status>unmodified</status>
      <modifiedWord/>
      <trackRevisions>false</trackRevisions>
    </reviewItem>
    <reviewItem>
      <errorID>8876cf1f-a370-4faf-bd79-fcc928df0c11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379B5580</paraID>
      <start>0</start>
      <end>2</end>
      <status>unmodified</status>
      <modifiedWord/>
      <trackRevisions>false</trackRevisions>
    </reviewItem>
    <reviewItem>
      <errorID>bb435763-4ae4-47dc-9e89-af1691d0c6da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15C730C</paraID>
      <start>0</start>
      <end>2</end>
      <status>unmodified</status>
      <modifiedWord/>
      <trackRevisions>false</trackRevisions>
    </reviewItem>
    <reviewItem>
      <errorID>542e7263-bbf5-40b1-8525-b9474423b615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A05E563</paraID>
      <start>0</start>
      <end>2</end>
      <status>unmodified</status>
      <modifiedWord/>
      <trackRevisions>false</trackRevisions>
    </reviewItem>
    <reviewItem>
      <errorID>890f4997-678d-4ab8-af90-d20ad72e26c1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244D7420</paraID>
      <start>0</start>
      <end>2</end>
      <status>unmodified</status>
      <modifiedWord/>
      <trackRevisions>false</trackRevisions>
    </reviewItem>
    <reviewItem>
      <errorID>6f97b55c-419c-4775-b71e-ab6064afe283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455BBF89</paraID>
      <start>0</start>
      <end>2</end>
      <status>unmodified</status>
      <modifiedWord/>
      <trackRevisions>false</trackRevisions>
    </reviewItem>
    <reviewItem>
      <errorID>32baeb93-061d-4a34-b18b-cdd0b1f223a5</errorID>
      <errorWord>(</errorWord>
      <group>L1_Format</group>
      <groupName>格式问题</groupName>
      <ability>L2_HalfPunc_CN</ability>
      <abilityName>全半角问题</abilityName>
      <candidateList>
        <item>（</item>
      </candidateList>
      <explain>文本全半角错误。</explain>
      <paraID>1CD7684A</paraID>
      <start>62</start>
      <end>63</end>
      <status>unmodified</status>
      <modifiedWord/>
      <trackRevisions>false</trackRevisions>
    </reviewItem>
    <reviewItem>
      <errorID>23813d3b-8410-4e0d-b218-70f204710606</errorID>
      <errorWord>)</errorWord>
      <group>L1_Format</group>
      <groupName>格式问题</groupName>
      <ability>L2_HalfPunc_CN</ability>
      <abilityName>全半角问题</abilityName>
      <candidateList>
        <item>）</item>
      </candidateList>
      <explain>文本全半角错误。</explain>
      <paraID>1CD7684A</paraID>
      <start>68</start>
      <end>69</end>
      <status>unmodified</status>
      <modifiedWord/>
      <trackRevisions>false</trackRevisions>
    </reviewItem>
    <reviewItem>
      <errorID>4c709d55-6aa1-4b8d-a033-2b16686e1746</errorID>
      <errorWord>)</errorWord>
      <group>L1_Format</group>
      <groupName>格式问题</groupName>
      <ability>L2_HalfPunc_CN</ability>
      <abilityName>全半角问题</abilityName>
      <candidateList>
        <item>）</item>
      </candidateList>
      <explain>文本全半角错误。</explain>
      <paraID>554C4CE7</paraID>
      <start>38</start>
      <end>39</end>
      <status>unmodified</status>
      <modifiedWord/>
      <trackRevisions>false</trackRevisions>
    </reviewItem>
    <reviewItem>
      <errorID>81685a58-ea75-4921-925a-ece0365a3adb</errorID>
      <errorWord>)</errorWord>
      <group>L1_Format</group>
      <groupName>格式问题</groupName>
      <ability>L2_HalfPunc_CN</ability>
      <abilityName>全半角问题</abilityName>
      <candidateList>
        <item>）</item>
      </candidateList>
      <explain>文本全半角错误。</explain>
      <paraID>554C4CE7</paraID>
      <start>55</start>
      <end>56</end>
      <status>unmodified</status>
      <modifiedWord/>
      <trackRevisions>false</trackRevisions>
    </reviewItem>
    <reviewItem>
      <errorID>e9711cb9-cf9c-4aac-a841-7b87f481130d</errorID>
      <errorWord>自然保护区的</errorWord>
      <group>L1_Word</group>
      <groupName>字词问题</groupName>
      <ability>L2_Typo</ability>
      <abilityName>字词错误</abilityName>
      <candidateList>
        <item>自然保护区</item>
      </candidateList>
      <explain/>
      <paraID> 8A23881</paraID>
      <start>38</start>
      <end>44</end>
      <status>unmodified</status>
      <modifiedWord/>
      <trackRevisions>false</trackRevisions>
    </reviewItem>
    <reviewItem>
      <errorID>74ea83f2-9938-43a2-a837-b6e39e2ba26f</errorID>
      <errorWord>(</errorWord>
      <group>L1_Format</group>
      <groupName>格式问题</groupName>
      <ability>L2_HalfPunc_CN</ability>
      <abilityName>全半角问题</abilityName>
      <candidateList>
        <item>（</item>
      </candidateList>
      <explain>文本全半角错误。</explain>
      <paraID>6CF8B7A5</paraID>
      <start>19</start>
      <end>20</end>
      <status>unmodified</status>
      <modifiedWord/>
      <trackRevisions>false</trackRevisions>
    </reviewItem>
    <reviewItem>
      <errorID>edb3e8c2-2432-4725-b7c7-2251439325cd</errorID>
      <errorWord>)</errorWord>
      <group>L1_Format</group>
      <groupName>格式问题</groupName>
      <ability>L2_HalfPunc_CN</ability>
      <abilityName>全半角问题</abilityName>
      <candidateList>
        <item>）</item>
      </candidateList>
      <explain>文本全半角错误。</explain>
      <paraID>40BB351B</paraID>
      <start>48</start>
      <end>49</end>
      <status>unmodified</status>
      <modifiedWord/>
      <trackRevisions>false</trackRevisions>
    </reviewItem>
    <reviewItem>
      <errorID>87730bb9-61a6-450c-ade0-ed70dee05eb0</errorID>
      <errorWord>(</errorWord>
      <group>L1_Format</group>
      <groupName>格式问题</groupName>
      <ability>L2_HalfPunc_CN</ability>
      <abilityName>全半角问题</abilityName>
      <candidateList>
        <item>（</item>
      </candidateList>
      <explain>文本全半角错误。</explain>
      <paraID> 4DA1E7C</paraID>
      <start>31</start>
      <end>32</end>
      <status>unmodified</status>
      <modifiedWord/>
      <trackRevisions>false</trackRevisions>
    </reviewItem>
    <reviewItem>
      <errorID>adbcc89f-6d9d-4b4c-967e-e262130dd9fd</errorID>
      <errorWord>)</errorWord>
      <group>L1_Format</group>
      <groupName>格式问题</groupName>
      <ability>L2_HalfPunc_CN</ability>
      <abilityName>全半角问题</abilityName>
      <candidateList>
        <item>）</item>
      </candidateList>
      <explain>文本全半角错误。</explain>
      <paraID> 4DA1E7C</paraID>
      <start>63</start>
      <end>64</end>
      <status>unmodified</status>
      <modifiedWord/>
      <trackRevisions>false</trackRevisions>
    </reviewItem>
    <reviewItem>
      <errorID>00ee9ad4-02df-42d9-83ec-9770f82f7285</errorID>
      <errorWord>(</errorWord>
      <group>L1_Format</group>
      <groupName>格式问题</groupName>
      <ability>L2_HalfPunc_CN</ability>
      <abilityName>全半角问题</abilityName>
      <candidateList>
        <item>（</item>
      </candidateList>
      <explain>文本全半角错误。</explain>
      <paraID> 4DA1E7C</paraID>
      <start>79</start>
      <end>80</end>
      <status>unmodified</status>
      <modifiedWord/>
      <trackRevisions>false</trackRevisions>
    </reviewItem>
    <reviewItem>
      <errorID>895072d5-216b-4a4b-a965-4e8186c11554</errorID>
      <errorWord>)</errorWord>
      <group>L1_Format</group>
      <groupName>格式问题</groupName>
      <ability>L2_HalfPunc_CN</ability>
      <abilityName>全半角问题</abilityName>
      <candidateList>
        <item>）</item>
      </candidateList>
      <explain>文本全半角错误。</explain>
      <paraID> 4DA1E7C</paraID>
      <start>140</start>
      <end>141</end>
      <status>unmodified</status>
      <modifiedWord/>
      <trackRevisions>false</trackRevisions>
    </reviewItem>
    <reviewItem>
      <errorID>d5815621-1171-4348-96ec-ece61f5c213b</errorID>
      <errorWord>)</errorWord>
      <group>L1_Format</group>
      <groupName>格式问题</groupName>
      <ability>L2_HalfPunc_CN</ability>
      <abilityName>全半角问题</abilityName>
      <candidateList>
        <item>）</item>
      </candidateList>
      <explain>文本全半角错误。</explain>
      <paraID>49CF8D74</paraID>
      <start>32</start>
      <end>33</end>
      <status>unmodified</status>
      <modifiedWord/>
      <trackRevisions>false</trackRevisions>
    </reviewItem>
    <reviewItem>
      <errorID>1b8ba370-717a-496f-b140-da7a4c68b314</errorID>
      <errorWord>(</errorWord>
      <group>L1_Format</group>
      <groupName>格式问题</groupName>
      <ability>L2_HalfPunc_CN</ability>
      <abilityName>全半角问题</abilityName>
      <candidateList>
        <item>（</item>
      </candidateList>
      <explain>文本全半角错误。</explain>
      <paraID>49CF8D74</paraID>
      <start>34</start>
      <end>35</end>
      <status>unmodified</status>
      <modifiedWord/>
      <trackRevisions>false</trackRevisions>
    </reviewItem>
    <reviewItem>
      <errorID>8d9b02d1-363d-4aad-b520-014829593f23</errorID>
      <errorWord>(</errorWord>
      <group>L1_Format</group>
      <groupName>格式问题</groupName>
      <ability>L2_HalfPunc_CN</ability>
      <abilityName>全半角问题</abilityName>
      <candidateList>
        <item>（</item>
      </candidateList>
      <explain>文本全半角错误。</explain>
      <paraID>49CF8D74</paraID>
      <start>48</start>
      <end>49</end>
      <status>unmodified</status>
      <modifiedWord/>
      <trackRevisions>false</trackRevisions>
    </reviewItem>
    <reviewItem>
      <errorID>c3085d5c-e002-49a2-b5af-a10bec6501e3</errorID>
      <errorWord>;(</errorWord>
      <group>L1_Format</group>
      <groupName>格式问题</groupName>
      <ability>L2_HalfPunc_CN</ability>
      <abilityName>全半角问题</abilityName>
      <candidateList>
        <item>；（</item>
      </candidateList>
      <explain>文本全半角错误。</explain>
      <paraID>49CF8D74</paraID>
      <start>77</start>
      <end>79</end>
      <status>unmodified</status>
      <modifiedWord/>
      <trackRevisions>false</trackRevisions>
    </reviewItem>
    <reviewItem>
      <errorID>54dd01b3-e8ff-41ef-a454-0142bdbd97c6</errorID>
      <errorWord>)</errorWord>
      <group>L1_Format</group>
      <groupName>格式问题</groupName>
      <ability>L2_HalfPunc_CN</ability>
      <abilityName>全半角问题</abilityName>
      <candidateList>
        <item>）</item>
      </candidateList>
      <explain>文本全半角错误。</explain>
      <paraID>49CF8D74</paraID>
      <start>125</start>
      <end>126</end>
      <status>unmodified</status>
      <modifiedWord/>
      <trackRevisions>false</trackRevisions>
    </reviewItem>
    <reviewItem>
      <errorID>29274503-ba82-4692-93f4-48a6f60fc167</errorID>
      <errorWord>(</errorWord>
      <group>L1_Format</group>
      <groupName>格式问题</groupName>
      <ability>L2_HalfPunc_CN</ability>
      <abilityName>全半角问题</abilityName>
      <candidateList>
        <item>（</item>
      </candidateList>
      <explain>文本全半角错误。</explain>
      <paraID>49CF8D74</paraID>
      <start>127</start>
      <end>128</end>
      <status>unmodified</status>
      <modifiedWord/>
      <trackRevisions>false</trackRevisions>
    </reviewItem>
    <reviewItem>
      <errorID>b09d2b2d-18e0-45b4-b081-389fa3018086</errorID>
      <errorWord>(</errorWord>
      <group>L1_Format</group>
      <groupName>格式问题</groupName>
      <ability>L2_HalfPunc_CN</ability>
      <abilityName>全半角问题</abilityName>
      <candidateList>
        <item>（</item>
      </candidateList>
      <explain>文本全半角错误。</explain>
      <paraID>49CF8D74</paraID>
      <start>152</start>
      <end>153</end>
      <status>unmodified</status>
      <modifiedWord/>
      <trackRevisions>false</trackRevisions>
    </reviewItem>
    <reviewItem>
      <errorID>44768f37-e14d-4ae2-bb66-4c53c98e288f</errorID>
      <errorWord>)</errorWord>
      <group>L1_Format</group>
      <groupName>格式问题</groupName>
      <ability>L2_HalfPunc_CN</ability>
      <abilityName>全半角问题</abilityName>
      <candidateList>
        <item>）</item>
      </candidateList>
      <explain>文本全半角错误。</explain>
      <paraID>49CF8D74</paraID>
      <start>180</start>
      <end>181</end>
      <status>unmodified</status>
      <modifiedWord/>
      <trackRevisions>false</trackRevisions>
    </reviewItem>
    <reviewItem>
      <errorID>376ef4cc-a6b2-451e-b15e-e1ad19e7d197</errorID>
      <errorWord>胶粘剂</errorWord>
      <group>L1_Word</group>
      <groupName>字词问题</groupName>
      <ability>L2_Typo</ability>
      <abilityName>字词错误</abilityName>
      <candidateList>
        <item>胶黏剂</item>
      </candidateList>
      <explain/>
      <paraID>5CCACC73</paraID>
      <start>88</start>
      <end>91</end>
      <status>unmodified</status>
      <modifiedWord/>
      <trackRevisions>false</trackRevisions>
    </reviewItem>
    <reviewItem>
      <errorID>2e64f24c-ead6-4a43-b838-e803ff09015a</errorID>
      <errorWord>胶粘剂</errorWord>
      <group>L1_Word</group>
      <groupName>字词问题</groupName>
      <ability>L2_Typo</ability>
      <abilityName>字词错误</abilityName>
      <candidateList>
        <item>胶黏剂</item>
      </candidateList>
      <explain/>
      <paraID>5CCACC73</paraID>
      <start>286</start>
      <end>289</end>
      <status>unmodified</status>
      <modifiedWord/>
      <trackRevisions>false</trackRevisions>
    </reviewItem>
    <reviewItem>
      <errorID>ac00fcf1-e6cb-4e68-b608-d4a97751d170</errorID>
      <errorWord>胶粘剂</errorWord>
      <group>L1_Word</group>
      <groupName>字词问题</groupName>
      <ability>L2_Typo</ability>
      <abilityName>字词错误</abilityName>
      <candidateList>
        <item>胶黏剂</item>
      </candidateList>
      <explain/>
      <paraID>5CCACC73</paraID>
      <start>331</start>
      <end>334</end>
      <status>unmodified</status>
      <modifiedWord/>
      <trackRevisions>false</trackRevisions>
    </reviewItem>
    <reviewItem>
      <errorID>d1863c86-6f9b-4ee9-ac89-8044c85c44ff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4917F1D</paraID>
      <start>46</start>
      <end>47</end>
      <status>unmodified</status>
      <modifiedWord/>
      <trackRevisions>false</trackRevisions>
    </reviewItem>
    <reviewItem>
      <errorID>6e8874b7-689a-4a87-8c0a-99bb6a9edb1f</errorID>
      <errorWord>强</errorWord>
      <group>L1_Word</group>
      <groupName>字词问题</groupName>
      <ability>L2_Typo</ability>
      <abilityName>字词错误</abilityName>
      <candidateList>
        <item>强对</item>
      </candidateList>
      <explain/>
      <paraID> 8AAB38F</paraID>
      <start>240</start>
      <end>241</end>
      <status>unmodified</status>
      <modifiedWord/>
      <trackRevisions>false</trackRevisions>
    </reviewItem>
    <reviewItem>
      <errorID>4f12637e-64b4-48e3-9bce-b26c7cd565bc</errorID>
      <errorWord>交有</errorWord>
      <group>L1_Word</group>
      <groupName>字词问题</groupName>
      <ability>L2_Typo</ability>
      <abilityName>字词错误</abilityName>
      <candidateList>
        <item>交由</item>
      </candidateList>
      <explain>存在发音相同字词的误用。</explain>
      <paraID>65A5AB14</paraID>
      <start>117</start>
      <end>119</end>
      <status>unmodified</status>
      <modifiedWord/>
      <trackRevisions>false</trackRevisions>
    </reviewItem>
    <reviewItem>
      <errorID>a7084575-7b73-4d35-97b7-a5dad3fd96b0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121B2EAD</paraID>
      <start>0</start>
      <end>2</end>
      <status>unmodified</status>
      <modifiedWord/>
      <trackRevisions>false</trackRevisions>
    </reviewItem>
    <reviewItem>
      <errorID>de009f7f-276c-4c32-b80d-c5a9b5b98921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65520DCD</paraID>
      <start>0</start>
      <end>2</end>
      <status>unmodified</status>
      <modifiedWord/>
      <trackRevisions>false</trackRevisions>
    </reviewItem>
    <reviewItem>
      <errorID>cdc80e2a-ac48-4a30-a139-0b3e02268167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3723C54B</paraID>
      <start>0</start>
      <end>2</end>
      <status>unmodified</status>
      <modifiedWord/>
      <trackRevisions>false</trackRevisions>
    </reviewItem>
    <reviewItem>
      <errorID>33b5e091-2bf2-465b-9950-87226fcdc916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6BB27841</paraID>
      <start>0</start>
      <end>2</end>
      <status>unmodified</status>
      <modifiedWord/>
      <trackRevisions>false</trackRevisions>
    </reviewItem>
    <reviewItem>
      <errorID>efe6369f-1d00-4d23-859c-062f4087fe1f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21ABD814</paraID>
      <start>0</start>
      <end>2</end>
      <status>unmodified</status>
      <modifiedWord/>
      <trackRevisions>false</trackRevisions>
    </reviewItem>
    <reviewItem>
      <errorID>62d983a8-b0cb-40a7-9a56-de5973c59a01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774224E0</paraID>
      <start>0</start>
      <end>2</end>
      <status>unmodified</status>
      <modifiedWord/>
      <trackRevisions>false</trackRevisions>
    </reviewItem>
    <reviewItem>
      <errorID>65ea5737-e879-4f5d-aed5-eae9a426ac02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1CE7E8B7</paraID>
      <start>0</start>
      <end>2</end>
      <status>unmodified</status>
      <modifiedWord/>
      <trackRevisions>false</trackRevisions>
    </reviewItem>
    <reviewItem>
      <errorID>4cc08dd1-8752-40b4-9cd9-a17a17401075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26377E8</paraID>
      <start>0</start>
      <end>2</end>
      <status>unmodified</status>
      <modifiedWord/>
      <trackRevisions>false</trackRevisions>
    </reviewItem>
    <reviewItem>
      <errorID>5af4dd36-3d5f-45ed-91de-4153aa527c17</errorID>
      <errorWord>程</errorWord>
      <group>L1_Word</group>
      <groupName>字词问题</groupName>
      <ability>L2_Typo</ability>
      <abilityName>字词错误</abilityName>
      <candidateList>
        <item>程中</item>
      </candidateList>
      <explain/>
      <paraID>7325E745</paraID>
      <start>41</start>
      <end>42</end>
      <status>unmodified</status>
      <modifiedWord/>
      <trackRevisions>false</trackRevisions>
    </reviewItem>
    <reviewItem>
      <errorID>c6227673-cc9f-49b9-8f76-0921b1a4a84c</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5DC02A2D</paraID>
      <start>23</start>
      <end>26</end>
      <status>unmodified</status>
      <modifiedWord/>
      <trackRevisions>false</trackRevisions>
    </reviewItem>
    <reviewItem>
      <errorID>f761f5d4-a0e6-4e2f-8e5c-d5d5262ee9ed</errorID>
      <errorWord>《</errorWord>
      <group>L1_Punc</group>
      <groupName>标点问题</groupName>
      <ability>L2_Punc_CN</ability>
      <abilityName>标点符号问题</abilityName>
      <candidateList/>
      <explain>同一形式括号套用。</explain>
      <paraID>1240B0C5</paraID>
      <start>6</start>
      <end>7</end>
      <status>unmodified</status>
      <modifiedWord/>
      <trackRevisions>false</trackRevisions>
    </reviewItem>
    <reviewItem>
      <errorID>25c7944d-d389-4164-bccb-e489ad202cfc</errorID>
      <errorWord>》</errorWord>
      <group>L1_Punc</group>
      <groupName>标点问题</groupName>
      <ability>L2_Punc_CN</ability>
      <abilityName>标点符号问题</abilityName>
      <candidateList/>
      <explain>同一形式括号套用。</explain>
      <paraID>1240B0C5</paraID>
      <start>24</start>
      <end>25</end>
      <status>unmodified</status>
      <modifiedWord/>
      <trackRevisions>false</trackRevisions>
    </reviewItem>
    <reviewItem>
      <errorID>2b30c29b-51d6-4492-adf1-4507d55fd044</errorID>
      <errorWord>[2020]33号</errorWord>
      <group>L1_Knowledge</group>
      <groupName>知识性问题</groupName>
      <ability>L2_Knowledge</ability>
      <abilityName>其他知识</abilityName>
      <candidateList>
        <item>〔2020〕33号</item>
      </candidateList>
      <explain>发文字号格式错误。</explain>
      <paraID>70F277D9</paraID>
      <start>34</start>
      <end>43</end>
      <status>modified</status>
      <modifiedWord>〔2020〕33号</modifiedWord>
      <trackRevisions>false</trackRevisions>
    </reviewItem>
    <reviewItem>
      <errorID>a8e433b6-1359-4e35-86b4-a2423e7f5355</errorID>
      <errorWord>[2020]33号</errorWord>
      <group>L1_Knowledge</group>
      <groupName>知识性问题</groupName>
      <ability>L2_Knowledge</ability>
      <abilityName>其他知识</abilityName>
      <candidateList>
        <item>〔2020〕33号</item>
      </candidateList>
      <explain>发文字号格式错误。</explain>
      <paraID> 71B8749</paraID>
      <start>36</start>
      <end>45</end>
      <status>modified</status>
      <modifiedWord>〔2020〕33号</modifiedWord>
      <trackRevisions>false</trackRevisions>
    </reviewItem>
    <reviewItem>
      <errorID>a8b7a874-f1b6-449c-a505-3e1337b28453</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1EE52F7E</paraID>
      <start>94</start>
      <end>95</end>
      <status>unmodified</status>
      <modifiedWord/>
      <trackRevisions>false</trackRevisions>
    </reviewItem>
    <reviewItem>
      <errorID>2b0b22e5-f4a6-48bd-ad35-293808c4925c</errorID>
      <errorWord>-</errorWord>
      <group>L1_Format</group>
      <groupName>格式问题</groupName>
      <ability>L2_HalfPunc_CN</ability>
      <abilityName>全半角问题</abilityName>
      <candidateList>
        <item>－</item>
      </candidateList>
      <explain>文本全半角错误。</explain>
      <paraID>1EE52F7E</paraID>
      <start>120</start>
      <end>121</end>
      <status>unmodified</status>
      <modifiedWord/>
      <trackRevisions>false</trackRevisions>
    </reviewItem>
    <reviewItem>
      <errorID>db9e8464-08c4-427e-8140-af63bbe1390c</errorID>
      <errorWord>达</errorWord>
      <group>L1_Word</group>
      <groupName>字词问题</groupName>
      <ability>L2_Typo</ability>
      <abilityName>字词错误</abilityName>
      <candidateList>
        <item>达到</item>
      </candidateList>
      <explain>〈动〉到（多指抽象事物或程度）：达得到｜达不到｜目的没有～｜～国际水平。</explain>
      <paraID>2C25B3AA</paraID>
      <start>56</start>
      <end>57</end>
      <status>unmodified</status>
      <modifiedWord/>
      <trackRevisions>false</trackRevisions>
    </reviewItem>
    <reviewItem>
      <errorID>b0bf1b0d-99bc-400e-8592-a900ef88bd18</errorID>
      <errorWord>(</errorWord>
      <group>L1_Format</group>
      <groupName>格式问题</groupName>
      <ability>L2_HalfPunc_CN</ability>
      <abilityName>全半角问题</abilityName>
      <candidateList>
        <item>（</item>
      </candidateList>
      <explain>文本全半角错误。</explain>
      <paraID>2C25B3AA</paraID>
      <start>67</start>
      <end>68</end>
      <status>unmodified</status>
      <modifiedWord/>
      <trackRevisions>false</trackRevisions>
    </reviewItem>
    <reviewItem>
      <errorID>b6102db2-6917-4af6-b190-651cce4fe83d</errorID>
      <errorWord>)</errorWord>
      <group>L1_Format</group>
      <groupName>格式问题</groupName>
      <ability>L2_HalfPunc_CN</ability>
      <abilityName>全半角问题</abilityName>
      <candidateList>
        <item>）</item>
      </candidateList>
      <explain>文本全半角错误。</explain>
      <paraID>2C25B3AA</paraID>
      <start>79</start>
      <end>80</end>
      <status>unmodified</status>
      <modifiedWord/>
      <trackRevisions>false</trackRevisions>
    </reviewItem>
    <reviewItem>
      <errorID>b3d18eb1-9ec0-4750-80db-2ba100c935f2</errorID>
      <errorWord>达</errorWord>
      <group>L1_Word</group>
      <groupName>字词问题</groupName>
      <ability>L2_Typo</ability>
      <abilityName>字词错误</abilityName>
      <candidateList>
        <item>达到</item>
      </candidateList>
      <explain>〈动〉到（多指抽象事物或程度）：达得到｜达不到｜目的没有～｜～国际水平。</explain>
      <paraID>780D2E03</paraID>
      <start>40</start>
      <end>41</end>
      <status>unmodified</status>
      <modifiedWord/>
      <trackRevisions>false</trackRevisions>
    </reviewItem>
    <reviewItem>
      <errorID>911c06ea-658e-4799-b1db-0b1a88d891e5</errorID>
      <errorWord>(</errorWord>
      <group>L1_Format</group>
      <groupName>格式问题</groupName>
      <ability>L2_HalfPunc_CN</ability>
      <abilityName>全半角问题</abilityName>
      <candidateList>
        <item>（</item>
      </candidateList>
      <explain>文本全半角错误。</explain>
      <paraID>780D2E03</paraID>
      <start>51</start>
      <end>52</end>
      <status>unmodified</status>
      <modifiedWord/>
      <trackRevisions>false</trackRevisions>
    </reviewItem>
    <reviewItem>
      <errorID>a3829981-3ab9-4e57-9e13-a1c181492a9b</errorID>
      <errorWord>)</errorWord>
      <group>L1_Format</group>
      <groupName>格式问题</groupName>
      <ability>L2_HalfPunc_CN</ability>
      <abilityName>全半角问题</abilityName>
      <candidateList>
        <item>）</item>
      </candidateList>
      <explain>文本全半角错误。</explain>
      <paraID>780D2E03</paraID>
      <start>63</start>
      <end>64</end>
      <status>unmodified</status>
      <modifiedWord/>
      <trackRevisions>false</trackRevisions>
    </reviewItem>
    <reviewItem>
      <errorID>9cdc7f73-4da4-498a-8934-87859402d067</errorID>
      <errorWord>（</errorWord>
      <group>L1_Format</group>
      <groupName>格式问题</groupName>
      <ability>L2_HalfPunc_CN</ability>
      <abilityName>全半角问题</abilityName>
      <candidateList>
        <item>(</item>
      </candidateList>
      <explain>文本全半角错误。</explain>
      <paraID>41CC44BF</paraID>
      <start>3</start>
      <end>4</end>
      <status>unmodified</status>
      <modifiedWord/>
      <trackRevisions>false</trackRevisions>
    </reviewItem>
    <reviewItem>
      <errorID>d495aa00-49af-4cca-8b8c-24033f8a27aa</errorID>
      <errorWord>）</errorWord>
      <group>L1_Format</group>
      <groupName>格式问题</groupName>
      <ability>L2_HalfPunc_CN</ability>
      <abilityName>全半角问题</abilityName>
      <candidateList>
        <item>)</item>
      </candidateList>
      <explain>文本全半角错误。</explain>
      <paraID>41CC44BF</paraID>
      <start>6</start>
      <end>7</end>
      <status>unmodified</status>
      <modifiedWord/>
      <trackRevisions>false</trackRevisions>
    </reviewItem>
    <reviewItem>
      <errorID>2330461f-cabc-4842-89f3-855c4cc89e37</errorID>
      <errorWord>国家发改委</errorWord>
      <group>L1_Knowledge</group>
      <groupName>知识性问题</groupName>
      <ability>L2_Knowledge</ability>
      <abilityName>其他知识</abilityName>
      <candidateList>
        <item>国家发展改革委</item>
      </candidateList>
      <explain/>
      <paraID> FE48BF9</paraID>
      <start>2</start>
      <end>9</end>
      <status>modified</status>
      <modifiedWord>国家发展改革委</modifiedWord>
      <trackRevisions>false</trackRevisions>
    </reviewItem>
    <reviewItem>
      <errorID>5f8f21fe-7b5d-407a-b179-741b40ff786b</errorID>
      <errorWord>(</errorWord>
      <group>L1_Format</group>
      <groupName>格式问题</groupName>
      <ability>L2_HalfPunc_CN</ability>
      <abilityName>全半角问题</abilityName>
      <candidateList>
        <item>（</item>
      </candidateList>
      <explain>文本全半角错误。</explain>
      <paraID>49B895DF</paraID>
      <start>2</start>
      <end>3</end>
      <status>unmodified</status>
      <modifiedWord/>
      <trackRevisions>false</trackRevisions>
    </reviewItem>
    <reviewItem>
      <errorID>a0bbe7c4-35f9-4c97-b4a3-cbdc3bd670c1</errorID>
      <errorWord>)</errorWord>
      <group>L1_Format</group>
      <groupName>格式问题</groupName>
      <ability>L2_HalfPunc_CN</ability>
      <abilityName>全半角问题</abilityName>
      <candidateList>
        <item>）</item>
      </candidateList>
      <explain>文本全半角错误。</explain>
      <paraID>49B895DF</paraID>
      <start>4</start>
      <end>5</end>
      <status>unmodified</status>
      <modifiedWord/>
      <trackRevisions>false</trackRevisions>
    </reviewItem>
    <reviewItem>
      <errorID>6e907e27-9eaf-4f40-a12f-2aa26ea3b881</errorID>
      <errorWord>（/</errorWord>
      <group>L1_Punc</group>
      <groupName>标点问题</groupName>
      <ability>L2_Punc_CN</ability>
      <abilityName>标点符号问题</abilityName>
      <candidateList>
        <item>（</item>
      </candidateList>
      <explain/>
      <paraID>63780417</paraID>
      <start>4</start>
      <end>6</end>
      <status>unmodified</status>
      <modifiedWord/>
      <trackRevisions>false</trackRevisions>
    </reviewItem>
    <reviewItem>
      <errorID>2893f67c-d4da-4903-87b1-65bca378b0e3</errorID>
      <errorWord>（</errorWord>
      <group>L1_Format</group>
      <groupName>格式问题</groupName>
      <ability>L2_HalfPunc_CN</ability>
      <abilityName>全半角问题</abilityName>
      <candidateList>
        <item>(</item>
      </candidateList>
      <explain>文本全半角错误。</explain>
      <paraID>2101EE07</paraID>
      <start>1</start>
      <end>2</end>
      <status>unmodified</status>
      <modifiedWord/>
      <trackRevisions>false</trackRevisions>
    </reviewItem>
    <reviewItem>
      <errorID>0a9461a0-d553-4417-b2c5-c4335d0e5671</errorID>
      <errorWord>）</errorWord>
      <group>L1_Format</group>
      <groupName>格式问题</groupName>
      <ability>L2_HalfPunc_CN</ability>
      <abilityName>全半角问题</abilityName>
      <candidateList>
        <item>)</item>
      </candidateList>
      <explain>文本全半角错误。</explain>
      <paraID>2101EE07</paraID>
      <start>3</start>
      <end>4</end>
      <status>unmodified</status>
      <modifiedWord/>
      <trackRevisions>false</trackRevisions>
    </reviewItem>
    <reviewItem>
      <errorID>ebf20aac-d701-41ff-a4b2-75ca1cd76203</errorID>
      <errorWord>（</errorWord>
      <group>L1_Format</group>
      <groupName>格式问题</groupName>
      <ability>L2_HalfPunc_CN</ability>
      <abilityName>全半角问题</abilityName>
      <candidateList>
        <item>(</item>
      </candidateList>
      <explain>文本全半角错误。</explain>
      <paraID>7A9CBC0A</paraID>
      <start>1</start>
      <end>2</end>
      <status>unmodified</status>
      <modifiedWord/>
      <trackRevisions>false</trackRevisions>
    </reviewItem>
    <reviewItem>
      <errorID>73bc4642-1fd6-4822-bbf2-b524b75435a6</errorID>
      <errorWord>）</errorWord>
      <group>L1_Format</group>
      <groupName>格式问题</groupName>
      <ability>L2_HalfPunc_CN</ability>
      <abilityName>全半角问题</abilityName>
      <candidateList>
        <item>)</item>
      </candidateList>
      <explain>文本全半角错误。</explain>
      <paraID>7A9CBC0A</paraID>
      <start>3</start>
      <end>4</end>
      <status>unmodified</status>
      <modifiedWord/>
      <trackRevisions>false</trackRevisions>
    </reviewItem>
    <reviewItem>
      <errorID>cc461ee0-46a4-4380-b7a1-20a539880d8a</errorID>
      <errorWord>5%-40%</errorWord>
      <group>L1_Knowledge</group>
      <groupName>知识性问题</groupName>
      <ability>L2_Knowledge</ability>
      <abilityName>其他知识</abilityName>
      <candidateList>
        <item>5%—40%</item>
      </candidateList>
      <explain>1. “5%-40%”中的单位“%”仅出现在后一个数字上，容易引起歧义；根据《现代汉语标点符号数字用法规范手册》，数字表示范围两边需要使用统一的格式。2. 根据标点国标 4.13 中的规则，数字、时间或地域连接符应使用（视觉上更长的）“—”或“～”。</explain>
      <paraID>3C73467B</paraID>
      <start>14</start>
      <end>20</end>
      <status>unmodified</status>
      <modifiedWord/>
      <trackRevisions>false</trackRevisions>
    </reviewItem>
    <reviewItem>
      <errorID>1447cdb4-aede-43ae-aef4-c1743f94314c</errorID>
      <errorWord>热溶</errorWord>
      <group>L1_Word</group>
      <groupName>字词问题</groupName>
      <ability>L2_Typo</ability>
      <abilityName>字词错误</abilityName>
      <candidateList>
        <item>热熔</item>
      </candidateList>
      <explain>存在发音相同字词的误用。</explain>
      <paraID>57E27737</paraID>
      <start>99</start>
      <end>101</end>
      <status>unmodified</status>
      <modifiedWord/>
      <trackRevisions>false</trackRevisions>
    </reviewItem>
    <reviewItem>
      <errorID>501285be-8fc3-4b5d-b096-fa4db0ed483d</errorID>
      <errorWord>胶粘剂</errorWord>
      <group>L1_Word</group>
      <groupName>字词问题</groupName>
      <ability>L2_Typo</ability>
      <abilityName>字词错误</abilityName>
      <candidateList>
        <item>胶黏剂</item>
      </candidateList>
      <explain/>
      <paraID>67E27110</paraID>
      <start>48</start>
      <end>51</end>
      <status>unmodified</status>
      <modifiedWord/>
      <trackRevisions>false</trackRevisions>
    </reviewItem>
    <reviewItem>
      <errorID>b13ed47f-7744-434b-ab54-0f11e06a129d</errorID>
      <errorWord>(</errorWord>
      <group>L1_Format</group>
      <groupName>格式问题</groupName>
      <ability>L2_HalfPunc_CN</ability>
      <abilityName>全半角问题</abilityName>
      <candidateList>
        <item>（</item>
      </candidateList>
      <explain>文本全半角错误。</explain>
      <paraID>10FC2DEA</paraID>
      <start>22</start>
      <end>23</end>
      <status>unmodified</status>
      <modifiedWord/>
      <trackRevisions>false</trackRevisions>
    </reviewItem>
    <reviewItem>
      <errorID>6e0b0403-186f-4fe2-96e3-68940cdc20d0</errorID>
      <errorWord>)</errorWord>
      <group>L1_Format</group>
      <groupName>格式问题</groupName>
      <ability>L2_HalfPunc_CN</ability>
      <abilityName>全半角问题</abilityName>
      <candidateList>
        <item>）</item>
      </candidateList>
      <explain>文本全半角错误。</explain>
      <paraID>10FC2DEA</paraID>
      <start>39</start>
      <end>40</end>
      <status>unmodified</status>
      <modifiedWord/>
      <trackRevisions>false</trackRevisions>
    </reviewItem>
    <reviewItem>
      <errorID>4216f19c-31b7-497f-9300-b055b787b732</errorID>
      <errorWord>(</errorWord>
      <group>L1_Format</group>
      <groupName>格式问题</groupName>
      <ability>L2_HalfPunc_CN</ability>
      <abilityName>全半角问题</abilityName>
      <candidateList>
        <item>（</item>
      </candidateList>
      <explain>文本全半角错误。</explain>
      <paraID>10FC2DEA</paraID>
      <start>48</start>
      <end>49</end>
      <status>unmodified</status>
      <modifiedWord/>
      <trackRevisions>false</trackRevisions>
    </reviewItem>
    <reviewItem>
      <errorID>1d519719-8db1-40f3-a967-5063296cc014</errorID>
      <errorWord>)</errorWord>
      <group>L1_Format</group>
      <groupName>格式问题</groupName>
      <ability>L2_HalfPunc_CN</ability>
      <abilityName>全半角问题</abilityName>
      <candidateList>
        <item>）</item>
      </candidateList>
      <explain>文本全半角错误。</explain>
      <paraID>10FC2DEA</paraID>
      <start>70</start>
      <end>71</end>
      <status>unmodified</status>
      <modifiedWord/>
      <trackRevisions>false</trackRevisions>
    </reviewItem>
    <reviewItem>
      <errorID>b7743d5e-343f-4fce-9b3e-6d8a4254ff94</errorID>
      <errorWord>总成</errorWord>
      <group>L1_Word</group>
      <groupName>字词问题</groupName>
      <ability>L2_Typo</ability>
      <abilityName>字词错误</abilityName>
      <candidateList>
        <item>总称</item>
      </candidateList>
      <explain>存在发音相同字词的误用。</explain>
      <paraID>10FC2DEA</paraID>
      <start>104</start>
      <end>106</end>
      <status>unmodified</status>
      <modifiedWord/>
      <trackRevisions>false</trackRevisions>
    </reviewItem>
    <reviewItem>
      <errorID>1179a8f1-4df6-42db-bfcb-11145da41171</errorID>
      <errorWord>[2018]66号</errorWord>
      <group>L1_Knowledge</group>
      <groupName>知识性问题</groupName>
      <ability>L2_Knowledge</ability>
      <abilityName>其他知识</abilityName>
      <candidateList>
        <item>〔2018〕66号</item>
      </candidateList>
      <explain>发文字号格式错误。</explain>
      <paraID>63B998BB</paraID>
      <start>120</start>
      <end>129</end>
      <status>unmodified</status>
      <modifiedWord/>
      <trackRevisions>false</trackRevisions>
    </reviewItem>
    <reviewItem>
      <errorID>832d2fbc-2809-4f8e-8dfe-7beb59fa79fc</errorID>
      <errorWord>沾附</errorWord>
      <group>L1_Word</group>
      <groupName>字词问题</groupName>
      <ability>L2_Typo</ability>
      <abilityName>字词错误</abilityName>
      <candidateList>
        <item>粘附</item>
      </candidateList>
      <explain>存在发音相同字词的误用。</explain>
      <paraID>73E4112B</paraID>
      <start>23</start>
      <end>25</end>
      <status>unmodified</status>
      <modifiedWord/>
      <trackRevisions>false</trackRevisions>
    </reviewItem>
    <reviewItem>
      <errorID>3b2cac3e-0322-4d72-8a2c-b405fdfcbf40</errorID>
      <errorWord>一步</errorWord>
      <group>L1_Knowledge</group>
      <groupName>知识性问题</groupName>
      <ability>L2_Knowledge</ability>
      <abilityName>其他知识</abilityName>
      <candidateList>
        <item>一道</item>
      </candidateList>
      <explain>（～儿）〈副〉一同；一路❸：～走｜～工作。</explain>
      <paraID>73E4112B</paraID>
      <start>142</start>
      <end>144</end>
      <status>unmodified</status>
      <modifiedWord/>
      <trackRevisions>false</trackRevisions>
    </reviewItem>
    <reviewItem>
      <errorID>d074d110-812e-4eba-aca6-1598f99a1722</errorID>
      <errorWord>程</errorWord>
      <group>L1_Word</group>
      <groupName>字词问题</groupName>
      <ability>L2_Typo</ability>
      <abilityName>字词错误</abilityName>
      <candidateList>
        <item>程中</item>
      </candidateList>
      <explain/>
      <paraID>24AD0AED</paraID>
      <start>26</start>
      <end>27</end>
      <status>unmodified</status>
      <modifiedWord/>
      <trackRevisions>false</trackRevisions>
    </reviewItem>
    <reviewItem>
      <errorID>fb5fa9c2-3e00-412d-8af7-28666994be46</errorID>
      <errorWord>(</errorWord>
      <group>L1_Format</group>
      <groupName>格式问题</groupName>
      <ability>L2_HalfPunc_CN</ability>
      <abilityName>全半角问题</abilityName>
      <candidateList>
        <item>（</item>
      </candidateList>
      <explain>文本全半角错误。</explain>
      <paraID>600FF259</paraID>
      <start>31</start>
      <end>32</end>
      <status>unmodified</status>
      <modifiedWord/>
      <trackRevisions>false</trackRevisions>
    </reviewItem>
    <reviewItem>
      <errorID>fb4e9f2b-e0df-4c56-8518-bba6f28deddd</errorID>
      <errorWord>)</errorWord>
      <group>L1_Format</group>
      <groupName>格式问题</groupName>
      <ability>L2_HalfPunc_CN</ability>
      <abilityName>全半角问题</abilityName>
      <candidateList>
        <item>）</item>
      </candidateList>
      <explain>文本全半角错误。</explain>
      <paraID>600FF259</paraID>
      <start>35</start>
      <end>36</end>
      <status>unmodified</status>
      <modifiedWord/>
      <trackRevisions>false</trackRevisions>
    </reviewItem>
    <reviewItem>
      <errorID>b67833bc-80c8-4ab8-94eb-a22dbbbaac25</errorID>
      <errorWord>(</errorWord>
      <group>L1_Format</group>
      <groupName>格式问题</groupName>
      <ability>L2_HalfPunc_CN</ability>
      <abilityName>全半角问题</abilityName>
      <candidateList>
        <item>（</item>
      </candidateList>
      <explain>文本全半角错误。</explain>
      <paraID>600FF259</paraID>
      <start>42</start>
      <end>43</end>
      <status>unmodified</status>
      <modifiedWord/>
      <trackRevisions>false</trackRevisions>
    </reviewItem>
    <reviewItem>
      <errorID>4ff42ff3-157e-449c-ad47-b9a623b7e4da</errorID>
      <errorWord>)</errorWord>
      <group>L1_Format</group>
      <groupName>格式问题</groupName>
      <ability>L2_HalfPunc_CN</ability>
      <abilityName>全半角问题</abilityName>
      <candidateList>
        <item>）</item>
      </candidateList>
      <explain>文本全半角错误。</explain>
      <paraID>600FF259</paraID>
      <start>50</start>
      <end>51</end>
      <status>unmodified</status>
      <modifiedWord/>
      <trackRevisions>false</trackRevisions>
    </reviewItem>
    <reviewItem>
      <errorID>30c2c31b-aece-44ce-8e78-741c349034c0</errorID>
      <errorWord>彭水县</errorWord>
      <group>L1_Knowledge</group>
      <groupName>知识性问题</groupName>
      <ability>L2_Location</ability>
      <abilityName>地名检查</abilityName>
      <candidateList>
        <item>彭水苗族土家族自治县</item>
      </candidateList>
      <explain>自治区州县缩写不规范。《地名管理条例》第十八条规定，标识牌、公共平台发布的信息、各类公文证件、学习类公开出版物、地图、法律法规规定等场景范围内必须使用标准地名。</explain>
      <paraID>600FF259</paraID>
      <start>69</start>
      <end>72</end>
      <status>unmodified</status>
      <modifiedWord/>
      <trackRevisions>false</trackRevisions>
    </reviewItem>
    <reviewItem>
      <errorID>8bf4c763-fc72-47e2-86d1-fbb6ef8b1c21</errorID>
      <errorWord>石柱县</errorWord>
      <group>L1_Knowledge</group>
      <groupName>知识性问题</groupName>
      <ability>L2_Location</ability>
      <abilityName>地名检查</abilityName>
      <candidateList>
        <item>石柱土家族自治县</item>
      </candidateList>
      <explain>自治区州县缩写不规范。《地名管理条例》第十八条规定，标识牌、公共平台发布的信息、各类公文证件、学习类公开出版物、地图、法律法规规定等场景范围内必须使用标准地名。</explain>
      <paraID>600FF259</paraID>
      <start>81</start>
      <end>84</end>
      <status>unmodified</status>
      <modifiedWord/>
      <trackRevisions>false</trackRevisions>
    </reviewItem>
    <reviewItem>
      <errorID>73fe6324-e1e5-4ddd-b47f-b29a2d938499</errorID>
      <errorWord>酉阳县</errorWord>
      <group>L1_Knowledge</group>
      <groupName>知识性问题</groupName>
      <ability>L2_Location</ability>
      <abilityName>地名检查</abilityName>
      <candidateList>
        <item>酉阳土家族苗族自治县</item>
      </candidateList>
      <explain>自治区州县缩写不规范。《地名管理条例》第十八条规定，标识牌、公共平台发布的信息、各类公文证件、学习类公开出版物、地图、法律法规规定等场景范围内必须使用标准地名。</explain>
      <paraID>600FF259</paraID>
      <start>85</start>
      <end>88</end>
      <status>unmodified</status>
      <modifiedWord/>
      <trackRevisions>false</trackRevisions>
    </reviewItem>
    <reviewItem>
      <errorID>6d9bcfeb-a2e0-4952-a4cd-28180025e407</errorID>
      <errorWord>秀山县</errorWord>
      <group>L1_Knowledge</group>
      <groupName>知识性问题</groupName>
      <ability>L2_Location</ability>
      <abilityName>地名检查</abilityName>
      <candidateList>
        <item>秀山土家族苗族自治县</item>
      </candidateList>
      <explain>自治区州县缩写不规范。《地名管理条例》第十八条规定，标识牌、公共平台发布的信息、各类公文证件、学习类公开出版物、地图、法律法规规定等场景范围内必须使用标准地名。</explain>
      <paraID>600FF259</paraID>
      <start>89</start>
      <end>92</end>
      <status>unmodified</status>
      <modifiedWord/>
      <trackRevisions>false</trackRevisions>
    </reviewItem>
    <reviewItem>
      <errorID>cb72d6de-f17c-446a-8539-58fec53e69a0</errorID>
      <errorWord>渝北区</errorWord>
      <group>L1_Word</group>
      <groupName>字词问题</groupName>
      <ability>L2_Typo</ability>
      <abilityName>字词错误</abilityName>
      <candidateList>
        <item>两江新区</item>
      </candidateList>
      <explain/>
      <paraID>600FF259</paraID>
      <start>182</start>
      <end>185</end>
      <status>unmodified</status>
      <modifiedWord/>
      <trackRevisions>false</trackRevisions>
    </reviewItem>
    <reviewItem>
      <errorID>800a29c8-30f2-45e0-b133-3e5b9d9ca818</errorID>
      <errorWord>（</errorWord>
      <group>L1_Format</group>
      <groupName>格式问题</groupName>
      <ability>L2_HalfPunc_CN</ability>
      <abilityName>全半角问题</abilityName>
      <candidateList>
        <item>(</item>
      </candidateList>
      <explain>文本全半角错误。</explain>
      <paraID>7E981668</paraID>
      <start>2</start>
      <end>3</end>
      <status>unmodified</status>
      <modifiedWord/>
      <trackRevisions>false</trackRevisions>
    </reviewItem>
    <reviewItem>
      <errorID>2c41e6ce-935d-4cf6-ad2b-b5c91868cbe3</errorID>
      <errorWord>）</errorWord>
      <group>L1_Format</group>
      <groupName>格式问题</groupName>
      <ability>L2_HalfPunc_CN</ability>
      <abilityName>全半角问题</abilityName>
      <candidateList>
        <item>)</item>
      </candidateList>
      <explain>文本全半角错误。</explain>
      <paraID>7E981668</paraID>
      <start>8</start>
      <end>9</end>
      <status>unmodified</status>
      <modifiedWord/>
      <trackRevisions>false</trackRevisions>
    </reviewItem>
    <reviewItem>
      <errorID>4f878878-02b9-4330-9a02-21180dd1f7f7</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136E4690</paraID>
      <start>18</start>
      <end>19</end>
      <status>unmodified</status>
      <modifiedWord/>
      <trackRevisions>false</trackRevisions>
    </reviewItem>
    <reviewItem>
      <errorID>df153191-4bd1-4fc7-964f-ae3a0b5a886e</errorID>
      <errorWord>达</errorWord>
      <group>L1_Word</group>
      <groupName>字词问题</groupName>
      <ability>L2_Typo</ability>
      <abilityName>字词错误</abilityName>
      <candidateList>
        <item>达到</item>
      </candidateList>
      <explain>〈动〉到（多指抽象事物或程度）：达得到｜达不到｜目的没有～｜～国际水平。</explain>
      <paraID>74D5E226</paraID>
      <start>75</start>
      <end>76</end>
      <status>unmodified</status>
      <modifiedWord/>
      <trackRevisions>false</trackRevisions>
    </reviewItem>
    <reviewItem>
      <errorID>5e55c22d-0652-4642-aa32-b529415e5747</errorID>
      <errorWord>(</errorWord>
      <group>L1_Format</group>
      <groupName>格式问题</groupName>
      <ability>L2_HalfPunc_CN</ability>
      <abilityName>全半角问题</abilityName>
      <candidateList>
        <item>（</item>
      </candidateList>
      <explain>文本全半角错误。</explain>
      <paraID>74D5E226</paraID>
      <start>86</start>
      <end>87</end>
      <status>unmodified</status>
      <modifiedWord/>
      <trackRevisions>false</trackRevisions>
    </reviewItem>
    <reviewItem>
      <errorID>4ea50a54-96a6-4eca-a1c6-574d4ebc1969</errorID>
      <errorWord>)</errorWord>
      <group>L1_Format</group>
      <groupName>格式问题</groupName>
      <ability>L2_HalfPunc_CN</ability>
      <abilityName>全半角问题</abilityName>
      <candidateList>
        <item>）</item>
      </candidateList>
      <explain>文本全半角错误。</explain>
      <paraID>74D5E226</paraID>
      <start>98</start>
      <end>99</end>
      <status>unmodified</status>
      <modifiedWord/>
      <trackRevisions>false</trackRevisions>
    </reviewItem>
    <reviewItem>
      <errorID>bba263bf-01c4-4371-9c1b-05571c3ddf6f</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 1E29C11</paraID>
      <start>289</start>
      <end>290</end>
      <status>unmodified</status>
      <modifiedWord/>
      <trackRevisions>false</trackRevisions>
    </reviewItem>
    <reviewItem>
      <errorID>877e533d-9b67-4c9a-a854-34033bf96ebf</errorID>
      <errorWord>III类</errorWord>
      <group>L1_Knowledge</group>
      <groupName>知识性问题</groupName>
      <ability>L2_Knowledge</ability>
      <abilityName>其他知识</abilityName>
      <candidateList>
        <item>Ⅲ类</item>
      </candidateList>
      <explain>中文环境下罗马数字格式错误。</explain>
      <paraID>3C847720</paraID>
      <start>51</start>
      <end>53</end>
      <status>modified</status>
      <modifiedWord>Ⅲ类</modifiedWord>
      <trackRevisions>false</trackRevisions>
    </reviewItem>
    <reviewItem>
      <errorID>0880ae2b-445b-4c44-99cb-09ff7a29aa31</errorID>
      <errorWord>II类</errorWord>
      <group>L1_Knowledge</group>
      <groupName>知识性问题</groupName>
      <ability>L2_Knowledge</ability>
      <abilityName>其他知识</abilityName>
      <candidateList>
        <item>Ⅱ类</item>
      </candidateList>
      <explain>中文环境下罗马数字格式错误。</explain>
      <paraID>3C847720</paraID>
      <start>133</start>
      <end>135</end>
      <status>modified</status>
      <modifiedWord>Ⅱ类</modifiedWord>
      <trackRevisions>false</trackRevisions>
    </reviewItem>
    <reviewItem>
      <errorID>74a8ff31-a9c4-47cd-8938-278440eece98</errorID>
      <errorWord>(</errorWord>
      <group>L1_Format</group>
      <groupName>格式问题</groupName>
      <ability>L2_HalfPunc_CN</ability>
      <abilityName>全半角问题</abilityName>
      <candidateList>
        <item>（</item>
      </candidateList>
      <explain>文本全半角错误。</explain>
      <paraID>7827AFBE</paraID>
      <start>9</start>
      <end>10</end>
      <status>modified</status>
      <modifiedWord>（</modifiedWord>
      <trackRevisions>false</trackRevisions>
    </reviewItem>
    <reviewItem>
      <errorID>0f0457e4-df4f-470b-932a-7885c1f6221c</errorID>
      <errorWord>)</errorWord>
      <group>L1_Format</group>
      <groupName>格式问题</groupName>
      <ability>L2_HalfPunc_CN</ability>
      <abilityName>全半角问题</abilityName>
      <candidateList>
        <item>）</item>
      </candidateList>
      <explain>文本全半角错误。</explain>
      <paraID>7827AFBE</paraID>
      <start>15</start>
      <end>16</end>
      <status>modified</status>
      <modifiedWord>）</modifiedWord>
      <trackRevisions>false</trackRevisions>
    </reviewItem>
    <reviewItem>
      <errorID>56b00618-9346-474c-8311-76aae008acd8</errorID>
      <errorWord>（</errorWord>
      <group>L1_Format</group>
      <groupName>格式问题</groupName>
      <ability>L2_HalfPunc_CN</ability>
      <abilityName>全半角问题</abilityName>
      <candidateList>
        <item>(</item>
      </candidateList>
      <explain>文本全半角错误。</explain>
      <paraID>390BED36</paraID>
      <start>0</start>
      <end>1</end>
      <status>unmodified</status>
      <modifiedWord/>
      <trackRevisions>false</trackRevisions>
    </reviewItem>
    <reviewItem>
      <errorID>2541735d-4627-4378-bf41-287cb59b984f</errorID>
      <errorWord>）</errorWord>
      <group>L1_Format</group>
      <groupName>格式问题</groupName>
      <ability>L2_HalfPunc_CN</ability>
      <abilityName>全半角问题</abilityName>
      <candidateList>
        <item>)</item>
      </candidateList>
      <explain>文本全半角错误。</explain>
      <paraID>390BED36</paraID>
      <start>6</start>
      <end>7</end>
      <status>unmodified</status>
      <modifiedWord/>
      <trackRevisions>false</trackRevisions>
    </reviewItem>
    <reviewItem>
      <errorID>6d7be1ae-f5bd-4107-9184-2028849a9958</errorID>
      <errorWord>（</errorWord>
      <group>L1_Format</group>
      <groupName>格式问题</groupName>
      <ability>L2_HalfPunc_CN</ability>
      <abilityName>全半角问题</abilityName>
      <candidateList>
        <item>(</item>
      </candidateList>
      <explain>文本全半角错误。</explain>
      <paraID>6D25D2D9</paraID>
      <start>0</start>
      <end>1</end>
      <status>unmodified</status>
      <modifiedWord/>
      <trackRevisions>false</trackRevisions>
    </reviewItem>
    <reviewItem>
      <errorID>3d85264f-b458-408c-81c4-b3e734a3fd9b</errorID>
      <errorWord>）</errorWord>
      <group>L1_Format</group>
      <groupName>格式问题</groupName>
      <ability>L2_HalfPunc_CN</ability>
      <abilityName>全半角问题</abilityName>
      <candidateList>
        <item>)</item>
      </candidateList>
      <explain>文本全半角错误。</explain>
      <paraID>6D25D2D9</paraID>
      <start>5</start>
      <end>6</end>
      <status>unmodified</status>
      <modifiedWord/>
      <trackRevisions>false</trackRevisions>
    </reviewItem>
    <reviewItem>
      <errorID>87ce9875-52cc-4d85-80df-0cf3de75fe79</errorID>
      <errorWord>处理达《城镇污水</errorWord>
      <group>L1_Word</group>
      <groupName>字词问题</groupName>
      <ability>L2_Typo</ability>
      <abilityName>字词错误</abilityName>
      <candidateList>
        <item>处理达到《城镇污水</item>
      </candidateList>
      <explain/>
      <paraID>3C158C59</paraID>
      <start>101</start>
      <end>109</end>
      <status>unmodified</status>
      <modifiedWord/>
      <trackRevisions>false</trackRevisions>
    </reviewItem>
    <reviewItem>
      <errorID>75d5d077-b64b-4d30-8cad-982fabb1d0b5</errorID>
      <errorWord>（</errorWord>
      <group>L1_Punc</group>
      <groupName>标点问题</groupName>
      <ability>L2_Punc_CN</ability>
      <abilityName>标点符号问题</abilityName>
      <candidateList/>
      <explain>同一形式括号套用。</explain>
      <paraID>3C158C59</paraID>
      <start>182</start>
      <end>183</end>
      <status>unmodified</status>
      <modifiedWord/>
      <trackRevisions>false</trackRevisions>
    </reviewItem>
    <reviewItem>
      <errorID>c1d19d79-193d-4171-9e43-0e9028e0546c</errorID>
      <errorWord>）</errorWord>
      <group>L1_Punc</group>
      <groupName>标点问题</groupName>
      <ability>L2_Punc_CN</ability>
      <abilityName>标点符号问题</abilityName>
      <candidateList/>
      <explain>同一形式括号套用。</explain>
      <paraID>3C158C59</paraID>
      <start>194</start>
      <end>195</end>
      <status>unmodified</status>
      <modifiedWord/>
      <trackRevisions>false</trackRevisions>
    </reviewItem>
    <reviewItem>
      <errorID>f54cdbcb-bebb-4437-819f-20666b0d2376</errorID>
      <errorWord>IV类</errorWord>
      <group>L1_Knowledge</group>
      <groupName>知识性问题</groupName>
      <ability>L2_Knowledge</ability>
      <abilityName>其他知识</abilityName>
      <candidateList>
        <item>Ⅳ类</item>
      </candidateList>
      <explain>中文环境下罗马数字格式错误。</explain>
      <paraID>3C158C59</paraID>
      <start>195</start>
      <end>198</end>
      <status>unmodified</status>
      <modifiedWord/>
      <trackRevisions>false</trackRevisions>
    </reviewItem>
    <reviewItem>
      <errorID>b0c353c6-1297-4048-889c-c0e649f1fe12</errorID>
      <errorWord>)</errorWord>
      <group>L1_Format</group>
      <groupName>格式问题</groupName>
      <ability>L2_HalfPunc_CN</ability>
      <abilityName>全半角问题</abilityName>
      <candidateList>
        <item>）</item>
      </candidateList>
      <explain>文本全半角错误。</explain>
      <paraID>34758E6B</paraID>
      <start>27</start>
      <end>28</end>
      <status>unmodified</status>
      <modifiedWord/>
      <trackRevisions>false</trackRevisions>
    </reviewItem>
    <reviewItem>
      <errorID>4d081378-5ca9-4b13-84ab-8215fafcc6d9</errorID>
      <errorWord>IV类</errorWord>
      <group>L1_Knowledge</group>
      <groupName>知识性问题</groupName>
      <ability>L2_Knowledge</ability>
      <abilityName>其他知识</abilityName>
      <candidateList>
        <item>Ⅳ类</item>
      </candidateList>
      <explain>中文环境下罗马数字格式错误。</explain>
      <paraID>7EF875C1</paraID>
      <start>24</start>
      <end>27</end>
      <status>unmodified</status>
      <modifiedWord/>
      <trackRevisions>false</trackRevisions>
    </reviewItem>
    <reviewItem>
      <errorID>60d5cd77-20ff-416a-bbf1-778c2b1a6243</errorID>
      <errorWord>《固体废物分类与代码目录》（2024）</errorWord>
      <group>L1_Knowledge</group>
      <groupName>知识性问题</groupName>
      <ability>L2_Knowledge</ability>
      <abilityName>其他知识</abilityName>
      <candidateList>
        <item>《固体废物分类与代码目录（2024）》</item>
      </candidateList>
      <explain>疑似政策文件、法律法规名称等书写不规范，请注意检查。</explain>
      <paraID>2DEBB126</paraID>
      <start>92</start>
      <end>111</end>
      <status>modified</status>
      <modifiedWord>《固体废物分类与代码目录（2024）》</modifiedWord>
      <trackRevisions>false</trackRevisions>
    </reviewItem>
    <reviewItem>
      <errorID>2b8003ee-47e4-4b75-98f9-8dc5cdc4d927</errorID>
      <errorWord>管理办法》中</errorWord>
      <group>L1_Word</group>
      <groupName>字词问题</groupName>
      <ability>L2_Typo</ability>
      <abilityName>字词错误</abilityName>
      <candidateList>
        <item>管理办法》</item>
      </candidateList>
      <explain/>
      <paraID>1B5A3B84</paraID>
      <start>79</start>
      <end>85</end>
      <status>unmodified</status>
      <modifiedWord/>
      <trackRevisions>false</trackRevisions>
    </reviewItem>
    <reviewItem>
      <errorID>691e1157-d9df-46ee-bc95-b7f294b2dd57</errorID>
      <errorWord>个</errorWord>
      <group>L1_Knowledge</group>
      <groupName>知识性问题</groupName>
      <ability>L2_Knowledge</ability>
      <abilityName>其他知识</abilityName>
      <candidateList>
        <item>台</item>
      </candidateList>
      <explain/>
      <paraID>13448D0B</paraID>
      <start>19</start>
      <end>20</end>
      <status>modified</status>
      <modifiedWord>台</modifiedWord>
      <trackRevisions>false</trackRevisions>
    </reviewItem>
    <reviewItem>
      <errorID>bc3ace28-6493-4c81-8c97-15acae159606</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11304C84</paraID>
      <start>137</start>
      <end>140</end>
      <status>unmodified</status>
      <modifiedWord/>
      <trackRevisions>false</trackRevisions>
    </reviewItem>
    <reviewItem>
      <errorID>b084ac50-ee9a-4914-8de7-a1971cf0ea33</errorID>
      <errorWord>（</errorWord>
      <group>L1_Punc</group>
      <groupName>标点问题</groupName>
      <ability>L2_Punc_CN</ability>
      <abilityName>标点符号问题</abilityName>
      <candidateList/>
      <explain>同一形式括号套用。</explain>
      <paraID>73875595</paraID>
      <start>28</start>
      <end>29</end>
      <status>unmodified</status>
      <modifiedWord/>
      <trackRevisions>false</trackRevisions>
    </reviewItem>
    <reviewItem>
      <errorID>d6994033-7c33-42cd-a906-fb6b41834d87</errorID>
      <errorWord>）</errorWord>
      <group>L1_Punc</group>
      <groupName>标点问题</groupName>
      <ability>L2_Punc_CN</ability>
      <abilityName>标点符号问题</abilityName>
      <candidateList/>
      <explain>同一形式括号套用。</explain>
      <paraID>73875595</paraID>
      <start>38</start>
      <end>39</end>
      <status>unmodified</status>
      <modifiedWord/>
      <trackRevisions>false</trackRevisions>
    </reviewItem>
    <reviewItem>
      <errorID>0d23f2fd-5674-4a46-a8e6-cdd0ba54db33</errorID>
      <errorWord>（</errorWord>
      <group>L1_Punc</group>
      <groupName>标点问题</groupName>
      <ability>L2_Punc_CN</ability>
      <abilityName>标点符号问题</abilityName>
      <candidateList/>
      <explain>同一形式括号套用。</explain>
      <paraID>2B58181F</paraID>
      <start>28</start>
      <end>29</end>
      <status>unmodified</status>
      <modifiedWord/>
      <trackRevisions>false</trackRevisions>
    </reviewItem>
    <reviewItem>
      <errorID>11f72336-93b1-4275-9f95-da8d45d952c1</errorID>
      <errorWord>）</errorWord>
      <group>L1_Punc</group>
      <groupName>标点问题</groupName>
      <ability>L2_Punc_CN</ability>
      <abilityName>标点符号问题</abilityName>
      <candidateList/>
      <explain>同一形式括号套用。</explain>
      <paraID>2B58181F</paraID>
      <start>38</start>
      <end>39</end>
      <status>unmodified</status>
      <modifiedWord/>
      <trackRevisions>false</trackRevisions>
    </reviewItem>
    <reviewItem>
      <errorID>6b3a1315-55fd-42e6-bccc-126001cee140</errorID>
      <errorWord>（</errorWord>
      <group>L1_Punc</group>
      <groupName>标点问题</groupName>
      <ability>L2_Punc_CN</ability>
      <abilityName>标点符号问题</abilityName>
      <candidateList/>
      <explain>同一形式括号套用。</explain>
      <paraID>2C3A67DC</paraID>
      <start>166</start>
      <end>167</end>
      <status>unmodified</status>
      <modifiedWord/>
      <trackRevisions>false</trackRevisions>
    </reviewItem>
    <reviewItem>
      <errorID>182cf2f8-3de7-4ff8-9a3b-2faae6ee8660</errorID>
      <errorWord>）</errorWord>
      <group>L1_Punc</group>
      <groupName>标点问题</groupName>
      <ability>L2_Punc_CN</ability>
      <abilityName>标点符号问题</abilityName>
      <candidateList/>
      <explain>同一形式括号套用。</explain>
      <paraID>2C3A67DC</paraID>
      <start>176</start>
      <end>177</end>
      <status>unmodified</status>
      <modifiedWord/>
      <trackRevisions>false</trackRevisions>
    </reviewItem>
    <reviewItem>
      <errorID>f1e704c2-518c-4cd1-b199-eb2e7591836c</errorID>
      <errorWord>(</errorWord>
      <group>L1_Format</group>
      <groupName>格式问题</groupName>
      <ability>L2_HalfPunc_CN</ability>
      <abilityName>全半角问题</abilityName>
      <candidateList>
        <item>（</item>
      </candidateList>
      <explain>文本全半角错误。</explain>
      <paraID>30D639D3</paraID>
      <start>78</start>
      <end>79</end>
      <status>unmodified</status>
      <modifiedWord/>
      <trackRevisions>false</trackRevisions>
    </reviewItem>
    <reviewItem>
      <errorID>018f2a48-bd81-41df-b179-814f8c221b58</errorID>
      <errorWord>)</errorWord>
      <group>L1_Format</group>
      <groupName>格式问题</groupName>
      <ability>L2_HalfPunc_CN</ability>
      <abilityName>全半角问题</abilityName>
      <candidateList>
        <item>）</item>
      </candidateList>
      <explain>文本全半角错误。</explain>
      <paraID>30D639D3</paraID>
      <start>89</start>
      <end>90</end>
      <status>unmodified</status>
      <modifiedWord/>
      <trackRevisions>false</trackRevisions>
    </reviewItem>
    <reviewItem>
      <errorID>05385df1-ea3b-414e-9368-f4298d1f6fbc</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588F6A6D</paraID>
      <start>63</start>
      <end>66</end>
      <status>unmodified</status>
      <modifiedWord/>
      <trackRevisions>false</trackRevisions>
    </reviewItem>
    <reviewItem>
      <errorID>ab49d04f-9be9-446e-9802-a7d890f06428</errorID>
      <errorWord>程</errorWord>
      <group>L1_Word</group>
      <groupName>字词问题</groupName>
      <ability>L2_Typo</ability>
      <abilityName>字词错误</abilityName>
      <candidateList>
        <item>程中</item>
      </candidateList>
      <explain/>
      <paraID>4FA44B6D</paraID>
      <start>74</start>
      <end>75</end>
      <status>unmodified</status>
      <modifiedWord/>
      <trackRevisions>false</trackRevisions>
    </reviewItem>
    <reviewItem>
      <errorID>3d271ebd-d1c8-43f3-8c87-91e4e442669e</errorID>
      <errorWord>影</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49C361DD</paraID>
      <start>5</start>
      <end>6</end>
      <status>unmodified</status>
      <modifiedWord/>
      <trackRevisions>false</trackRevisions>
    </reviewItem>
    <reviewItem>
      <errorID>faf1738b-971a-4452-866f-08d17fc944de</errorID>
      <errorWord>达</errorWord>
      <group>L1_Word</group>
      <groupName>字词问题</groupName>
      <ability>L2_Typo</ability>
      <abilityName>字词错误</abilityName>
      <candidateList>
        <item>达到</item>
      </candidateList>
      <explain>〈动〉到（多指抽象事物或程度）：达得到｜达不到｜目的没有～｜～国际水平。</explain>
      <paraID>35856664</paraID>
      <start>184</start>
      <end>185</end>
      <status>unmodified</status>
      <modifiedWord/>
      <trackRevisions>false</trackRevisions>
    </reviewItem>
    <reviewItem>
      <errorID>480b1707-2a1c-43b7-b926-6c2ececb0882</errorID>
      <errorWord>IV类</errorWord>
      <group>L1_Knowledge</group>
      <groupName>知识性问题</groupName>
      <ability>L2_Knowledge</ability>
      <abilityName>其他知识</abilityName>
      <candidateList>
        <item>Ⅳ类</item>
      </candidateList>
      <explain>中文环境下罗马数字格式错误。</explain>
      <paraID>35856664</paraID>
      <start>276</start>
      <end>279</end>
      <status>unmodified</status>
      <modifiedWord/>
      <trackRevisions>false</trackRevisions>
    </reviewItem>
    <reviewItem>
      <errorID>628d5ed3-e49c-403b-b4b3-75f067eab5fd</errorID>
      <errorWord>影</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3677EBDA</paraID>
      <start>5</start>
      <end>6</end>
      <status>unmodified</status>
      <modifiedWord/>
      <trackRevisions>false</trackRevisions>
    </reviewItem>
    <reviewItem>
      <errorID>7ea7c6a5-1474-41f3-85e1-3ce88309cb86</errorID>
      <errorWord>)</errorWord>
      <group>L1_Format</group>
      <groupName>格式问题</groupName>
      <ability>L2_HalfPunc_CN</ability>
      <abilityName>全半角问题</abilityName>
      <candidateList>
        <item>）</item>
      </candidateList>
      <explain>文本全半角错误。</explain>
      <paraID>54BA4DE7</paraID>
      <start>34</start>
      <end>35</end>
      <status>unmodified</status>
      <modifiedWord/>
      <trackRevisions>false</trackRevisions>
    </reviewItem>
    <reviewItem>
      <errorID>fb1a0220-9079-4053-a590-705ba5c05b20</errorID>
      <errorWord>、</errorWord>
      <group>L1_Punc</group>
      <groupName>标点问题</groupName>
      <ability>L2_Punc_CN</ability>
      <abilityName>标点符号问题</abilityName>
      <candidateList>
        <item>.</item>
      </candidateList>
      <explain/>
      <paraID>7CD286B1</paraID>
      <start>1</start>
      <end>2</end>
      <status>unmodified</status>
      <modifiedWord/>
      <trackRevisions>false</trackRevisions>
    </reviewItem>
    <reviewItem>
      <errorID>3f25a9d7-b44b-4907-81a2-3c3e75b5f4b7</errorID>
      <errorWord>、</errorWord>
      <group>L1_Punc</group>
      <groupName>标点问题</groupName>
      <ability>L2_Punc_CN</ability>
      <abilityName>标点符号问题</abilityName>
      <candidateList>
        <item>.</item>
      </candidateList>
      <explain/>
      <paraID>7D11133B</paraID>
      <start>1</start>
      <end>2</end>
      <status>unmodified</status>
      <modifiedWord/>
      <trackRevisions>false</trackRevisions>
    </reviewItem>
    <reviewItem>
      <errorID>9e229ace-03d9-4eb6-b52e-93712bd0d00a</errorID>
      <errorWord>)</errorWord>
      <group>L1_Format</group>
      <groupName>格式问题</groupName>
      <ability>L2_HalfPunc_CN</ability>
      <abilityName>全半角问题</abilityName>
      <candidateList>
        <item>）</item>
      </candidateList>
      <explain>文本全半角错误。</explain>
      <paraID>21E771A7</paraID>
      <start>30</start>
      <end>31</end>
      <status>unmodified</status>
      <modifiedWord/>
      <trackRevisions>false</trackRevisions>
    </reviewItem>
    <reviewItem>
      <errorID>ee28eeea-c776-4e22-a3e0-77c12b511788</errorID>
      <errorWord>)</errorWord>
      <group>L1_Format</group>
      <groupName>格式问题</groupName>
      <ability>L2_HalfPunc_CN</ability>
      <abilityName>全半角问题</abilityName>
      <candidateList>
        <item>）</item>
      </candidateList>
      <explain>文本全半角错误。</explain>
      <paraID>3ACB168A</paraID>
      <start>24</start>
      <end>25</end>
      <status>unmodified</status>
      <modifiedWord/>
      <trackRevisions>false</trackRevisions>
    </reviewItem>
    <reviewItem>
      <errorID>f06db7a6-a40b-414a-91c6-e3e204532dd6</errorID>
      <errorWord>影</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250DCF23</paraID>
      <start>5</start>
      <end>6</end>
      <status>unmodified</status>
      <modifiedWord/>
      <trackRevisions>false</trackRevisions>
    </reviewItem>
    <reviewItem>
      <errorID>ccd13e8a-3548-4941-9bc7-008f53d80072</errorID>
      <errorWord>(</errorWord>
      <group>L1_Format</group>
      <groupName>格式问题</groupName>
      <ability>L2_HalfPunc_CN</ability>
      <abilityName>全半角问题</abilityName>
      <candidateList>
        <item>（</item>
      </candidateList>
      <explain>文本全半角错误。</explain>
      <paraID>251E6256</paraID>
      <start>4</start>
      <end>5</end>
      <status>unmodified</status>
      <modifiedWord/>
      <trackRevisions>false</trackRevisions>
    </reviewItem>
    <reviewItem>
      <errorID>9e00e8cf-b059-426b-a3e8-7257abae3a7c</errorID>
      <errorWord>)</errorWord>
      <group>L1_Format</group>
      <groupName>格式问题</groupName>
      <ability>L2_HalfPunc_CN</ability>
      <abilityName>全半角问题</abilityName>
      <candidateList>
        <item>）</item>
      </candidateList>
      <explain>文本全半角错误。</explain>
      <paraID>251E6256</paraID>
      <start>20</start>
      <end>21</end>
      <status>unmodified</status>
      <modifiedWord/>
      <trackRevisions>false</trackRevisions>
    </reviewItem>
    <reviewItem>
      <errorID>ca38efac-5e0a-467e-b0c0-5ea4f5a5c3de</errorID>
      <errorWord>交有</errorWord>
      <group>L1_Word</group>
      <groupName>字词问题</groupName>
      <ability>L2_Typo</ability>
      <abilityName>字词错误</abilityName>
      <candidateList>
        <item>交由</item>
      </candidateList>
      <explain/>
      <paraID>251E6256</paraID>
      <start>118</start>
      <end>120</end>
      <status>unmodified</status>
      <modifiedWord/>
      <trackRevisions>false</trackRevisions>
    </reviewItem>
    <reviewItem>
      <errorID>05504ac4-d606-4013-9413-8b7d03a502b9</errorID>
      <errorWord>交有</errorWord>
      <group>L1_Word</group>
      <groupName>字词问题</groupName>
      <ability>L2_Typo</ability>
      <abilityName>字词错误</abilityName>
      <candidateList>
        <item>交由</item>
      </candidateList>
      <explain/>
      <paraID>3FE707EC</paraID>
      <start>51</start>
      <end>53</end>
      <status>unmodified</status>
      <modifiedWord/>
      <trackRevisions>false</trackRevisions>
    </reviewItem>
    <reviewItem>
      <errorID>0d0f657e-966d-401d-8159-2a851cf2d604</errorID>
      <errorWord>(</errorWord>
      <group>L1_Format</group>
      <groupName>格式问题</groupName>
      <ability>L2_HalfPunc_CN</ability>
      <abilityName>全半角问题</abilityName>
      <candidateList>
        <item>（</item>
      </candidateList>
      <explain>文本全半角错误。</explain>
      <paraID>343BED73</paraID>
      <start>4</start>
      <end>5</end>
      <status>unmodified</status>
      <modifiedWord/>
      <trackRevisions>false</trackRevisions>
    </reviewItem>
    <reviewItem>
      <errorID>4768f7f6-29af-4f26-8a86-09c446539bee</errorID>
      <errorWord>)</errorWord>
      <group>L1_Format</group>
      <groupName>格式问题</groupName>
      <ability>L2_HalfPunc_CN</ability>
      <abilityName>全半角问题</abilityName>
      <candidateList>
        <item>）</item>
      </candidateList>
      <explain>文本全半角错误。</explain>
      <paraID>343BED73</paraID>
      <start>20</start>
      <end>21</end>
      <status>unmodified</status>
      <modifiedWord/>
      <trackRevisions>false</trackRevisions>
    </reviewItem>
    <reviewItem>
      <errorID>6e4bf0a3-a39b-4deb-b1ea-3e236c733392</errorID>
      <errorWord>交有</errorWord>
      <group>L1_Word</group>
      <groupName>字词问题</groupName>
      <ability>L2_Typo</ability>
      <abilityName>字词错误</abilityName>
      <candidateList>
        <item>交由</item>
      </candidateList>
      <explain/>
      <paraID>55E0603D</paraID>
      <start>350</start>
      <end>352</end>
      <status>unmodified</status>
      <modifiedWord/>
      <trackRevisions>false</trackRevisions>
    </reviewItem>
    <reviewItem>
      <errorID>6920acbb-13f5-49ff-8877-4484e3a4bd8f</errorID>
      <errorWord>(</errorWord>
      <group>L1_Format</group>
      <groupName>格式问题</groupName>
      <ability>L2_HalfPunc_CN</ability>
      <abilityName>全半角问题</abilityName>
      <candidateList>
        <item>（</item>
      </candidateList>
      <explain>文本全半角错误。</explain>
      <paraID>6ECF89FE</paraID>
      <start>8</start>
      <end>9</end>
      <status>unmodified</status>
      <modifiedWord/>
      <trackRevisions>false</trackRevisions>
    </reviewItem>
    <reviewItem>
      <errorID>375d0ec6-3804-4e15-a6cc-cc84fa318076</errorID>
      <errorWord>)</errorWord>
      <group>L1_Format</group>
      <groupName>格式问题</groupName>
      <ability>L2_HalfPunc_CN</ability>
      <abilityName>全半角问题</abilityName>
      <candidateList>
        <item>）</item>
      </candidateList>
      <explain>文本全半角错误。</explain>
      <paraID>6ECF89FE</paraID>
      <start>19</start>
      <end>20</end>
      <status>unmodified</status>
      <modifiedWord/>
      <trackRevisions>false</trackRevisions>
    </reviewItem>
    <reviewItem>
      <errorID>85b58e7c-17ae-4c3c-9e81-3e1a0e6adb2a</errorID>
      <errorWord>生产过程中使用到</errorWord>
      <group>L1_Word</group>
      <groupName>字词问题</groupName>
      <ability>L2_Typo</ability>
      <abilityName>字词错误</abilityName>
      <candidateList>
        <item>生产过程中使用</item>
      </candidateList>
      <explain/>
      <paraID>575CF080</paraID>
      <start>18</start>
      <end>26</end>
      <status>unmodified</status>
      <modifiedWord/>
      <trackRevisions>false</trackRevisions>
    </reviewItem>
    <reviewItem>
      <errorID>5eb05406-5e06-47cf-a786-543b4be412c8</errorID>
      <errorWord>属</errorWord>
      <group>L1_Word</group>
      <groupName>字词问题</groupName>
      <ability>L2_Typo</ability>
      <abilityName>字词错误</abilityName>
      <candidateList>
        <item>属于</item>
      </candidateList>
      <explain/>
      <paraID>575CF080</paraID>
      <start>109</start>
      <end>110</end>
      <status>unmodified</status>
      <modifiedWord/>
      <trackRevisions>false</trackRevisions>
    </reviewItem>
    <reviewItem>
      <errorID>43ed252a-2372-4d69-bae9-5628daa64722</errorID>
      <errorWord>影</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50CEE23D</paraID>
      <start>5</start>
      <end>6</end>
      <status>unmodified</status>
      <modifiedWord/>
      <trackRevisions>false</trackRevisions>
    </reviewItem>
    <reviewItem>
      <errorID>ec15c8ee-8d1d-4f02-8e0c-ea1e471d3ffd</errorID>
      <errorWord>（</errorWord>
      <group>L1_Format</group>
      <groupName>格式问题</groupName>
      <ability>L2_HalfPunc_CN</ability>
      <abilityName>全半角问题</abilityName>
      <candidateList>
        <item>(</item>
      </candidateList>
      <explain>文本全半角错误。</explain>
      <paraID>4114674B</paraID>
      <start>0</start>
      <end>1</end>
      <status>unmodified</status>
      <modifiedWord/>
      <trackRevisions>false</trackRevisions>
    </reviewItem>
    <reviewItem>
      <errorID>71d4af34-3aec-43a6-ac5b-642a7c839eb0</errorID>
      <errorWord>）</errorWord>
      <group>L1_Format</group>
      <groupName>格式问题</groupName>
      <ability>L2_HalfPunc_CN</ability>
      <abilityName>全半角问题</abilityName>
      <candidateList>
        <item>)</item>
      </candidateList>
      <explain>文本全半角错误。</explain>
      <paraID>4114674B</paraID>
      <start>4</start>
      <end>5</end>
      <status>unmodified</status>
      <modifiedWord/>
      <trackRevisions>false</trackRevisions>
    </reviewItem>
    <reviewItem>
      <errorID>d65a7c70-56aa-4ea5-896d-30559df79a1f</errorID>
      <errorWord>，</errorWord>
      <group>L1_Format</group>
      <groupName>格式问题</groupName>
      <ability>L2_HalfPunc_CN</ability>
      <abilityName>全半角问题</abilityName>
      <candidateList>
        <item>, </item>
      </candidateList>
      <explain>文本全半角错误。</explain>
      <paraID>7F35E15B</paraID>
      <start>1</start>
      <end>2</end>
      <status>unmodified</status>
      <modifiedWord/>
      <trackRevisions>false</trackRevisions>
    </reviewItem>
    <reviewItem>
      <errorID>14ad0ccf-ad2c-48dd-b3ca-21314e60b510</errorID>
      <errorWord>，</errorWord>
      <group>L1_Format</group>
      <groupName>格式问题</groupName>
      <ability>L2_HalfPunc_CN</ability>
      <abilityName>全半角问题</abilityName>
      <candidateList>
        <item>, </item>
      </candidateList>
      <explain>文本全半角错误。</explain>
      <paraID>34FABF92</paraID>
      <start>1</start>
      <end>2</end>
      <status>unmodified</status>
      <modifiedWord/>
      <trackRevisions>false</trackRevisions>
    </reviewItem>
    <reviewItem>
      <errorID>a30082f9-cf07-49aa-8874-76359c2aa9b7</errorID>
      <errorWord>影</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 6D47834</paraID>
      <start>5</start>
      <end>6</end>
      <status>unmodified</status>
      <modifiedWord/>
      <trackRevisions>false</trackRevisions>
    </reviewItem>
    <reviewItem>
      <errorID>374a67e6-8ad4-4085-b45b-abcdda29e562</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5F5DE224</paraID>
      <start>48</start>
      <end>49</end>
      <status>unmodified</status>
      <modifiedWord/>
      <trackRevisions>false</trackRevisions>
    </reviewItem>
    <reviewItem>
      <errorID>f804432c-6bf9-4471-8b48-6e93269acd9e</errorID>
      <errorWord>(</errorWord>
      <group>L1_Format</group>
      <groupName>格式问题</groupName>
      <ability>L2_HalfPunc_CN</ability>
      <abilityName>全半角问题</abilityName>
      <candidateList>
        <item>（</item>
      </candidateList>
      <explain>文本全半角错误。</explain>
      <paraID>5F5DE224</paraID>
      <start>57</start>
      <end>58</end>
      <status>unmodified</status>
      <modifiedWord/>
      <trackRevisions>false</trackRevisions>
    </reviewItem>
    <reviewItem>
      <errorID>4fff2d7a-bd52-4f41-bbf5-71d75300cfc7</errorID>
      <errorWord>)</errorWord>
      <group>L1_Format</group>
      <groupName>格式问题</groupName>
      <ability>L2_HalfPunc_CN</ability>
      <abilityName>全半角问题</abilityName>
      <candidateList>
        <item>）</item>
      </candidateList>
      <explain>文本全半角错误。</explain>
      <paraID>5F5DE224</paraID>
      <start>72</start>
      <end>73</end>
      <status>unmodified</status>
      <modifiedWord/>
      <trackRevisions>false</trackRevisions>
    </reviewItem>
    <reviewItem>
      <errorID>bd31c453-98bb-4e3a-8a9d-8da32699a30d</errorID>
      <errorWord>墙角</errorWord>
      <group>L1_Word</group>
      <groupName>字词问题</groupName>
      <ability>L2_Typo</ability>
      <abilityName>字词错误</abilityName>
      <candidateList>
        <item>墙脚</item>
      </candidateList>
      <explain>存在发音相同字词的误用。</explain>
      <paraID>3113642B</paraID>
      <start>48</start>
      <end>50</end>
      <status>unmodified</status>
      <modifiedWord/>
      <trackRevisions>false</trackRevisions>
    </reviewItem>
    <reviewItem>
      <errorID>728edbd9-99fd-4bb1-8521-df0fd79ba7fa</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3113642B</paraID>
      <start>91</start>
      <end>92</end>
      <status>unmodified</status>
      <modifiedWord/>
      <trackRevisions>false</trackRevisions>
    </reviewItem>
    <reviewItem>
      <errorID>b0a99ece-7b88-44c7-86b1-3d996c597f4d</errorID>
      <errorWord>、</errorWord>
      <group>L1_Punc</group>
      <groupName>标点问题</groupName>
      <ability>L2_Punc_CN</ability>
      <abilityName>标点符号问题</abilityName>
      <candidateList>
        <item>.</item>
      </candidateList>
      <explain/>
      <paraID>53CD2873</paraID>
      <start>1</start>
      <end>2</end>
      <status>unmodified</status>
      <modifiedWord/>
      <trackRevisions>false</trackRevisions>
    </reviewItem>
    <reviewItem>
      <errorID>a62a9da0-868a-458b-b02f-763893b2bbb0</errorID>
      <errorWord>II</errorWord>
      <group>L1_Knowledge</group>
      <groupName>知识性问题</groupName>
      <ability>L2_Knowledge</ability>
      <abilityName>其他知识</abilityName>
      <candidateList>
        <item>Ⅱ</item>
      </candidateList>
      <explain>中文环境下罗马数字格式错误。</explain>
      <paraID> 1FF0D43</paraID>
      <start>0</start>
      <end>2</end>
      <status>unmodified</status>
      <modifiedWord/>
      <trackRevisions>false</trackRevisions>
    </reviewItem>
    <reviewItem>
      <errorID>fc611e45-5ac8-46b8-8954-5c3cc4d049f3</errorID>
      <errorWord>泄露</errorWord>
      <group>L1_Word</group>
      <groupName>字词问题</groupName>
      <ability>L2_Typo</ability>
      <abilityName>字词错误</abilityName>
      <candidateList>
        <item>泄漏</item>
      </candidateList>
      <explain/>
      <paraID> A9C4048</paraID>
      <start>26</start>
      <end>28</end>
      <status>unmodified</status>
      <modifiedWord/>
      <trackRevisions>false</trackRevisions>
    </reviewItem>
    <reviewItem>
      <errorID>2b6a7d29-994c-4d3d-8a56-a1aedb4a1acf</errorID>
      <errorWord>，…</errorWord>
      <group>L1_Punc</group>
      <groupName>标点问题</groupName>
      <ability>L2_Punc_CN</ability>
      <abilityName>标点符号问题</abilityName>
      <candidateList>
        <item>，</item>
      </candidateList>
      <explain/>
      <paraID> 84124DA</paraID>
      <start>8</start>
      <end>10</end>
      <status>unmodified</status>
      <modifiedWord/>
      <trackRevisions>false</trackRevisions>
    </reviewItem>
    <reviewItem>
      <errorID>09d25420-7354-4cb6-8800-5cb23b210a12</errorID>
      <errorWord>(</errorWord>
      <group>L1_Format</group>
      <groupName>格式问题</groupName>
      <ability>L2_HalfPunc_CN</ability>
      <abilityName>全半角问题</abilityName>
      <candidateList>
        <item>（</item>
      </candidateList>
      <explain>文本全半角错误。</explain>
      <paraID> 84124DA</paraID>
      <start>31</start>
      <end>32</end>
      <status>unmodified</status>
      <modifiedWord/>
      <trackRevisions>false</trackRevisions>
    </reviewItem>
    <reviewItem>
      <errorID>555c1669-2cd1-4446-89d2-728a87e8537a</errorID>
      <errorWord>)</errorWord>
      <group>L1_Format</group>
      <groupName>格式问题</groupName>
      <ability>L2_HalfPunc_CN</ability>
      <abilityName>全半角问题</abilityName>
      <candidateList>
        <item>）</item>
      </candidateList>
      <explain>文本全半角错误。</explain>
      <paraID> 84124DA</paraID>
      <start>33</start>
      <end>34</end>
      <status>unmodified</status>
      <modifiedWord/>
      <trackRevisions>false</trackRevisions>
    </reviewItem>
    <reviewItem>
      <errorID>505a27b9-842e-44a6-a794-06b0f6da67dc</errorID>
      <errorWord>，…</errorWord>
      <group>L1_Punc</group>
      <groupName>标点问题</groupName>
      <ability>L2_Punc_CN</ability>
      <abilityName>标点符号问题</abilityName>
      <candidateList>
        <item>，</item>
      </candidateList>
      <explain/>
      <paraID>6E54B240</paraID>
      <start>5</start>
      <end>7</end>
      <status>unmodified</status>
      <modifiedWord/>
      <trackRevisions>false</trackRevisions>
    </reviewItem>
    <reviewItem>
      <errorID>d83247df-8bca-4770-b4ba-34ba76e68be0</errorID>
      <errorWord>(</errorWord>
      <group>L1_Format</group>
      <groupName>格式问题</groupName>
      <ability>L2_HalfPunc_CN</ability>
      <abilityName>全半角问题</abilityName>
      <candidateList>
        <item>（</item>
      </candidateList>
      <explain>文本全半角错误。</explain>
      <paraID>6E54B240</paraID>
      <start>30</start>
      <end>31</end>
      <status>unmodified</status>
      <modifiedWord/>
      <trackRevisions>false</trackRevisions>
    </reviewItem>
    <reviewItem>
      <errorID>d6b9757c-3f19-49ea-8ed2-fe2d360158f8</errorID>
      <errorWord>)</errorWord>
      <group>L1_Format</group>
      <groupName>格式问题</groupName>
      <ability>L2_HalfPunc_CN</ability>
      <abilityName>全半角问题</abilityName>
      <candidateList>
        <item>）</item>
      </candidateList>
      <explain>文本全半角错误。</explain>
      <paraID>6E54B240</paraID>
      <start>32</start>
      <end>33</end>
      <status>unmodified</status>
      <modifiedWord/>
      <trackRevisions>false</trackRevisions>
    </reviewItem>
    <reviewItem>
      <errorID>2f45c850-5943-4350-b26e-c913f0a3df5b</errorID>
      <errorWord>(</errorWord>
      <group>L1_Format</group>
      <groupName>格式问题</groupName>
      <ability>L2_HalfPunc_CN</ability>
      <abilityName>全半角问题</abilityName>
      <candidateList>
        <item>（</item>
      </candidateList>
      <explain>文本全半角错误。</explain>
      <paraID>5D04FB86</paraID>
      <start>3</start>
      <end>4</end>
      <status>unmodified</status>
      <modifiedWord/>
      <trackRevisions>false</trackRevisions>
    </reviewItem>
    <reviewItem>
      <errorID>9c7f25a7-b90e-46cf-b605-9083e7c1fbf9</errorID>
      <errorWord>)</errorWord>
      <group>L1_Format</group>
      <groupName>格式问题</groupName>
      <ability>L2_HalfPunc_CN</ability>
      <abilityName>全半角问题</abilityName>
      <candidateList>
        <item>）</item>
      </candidateList>
      <explain>文本全半角错误。</explain>
      <paraID>5D04FB86</paraID>
      <start>5</start>
      <end>6</end>
      <status>unmodified</status>
      <modifiedWord/>
      <trackRevisions>false</trackRevisions>
    </reviewItem>
    <reviewItem>
      <errorID>aa54ebf5-dd3c-40d0-85b1-47217c237931</errorID>
      <errorWord>(</errorWord>
      <group>L1_Format</group>
      <groupName>格式问题</groupName>
      <ability>L2_HalfPunc_CN</ability>
      <abilityName>全半角问题</abilityName>
      <candidateList>
        <item>（</item>
      </candidateList>
      <explain>文本全半角错误。</explain>
      <paraID>66698D42</paraID>
      <start>8</start>
      <end>9</end>
      <status>unmodified</status>
      <modifiedWord/>
      <trackRevisions>false</trackRevisions>
    </reviewItem>
    <reviewItem>
      <errorID>7ec23640-81c3-4d3c-8efa-ed00cb318557</errorID>
      <errorWord>)</errorWord>
      <group>L1_Format</group>
      <groupName>格式问题</groupName>
      <ability>L2_HalfPunc_CN</ability>
      <abilityName>全半角问题</abilityName>
      <candidateList>
        <item>）</item>
      </candidateList>
      <explain>文本全半角错误。</explain>
      <paraID>66698D42</paraID>
      <start>10</start>
      <end>11</end>
      <status>unmodified</status>
      <modifiedWord/>
      <trackRevisions>false</trackRevisions>
    </reviewItem>
    <reviewItem>
      <errorID>54c99a66-b2de-4330-b2f7-e0b1179438f4</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55CB9571</paraID>
      <start>110</start>
      <end>111</end>
      <status>unmodified</status>
      <modifiedWord/>
      <trackRevisions>false</trackRevisions>
    </reviewItem>
    <reviewItem>
      <errorID>56c9337b-4053-4fae-bd1b-9f72f1362874</errorID>
      <errorWord>(</errorWord>
      <group>L1_Format</group>
      <groupName>格式问题</groupName>
      <ability>L2_HalfPunc_CN</ability>
      <abilityName>全半角问题</abilityName>
      <candidateList>
        <item>（</item>
      </candidateList>
      <explain>文本全半角错误。</explain>
      <paraID>2685A5AE</paraID>
      <start>3</start>
      <end>4</end>
      <status>unmodified</status>
      <modifiedWord/>
      <trackRevisions>false</trackRevisions>
    </reviewItem>
    <reviewItem>
      <errorID>21640313-51ad-43fc-b47b-29db1305309f</errorID>
      <errorWord>)</errorWord>
      <group>L1_Format</group>
      <groupName>格式问题</groupName>
      <ability>L2_HalfPunc_CN</ability>
      <abilityName>全半角问题</abilityName>
      <candidateList>
        <item>）</item>
      </candidateList>
      <explain>文本全半角错误。</explain>
      <paraID>2685A5AE</paraID>
      <start>9</start>
      <end>10</end>
      <status>unmodified</status>
      <modifiedWord/>
      <trackRevisions>false</trackRevisions>
    </reviewItem>
    <reviewItem>
      <errorID>765e0fc8-342e-4d88-8209-86e4763e3388</errorID>
      <errorWord>达</errorWord>
      <group>L1_Word</group>
      <groupName>字词问题</groupName>
      <ability>L2_Typo</ability>
      <abilityName>字词错误</abilityName>
      <candidateList>
        <item>达到</item>
      </candidateList>
      <explain>〈动〉到（多指抽象事物或程度）：达得到｜达不到｜目的没有～｜～国际水平。</explain>
      <paraID>678D7A9A</paraID>
      <start>60</start>
      <end>61</end>
      <status>unmodified</status>
      <modifiedWord/>
      <trackRevisions>false</trackRevisions>
    </reviewItem>
    <reviewItem>
      <errorID>84634056-3695-4a4f-a2a9-9d5dea0980ac</errorID>
      <errorWord>（</errorWord>
      <group>L1_Punc</group>
      <groupName>标点问题</groupName>
      <ability>L2_Punc_CN</ability>
      <abilityName>标点符号问题</abilityName>
      <candidateList/>
      <explain>同一形式括号套用。</explain>
      <paraID>678D7A9A</paraID>
      <start>139</start>
      <end>140</end>
      <status>unmodified</status>
      <modifiedWord/>
      <trackRevisions>false</trackRevisions>
    </reviewItem>
    <reviewItem>
      <errorID>be78c20b-8ee4-473d-ab23-928fa49a5b2a</errorID>
      <errorWord>）</errorWord>
      <group>L1_Punc</group>
      <groupName>标点问题</groupName>
      <ability>L2_Punc_CN</ability>
      <abilityName>标点符号问题</abilityName>
      <candidateList/>
      <explain>同一形式括号套用。</explain>
      <paraID>678D7A9A</paraID>
      <start>151</start>
      <end>152</end>
      <status>unmodified</status>
      <modifiedWord/>
      <trackRevisions>false</trackRevisions>
    </reviewItem>
    <reviewItem>
      <errorID>f8490963-78d6-4e66-bd7c-2a129051f846</errorID>
      <errorWord>IV类</errorWord>
      <group>L1_Knowledge</group>
      <groupName>知识性问题</groupName>
      <ability>L2_Knowledge</ability>
      <abilityName>其他知识</abilityName>
      <candidateList>
        <item>Ⅳ类</item>
      </candidateList>
      <explain>中文环境下罗马数字格式错误。</explain>
      <paraID>678D7A9A</paraID>
      <start>152</start>
      <end>155</end>
      <status>unmodified</status>
      <modifiedWord/>
      <trackRevisions>false</trackRevisions>
    </reviewItem>
    <reviewItem>
      <errorID>a2cc3127-9655-450a-a1d4-09f714480db5</errorID>
      <errorWord>，</errorWord>
      <group>L1_Word</group>
      <groupName>字词问题</groupName>
      <ability>L2_Typo</ability>
      <abilityName>字词错误</abilityName>
      <candidateList>
        <item>，对</item>
      </candidateList>
      <explain/>
      <paraID>3013A9A3</paraID>
      <start>31</start>
      <end>32</end>
      <status>unmodified</status>
      <modifiedWord/>
      <trackRevisions>false</trackRevisions>
    </reviewItem>
    <reviewItem>
      <errorID>cabe9c35-8ecc-4bb4-b2ae-7ff9b86b6cb2</errorID>
      <errorWord>重庆生态环境局</errorWord>
      <group>L1_Political</group>
      <groupName>政治性问题</groupName>
      <ability>L2_Unpolitical</ability>
      <abilityName>政治敏感错误</abilityName>
      <candidateList>
        <item>重庆市生态环境局</item>
      </candidateList>
      <explain>机关单位名称不规范，请注意审核。</explain>
      <paraID> EF8072A</paraID>
      <start>20</start>
      <end>28</end>
      <status>modified</status>
      <modifiedWord>重庆市生态环境局</modifiedWord>
      <trackRevisions>false</trackRevisions>
    </reviewItem>
    <reviewItem>
      <errorID>1c52eb4f-583b-495e-be8a-9dfd89178593</errorID>
      <errorWord>(</errorWord>
      <group>L1_Format</group>
      <groupName>格式问题</groupName>
      <ability>L2_HalfPunc_CN</ability>
      <abilityName>全半角问题</abilityName>
      <candidateList>
        <item>（</item>
      </candidateList>
      <explain>文本全半角错误。</explain>
      <paraID>4AB7E791</paraID>
      <start>79</start>
      <end>80</end>
      <status>unmodified</status>
      <modifiedWord/>
      <trackRevisions>false</trackRevisions>
    </reviewItem>
    <reviewItem>
      <errorID>6abc0b36-6eb1-4223-9090-bad5991fb562</errorID>
      <errorWord>)</errorWord>
      <group>L1_Format</group>
      <groupName>格式问题</groupName>
      <ability>L2_HalfPunc_CN</ability>
      <abilityName>全半角问题</abilityName>
      <candidateList>
        <item>）</item>
      </candidateList>
      <explain>文本全半角错误。</explain>
      <paraID>4AB7E791</paraID>
      <start>106</start>
      <end>107</end>
      <status>unmodified</status>
      <modifiedWord/>
      <trackRevisions>false</trackRevisions>
    </reviewItem>
    <reviewItem>
      <errorID>589e852f-e42b-4bcd-8183-a279f2487074</errorID>
      <errorWord>(</errorWord>
      <group>L1_Format</group>
      <groupName>格式问题</groupName>
      <ability>L2_HalfPunc_CN</ability>
      <abilityName>全半角问题</abilityName>
      <candidateList>
        <item>（</item>
      </candidateList>
      <explain>文本全半角错误。</explain>
      <paraID>4AB7E791</paraID>
      <start>118</start>
      <end>119</end>
      <status>unmodified</status>
      <modifiedWord/>
      <trackRevisions>false</trackRevisions>
    </reviewItem>
    <reviewItem>
      <errorID>d924d710-de82-4579-b510-31b73b7a2efd</errorID>
      <errorWord>)</errorWord>
      <group>L1_Format</group>
      <groupName>格式问题</groupName>
      <ability>L2_HalfPunc_CN</ability>
      <abilityName>全半角问题</abilityName>
      <candidateList>
        <item>）</item>
      </candidateList>
      <explain>文本全半角错误。</explain>
      <paraID>4AB7E791</paraID>
      <start>149</start>
      <end>150</end>
      <status>unmodified</status>
      <modifiedWord/>
      <trackRevisions>false</trackRevisions>
    </reviewItem>
    <reviewItem>
      <errorID>84d160ce-6eb2-4a45-b832-f49b2084e1ee</errorID>
      <errorWord>(</errorWord>
      <group>L1_Format</group>
      <groupName>格式问题</groupName>
      <ability>L2_HalfPunc_CN</ability>
      <abilityName>全半角问题</abilityName>
      <candidateList>
        <item>（</item>
      </candidateList>
      <explain>文本全半角错误。</explain>
      <paraID>4AB7E791</paraID>
      <start>185</start>
      <end>186</end>
      <status>unmodified</status>
      <modifiedWord/>
      <trackRevisions>false</trackRevisions>
    </reviewItem>
    <reviewItem>
      <errorID>2711a85b-5c91-4d5c-88e0-9226f30ca27a</errorID>
      <errorWord>)</errorWord>
      <group>L1_Format</group>
      <groupName>格式问题</groupName>
      <ability>L2_HalfPunc_CN</ability>
      <abilityName>全半角问题</abilityName>
      <candidateList>
        <item>）</item>
      </candidateList>
      <explain>文本全半角错误。</explain>
      <paraID>4AB7E791</paraID>
      <start>194</start>
      <end>195</end>
      <status>unmodified</status>
      <modifiedWord/>
      <trackRevisions>false</trackRevisions>
    </reviewItem>
    <reviewItem>
      <errorID>74bd3907-8db6-4a85-b1a6-815f0982ae31</errorID>
      <errorWord>(</errorWord>
      <group>L1_Format</group>
      <groupName>格式问题</groupName>
      <ability>L2_HalfPunc_CN</ability>
      <abilityName>全半角问题</abilityName>
      <candidateList>
        <item>（</item>
      </candidateList>
      <explain>文本全半角错误。</explain>
      <paraID>4AB7E791</paraID>
      <start>221</start>
      <end>222</end>
      <status>unmodified</status>
      <modifiedWord/>
      <trackRevisions>false</trackRevisions>
    </reviewItem>
    <reviewItem>
      <errorID>9650c35c-9056-4463-b434-b8a7603efb56</errorID>
      <errorWord>)</errorWord>
      <group>L1_Format</group>
      <groupName>格式问题</groupName>
      <ability>L2_HalfPunc_CN</ability>
      <abilityName>全半角问题</abilityName>
      <candidateList>
        <item>）</item>
      </candidateList>
      <explain>文本全半角错误。</explain>
      <paraID>4AB7E791</paraID>
      <start>225</start>
      <end>226</end>
      <status>unmodified</status>
      <modifiedWord/>
      <trackRevisions>false</trackRevisions>
    </reviewItem>
    <reviewItem>
      <errorID>e2e28f5c-18cb-4626-95ba-a8b14096efe7</errorID>
      <errorWord>(</errorWord>
      <group>L1_Format</group>
      <groupName>格式问题</groupName>
      <ability>L2_HalfPunc_CN</ability>
      <abilityName>全半角问题</abilityName>
      <candidateList>
        <item>（</item>
      </candidateList>
      <explain>文本全半角错误。</explain>
      <paraID>4AB7E791</paraID>
      <start>256</start>
      <end>257</end>
      <status>unmodified</status>
      <modifiedWord/>
      <trackRevisions>false</trackRevisions>
    </reviewItem>
    <reviewItem>
      <errorID>32f15a98-b415-455f-9f2b-f693f0f3be46</errorID>
      <errorWord>)</errorWord>
      <group>L1_Format</group>
      <groupName>格式问题</groupName>
      <ability>L2_HalfPunc_CN</ability>
      <abilityName>全半角问题</abilityName>
      <candidateList>
        <item>）</item>
      </candidateList>
      <explain>文本全半角错误。</explain>
      <paraID>4AB7E791</paraID>
      <start>260</start>
      <end>261</end>
      <status>unmodified</status>
      <modifiedWord/>
      <trackRevisions>false</trackRevisions>
    </reviewItem>
    <reviewItem>
      <errorID>31cfc7aa-0401-4dcd-a278-6c5778908a66</errorID>
      <errorWord>“</errorWord>
      <group>L1_Punc</group>
      <groupName>标点问题</groupName>
      <ability>L2_Punc_CN</ability>
      <abilityName>标点符号问题</abilityName>
      <candidateList>
        <item>‘</item>
      </candidateList>
      <explain>当引号中还需要使用引号时，外面一层用双引号，里面一层用单引号。</explain>
      <paraID>3CD01A7B</paraID>
      <start>99</start>
      <end>100</end>
      <status>unmodified</status>
      <modifiedWord/>
      <trackRevisions>false</trackRevisions>
    </reviewItem>
    <reviewItem>
      <errorID>062edf0c-5430-4b63-a42f-3f5977044b76</errorID>
      <errorWord>”</errorWord>
      <group>L1_Punc</group>
      <groupName>标点问题</groupName>
      <ability>L2_Punc_CN</ability>
      <abilityName>标点符号问题</abilityName>
      <candidateList>
        <item>’</item>
      </candidateList>
      <explain>当引号中还需要使用引号时，外面一层用双引号，里面一层用单引号。</explain>
      <paraID>3CD01A7B</paraID>
      <start>114</start>
      <end>115</end>
      <status>unmodified</status>
      <modifiedWord/>
      <trackRevisions>false</trackRevisions>
    </reviewItem>
    <reviewItem>
      <errorID>18a59863-c2d4-423f-929a-f5736d4af589</errorID>
      <errorWord>(</errorWord>
      <group>L1_Format</group>
      <groupName>格式问题</groupName>
      <ability>L2_HalfPunc_CN</ability>
      <abilityName>全半角问题</abilityName>
      <candidateList>
        <item>（</item>
      </candidateList>
      <explain>文本全半角错误。</explain>
      <paraID>3CD01A7B</paraID>
      <start>205</start>
      <end>206</end>
      <status>unmodified</status>
      <modifiedWord/>
      <trackRevisions>false</trackRevisions>
    </reviewItem>
    <reviewItem>
      <errorID>8c3f4820-059e-4424-83f9-31c9861178af</errorID>
      <errorWord>)</errorWord>
      <group>L1_Format</group>
      <groupName>格式问题</groupName>
      <ability>L2_HalfPunc_CN</ability>
      <abilityName>全半角问题</abilityName>
      <candidateList>
        <item>）</item>
      </candidateList>
      <explain>文本全半角错误。</explain>
      <paraID>3CD01A7B</paraID>
      <start>209</start>
      <end>210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938B02-4FCB-4B25-9FA5-19D7C2166C40}">
  <ds:schemaRefs/>
</ds:datastoreItem>
</file>

<file path=customXml/itemProps3.xml><?xml version="1.0" encoding="utf-8"?>
<ds:datastoreItem xmlns:ds="http://schemas.openxmlformats.org/officeDocument/2006/customXml" ds:itemID="{23bd21bc-4fae-4c49-966b-f4c25fe9f59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111</Pages>
  <Words>6941</Words>
  <Characters>7327</Characters>
  <Lines>1</Lines>
  <Paragraphs>1</Paragraphs>
  <TotalTime>31</TotalTime>
  <ScaleCrop>false</ScaleCrop>
  <LinksUpToDate>false</LinksUpToDate>
  <CharactersWithSpaces>7327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2021-04-09T09:18:00Z</dcterms:created>
  <dc:creator>lhj</dc:creator>
  <cp:lastModifiedBy>tian</cp:lastModifiedBy>
  <cp:lastPrinted>2026-04-08T06:57:00Z</cp:lastPrinted>
  <dcterms:modified xsi:type="dcterms:W3CDTF">2026-06-23T05:53:55Z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72D7AE80EA6D4A4F8DBA2D12493D4B01_13</vt:lpwstr>
  </property>
  <property fmtid="{D5CDD505-2E9C-101B-9397-08002B2CF9AE}" pid="4" name="KSOTemplateDocerSaveRecord">
    <vt:lpwstr>eyJoZGlkIjoiNGI5OGMxMjdkODM1MzJkZTgyYTM4NGVmZTVjZGQ1M2EiLCJ1c2VySWQiOiI2MTI1OTM0MzAifQ==</vt:lpwstr>
  </property>
</Properties>
</file>